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8B2CC1" w:rsidTr="0088395E">
        <w:tc>
          <w:tcPr>
            <w:tcW w:w="4513" w:type="dxa"/>
            <w:tcBorders>
              <w:bottom w:val="single" w:sz="4" w:space="0" w:color="auto"/>
            </w:tcBorders>
            <w:tcMar>
              <w:bottom w:w="170" w:type="dxa"/>
            </w:tcMar>
          </w:tcPr>
          <w:p w:rsidR="00E504E5" w:rsidRPr="008B2CC1" w:rsidRDefault="00E504E5" w:rsidP="00AB613D"/>
        </w:tc>
        <w:tc>
          <w:tcPr>
            <w:tcW w:w="4337" w:type="dxa"/>
            <w:tcBorders>
              <w:bottom w:val="single" w:sz="4" w:space="0" w:color="auto"/>
            </w:tcBorders>
            <w:tcMar>
              <w:left w:w="0" w:type="dxa"/>
              <w:right w:w="0" w:type="dxa"/>
            </w:tcMar>
          </w:tcPr>
          <w:p w:rsidR="00E504E5" w:rsidRPr="008B2CC1" w:rsidRDefault="004E5843" w:rsidP="00AB613D">
            <w:r>
              <w:rPr>
                <w:noProof/>
                <w:lang w:val="en-US" w:eastAsia="en-US"/>
              </w:rPr>
              <w:drawing>
                <wp:inline distT="0" distB="0" distL="0" distR="0" wp14:anchorId="43FF52E1" wp14:editId="351B6445">
                  <wp:extent cx="1856105" cy="1323975"/>
                  <wp:effectExtent l="0" t="0" r="0"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8B2CC1" w:rsidRDefault="00E504E5" w:rsidP="00AB613D">
            <w:pPr>
              <w:jc w:val="right"/>
            </w:pPr>
            <w:r>
              <w:rPr>
                <w:b/>
                <w:sz w:val="40"/>
                <w:szCs w:val="40"/>
              </w:rPr>
              <w:t>S</w:t>
            </w:r>
          </w:p>
        </w:tc>
      </w:tr>
      <w:tr w:rsidR="008B2CC1" w:rsidRPr="001832A6" w:rsidTr="00AB613D">
        <w:trPr>
          <w:trHeight w:hRule="exact" w:val="340"/>
        </w:trPr>
        <w:tc>
          <w:tcPr>
            <w:tcW w:w="9356" w:type="dxa"/>
            <w:gridSpan w:val="3"/>
            <w:tcBorders>
              <w:top w:val="single" w:sz="4" w:space="0" w:color="auto"/>
            </w:tcBorders>
            <w:tcMar>
              <w:top w:w="170" w:type="dxa"/>
              <w:left w:w="0" w:type="dxa"/>
              <w:right w:w="0" w:type="dxa"/>
            </w:tcMar>
            <w:vAlign w:val="bottom"/>
          </w:tcPr>
          <w:p w:rsidR="008B2CC1" w:rsidRPr="0090731E" w:rsidRDefault="004E5843" w:rsidP="004E5843">
            <w:pPr>
              <w:jc w:val="right"/>
              <w:rPr>
                <w:rFonts w:ascii="Arial Black" w:hAnsi="Arial Black"/>
                <w:caps/>
                <w:sz w:val="15"/>
              </w:rPr>
            </w:pPr>
            <w:r>
              <w:rPr>
                <w:rFonts w:ascii="Arial Black" w:hAnsi="Arial Black"/>
                <w:caps/>
                <w:sz w:val="15"/>
              </w:rPr>
              <w:t>WO/PBC/25/</w:t>
            </w:r>
            <w:bookmarkStart w:id="0" w:name="Code"/>
            <w:bookmarkEnd w:id="0"/>
            <w:r w:rsidR="00F919B0">
              <w:rPr>
                <w:rFonts w:ascii="Arial Black" w:hAnsi="Arial Black"/>
                <w:caps/>
                <w:sz w:val="15"/>
              </w:rPr>
              <w:t>7</w:t>
            </w:r>
          </w:p>
        </w:tc>
      </w:tr>
      <w:tr w:rsidR="008B2CC1" w:rsidRPr="001832A6" w:rsidTr="00AB613D">
        <w:trPr>
          <w:trHeight w:hRule="exact" w:val="170"/>
        </w:trPr>
        <w:tc>
          <w:tcPr>
            <w:tcW w:w="9356" w:type="dxa"/>
            <w:gridSpan w:val="3"/>
            <w:noWrap/>
            <w:tcMar>
              <w:left w:w="0" w:type="dxa"/>
              <w:right w:w="0" w:type="dxa"/>
            </w:tcMar>
            <w:vAlign w:val="bottom"/>
          </w:tcPr>
          <w:p w:rsidR="008B2CC1" w:rsidRPr="0090731E" w:rsidRDefault="008B2CC1" w:rsidP="0046793F">
            <w:pPr>
              <w:jc w:val="right"/>
              <w:rPr>
                <w:rFonts w:ascii="Arial Black" w:hAnsi="Arial Black"/>
                <w:caps/>
                <w:sz w:val="15"/>
              </w:rPr>
            </w:pPr>
            <w:r w:rsidRPr="0090731E">
              <w:rPr>
                <w:rFonts w:ascii="Arial Black" w:hAnsi="Arial Black"/>
                <w:caps/>
                <w:sz w:val="15"/>
              </w:rPr>
              <w:t xml:space="preserve">ORIGINAL: </w:t>
            </w:r>
            <w:bookmarkStart w:id="1" w:name="Original"/>
            <w:bookmarkEnd w:id="1"/>
            <w:r w:rsidR="00976A34">
              <w:rPr>
                <w:rFonts w:ascii="Arial Black" w:hAnsi="Arial Black"/>
                <w:caps/>
                <w:sz w:val="15"/>
              </w:rPr>
              <w:t xml:space="preserve"> </w:t>
            </w:r>
            <w:r w:rsidR="00F919B0">
              <w:rPr>
                <w:rFonts w:ascii="Arial Black" w:hAnsi="Arial Black"/>
                <w:caps/>
                <w:sz w:val="15"/>
              </w:rPr>
              <w:t>INGLÉS</w:t>
            </w:r>
          </w:p>
        </w:tc>
      </w:tr>
      <w:tr w:rsidR="008B2CC1" w:rsidRPr="001832A6" w:rsidTr="00AB613D">
        <w:trPr>
          <w:trHeight w:hRule="exact" w:val="198"/>
        </w:trPr>
        <w:tc>
          <w:tcPr>
            <w:tcW w:w="9356" w:type="dxa"/>
            <w:gridSpan w:val="3"/>
            <w:tcMar>
              <w:left w:w="0" w:type="dxa"/>
              <w:right w:w="0" w:type="dxa"/>
            </w:tcMar>
            <w:vAlign w:val="bottom"/>
          </w:tcPr>
          <w:p w:rsidR="008B2CC1" w:rsidRPr="0090731E" w:rsidRDefault="00675021" w:rsidP="002E3193">
            <w:pPr>
              <w:jc w:val="right"/>
              <w:rPr>
                <w:rFonts w:ascii="Arial Black" w:hAnsi="Arial Black"/>
                <w:caps/>
                <w:sz w:val="15"/>
              </w:rPr>
            </w:pPr>
            <w:r>
              <w:rPr>
                <w:rFonts w:ascii="Arial Black" w:hAnsi="Arial Black"/>
                <w:caps/>
                <w:sz w:val="15"/>
              </w:rPr>
              <w:t>fecha</w:t>
            </w:r>
            <w:r w:rsidR="008B2CC1" w:rsidRPr="0090731E">
              <w:rPr>
                <w:rFonts w:ascii="Arial Black" w:hAnsi="Arial Black"/>
                <w:caps/>
                <w:sz w:val="15"/>
              </w:rPr>
              <w:t xml:space="preserve">: </w:t>
            </w:r>
            <w:bookmarkStart w:id="2" w:name="Date"/>
            <w:bookmarkEnd w:id="2"/>
            <w:r w:rsidR="00976A34">
              <w:rPr>
                <w:rFonts w:ascii="Arial Black" w:hAnsi="Arial Black"/>
                <w:caps/>
                <w:sz w:val="15"/>
              </w:rPr>
              <w:t xml:space="preserve"> </w:t>
            </w:r>
            <w:r w:rsidR="002E3193">
              <w:rPr>
                <w:rFonts w:ascii="Arial Black" w:hAnsi="Arial Black"/>
                <w:caps/>
                <w:sz w:val="15"/>
              </w:rPr>
              <w:t>27</w:t>
            </w:r>
            <w:r w:rsidR="00F919B0">
              <w:rPr>
                <w:rFonts w:ascii="Arial Black" w:hAnsi="Arial Black"/>
                <w:caps/>
                <w:sz w:val="15"/>
              </w:rPr>
              <w:t xml:space="preserve"> DE JU</w:t>
            </w:r>
            <w:r w:rsidR="002E3193">
              <w:rPr>
                <w:rFonts w:ascii="Arial Black" w:hAnsi="Arial Black"/>
                <w:caps/>
                <w:sz w:val="15"/>
              </w:rPr>
              <w:t>n</w:t>
            </w:r>
            <w:r w:rsidR="00F919B0">
              <w:rPr>
                <w:rFonts w:ascii="Arial Black" w:hAnsi="Arial Black"/>
                <w:caps/>
                <w:sz w:val="15"/>
              </w:rPr>
              <w:t>IO DE 2016</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B67CDC" w:rsidRPr="00B67CDC" w:rsidRDefault="004E5843" w:rsidP="00B67CDC">
      <w:pPr>
        <w:rPr>
          <w:b/>
          <w:sz w:val="28"/>
          <w:szCs w:val="28"/>
        </w:rPr>
      </w:pPr>
      <w:r>
        <w:rPr>
          <w:b/>
          <w:sz w:val="28"/>
          <w:szCs w:val="28"/>
        </w:rPr>
        <w:t>Comité del Programa y Presupuesto</w:t>
      </w:r>
    </w:p>
    <w:p w:rsidR="003845C1" w:rsidRDefault="003845C1" w:rsidP="003845C1"/>
    <w:p w:rsidR="003845C1" w:rsidRDefault="003845C1" w:rsidP="003845C1"/>
    <w:p w:rsidR="00B67CDC" w:rsidRPr="00B67CDC" w:rsidRDefault="004E5843" w:rsidP="00B67CDC">
      <w:pPr>
        <w:rPr>
          <w:b/>
          <w:sz w:val="24"/>
          <w:szCs w:val="24"/>
        </w:rPr>
      </w:pPr>
      <w:r>
        <w:rPr>
          <w:b/>
          <w:sz w:val="24"/>
          <w:szCs w:val="24"/>
        </w:rPr>
        <w:t>Vigesimoquinta s</w:t>
      </w:r>
      <w:r w:rsidR="00B67CDC" w:rsidRPr="00B67CDC">
        <w:rPr>
          <w:b/>
          <w:sz w:val="24"/>
          <w:szCs w:val="24"/>
        </w:rPr>
        <w:t>esión</w:t>
      </w:r>
    </w:p>
    <w:p w:rsidR="00B67CDC" w:rsidRPr="00B67CDC" w:rsidRDefault="004E5843" w:rsidP="00B67CDC">
      <w:pPr>
        <w:rPr>
          <w:b/>
          <w:sz w:val="24"/>
          <w:szCs w:val="24"/>
        </w:rPr>
      </w:pPr>
      <w:r>
        <w:rPr>
          <w:b/>
          <w:sz w:val="24"/>
          <w:szCs w:val="24"/>
        </w:rPr>
        <w:t>Ginebra, 29 de agosto a 2 de septiembre de 2016</w:t>
      </w:r>
    </w:p>
    <w:p w:rsidR="008B2CC1" w:rsidRPr="008B2CC1" w:rsidRDefault="008B2CC1" w:rsidP="008B2CC1"/>
    <w:p w:rsidR="008B2CC1" w:rsidRPr="008B2CC1" w:rsidRDefault="008B2CC1" w:rsidP="008B2CC1"/>
    <w:p w:rsidR="008B2CC1" w:rsidRPr="008B2CC1" w:rsidRDefault="008B2CC1" w:rsidP="008B2CC1"/>
    <w:p w:rsidR="00966335" w:rsidRPr="001A0CD7" w:rsidRDefault="001A0CD7" w:rsidP="00966335">
      <w:pPr>
        <w:rPr>
          <w:caps/>
          <w:sz w:val="24"/>
        </w:rPr>
      </w:pPr>
      <w:bookmarkStart w:id="3" w:name="TitleOfDoc"/>
      <w:bookmarkEnd w:id="3"/>
      <w:r w:rsidRPr="001A0CD7">
        <w:rPr>
          <w:caps/>
          <w:sz w:val="24"/>
        </w:rPr>
        <w:t xml:space="preserve">Informe sobre el rendimiento de los programas en </w:t>
      </w:r>
      <w:r w:rsidR="00966335" w:rsidRPr="001A0CD7">
        <w:rPr>
          <w:caps/>
          <w:sz w:val="24"/>
        </w:rPr>
        <w:t>2014/15</w:t>
      </w:r>
    </w:p>
    <w:p w:rsidR="00966335" w:rsidRPr="001A0CD7" w:rsidRDefault="00966335" w:rsidP="00966335"/>
    <w:p w:rsidR="00966335" w:rsidRPr="002937CB" w:rsidRDefault="00966335" w:rsidP="00966335">
      <w:pPr>
        <w:rPr>
          <w:i/>
        </w:rPr>
      </w:pPr>
      <w:bookmarkStart w:id="4" w:name="Prepared"/>
      <w:bookmarkEnd w:id="4"/>
      <w:proofErr w:type="gramStart"/>
      <w:r w:rsidRPr="002937CB">
        <w:rPr>
          <w:i/>
        </w:rPr>
        <w:t>present</w:t>
      </w:r>
      <w:r w:rsidR="001A0CD7" w:rsidRPr="002937CB">
        <w:rPr>
          <w:i/>
        </w:rPr>
        <w:t>a</w:t>
      </w:r>
      <w:r w:rsidRPr="002937CB">
        <w:rPr>
          <w:i/>
        </w:rPr>
        <w:t>d</w:t>
      </w:r>
      <w:r w:rsidR="001A0CD7" w:rsidRPr="002937CB">
        <w:rPr>
          <w:i/>
        </w:rPr>
        <w:t>o</w:t>
      </w:r>
      <w:proofErr w:type="gramEnd"/>
      <w:r w:rsidR="001A0CD7" w:rsidRPr="002937CB">
        <w:rPr>
          <w:i/>
        </w:rPr>
        <w:t xml:space="preserve"> por el</w:t>
      </w:r>
      <w:r w:rsidRPr="002937CB">
        <w:rPr>
          <w:i/>
        </w:rPr>
        <w:t xml:space="preserve"> Director General</w:t>
      </w:r>
    </w:p>
    <w:p w:rsidR="00966335" w:rsidRPr="002937CB" w:rsidRDefault="00966335" w:rsidP="00966335"/>
    <w:p w:rsidR="00966335" w:rsidRPr="002937CB" w:rsidRDefault="00966335" w:rsidP="00966335"/>
    <w:p w:rsidR="00966335" w:rsidRPr="002937CB" w:rsidRDefault="00966335" w:rsidP="00966335"/>
    <w:p w:rsidR="00966335" w:rsidRPr="002937CB" w:rsidRDefault="00966335" w:rsidP="00966335"/>
    <w:p w:rsidR="00966335" w:rsidRPr="002937CB" w:rsidRDefault="00966335" w:rsidP="00966335"/>
    <w:p w:rsidR="00966335" w:rsidRPr="001A0CD7" w:rsidRDefault="001A0CD7" w:rsidP="00966335">
      <w:pPr>
        <w:rPr>
          <w:szCs w:val="22"/>
        </w:rPr>
      </w:pPr>
      <w:r w:rsidRPr="001A0CD7">
        <w:rPr>
          <w:szCs w:val="22"/>
        </w:rPr>
        <w:t>1.</w:t>
      </w:r>
      <w:r w:rsidRPr="001A0CD7">
        <w:rPr>
          <w:szCs w:val="22"/>
        </w:rPr>
        <w:tab/>
        <w:t>El Informe sobre el rendimiento de los programas (en lo sucesivo “el document</w:t>
      </w:r>
      <w:r>
        <w:rPr>
          <w:szCs w:val="22"/>
        </w:rPr>
        <w:t>o</w:t>
      </w:r>
      <w:r w:rsidRPr="001A0CD7">
        <w:rPr>
          <w:szCs w:val="22"/>
        </w:rPr>
        <w:t xml:space="preserve"> PPR” por sus siglas en ingl</w:t>
      </w:r>
      <w:r>
        <w:rPr>
          <w:szCs w:val="22"/>
        </w:rPr>
        <w:t>és) en 2014/15 ha sido preparado de conformidad con el marco de gestión por resultados de la OMPI</w:t>
      </w:r>
      <w:r w:rsidR="00966335" w:rsidRPr="001A0CD7">
        <w:rPr>
          <w:szCs w:val="22"/>
        </w:rPr>
        <w:t xml:space="preserve">.  </w:t>
      </w:r>
      <w:r w:rsidRPr="001A0CD7">
        <w:rPr>
          <w:szCs w:val="22"/>
        </w:rPr>
        <w:t xml:space="preserve">El presente informe se basa en los criterios de rendimiento establecidos en el presupuesto por programas de </w:t>
      </w:r>
      <w:r w:rsidR="00966335" w:rsidRPr="001A0CD7">
        <w:rPr>
          <w:szCs w:val="22"/>
        </w:rPr>
        <w:t xml:space="preserve">2014/15, </w:t>
      </w:r>
      <w:r w:rsidRPr="001A0CD7">
        <w:rPr>
          <w:szCs w:val="22"/>
        </w:rPr>
        <w:t>tal como fue aprobado por los Estados miembros</w:t>
      </w:r>
      <w:r>
        <w:rPr>
          <w:szCs w:val="22"/>
        </w:rPr>
        <w:t xml:space="preserve"> de la OMPI</w:t>
      </w:r>
      <w:r w:rsidRPr="001A0CD7">
        <w:rPr>
          <w:szCs w:val="22"/>
        </w:rPr>
        <w:t xml:space="preserve"> en diciembre de </w:t>
      </w:r>
      <w:r w:rsidR="00966335" w:rsidRPr="001A0CD7">
        <w:rPr>
          <w:szCs w:val="22"/>
        </w:rPr>
        <w:t>2013 (publica</w:t>
      </w:r>
      <w:r>
        <w:rPr>
          <w:szCs w:val="22"/>
        </w:rPr>
        <w:t>c</w:t>
      </w:r>
      <w:r w:rsidR="00966335" w:rsidRPr="001A0CD7">
        <w:rPr>
          <w:szCs w:val="22"/>
        </w:rPr>
        <w:t>i</w:t>
      </w:r>
      <w:r>
        <w:rPr>
          <w:szCs w:val="22"/>
        </w:rPr>
        <w:t>ó</w:t>
      </w:r>
      <w:r w:rsidR="00966335" w:rsidRPr="001A0CD7">
        <w:rPr>
          <w:szCs w:val="22"/>
        </w:rPr>
        <w:t>n N</w:t>
      </w:r>
      <w:proofErr w:type="gramStart"/>
      <w:r w:rsidR="00966335" w:rsidRPr="001A0CD7">
        <w:rPr>
          <w:szCs w:val="22"/>
        </w:rPr>
        <w:t>.</w:t>
      </w:r>
      <w:r>
        <w:rPr>
          <w:szCs w:val="22"/>
        </w:rPr>
        <w:t>º</w:t>
      </w:r>
      <w:proofErr w:type="gramEnd"/>
      <w:r w:rsidR="00966335" w:rsidRPr="001A0CD7">
        <w:rPr>
          <w:szCs w:val="22"/>
        </w:rPr>
        <w:t> 360</w:t>
      </w:r>
      <w:r>
        <w:rPr>
          <w:szCs w:val="22"/>
        </w:rPr>
        <w:t>S</w:t>
      </w:r>
      <w:r w:rsidR="00966335" w:rsidRPr="001A0CD7">
        <w:rPr>
          <w:szCs w:val="22"/>
        </w:rPr>
        <w:t xml:space="preserve">/PB14/15).  </w:t>
      </w:r>
    </w:p>
    <w:p w:rsidR="00966335" w:rsidRPr="001A0CD7" w:rsidRDefault="00966335" w:rsidP="00966335">
      <w:pPr>
        <w:rPr>
          <w:szCs w:val="22"/>
        </w:rPr>
      </w:pPr>
    </w:p>
    <w:p w:rsidR="00966335" w:rsidRPr="001A0CD7" w:rsidRDefault="00966335" w:rsidP="00966335">
      <w:pPr>
        <w:rPr>
          <w:szCs w:val="22"/>
        </w:rPr>
      </w:pPr>
      <w:r w:rsidRPr="001A0CD7">
        <w:rPr>
          <w:szCs w:val="22"/>
        </w:rPr>
        <w:t>2.</w:t>
      </w:r>
      <w:r w:rsidRPr="001A0CD7">
        <w:rPr>
          <w:szCs w:val="22"/>
        </w:rPr>
        <w:tab/>
      </w:r>
      <w:r w:rsidR="001A0CD7" w:rsidRPr="001A0CD7">
        <w:rPr>
          <w:szCs w:val="22"/>
        </w:rPr>
        <w:t xml:space="preserve">Se propone el párrafo de </w:t>
      </w:r>
      <w:r w:rsidR="00BE5B8C" w:rsidRPr="001A0CD7">
        <w:rPr>
          <w:szCs w:val="22"/>
        </w:rPr>
        <w:t>decisión</w:t>
      </w:r>
      <w:r w:rsidR="001A0CD7" w:rsidRPr="001A0CD7">
        <w:rPr>
          <w:szCs w:val="22"/>
        </w:rPr>
        <w:t xml:space="preserve"> siguiente</w:t>
      </w:r>
      <w:r w:rsidRPr="001A0CD7">
        <w:rPr>
          <w:szCs w:val="22"/>
        </w:rPr>
        <w:t>.</w:t>
      </w:r>
    </w:p>
    <w:p w:rsidR="00966335" w:rsidRPr="001A0CD7" w:rsidRDefault="00966335" w:rsidP="00966335">
      <w:pPr>
        <w:rPr>
          <w:color w:val="000000"/>
          <w:szCs w:val="22"/>
        </w:rPr>
      </w:pPr>
    </w:p>
    <w:p w:rsidR="00966335" w:rsidRPr="001A0CD7" w:rsidRDefault="00966335" w:rsidP="001A0CD7">
      <w:pPr>
        <w:pStyle w:val="DecisionInvitingPara"/>
        <w:tabs>
          <w:tab w:val="left" w:pos="6096"/>
        </w:tabs>
        <w:rPr>
          <w:rFonts w:cs="Arial"/>
          <w:sz w:val="22"/>
          <w:szCs w:val="22"/>
          <w:lang w:val="es-ES"/>
        </w:rPr>
      </w:pPr>
      <w:r w:rsidRPr="001A0CD7">
        <w:rPr>
          <w:sz w:val="22"/>
          <w:szCs w:val="22"/>
          <w:lang w:val="es-ES"/>
        </w:rPr>
        <w:t>3.</w:t>
      </w:r>
      <w:r w:rsidRPr="001A0CD7">
        <w:rPr>
          <w:sz w:val="22"/>
          <w:szCs w:val="22"/>
          <w:lang w:val="es-ES"/>
        </w:rPr>
        <w:tab/>
      </w:r>
      <w:r w:rsidR="001A0CD7" w:rsidRPr="001A0CD7">
        <w:rPr>
          <w:sz w:val="22"/>
          <w:szCs w:val="22"/>
          <w:lang w:val="es-ES"/>
        </w:rPr>
        <w:t xml:space="preserve">Tras revisar el detallado Informe sobre el rendimiento de los programas (PPR) </w:t>
      </w:r>
      <w:r w:rsidRPr="001A0CD7">
        <w:rPr>
          <w:sz w:val="22"/>
          <w:szCs w:val="22"/>
          <w:lang w:val="es-ES"/>
        </w:rPr>
        <w:t>(document</w:t>
      </w:r>
      <w:r w:rsidR="001A0CD7" w:rsidRPr="001A0CD7">
        <w:rPr>
          <w:sz w:val="22"/>
          <w:szCs w:val="22"/>
          <w:lang w:val="es-ES"/>
        </w:rPr>
        <w:t>o</w:t>
      </w:r>
      <w:r w:rsidRPr="001A0CD7">
        <w:rPr>
          <w:sz w:val="22"/>
          <w:szCs w:val="22"/>
          <w:lang w:val="es-ES"/>
        </w:rPr>
        <w:t xml:space="preserve"> WO/PBC/25/7), </w:t>
      </w:r>
      <w:r w:rsidR="001A0CD7" w:rsidRPr="001A0CD7">
        <w:rPr>
          <w:sz w:val="22"/>
          <w:szCs w:val="22"/>
          <w:lang w:val="es-ES"/>
        </w:rPr>
        <w:t xml:space="preserve">y </w:t>
      </w:r>
      <w:r w:rsidR="00534A9F">
        <w:rPr>
          <w:sz w:val="22"/>
          <w:szCs w:val="22"/>
          <w:lang w:val="es-ES"/>
        </w:rPr>
        <w:t>observar</w:t>
      </w:r>
      <w:r w:rsidR="001A0CD7" w:rsidRPr="001A0CD7">
        <w:rPr>
          <w:sz w:val="22"/>
          <w:szCs w:val="22"/>
          <w:lang w:val="es-ES"/>
        </w:rPr>
        <w:t xml:space="preserve"> que constituye una autoevaluación por parte de la Secretaría, el Comité del Programa y Presupuesto (PBC) recomienda que las Asambleas de los Estados miembros de la OMPI reconozcan </w:t>
      </w:r>
      <w:r w:rsidR="00230C85">
        <w:rPr>
          <w:sz w:val="22"/>
          <w:szCs w:val="22"/>
          <w:lang w:val="es-ES"/>
        </w:rPr>
        <w:t>el aporte realizado por los programas en</w:t>
      </w:r>
      <w:r w:rsidRPr="001A0CD7">
        <w:rPr>
          <w:rFonts w:cs="Arial"/>
          <w:sz w:val="22"/>
          <w:szCs w:val="22"/>
          <w:lang w:val="es-ES"/>
        </w:rPr>
        <w:t xml:space="preserve"> 2014/15 </w:t>
      </w:r>
      <w:r w:rsidR="00230C85">
        <w:rPr>
          <w:rFonts w:cs="Arial"/>
          <w:sz w:val="22"/>
          <w:szCs w:val="22"/>
          <w:lang w:val="es-ES"/>
        </w:rPr>
        <w:t>al logro de los resultados previstos</w:t>
      </w:r>
      <w:r w:rsidRPr="001A0CD7">
        <w:rPr>
          <w:rFonts w:cs="Arial"/>
          <w:sz w:val="22"/>
          <w:szCs w:val="22"/>
          <w:lang w:val="es-ES"/>
        </w:rPr>
        <w:t xml:space="preserve">. </w:t>
      </w:r>
    </w:p>
    <w:p w:rsidR="00966335" w:rsidRPr="001A0CD7" w:rsidRDefault="00966335" w:rsidP="00FD124C">
      <w:pPr>
        <w:pStyle w:val="DecisionInvitingPara"/>
        <w:spacing w:after="0" w:line="240" w:lineRule="auto"/>
        <w:ind w:left="6237" w:hanging="703"/>
        <w:rPr>
          <w:sz w:val="22"/>
          <w:szCs w:val="22"/>
          <w:lang w:val="es-ES"/>
        </w:rPr>
      </w:pPr>
    </w:p>
    <w:p w:rsidR="001E561A" w:rsidRPr="001A0CD7" w:rsidRDefault="001E561A" w:rsidP="00FD124C">
      <w:pPr>
        <w:pStyle w:val="DecisionInvitingPara"/>
        <w:spacing w:after="0" w:line="240" w:lineRule="auto"/>
        <w:ind w:left="6237" w:hanging="703"/>
        <w:rPr>
          <w:sz w:val="22"/>
          <w:szCs w:val="22"/>
          <w:lang w:val="es-ES"/>
        </w:rPr>
      </w:pPr>
    </w:p>
    <w:p w:rsidR="00152CEA" w:rsidRPr="00230C85" w:rsidRDefault="00966335" w:rsidP="00FD124C">
      <w:pPr>
        <w:pStyle w:val="DecisionInvitingPara"/>
        <w:spacing w:after="0" w:line="240" w:lineRule="auto"/>
        <w:ind w:left="5529"/>
        <w:rPr>
          <w:i w:val="0"/>
          <w:iCs/>
          <w:sz w:val="22"/>
          <w:szCs w:val="22"/>
          <w:lang w:val="es-ES"/>
        </w:rPr>
      </w:pPr>
      <w:r w:rsidRPr="00230C85">
        <w:rPr>
          <w:i w:val="0"/>
          <w:iCs/>
          <w:sz w:val="22"/>
          <w:szCs w:val="22"/>
          <w:lang w:val="es-ES"/>
        </w:rPr>
        <w:t>[</w:t>
      </w:r>
      <w:r w:rsidR="00230C85" w:rsidRPr="00230C85">
        <w:rPr>
          <w:i w:val="0"/>
          <w:iCs/>
          <w:sz w:val="22"/>
          <w:szCs w:val="22"/>
          <w:lang w:val="es-ES"/>
        </w:rPr>
        <w:t xml:space="preserve">Sigue el Informe sobre el rendimiento de los programas en </w:t>
      </w:r>
      <w:r w:rsidRPr="00230C85">
        <w:rPr>
          <w:i w:val="0"/>
          <w:iCs/>
          <w:sz w:val="22"/>
          <w:szCs w:val="22"/>
          <w:lang w:val="es-ES"/>
        </w:rPr>
        <w:t>2014/15]</w:t>
      </w:r>
    </w:p>
    <w:p w:rsidR="00FD124C" w:rsidRPr="00230C85" w:rsidRDefault="00FD124C" w:rsidP="00B26D73"/>
    <w:p w:rsidR="00B26D73" w:rsidRPr="00230C85" w:rsidRDefault="00B26D73" w:rsidP="00B26D73"/>
    <w:p w:rsidR="00B26D73" w:rsidRPr="00230C85" w:rsidRDefault="00B26D73" w:rsidP="00B26D73"/>
    <w:p w:rsidR="00B26D73" w:rsidRPr="00230C85" w:rsidRDefault="00B26D73" w:rsidP="00B26D73"/>
    <w:p w:rsidR="00B26D73" w:rsidRPr="00230C85" w:rsidRDefault="00B26D73" w:rsidP="00B26D73"/>
    <w:p w:rsidR="00B26D73" w:rsidRPr="00230C85" w:rsidRDefault="00B26D73" w:rsidP="00B26D73"/>
    <w:p w:rsidR="00B26D73" w:rsidRPr="00230C85" w:rsidRDefault="00B26D73" w:rsidP="00B26D73">
      <w:pPr>
        <w:sectPr w:rsidR="00B26D73" w:rsidRPr="00230C85" w:rsidSect="00020713">
          <w:headerReference w:type="even" r:id="rId10"/>
          <w:headerReference w:type="default" r:id="rId11"/>
          <w:footerReference w:type="default" r:id="rId12"/>
          <w:pgSz w:w="11907" w:h="16840" w:code="9"/>
          <w:pgMar w:top="425" w:right="1134" w:bottom="1418" w:left="1418" w:header="510" w:footer="1021" w:gutter="0"/>
          <w:cols w:space="720"/>
          <w:titlePg/>
          <w:docGrid w:linePitch="299"/>
        </w:sectPr>
      </w:pPr>
    </w:p>
    <w:p w:rsidR="00B26D73" w:rsidRPr="00553792" w:rsidRDefault="00553792" w:rsidP="00B26D73">
      <w:pPr>
        <w:pStyle w:val="ONUMFS"/>
        <w:numPr>
          <w:ilvl w:val="0"/>
          <w:numId w:val="0"/>
        </w:numPr>
        <w:jc w:val="center"/>
        <w:rPr>
          <w:b/>
        </w:rPr>
      </w:pPr>
      <w:r w:rsidRPr="00553792">
        <w:rPr>
          <w:b/>
          <w:caps/>
          <w:sz w:val="24"/>
        </w:rPr>
        <w:lastRenderedPageBreak/>
        <w:t>Informe sobre el rendimiento de los programas en 2014/15</w:t>
      </w:r>
    </w:p>
    <w:p w:rsidR="00B26D73" w:rsidRPr="00553792" w:rsidRDefault="00B26D73" w:rsidP="00B26D73">
      <w:pPr>
        <w:rPr>
          <w:rFonts w:asciiTheme="majorHAnsi" w:eastAsiaTheme="majorEastAsia" w:hAnsiTheme="majorHAnsi" w:cstheme="majorBidi"/>
          <w:b/>
          <w:bCs/>
          <w:szCs w:val="28"/>
          <w:lang w:eastAsia="ja-JP"/>
        </w:rPr>
      </w:pPr>
    </w:p>
    <w:p w:rsidR="00B26D73" w:rsidRPr="00B26D73" w:rsidRDefault="00B26D73" w:rsidP="00B26D73">
      <w:pPr>
        <w:jc w:val="center"/>
        <w:rPr>
          <w:rFonts w:eastAsiaTheme="majorEastAsia"/>
          <w:bCs/>
          <w:szCs w:val="28"/>
          <w:lang w:val="en-US" w:eastAsia="ja-JP"/>
        </w:rPr>
      </w:pPr>
      <w:r>
        <w:rPr>
          <w:rFonts w:eastAsiaTheme="majorEastAsia"/>
          <w:bCs/>
          <w:szCs w:val="28"/>
          <w:lang w:val="en-US" w:eastAsia="ja-JP"/>
        </w:rPr>
        <w:t>ÍNDICE</w:t>
      </w:r>
    </w:p>
    <w:p w:rsidR="00B26D73" w:rsidRDefault="00B26D73" w:rsidP="00B26D73">
      <w:pPr>
        <w:rPr>
          <w:lang w:val="en-US"/>
        </w:rPr>
      </w:pPr>
    </w:p>
    <w:sdt>
      <w:sdtPr>
        <w:rPr>
          <w:rFonts w:ascii="Arial" w:eastAsia="SimSun" w:hAnsi="Arial" w:cs="Arial"/>
          <w:b w:val="0"/>
          <w:bCs w:val="0"/>
          <w:color w:val="auto"/>
          <w:sz w:val="20"/>
          <w:szCs w:val="20"/>
          <w:lang w:val="es-ES" w:eastAsia="zh-CN"/>
        </w:rPr>
        <w:id w:val="2048409137"/>
        <w:docPartObj>
          <w:docPartGallery w:val="Table of Contents"/>
          <w:docPartUnique/>
        </w:docPartObj>
      </w:sdtPr>
      <w:sdtEndPr>
        <w:rPr>
          <w:noProof/>
          <w:sz w:val="22"/>
        </w:rPr>
      </w:sdtEndPr>
      <w:sdtContent>
        <w:p w:rsidR="00211983" w:rsidRPr="00211983" w:rsidRDefault="00211983" w:rsidP="00211983">
          <w:pPr>
            <w:pStyle w:val="TOCHeading"/>
            <w:numPr>
              <w:ilvl w:val="0"/>
              <w:numId w:val="0"/>
            </w:numPr>
            <w:spacing w:before="0" w:line="240" w:lineRule="auto"/>
            <w:ind w:left="720" w:hanging="720"/>
            <w:rPr>
              <w:rFonts w:ascii="Arial" w:hAnsi="Arial" w:cs="Arial"/>
              <w:color w:val="auto"/>
              <w:sz w:val="20"/>
              <w:szCs w:val="20"/>
            </w:rPr>
          </w:pPr>
        </w:p>
        <w:p w:rsidR="00211983" w:rsidRPr="00211983" w:rsidRDefault="00211983" w:rsidP="00211983">
          <w:pPr>
            <w:pStyle w:val="TOC1"/>
            <w:rPr>
              <w:rFonts w:eastAsiaTheme="minorEastAsia" w:cstheme="minorBidi"/>
              <w:b/>
            </w:rPr>
          </w:pPr>
          <w:r w:rsidRPr="00211983">
            <w:fldChar w:fldCharType="begin"/>
          </w:r>
          <w:r w:rsidRPr="00211983">
            <w:instrText xml:space="preserve"> TOC \o "1-3" \h \z \u </w:instrText>
          </w:r>
          <w:r w:rsidRPr="00211983">
            <w:fldChar w:fldCharType="separate"/>
          </w:r>
          <w:hyperlink w:anchor="_Toc455159063" w:history="1">
            <w:r w:rsidRPr="00211983">
              <w:rPr>
                <w:rStyle w:val="Hyperlink"/>
                <w:b/>
              </w:rPr>
              <w:t>I.</w:t>
            </w:r>
            <w:r w:rsidRPr="00211983">
              <w:rPr>
                <w:rFonts w:eastAsiaTheme="minorEastAsia" w:cstheme="minorBidi"/>
                <w:b/>
              </w:rPr>
              <w:tab/>
            </w:r>
            <w:r w:rsidRPr="00211983">
              <w:rPr>
                <w:rStyle w:val="Hyperlink"/>
                <w:b/>
              </w:rPr>
              <w:t>INTRODUCCIÓN</w:t>
            </w:r>
            <w:r w:rsidRPr="00211983">
              <w:rPr>
                <w:b/>
                <w:webHidden/>
              </w:rPr>
              <w:tab/>
            </w:r>
            <w:r w:rsidRPr="00211983">
              <w:rPr>
                <w:b/>
                <w:webHidden/>
              </w:rPr>
              <w:fldChar w:fldCharType="begin"/>
            </w:r>
            <w:r w:rsidRPr="00211983">
              <w:rPr>
                <w:b/>
                <w:webHidden/>
              </w:rPr>
              <w:instrText xml:space="preserve"> PAGEREF _Toc455159063 \h </w:instrText>
            </w:r>
            <w:r w:rsidRPr="00211983">
              <w:rPr>
                <w:b/>
                <w:webHidden/>
              </w:rPr>
            </w:r>
            <w:r w:rsidRPr="00211983">
              <w:rPr>
                <w:b/>
                <w:webHidden/>
              </w:rPr>
              <w:fldChar w:fldCharType="separate"/>
            </w:r>
            <w:r w:rsidR="00F80D4E">
              <w:rPr>
                <w:b/>
                <w:webHidden/>
              </w:rPr>
              <w:t>3</w:t>
            </w:r>
            <w:r w:rsidRPr="00211983">
              <w:rPr>
                <w:b/>
                <w:webHidden/>
              </w:rPr>
              <w:fldChar w:fldCharType="end"/>
            </w:r>
          </w:hyperlink>
        </w:p>
        <w:p w:rsidR="00211983" w:rsidRPr="00211983" w:rsidRDefault="00F80D4E" w:rsidP="00211983">
          <w:pPr>
            <w:pStyle w:val="TOC1"/>
            <w:rPr>
              <w:rFonts w:eastAsiaTheme="minorEastAsia" w:cstheme="minorBidi"/>
              <w:b/>
            </w:rPr>
          </w:pPr>
          <w:hyperlink w:anchor="_Toc455159064" w:history="1">
            <w:r w:rsidR="00211983" w:rsidRPr="00211983">
              <w:rPr>
                <w:rStyle w:val="Hyperlink"/>
                <w:b/>
              </w:rPr>
              <w:t>II.</w:t>
            </w:r>
            <w:r w:rsidR="00211983" w:rsidRPr="00211983">
              <w:rPr>
                <w:rFonts w:eastAsiaTheme="minorEastAsia" w:cstheme="minorBidi"/>
                <w:b/>
              </w:rPr>
              <w:tab/>
            </w:r>
            <w:r w:rsidR="00211983" w:rsidRPr="00211983">
              <w:rPr>
                <w:rStyle w:val="Hyperlink"/>
                <w:b/>
              </w:rPr>
              <w:t>RESUMEN DE LOS AVANCES LOGRADOS EN 2014/15</w:t>
            </w:r>
            <w:r w:rsidR="00211983" w:rsidRPr="00211983">
              <w:rPr>
                <w:b/>
                <w:webHidden/>
              </w:rPr>
              <w:tab/>
            </w:r>
            <w:r w:rsidR="00211983" w:rsidRPr="00211983">
              <w:rPr>
                <w:b/>
                <w:webHidden/>
              </w:rPr>
              <w:fldChar w:fldCharType="begin"/>
            </w:r>
            <w:r w:rsidR="00211983" w:rsidRPr="00211983">
              <w:rPr>
                <w:b/>
                <w:webHidden/>
              </w:rPr>
              <w:instrText xml:space="preserve"> PAGEREF _Toc455159064 \h </w:instrText>
            </w:r>
            <w:r w:rsidR="00211983" w:rsidRPr="00211983">
              <w:rPr>
                <w:b/>
                <w:webHidden/>
              </w:rPr>
            </w:r>
            <w:r w:rsidR="00211983" w:rsidRPr="00211983">
              <w:rPr>
                <w:b/>
                <w:webHidden/>
              </w:rPr>
              <w:fldChar w:fldCharType="separate"/>
            </w:r>
            <w:r>
              <w:rPr>
                <w:b/>
                <w:webHidden/>
              </w:rPr>
              <w:t>4</w:t>
            </w:r>
            <w:r w:rsidR="00211983" w:rsidRPr="00211983">
              <w:rPr>
                <w:b/>
                <w:webHidden/>
              </w:rPr>
              <w:fldChar w:fldCharType="end"/>
            </w:r>
          </w:hyperlink>
        </w:p>
        <w:p w:rsidR="00211983" w:rsidRPr="00211983" w:rsidRDefault="00F80D4E" w:rsidP="00211983">
          <w:pPr>
            <w:pStyle w:val="TOC1"/>
            <w:rPr>
              <w:rFonts w:eastAsiaTheme="minorEastAsia" w:cstheme="minorBidi"/>
              <w:b/>
            </w:rPr>
          </w:pPr>
          <w:hyperlink w:anchor="_Toc455159065" w:history="1">
            <w:r w:rsidR="00211983" w:rsidRPr="00211983">
              <w:rPr>
                <w:rStyle w:val="Hyperlink"/>
                <w:b/>
              </w:rPr>
              <w:t>III.</w:t>
            </w:r>
            <w:r w:rsidR="00211983" w:rsidRPr="00211983">
              <w:rPr>
                <w:rFonts w:eastAsiaTheme="minorEastAsia" w:cstheme="minorBidi"/>
                <w:b/>
              </w:rPr>
              <w:tab/>
            </w:r>
            <w:r w:rsidR="00211983" w:rsidRPr="00211983">
              <w:rPr>
                <w:rStyle w:val="Hyperlink"/>
                <w:b/>
              </w:rPr>
              <w:t>PRESUPUESTO CONSOLIDADO Y GASTO REAL DEL BIENIO 2014/15</w:t>
            </w:r>
            <w:r w:rsidR="00211983" w:rsidRPr="00211983">
              <w:rPr>
                <w:b/>
                <w:webHidden/>
              </w:rPr>
              <w:tab/>
            </w:r>
            <w:r w:rsidR="00211983" w:rsidRPr="00211983">
              <w:rPr>
                <w:b/>
                <w:webHidden/>
              </w:rPr>
              <w:fldChar w:fldCharType="begin"/>
            </w:r>
            <w:r w:rsidR="00211983" w:rsidRPr="00211983">
              <w:rPr>
                <w:b/>
                <w:webHidden/>
              </w:rPr>
              <w:instrText xml:space="preserve"> PAGEREF _Toc455159065 \h </w:instrText>
            </w:r>
            <w:r w:rsidR="00211983" w:rsidRPr="00211983">
              <w:rPr>
                <w:b/>
                <w:webHidden/>
              </w:rPr>
            </w:r>
            <w:r w:rsidR="00211983" w:rsidRPr="00211983">
              <w:rPr>
                <w:b/>
                <w:webHidden/>
              </w:rPr>
              <w:fldChar w:fldCharType="separate"/>
            </w:r>
            <w:r>
              <w:rPr>
                <w:b/>
                <w:webHidden/>
              </w:rPr>
              <w:t>24</w:t>
            </w:r>
            <w:r w:rsidR="00211983" w:rsidRPr="00211983">
              <w:rPr>
                <w:b/>
                <w:webHidden/>
              </w:rPr>
              <w:fldChar w:fldCharType="end"/>
            </w:r>
          </w:hyperlink>
        </w:p>
        <w:p w:rsidR="00211983" w:rsidRPr="00211983" w:rsidRDefault="00F80D4E" w:rsidP="00211983">
          <w:pPr>
            <w:pStyle w:val="TOC1"/>
            <w:rPr>
              <w:rFonts w:eastAsiaTheme="minorEastAsia" w:cstheme="minorBidi"/>
              <w:b/>
            </w:rPr>
          </w:pPr>
          <w:hyperlink w:anchor="_Toc455159066" w:history="1">
            <w:r w:rsidR="00211983" w:rsidRPr="00211983">
              <w:rPr>
                <w:rStyle w:val="Hyperlink"/>
                <w:b/>
              </w:rPr>
              <w:t>IV.</w:t>
            </w:r>
            <w:r w:rsidR="00211983" w:rsidRPr="00211983">
              <w:rPr>
                <w:rFonts w:eastAsiaTheme="minorEastAsia" w:cstheme="minorBidi"/>
                <w:b/>
              </w:rPr>
              <w:tab/>
            </w:r>
            <w:r w:rsidR="00211983" w:rsidRPr="00211983">
              <w:rPr>
                <w:rStyle w:val="Hyperlink"/>
                <w:b/>
              </w:rPr>
              <w:t>INFORME SOBRE LOS GASTOS EN DESARROLLO DURANTE EL BIENIO 2014/15</w:t>
            </w:r>
            <w:r w:rsidR="00211983" w:rsidRPr="00211983">
              <w:rPr>
                <w:b/>
                <w:webHidden/>
              </w:rPr>
              <w:tab/>
            </w:r>
            <w:r w:rsidR="00211983" w:rsidRPr="00211983">
              <w:rPr>
                <w:b/>
                <w:webHidden/>
              </w:rPr>
              <w:fldChar w:fldCharType="begin"/>
            </w:r>
            <w:r w:rsidR="00211983" w:rsidRPr="00211983">
              <w:rPr>
                <w:b/>
                <w:webHidden/>
              </w:rPr>
              <w:instrText xml:space="preserve"> PAGEREF _Toc455159066 \h </w:instrText>
            </w:r>
            <w:r w:rsidR="00211983" w:rsidRPr="00211983">
              <w:rPr>
                <w:b/>
                <w:webHidden/>
              </w:rPr>
            </w:r>
            <w:r w:rsidR="00211983" w:rsidRPr="00211983">
              <w:rPr>
                <w:b/>
                <w:webHidden/>
              </w:rPr>
              <w:fldChar w:fldCharType="separate"/>
            </w:r>
            <w:r>
              <w:rPr>
                <w:b/>
                <w:webHidden/>
              </w:rPr>
              <w:t>26</w:t>
            </w:r>
            <w:r w:rsidR="00211983" w:rsidRPr="00211983">
              <w:rPr>
                <w:b/>
                <w:webHidden/>
              </w:rPr>
              <w:fldChar w:fldCharType="end"/>
            </w:r>
          </w:hyperlink>
        </w:p>
        <w:p w:rsidR="00211983" w:rsidRPr="00211983" w:rsidRDefault="00F80D4E" w:rsidP="00211983">
          <w:pPr>
            <w:pStyle w:val="TOC1"/>
            <w:rPr>
              <w:rFonts w:eastAsiaTheme="minorEastAsia" w:cstheme="minorBidi"/>
              <w:b/>
            </w:rPr>
          </w:pPr>
          <w:hyperlink w:anchor="_Toc455159067" w:history="1">
            <w:r w:rsidR="00211983" w:rsidRPr="00211983">
              <w:rPr>
                <w:rStyle w:val="Hyperlink"/>
                <w:b/>
              </w:rPr>
              <w:t>V.</w:t>
            </w:r>
            <w:r w:rsidR="00211983" w:rsidRPr="00211983">
              <w:rPr>
                <w:rFonts w:eastAsiaTheme="minorEastAsia" w:cstheme="minorBidi"/>
                <w:b/>
              </w:rPr>
              <w:tab/>
            </w:r>
            <w:r w:rsidR="00211983" w:rsidRPr="00211983">
              <w:rPr>
                <w:rStyle w:val="Hyperlink"/>
                <w:b/>
              </w:rPr>
              <w:t>INFORME SOBRE LA APLICACIÓN DE LAS MEDIDAS DESTINADAS A FOMENTAR LA EFICACIA EN FUNCIÓN DE LOS COSTOS EN EL BIENIO 2014/15</w:t>
            </w:r>
            <w:r w:rsidR="00211983" w:rsidRPr="00211983">
              <w:rPr>
                <w:b/>
                <w:webHidden/>
              </w:rPr>
              <w:tab/>
            </w:r>
            <w:r w:rsidR="00211983" w:rsidRPr="00211983">
              <w:rPr>
                <w:b/>
                <w:webHidden/>
              </w:rPr>
              <w:fldChar w:fldCharType="begin"/>
            </w:r>
            <w:r w:rsidR="00211983" w:rsidRPr="00211983">
              <w:rPr>
                <w:b/>
                <w:webHidden/>
              </w:rPr>
              <w:instrText xml:space="preserve"> PAGEREF _Toc455159067 \h </w:instrText>
            </w:r>
            <w:r w:rsidR="00211983" w:rsidRPr="00211983">
              <w:rPr>
                <w:b/>
                <w:webHidden/>
              </w:rPr>
            </w:r>
            <w:r w:rsidR="00211983" w:rsidRPr="00211983">
              <w:rPr>
                <w:b/>
                <w:webHidden/>
              </w:rPr>
              <w:fldChar w:fldCharType="separate"/>
            </w:r>
            <w:r>
              <w:rPr>
                <w:b/>
                <w:webHidden/>
              </w:rPr>
              <w:t>29</w:t>
            </w:r>
            <w:r w:rsidR="00211983" w:rsidRPr="00211983">
              <w:rPr>
                <w:b/>
                <w:webHidden/>
              </w:rPr>
              <w:fldChar w:fldCharType="end"/>
            </w:r>
          </w:hyperlink>
        </w:p>
        <w:p w:rsidR="00211983" w:rsidRPr="00211983" w:rsidRDefault="00F80D4E" w:rsidP="00211983">
          <w:pPr>
            <w:pStyle w:val="TOC1"/>
            <w:rPr>
              <w:rFonts w:eastAsiaTheme="minorEastAsia" w:cstheme="minorBidi"/>
              <w:b/>
            </w:rPr>
          </w:pPr>
          <w:hyperlink w:anchor="_Toc455159068" w:history="1">
            <w:r w:rsidR="00211983" w:rsidRPr="00211983">
              <w:rPr>
                <w:rStyle w:val="Hyperlink"/>
                <w:b/>
              </w:rPr>
              <w:t>VI.</w:t>
            </w:r>
            <w:r w:rsidR="00211983" w:rsidRPr="00211983">
              <w:rPr>
                <w:rFonts w:eastAsiaTheme="minorEastAsia" w:cstheme="minorBidi"/>
                <w:b/>
              </w:rPr>
              <w:tab/>
            </w:r>
            <w:r w:rsidR="00211983" w:rsidRPr="00211983">
              <w:rPr>
                <w:rStyle w:val="Hyperlink"/>
                <w:b/>
              </w:rPr>
              <w:t>LOGROS DE LOS PROGRAMAS EN 2014/15 POR META ESTRATÉGICA</w:t>
            </w:r>
            <w:r w:rsidR="00211983" w:rsidRPr="00211983">
              <w:rPr>
                <w:b/>
                <w:webHidden/>
              </w:rPr>
              <w:tab/>
            </w:r>
            <w:r w:rsidR="00211983" w:rsidRPr="00211983">
              <w:rPr>
                <w:b/>
                <w:webHidden/>
              </w:rPr>
              <w:fldChar w:fldCharType="begin"/>
            </w:r>
            <w:r w:rsidR="00211983" w:rsidRPr="00211983">
              <w:rPr>
                <w:b/>
                <w:webHidden/>
              </w:rPr>
              <w:instrText xml:space="preserve"> PAGEREF _Toc455159068 \h </w:instrText>
            </w:r>
            <w:r w:rsidR="00211983" w:rsidRPr="00211983">
              <w:rPr>
                <w:b/>
                <w:webHidden/>
              </w:rPr>
            </w:r>
            <w:r w:rsidR="00211983" w:rsidRPr="00211983">
              <w:rPr>
                <w:b/>
                <w:webHidden/>
              </w:rPr>
              <w:fldChar w:fldCharType="separate"/>
            </w:r>
            <w:r>
              <w:rPr>
                <w:b/>
                <w:webHidden/>
              </w:rPr>
              <w:t>36</w:t>
            </w:r>
            <w:r w:rsidR="00211983" w:rsidRPr="00211983">
              <w:rPr>
                <w:b/>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69" w:history="1">
            <w:r w:rsidR="00211983" w:rsidRPr="00211983">
              <w:rPr>
                <w:rStyle w:val="Hyperlink"/>
                <w:rFonts w:ascii="Arial" w:hAnsi="Arial"/>
                <w:noProof/>
                <w:lang w:val="es-ES"/>
              </w:rPr>
              <w:t>META ESTRATÉGICA 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_Toc455159069 \h </w:instrText>
            </w:r>
            <w:r w:rsidR="00211983" w:rsidRPr="00211983">
              <w:rPr>
                <w:noProof/>
                <w:webHidden/>
              </w:rPr>
            </w:r>
            <w:r w:rsidR="00211983" w:rsidRPr="00211983">
              <w:rPr>
                <w:noProof/>
                <w:webHidden/>
              </w:rPr>
              <w:fldChar w:fldCharType="separate"/>
            </w:r>
            <w:r>
              <w:rPr>
                <w:noProof/>
                <w:webHidden/>
              </w:rPr>
              <w:t>36</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70" w:history="1">
            <w:r w:rsidR="00211983" w:rsidRPr="00211983">
              <w:rPr>
                <w:rStyle w:val="Hyperlink"/>
                <w:noProof/>
              </w:rPr>
              <w:t>PROGRAMA 1</w:t>
            </w:r>
            <w:r w:rsidR="00211983" w:rsidRPr="00211983">
              <w:rPr>
                <w:rFonts w:eastAsiaTheme="minorEastAsia" w:cstheme="minorBidi"/>
                <w:noProof/>
                <w:sz w:val="22"/>
                <w:szCs w:val="22"/>
              </w:rPr>
              <w:tab/>
            </w:r>
            <w:r w:rsidR="00211983" w:rsidRPr="00211983">
              <w:rPr>
                <w:rStyle w:val="Hyperlink"/>
                <w:noProof/>
              </w:rPr>
              <w:t>DERECHO DE PATENTES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_Toc455159070 \h </w:instrText>
            </w:r>
            <w:r w:rsidR="00211983" w:rsidRPr="00211983">
              <w:rPr>
                <w:noProof/>
                <w:webHidden/>
              </w:rPr>
            </w:r>
            <w:r w:rsidR="00211983" w:rsidRPr="00211983">
              <w:rPr>
                <w:noProof/>
                <w:webHidden/>
              </w:rPr>
              <w:fldChar w:fldCharType="separate"/>
            </w:r>
            <w:r>
              <w:rPr>
                <w:noProof/>
                <w:webHidden/>
              </w:rPr>
              <w:t>38</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71" w:history="1">
            <w:r w:rsidR="00211983">
              <w:rPr>
                <w:rStyle w:val="Hyperlink"/>
                <w:noProof/>
              </w:rPr>
              <w:t>PROGRAMA </w:t>
            </w:r>
            <w:r w:rsidR="00211983" w:rsidRPr="00211983">
              <w:rPr>
                <w:rStyle w:val="Hyperlink"/>
                <w:noProof/>
              </w:rPr>
              <w:t>2</w:t>
            </w:r>
            <w:r w:rsidR="00211983" w:rsidRPr="00211983">
              <w:rPr>
                <w:rFonts w:eastAsiaTheme="minorEastAsia" w:cstheme="minorBidi"/>
                <w:noProof/>
                <w:sz w:val="22"/>
                <w:szCs w:val="22"/>
              </w:rPr>
              <w:tab/>
            </w:r>
            <w:r w:rsidR="00211983" w:rsidRPr="00211983">
              <w:rPr>
                <w:rStyle w:val="Hyperlink"/>
                <w:noProof/>
              </w:rPr>
              <w:t>MARCAS, DISEÑOS INDUSTRIALES E INDICACIONES GEOGRÁFICAS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_Toc455159071 \h </w:instrText>
            </w:r>
            <w:r w:rsidR="00211983" w:rsidRPr="00211983">
              <w:rPr>
                <w:noProof/>
                <w:webHidden/>
              </w:rPr>
            </w:r>
            <w:r w:rsidR="00211983" w:rsidRPr="00211983">
              <w:rPr>
                <w:noProof/>
                <w:webHidden/>
              </w:rPr>
              <w:fldChar w:fldCharType="separate"/>
            </w:r>
            <w:r>
              <w:rPr>
                <w:noProof/>
                <w:webHidden/>
              </w:rPr>
              <w:t>42</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72" w:history="1">
            <w:r w:rsidR="00211983" w:rsidRPr="00211983">
              <w:rPr>
                <w:rStyle w:val="Hyperlink"/>
                <w:noProof/>
              </w:rPr>
              <w:t>PROGRAMA 3</w:t>
            </w:r>
            <w:r w:rsidR="00211983" w:rsidRPr="00211983">
              <w:rPr>
                <w:rFonts w:eastAsiaTheme="minorEastAsia" w:cstheme="minorBidi"/>
                <w:noProof/>
                <w:sz w:val="22"/>
                <w:szCs w:val="22"/>
              </w:rPr>
              <w:tab/>
            </w:r>
            <w:r w:rsidR="00211983" w:rsidRPr="00211983">
              <w:rPr>
                <w:rStyle w:val="Hyperlink"/>
                <w:noProof/>
              </w:rPr>
              <w:t>DERECHO DE AUTOR Y DERECHOS CONEXOS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_Toc455159072 \h </w:instrText>
            </w:r>
            <w:r w:rsidR="00211983" w:rsidRPr="00211983">
              <w:rPr>
                <w:noProof/>
                <w:webHidden/>
              </w:rPr>
            </w:r>
            <w:r w:rsidR="00211983" w:rsidRPr="00211983">
              <w:rPr>
                <w:noProof/>
                <w:webHidden/>
              </w:rPr>
              <w:fldChar w:fldCharType="separate"/>
            </w:r>
            <w:r>
              <w:rPr>
                <w:noProof/>
                <w:webHidden/>
              </w:rPr>
              <w:t>47</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73" w:history="1">
            <w:r w:rsidR="00211983" w:rsidRPr="00211983">
              <w:rPr>
                <w:rStyle w:val="Hyperlink"/>
                <w:noProof/>
              </w:rPr>
              <w:t>PROGRAMA 4</w:t>
            </w:r>
            <w:r w:rsidR="00211983" w:rsidRPr="00211983">
              <w:rPr>
                <w:rFonts w:eastAsiaTheme="minorEastAsia" w:cstheme="minorBidi"/>
                <w:noProof/>
                <w:sz w:val="22"/>
                <w:szCs w:val="22"/>
              </w:rPr>
              <w:tab/>
            </w:r>
            <w:r w:rsidR="00211983" w:rsidRPr="00211983">
              <w:rPr>
                <w:rStyle w:val="Hyperlink"/>
                <w:noProof/>
              </w:rPr>
              <w:t>CONOCIMIENTOS TRADICIONALES, EXPRESIONES CULTURALES TRADICIONALES Y RECURSOS GENÉTICOS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_Toc455159073 \h </w:instrText>
            </w:r>
            <w:r w:rsidR="00211983" w:rsidRPr="00211983">
              <w:rPr>
                <w:noProof/>
                <w:webHidden/>
              </w:rPr>
            </w:r>
            <w:r w:rsidR="00211983" w:rsidRPr="00211983">
              <w:rPr>
                <w:noProof/>
                <w:webHidden/>
              </w:rPr>
              <w:fldChar w:fldCharType="separate"/>
            </w:r>
            <w:r>
              <w:rPr>
                <w:noProof/>
                <w:webHidden/>
              </w:rPr>
              <w:t>57</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74" w:history="1">
            <w:r w:rsidR="00211983" w:rsidRPr="00211983">
              <w:rPr>
                <w:rStyle w:val="Hyperlink"/>
                <w:rFonts w:ascii="Arial" w:hAnsi="Arial"/>
                <w:noProof/>
                <w:lang w:val="es-ES_tradnl"/>
              </w:rPr>
              <w:t>META ESTRATÉGICA II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_Toc455159074 \h </w:instrText>
            </w:r>
            <w:r w:rsidR="00211983" w:rsidRPr="00211983">
              <w:rPr>
                <w:noProof/>
                <w:webHidden/>
              </w:rPr>
            </w:r>
            <w:r w:rsidR="00211983" w:rsidRPr="00211983">
              <w:rPr>
                <w:noProof/>
                <w:webHidden/>
              </w:rPr>
              <w:fldChar w:fldCharType="separate"/>
            </w:r>
            <w:r>
              <w:rPr>
                <w:noProof/>
                <w:webHidden/>
              </w:rPr>
              <w:t>61</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75" w:history="1">
            <w:r w:rsidR="00211983" w:rsidRPr="00211983">
              <w:rPr>
                <w:rStyle w:val="Hyperlink"/>
                <w:noProof/>
              </w:rPr>
              <w:t>PROGRAMA 5</w:t>
            </w:r>
            <w:r w:rsidR="00211983" w:rsidRPr="00211983">
              <w:rPr>
                <w:rFonts w:eastAsiaTheme="minorEastAsia" w:cstheme="minorBidi"/>
                <w:noProof/>
                <w:sz w:val="22"/>
                <w:szCs w:val="22"/>
              </w:rPr>
              <w:tab/>
            </w:r>
            <w:r w:rsidR="00211983" w:rsidRPr="00211983">
              <w:rPr>
                <w:rStyle w:val="Hyperlink"/>
                <w:noProof/>
              </w:rPr>
              <w:t>SISTEMA DEL PCT</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_Toc455159075 \h </w:instrText>
            </w:r>
            <w:r w:rsidR="00211983" w:rsidRPr="00211983">
              <w:rPr>
                <w:noProof/>
                <w:webHidden/>
              </w:rPr>
            </w:r>
            <w:r w:rsidR="00211983" w:rsidRPr="00211983">
              <w:rPr>
                <w:noProof/>
                <w:webHidden/>
              </w:rPr>
              <w:fldChar w:fldCharType="separate"/>
            </w:r>
            <w:r>
              <w:rPr>
                <w:noProof/>
                <w:webHidden/>
              </w:rPr>
              <w:t>65</w:t>
            </w:r>
            <w:r w:rsidR="00211983" w:rsidRPr="00211983">
              <w:rPr>
                <w:noProof/>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076" w:history="1">
            <w:r w:rsidR="00211983" w:rsidRPr="00211983">
              <w:rPr>
                <w:rStyle w:val="Hyperlink"/>
                <w:lang w:val="es-ES"/>
              </w:rPr>
              <w:t>Programa</w:t>
            </w:r>
            <w:r w:rsidR="00211983">
              <w:rPr>
                <w:rStyle w:val="Hyperlink"/>
                <w:lang w:val="es-ES"/>
              </w:rPr>
              <w:t> </w:t>
            </w:r>
            <w:r w:rsidR="00211983" w:rsidRPr="00211983">
              <w:rPr>
                <w:rStyle w:val="Hyperlink"/>
                <w:lang w:val="es-ES"/>
              </w:rPr>
              <w:t>5</w:t>
            </w:r>
            <w:r w:rsidR="00211983">
              <w:rPr>
                <w:rStyle w:val="Hyperlink"/>
                <w:lang w:val="es-ES"/>
              </w:rPr>
              <w:t>,</w:t>
            </w:r>
            <w:r w:rsidR="00211983" w:rsidRPr="00211983">
              <w:rPr>
                <w:rStyle w:val="Hyperlink"/>
                <w:lang w:val="es-ES"/>
              </w:rPr>
              <w:t xml:space="preserve"> Anexo:  Indicadores de las operaciones del PCT</w:t>
            </w:r>
            <w:r w:rsidR="00211983" w:rsidRPr="00211983">
              <w:rPr>
                <w:webHidden/>
              </w:rPr>
              <w:tab/>
            </w:r>
            <w:r w:rsidR="00211983" w:rsidRPr="00211983">
              <w:rPr>
                <w:webHidden/>
              </w:rPr>
              <w:fldChar w:fldCharType="begin"/>
            </w:r>
            <w:r w:rsidR="00211983" w:rsidRPr="00211983">
              <w:rPr>
                <w:webHidden/>
              </w:rPr>
              <w:instrText xml:space="preserve"> PAGEREF _Toc455159076 \h </w:instrText>
            </w:r>
            <w:r w:rsidR="00211983" w:rsidRPr="00211983">
              <w:rPr>
                <w:webHidden/>
              </w:rPr>
            </w:r>
            <w:r w:rsidR="00211983" w:rsidRPr="00211983">
              <w:rPr>
                <w:webHidden/>
              </w:rPr>
              <w:fldChar w:fldCharType="separate"/>
            </w:r>
            <w:r>
              <w:rPr>
                <w:webHidden/>
              </w:rPr>
              <w:t>72</w:t>
            </w:r>
            <w:r w:rsidR="00211983" w:rsidRPr="00211983">
              <w:rPr>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77" w:history="1">
            <w:r w:rsidR="00211983" w:rsidRPr="00211983">
              <w:rPr>
                <w:rStyle w:val="Hyperlink"/>
                <w:noProof/>
              </w:rPr>
              <w:t>PROGRAMA</w:t>
            </w:r>
            <w:r w:rsidR="00211983">
              <w:rPr>
                <w:rStyle w:val="Hyperlink"/>
                <w:noProof/>
              </w:rPr>
              <w:t> </w:t>
            </w:r>
            <w:r w:rsidR="00211983" w:rsidRPr="00211983">
              <w:rPr>
                <w:rStyle w:val="Hyperlink"/>
                <w:noProof/>
              </w:rPr>
              <w:t>6</w:t>
            </w:r>
            <w:r w:rsidR="00211983" w:rsidRPr="00211983">
              <w:rPr>
                <w:rFonts w:eastAsiaTheme="minorEastAsia" w:cstheme="minorBidi"/>
                <w:noProof/>
                <w:sz w:val="22"/>
                <w:szCs w:val="22"/>
              </w:rPr>
              <w:tab/>
            </w:r>
            <w:r w:rsidR="00211983" w:rsidRPr="00211983">
              <w:rPr>
                <w:rStyle w:val="Hyperlink"/>
                <w:noProof/>
              </w:rPr>
              <w:t>LOS SISTEMAS DE MADRID Y DE LISBOA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_Toc455159077 \h </w:instrText>
            </w:r>
            <w:r w:rsidR="00211983" w:rsidRPr="00211983">
              <w:rPr>
                <w:noProof/>
                <w:webHidden/>
              </w:rPr>
            </w:r>
            <w:r w:rsidR="00211983" w:rsidRPr="00211983">
              <w:rPr>
                <w:noProof/>
                <w:webHidden/>
              </w:rPr>
              <w:fldChar w:fldCharType="separate"/>
            </w:r>
            <w:r>
              <w:rPr>
                <w:noProof/>
                <w:webHidden/>
              </w:rPr>
              <w:t>84</w:t>
            </w:r>
            <w:r w:rsidR="00211983" w:rsidRPr="00211983">
              <w:rPr>
                <w:noProof/>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078" w:history="1">
            <w:r w:rsidR="00211983" w:rsidRPr="00211983">
              <w:rPr>
                <w:rStyle w:val="Hyperlink"/>
                <w:lang w:val="es-ES"/>
              </w:rPr>
              <w:t>Programa 6, Anexo:  Indicadores de las operaciones del Sistema de Madrid</w:t>
            </w:r>
            <w:r w:rsidR="00211983" w:rsidRPr="00211983">
              <w:rPr>
                <w:webHidden/>
              </w:rPr>
              <w:tab/>
            </w:r>
            <w:r w:rsidR="00211983" w:rsidRPr="00211983">
              <w:rPr>
                <w:webHidden/>
              </w:rPr>
              <w:fldChar w:fldCharType="begin"/>
            </w:r>
            <w:r w:rsidR="00211983" w:rsidRPr="00211983">
              <w:rPr>
                <w:webHidden/>
              </w:rPr>
              <w:instrText xml:space="preserve"> PAGEREF _Toc455159078 \h </w:instrText>
            </w:r>
            <w:r w:rsidR="00211983" w:rsidRPr="00211983">
              <w:rPr>
                <w:webHidden/>
              </w:rPr>
            </w:r>
            <w:r w:rsidR="00211983" w:rsidRPr="00211983">
              <w:rPr>
                <w:webHidden/>
              </w:rPr>
              <w:fldChar w:fldCharType="separate"/>
            </w:r>
            <w:r>
              <w:rPr>
                <w:webHidden/>
              </w:rPr>
              <w:t>92</w:t>
            </w:r>
            <w:r w:rsidR="00211983" w:rsidRPr="00211983">
              <w:rPr>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79" w:history="1">
            <w:r w:rsidR="00211983" w:rsidRPr="00211983">
              <w:rPr>
                <w:rStyle w:val="Hyperlink"/>
                <w:noProof/>
              </w:rPr>
              <w:t>PROGRAMA</w:t>
            </w:r>
            <w:r w:rsidR="00211983">
              <w:rPr>
                <w:rStyle w:val="Hyperlink"/>
                <w:noProof/>
              </w:rPr>
              <w:t> </w:t>
            </w:r>
            <w:r w:rsidR="00211983" w:rsidRPr="00211983">
              <w:rPr>
                <w:rStyle w:val="Hyperlink"/>
                <w:noProof/>
              </w:rPr>
              <w:t>31</w:t>
            </w:r>
            <w:r w:rsidR="00211983" w:rsidRPr="00211983">
              <w:rPr>
                <w:rFonts w:eastAsiaTheme="minorEastAsia" w:cstheme="minorBidi"/>
                <w:noProof/>
                <w:sz w:val="22"/>
                <w:szCs w:val="22"/>
              </w:rPr>
              <w:tab/>
            </w:r>
            <w:r w:rsidR="00211983" w:rsidRPr="00211983">
              <w:rPr>
                <w:rStyle w:val="Hyperlink"/>
                <w:noProof/>
              </w:rPr>
              <w:t>SISTEMA DE LA HAYA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_Toc455159079 \h </w:instrText>
            </w:r>
            <w:r w:rsidR="00211983" w:rsidRPr="00211983">
              <w:rPr>
                <w:noProof/>
                <w:webHidden/>
              </w:rPr>
            </w:r>
            <w:r w:rsidR="00211983" w:rsidRPr="00211983">
              <w:rPr>
                <w:noProof/>
                <w:webHidden/>
              </w:rPr>
              <w:fldChar w:fldCharType="separate"/>
            </w:r>
            <w:r>
              <w:rPr>
                <w:noProof/>
                <w:webHidden/>
              </w:rPr>
              <w:t>110</w:t>
            </w:r>
            <w:r w:rsidR="00211983" w:rsidRPr="00211983">
              <w:rPr>
                <w:noProof/>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080" w:history="1">
            <w:r w:rsidR="00211983">
              <w:rPr>
                <w:rStyle w:val="Hyperlink"/>
                <w:lang w:val="es-ES"/>
              </w:rPr>
              <w:t>Programa </w:t>
            </w:r>
            <w:r w:rsidR="00211983" w:rsidRPr="00211983">
              <w:rPr>
                <w:rStyle w:val="Hyperlink"/>
                <w:lang w:val="es-ES"/>
              </w:rPr>
              <w:t>31, Anexo:  Indicadores de las operaciones del Sistema de La Haya</w:t>
            </w:r>
            <w:r w:rsidR="00211983" w:rsidRPr="00211983">
              <w:rPr>
                <w:webHidden/>
              </w:rPr>
              <w:tab/>
            </w:r>
            <w:r w:rsidR="00211983" w:rsidRPr="00211983">
              <w:rPr>
                <w:webHidden/>
              </w:rPr>
              <w:fldChar w:fldCharType="begin"/>
            </w:r>
            <w:r w:rsidR="00211983" w:rsidRPr="00211983">
              <w:rPr>
                <w:webHidden/>
              </w:rPr>
              <w:instrText xml:space="preserve"> PAGEREF _Toc455159080 \h </w:instrText>
            </w:r>
            <w:r w:rsidR="00211983" w:rsidRPr="00211983">
              <w:rPr>
                <w:webHidden/>
              </w:rPr>
            </w:r>
            <w:r w:rsidR="00211983" w:rsidRPr="00211983">
              <w:rPr>
                <w:webHidden/>
              </w:rPr>
              <w:fldChar w:fldCharType="separate"/>
            </w:r>
            <w:r>
              <w:rPr>
                <w:webHidden/>
              </w:rPr>
              <w:t>115</w:t>
            </w:r>
            <w:r w:rsidR="00211983" w:rsidRPr="00211983">
              <w:rPr>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1" w:history="1">
            <w:r w:rsidR="00211983" w:rsidRPr="00211983">
              <w:rPr>
                <w:rStyle w:val="Hyperlink"/>
                <w:noProof/>
              </w:rPr>
              <w:t>PROGRAMA 7</w:t>
            </w:r>
            <w:r w:rsidR="00211983" w:rsidRPr="00211983">
              <w:rPr>
                <w:rFonts w:eastAsiaTheme="minorEastAsia" w:cstheme="minorBidi"/>
                <w:noProof/>
                <w:sz w:val="22"/>
                <w:szCs w:val="22"/>
              </w:rPr>
              <w:tab/>
            </w:r>
            <w:r w:rsidR="00211983" w:rsidRPr="00211983">
              <w:rPr>
                <w:rStyle w:val="Hyperlink"/>
                <w:noProof/>
              </w:rPr>
              <w:t>ARBITRAJE, MEDIACIÓN Y NOMBRES DE DOMINIO</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_Toc455159081 \h </w:instrText>
            </w:r>
            <w:r w:rsidR="00211983" w:rsidRPr="00211983">
              <w:rPr>
                <w:noProof/>
                <w:webHidden/>
              </w:rPr>
            </w:r>
            <w:r w:rsidR="00211983" w:rsidRPr="00211983">
              <w:rPr>
                <w:noProof/>
                <w:webHidden/>
              </w:rPr>
              <w:fldChar w:fldCharType="separate"/>
            </w:r>
            <w:r>
              <w:rPr>
                <w:noProof/>
                <w:webHidden/>
              </w:rPr>
              <w:t>124</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2" w:history="1">
            <w:r w:rsidR="00211983" w:rsidRPr="00211983">
              <w:rPr>
                <w:rStyle w:val="Hyperlink"/>
                <w:rFonts w:ascii="Arial" w:hAnsi="Arial"/>
                <w:noProof/>
                <w:lang w:val="es-ES_tradnl"/>
              </w:rPr>
              <w:t>META ESTRATÉGICA III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_Toc455159082 \h </w:instrText>
            </w:r>
            <w:r w:rsidR="00211983" w:rsidRPr="00211983">
              <w:rPr>
                <w:noProof/>
                <w:webHidden/>
              </w:rPr>
            </w:r>
            <w:r w:rsidR="00211983" w:rsidRPr="00211983">
              <w:rPr>
                <w:noProof/>
                <w:webHidden/>
              </w:rPr>
              <w:fldChar w:fldCharType="separate"/>
            </w:r>
            <w:r>
              <w:rPr>
                <w:noProof/>
                <w:webHidden/>
              </w:rPr>
              <w:t>130</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3" w:history="1">
            <w:r w:rsidR="00211983" w:rsidRPr="00211983">
              <w:rPr>
                <w:rStyle w:val="Hyperlink"/>
                <w:noProof/>
              </w:rPr>
              <w:t>PROGRAMA</w:t>
            </w:r>
            <w:r w:rsidR="00211983">
              <w:rPr>
                <w:rStyle w:val="Hyperlink"/>
                <w:noProof/>
              </w:rPr>
              <w:t> </w:t>
            </w:r>
            <w:r w:rsidR="00211983" w:rsidRPr="00211983">
              <w:rPr>
                <w:rStyle w:val="Hyperlink"/>
                <w:noProof/>
              </w:rPr>
              <w:t>8</w:t>
            </w:r>
            <w:r w:rsidR="00211983" w:rsidRPr="00211983">
              <w:rPr>
                <w:rFonts w:eastAsiaTheme="minorEastAsia" w:cstheme="minorBidi"/>
                <w:noProof/>
                <w:sz w:val="22"/>
                <w:szCs w:val="22"/>
              </w:rPr>
              <w:tab/>
            </w:r>
            <w:r w:rsidR="00211983" w:rsidRPr="00211983">
              <w:rPr>
                <w:rStyle w:val="Hyperlink"/>
                <w:noProof/>
              </w:rPr>
              <w:t>COORDINACIÓN DE LA AGENDA PARA EL DESARROLLO</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_Toc455159083 \h </w:instrText>
            </w:r>
            <w:r w:rsidR="00211983" w:rsidRPr="00211983">
              <w:rPr>
                <w:noProof/>
                <w:webHidden/>
              </w:rPr>
            </w:r>
            <w:r w:rsidR="00211983" w:rsidRPr="00211983">
              <w:rPr>
                <w:noProof/>
                <w:webHidden/>
              </w:rPr>
              <w:fldChar w:fldCharType="separate"/>
            </w:r>
            <w:r>
              <w:rPr>
                <w:noProof/>
                <w:webHidden/>
              </w:rPr>
              <w:t>134</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4" w:history="1">
            <w:r w:rsidR="00211983" w:rsidRPr="00211983">
              <w:rPr>
                <w:rStyle w:val="Hyperlink"/>
                <w:noProof/>
              </w:rPr>
              <w:t>PROGRAMA</w:t>
            </w:r>
            <w:r w:rsidR="00211983">
              <w:rPr>
                <w:rStyle w:val="Hyperlink"/>
                <w:noProof/>
              </w:rPr>
              <w:t> </w:t>
            </w:r>
            <w:r w:rsidR="00211983" w:rsidRPr="00211983">
              <w:rPr>
                <w:rStyle w:val="Hyperlink"/>
                <w:noProof/>
              </w:rPr>
              <w:t>9</w:t>
            </w:r>
            <w:r w:rsidR="00211983" w:rsidRPr="00211983">
              <w:rPr>
                <w:rFonts w:eastAsiaTheme="minorEastAsia" w:cstheme="minorBidi"/>
                <w:noProof/>
                <w:sz w:val="22"/>
                <w:szCs w:val="22"/>
              </w:rPr>
              <w:tab/>
            </w:r>
            <w:r w:rsidR="00211983" w:rsidRPr="00211983">
              <w:rPr>
                <w:rStyle w:val="Hyperlink"/>
                <w:noProof/>
              </w:rPr>
              <w:t>PAÍSES AFRICANOS, ÁRABES, DE AMÉRICA LATINA Y EL CARIBE, DE ASIA Y EL PACÍFICO Y PAÍSES MENOS ADELANTADOS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_Toc455159084 \h </w:instrText>
            </w:r>
            <w:r w:rsidR="00211983" w:rsidRPr="00211983">
              <w:rPr>
                <w:noProof/>
                <w:webHidden/>
              </w:rPr>
            </w:r>
            <w:r w:rsidR="00211983" w:rsidRPr="00211983">
              <w:rPr>
                <w:noProof/>
                <w:webHidden/>
              </w:rPr>
              <w:fldChar w:fldCharType="separate"/>
            </w:r>
            <w:r>
              <w:rPr>
                <w:noProof/>
                <w:webHidden/>
              </w:rPr>
              <w:t>139</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5" w:history="1">
            <w:r w:rsidR="00211983">
              <w:rPr>
                <w:rStyle w:val="Hyperlink"/>
                <w:noProof/>
              </w:rPr>
              <w:t>PROGRAMA </w:t>
            </w:r>
            <w:r w:rsidR="00211983" w:rsidRPr="00211983">
              <w:rPr>
                <w:rStyle w:val="Hyperlink"/>
                <w:noProof/>
              </w:rPr>
              <w:t>10</w:t>
            </w:r>
            <w:r w:rsidR="00211983" w:rsidRPr="00211983">
              <w:rPr>
                <w:rFonts w:eastAsiaTheme="minorEastAsia" w:cstheme="minorBidi"/>
                <w:noProof/>
                <w:sz w:val="22"/>
                <w:szCs w:val="22"/>
              </w:rPr>
              <w:tab/>
            </w:r>
            <w:r w:rsidR="00211983" w:rsidRPr="00211983">
              <w:rPr>
                <w:rStyle w:val="Hyperlink"/>
                <w:noProof/>
              </w:rPr>
              <w:t>COOPERACIÓN CON DETERMINADOS PAÍSES DE EUROPA Y ASIA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_Toc455159085 \h </w:instrText>
            </w:r>
            <w:r w:rsidR="00211983" w:rsidRPr="00211983">
              <w:rPr>
                <w:noProof/>
                <w:webHidden/>
              </w:rPr>
            </w:r>
            <w:r w:rsidR="00211983" w:rsidRPr="00211983">
              <w:rPr>
                <w:noProof/>
                <w:webHidden/>
              </w:rPr>
              <w:fldChar w:fldCharType="separate"/>
            </w:r>
            <w:r>
              <w:rPr>
                <w:noProof/>
                <w:webHidden/>
              </w:rPr>
              <w:t>151</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6" w:history="1">
            <w:r w:rsidR="00211983" w:rsidRPr="00211983">
              <w:rPr>
                <w:rStyle w:val="Hyperlink"/>
                <w:noProof/>
              </w:rPr>
              <w:t>PROGRAMA 11</w:t>
            </w:r>
            <w:r w:rsidR="00211983" w:rsidRPr="00211983">
              <w:rPr>
                <w:rFonts w:eastAsiaTheme="minorEastAsia" w:cstheme="minorBidi"/>
                <w:noProof/>
                <w:sz w:val="22"/>
                <w:szCs w:val="22"/>
              </w:rPr>
              <w:tab/>
            </w:r>
            <w:r w:rsidR="00211983" w:rsidRPr="00211983">
              <w:rPr>
                <w:rStyle w:val="Hyperlink"/>
                <w:noProof/>
              </w:rPr>
              <w:t>ACADEMIA DE LA OMPI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_Toc455159086 \h </w:instrText>
            </w:r>
            <w:r w:rsidR="00211983" w:rsidRPr="00211983">
              <w:rPr>
                <w:noProof/>
                <w:webHidden/>
              </w:rPr>
            </w:r>
            <w:r w:rsidR="00211983" w:rsidRPr="00211983">
              <w:rPr>
                <w:noProof/>
                <w:webHidden/>
              </w:rPr>
              <w:fldChar w:fldCharType="separate"/>
            </w:r>
            <w:r>
              <w:rPr>
                <w:noProof/>
                <w:webHidden/>
              </w:rPr>
              <w:t>160</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7" w:history="1">
            <w:r w:rsidR="00211983">
              <w:rPr>
                <w:rStyle w:val="Hyperlink"/>
                <w:noProof/>
              </w:rPr>
              <w:t>PROGRAMA </w:t>
            </w:r>
            <w:r w:rsidR="00211983" w:rsidRPr="00211983">
              <w:rPr>
                <w:rStyle w:val="Hyperlink"/>
                <w:noProof/>
              </w:rPr>
              <w:t>30</w:t>
            </w:r>
            <w:r w:rsidR="00211983" w:rsidRPr="00211983">
              <w:rPr>
                <w:rFonts w:eastAsiaTheme="minorEastAsia" w:cstheme="minorBidi"/>
                <w:noProof/>
                <w:sz w:val="22"/>
                <w:szCs w:val="22"/>
              </w:rPr>
              <w:tab/>
            </w:r>
            <w:r w:rsidR="00211983" w:rsidRPr="00211983">
              <w:rPr>
                <w:rStyle w:val="Hyperlink"/>
                <w:noProof/>
              </w:rPr>
              <w:t>LAS PEQUEÑAS Y MEDIANAS EMPRESAS (PYMES) Y LA INNOVACIÓN</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_Toc455159087 \h </w:instrText>
            </w:r>
            <w:r w:rsidR="00211983" w:rsidRPr="00211983">
              <w:rPr>
                <w:noProof/>
                <w:webHidden/>
              </w:rPr>
            </w:r>
            <w:r w:rsidR="00211983" w:rsidRPr="00211983">
              <w:rPr>
                <w:noProof/>
                <w:webHidden/>
              </w:rPr>
              <w:fldChar w:fldCharType="separate"/>
            </w:r>
            <w:r>
              <w:rPr>
                <w:noProof/>
                <w:webHidden/>
              </w:rPr>
              <w:t>168</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8" w:history="1">
            <w:r w:rsidR="00211983" w:rsidRPr="00211983">
              <w:rPr>
                <w:rStyle w:val="Hyperlink"/>
                <w:rFonts w:ascii="Arial" w:hAnsi="Arial" w:cs="Arial"/>
                <w:noProof/>
                <w:lang w:val="es-ES_tradnl"/>
              </w:rPr>
              <w:t>META ESTRATÉGICA IV</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_Toc455159088 \h </w:instrText>
            </w:r>
            <w:r w:rsidR="00211983" w:rsidRPr="00211983">
              <w:rPr>
                <w:noProof/>
                <w:webHidden/>
              </w:rPr>
            </w:r>
            <w:r w:rsidR="00211983" w:rsidRPr="00211983">
              <w:rPr>
                <w:noProof/>
                <w:webHidden/>
              </w:rPr>
              <w:fldChar w:fldCharType="separate"/>
            </w:r>
            <w:r>
              <w:rPr>
                <w:noProof/>
                <w:webHidden/>
              </w:rPr>
              <w:t>176</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89" w:history="1">
            <w:r w:rsidR="00211983" w:rsidRPr="00211983">
              <w:rPr>
                <w:rStyle w:val="Hyperlink"/>
                <w:noProof/>
              </w:rPr>
              <w:t>PROGRAMA 12</w:t>
            </w:r>
            <w:r w:rsidR="00211983" w:rsidRPr="00211983">
              <w:rPr>
                <w:rFonts w:eastAsiaTheme="minorEastAsia" w:cstheme="minorBidi"/>
                <w:noProof/>
                <w:sz w:val="22"/>
                <w:szCs w:val="22"/>
              </w:rPr>
              <w:tab/>
            </w:r>
            <w:r w:rsidR="00211983" w:rsidRPr="00211983">
              <w:rPr>
                <w:rStyle w:val="Hyperlink"/>
                <w:noProof/>
              </w:rPr>
              <w:t>CLASIFICACIONES INTERNACIONALES Y NORMAS TÉCNICAS DE LA OMPI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_Toc455159089 \h </w:instrText>
            </w:r>
            <w:r w:rsidR="00211983" w:rsidRPr="00211983">
              <w:rPr>
                <w:noProof/>
                <w:webHidden/>
              </w:rPr>
            </w:r>
            <w:r w:rsidR="00211983" w:rsidRPr="00211983">
              <w:rPr>
                <w:noProof/>
                <w:webHidden/>
              </w:rPr>
              <w:fldChar w:fldCharType="separate"/>
            </w:r>
            <w:r>
              <w:rPr>
                <w:noProof/>
                <w:webHidden/>
              </w:rPr>
              <w:t>179</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0" w:history="1">
            <w:r w:rsidR="00211983" w:rsidRPr="00211983">
              <w:rPr>
                <w:rStyle w:val="Hyperlink"/>
                <w:noProof/>
              </w:rPr>
              <w:t>PROGRAMA 13</w:t>
            </w:r>
            <w:r w:rsidR="00211983" w:rsidRPr="00211983">
              <w:rPr>
                <w:rFonts w:eastAsiaTheme="minorEastAsia" w:cstheme="minorBidi"/>
                <w:noProof/>
                <w:sz w:val="22"/>
                <w:szCs w:val="22"/>
              </w:rPr>
              <w:tab/>
            </w:r>
            <w:r w:rsidR="00211983" w:rsidRPr="00211983">
              <w:rPr>
                <w:rStyle w:val="Hyperlink"/>
                <w:noProof/>
              </w:rPr>
              <w:t>BASES MUNDIALES DE DATOS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_Toc455159090 \h </w:instrText>
            </w:r>
            <w:r w:rsidR="00211983" w:rsidRPr="00211983">
              <w:rPr>
                <w:noProof/>
                <w:webHidden/>
              </w:rPr>
            </w:r>
            <w:r w:rsidR="00211983" w:rsidRPr="00211983">
              <w:rPr>
                <w:noProof/>
                <w:webHidden/>
              </w:rPr>
              <w:fldChar w:fldCharType="separate"/>
            </w:r>
            <w:r>
              <w:rPr>
                <w:noProof/>
                <w:webHidden/>
              </w:rPr>
              <w:t>183</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1" w:history="1">
            <w:r w:rsidR="00211983" w:rsidRPr="00211983">
              <w:rPr>
                <w:rStyle w:val="Hyperlink"/>
                <w:noProof/>
              </w:rPr>
              <w:t>PROGRAMA 14</w:t>
            </w:r>
            <w:r w:rsidR="00211983" w:rsidRPr="00211983">
              <w:rPr>
                <w:rFonts w:eastAsiaTheme="minorEastAsia" w:cstheme="minorBidi"/>
                <w:noProof/>
                <w:sz w:val="22"/>
                <w:szCs w:val="22"/>
              </w:rPr>
              <w:tab/>
            </w:r>
            <w:r w:rsidR="00211983" w:rsidRPr="00211983">
              <w:rPr>
                <w:rStyle w:val="Hyperlink"/>
                <w:noProof/>
              </w:rPr>
              <w:t>SERVICIOS DE ACCESO A LA INFORMACIÓN Y A LOS CONOCIMIENTOS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_Toc455159091 \h </w:instrText>
            </w:r>
            <w:r w:rsidR="00211983" w:rsidRPr="00211983">
              <w:rPr>
                <w:noProof/>
                <w:webHidden/>
              </w:rPr>
            </w:r>
            <w:r w:rsidR="00211983" w:rsidRPr="00211983">
              <w:rPr>
                <w:noProof/>
                <w:webHidden/>
              </w:rPr>
              <w:fldChar w:fldCharType="separate"/>
            </w:r>
            <w:r>
              <w:rPr>
                <w:noProof/>
                <w:webHidden/>
              </w:rPr>
              <w:t>188</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2" w:history="1">
            <w:r w:rsidR="00211983" w:rsidRPr="00211983">
              <w:rPr>
                <w:rStyle w:val="Hyperlink"/>
                <w:noProof/>
              </w:rPr>
              <w:t>PROGRAMA 15</w:t>
            </w:r>
            <w:r w:rsidR="00211983" w:rsidRPr="00211983">
              <w:rPr>
                <w:rFonts w:eastAsiaTheme="minorEastAsia" w:cstheme="minorBidi"/>
                <w:noProof/>
                <w:sz w:val="22"/>
                <w:szCs w:val="22"/>
              </w:rPr>
              <w:tab/>
            </w:r>
            <w:r w:rsidR="00211983" w:rsidRPr="00211983">
              <w:rPr>
                <w:rStyle w:val="Hyperlink"/>
                <w:noProof/>
              </w:rPr>
              <w:t>SOLUCIONES OPERATIVAS PARA LAS OFICINAS DE P.I.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_Toc455159092 \h </w:instrText>
            </w:r>
            <w:r w:rsidR="00211983" w:rsidRPr="00211983">
              <w:rPr>
                <w:noProof/>
                <w:webHidden/>
              </w:rPr>
            </w:r>
            <w:r w:rsidR="00211983" w:rsidRPr="00211983">
              <w:rPr>
                <w:noProof/>
                <w:webHidden/>
              </w:rPr>
              <w:fldChar w:fldCharType="separate"/>
            </w:r>
            <w:r>
              <w:rPr>
                <w:noProof/>
                <w:webHidden/>
              </w:rPr>
              <w:t>193</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3" w:history="1">
            <w:r w:rsidR="00211983" w:rsidRPr="00211983">
              <w:rPr>
                <w:rStyle w:val="Hyperlink"/>
                <w:rFonts w:ascii="Arial" w:hAnsi="Arial" w:cs="Arial"/>
                <w:noProof/>
                <w:lang w:val="es-ES_tradnl"/>
              </w:rPr>
              <w:t>META ESTRATÉGICA V</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_Toc455159093 \h </w:instrText>
            </w:r>
            <w:r w:rsidR="00211983" w:rsidRPr="00211983">
              <w:rPr>
                <w:noProof/>
                <w:webHidden/>
              </w:rPr>
            </w:r>
            <w:r w:rsidR="00211983" w:rsidRPr="00211983">
              <w:rPr>
                <w:noProof/>
                <w:webHidden/>
              </w:rPr>
              <w:fldChar w:fldCharType="separate"/>
            </w:r>
            <w:r>
              <w:rPr>
                <w:noProof/>
                <w:webHidden/>
              </w:rPr>
              <w:t>198</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4" w:history="1">
            <w:r w:rsidR="00211983" w:rsidRPr="00211983">
              <w:rPr>
                <w:rStyle w:val="Hyperlink"/>
                <w:noProof/>
              </w:rPr>
              <w:t>PROGRAMA 16</w:t>
            </w:r>
            <w:r w:rsidR="00211983" w:rsidRPr="00211983">
              <w:rPr>
                <w:rFonts w:eastAsiaTheme="minorEastAsia" w:cstheme="minorBidi"/>
                <w:noProof/>
                <w:sz w:val="22"/>
                <w:szCs w:val="22"/>
              </w:rPr>
              <w:tab/>
            </w:r>
            <w:r w:rsidR="00211983" w:rsidRPr="00211983">
              <w:rPr>
                <w:rStyle w:val="Hyperlink"/>
                <w:noProof/>
              </w:rPr>
              <w:t>ECONOMÍA Y ESTADÍSTICA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_Toc455159094 \h </w:instrText>
            </w:r>
            <w:r w:rsidR="00211983" w:rsidRPr="00211983">
              <w:rPr>
                <w:noProof/>
                <w:webHidden/>
              </w:rPr>
            </w:r>
            <w:r w:rsidR="00211983" w:rsidRPr="00211983">
              <w:rPr>
                <w:noProof/>
                <w:webHidden/>
              </w:rPr>
              <w:fldChar w:fldCharType="separate"/>
            </w:r>
            <w:r>
              <w:rPr>
                <w:noProof/>
                <w:webHidden/>
              </w:rPr>
              <w:t>199</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5" w:history="1">
            <w:r w:rsidR="00211983" w:rsidRPr="00211983">
              <w:rPr>
                <w:rStyle w:val="Hyperlink"/>
                <w:rFonts w:ascii="Arial" w:hAnsi="Arial" w:cs="Arial"/>
                <w:noProof/>
                <w:lang w:val="es-ES_tradnl"/>
              </w:rPr>
              <w:t>META ESTRATÉGICA VI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_Toc455159095 \h </w:instrText>
            </w:r>
            <w:r w:rsidR="00211983" w:rsidRPr="00211983">
              <w:rPr>
                <w:noProof/>
                <w:webHidden/>
              </w:rPr>
            </w:r>
            <w:r w:rsidR="00211983" w:rsidRPr="00211983">
              <w:rPr>
                <w:noProof/>
                <w:webHidden/>
              </w:rPr>
              <w:fldChar w:fldCharType="separate"/>
            </w:r>
            <w:r>
              <w:rPr>
                <w:noProof/>
                <w:webHidden/>
              </w:rPr>
              <w:t>204</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6" w:history="1">
            <w:r w:rsidR="00211983" w:rsidRPr="00211983">
              <w:rPr>
                <w:rStyle w:val="Hyperlink"/>
                <w:noProof/>
              </w:rPr>
              <w:t>PROGRAMA 17</w:t>
            </w:r>
            <w:r w:rsidR="00211983" w:rsidRPr="00211983">
              <w:rPr>
                <w:rFonts w:eastAsiaTheme="minorEastAsia" w:cstheme="minorBidi"/>
                <w:noProof/>
                <w:sz w:val="22"/>
                <w:szCs w:val="22"/>
              </w:rPr>
              <w:tab/>
            </w:r>
            <w:r w:rsidR="00211983" w:rsidRPr="00211983">
              <w:rPr>
                <w:rStyle w:val="Hyperlink"/>
                <w:noProof/>
              </w:rPr>
              <w:t>FOMENTAR EL RESPETO POR LA P.I.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_Toc455159096 \h </w:instrText>
            </w:r>
            <w:r w:rsidR="00211983" w:rsidRPr="00211983">
              <w:rPr>
                <w:noProof/>
                <w:webHidden/>
              </w:rPr>
            </w:r>
            <w:r w:rsidR="00211983" w:rsidRPr="00211983">
              <w:rPr>
                <w:noProof/>
                <w:webHidden/>
              </w:rPr>
              <w:fldChar w:fldCharType="separate"/>
            </w:r>
            <w:r>
              <w:rPr>
                <w:noProof/>
                <w:webHidden/>
              </w:rPr>
              <w:t>205</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7" w:history="1">
            <w:r w:rsidR="00211983" w:rsidRPr="00211983">
              <w:rPr>
                <w:rStyle w:val="Hyperlink"/>
                <w:rFonts w:ascii="Arial" w:hAnsi="Arial" w:cs="Arial"/>
                <w:noProof/>
                <w:lang w:val="es-ES_tradnl"/>
              </w:rPr>
              <w:t>META ESTRATÉGICA VII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_Toc455159097 \h </w:instrText>
            </w:r>
            <w:r w:rsidR="00211983" w:rsidRPr="00211983">
              <w:rPr>
                <w:noProof/>
                <w:webHidden/>
              </w:rPr>
            </w:r>
            <w:r w:rsidR="00211983" w:rsidRPr="00211983">
              <w:rPr>
                <w:noProof/>
                <w:webHidden/>
              </w:rPr>
              <w:fldChar w:fldCharType="separate"/>
            </w:r>
            <w:r>
              <w:rPr>
                <w:noProof/>
                <w:webHidden/>
              </w:rPr>
              <w:t>210</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8" w:history="1">
            <w:r w:rsidR="00211983" w:rsidRPr="00211983">
              <w:rPr>
                <w:rStyle w:val="Hyperlink"/>
                <w:noProof/>
              </w:rPr>
              <w:t>PROGRAMA 18</w:t>
            </w:r>
            <w:r w:rsidR="00211983" w:rsidRPr="00211983">
              <w:rPr>
                <w:rFonts w:eastAsiaTheme="minorEastAsia" w:cstheme="minorBidi"/>
                <w:noProof/>
                <w:sz w:val="22"/>
                <w:szCs w:val="22"/>
              </w:rPr>
              <w:tab/>
            </w:r>
            <w:r w:rsidR="00211983" w:rsidRPr="00211983">
              <w:rPr>
                <w:rStyle w:val="Hyperlink"/>
                <w:noProof/>
              </w:rPr>
              <w:t>LA P.I. Y LOS DESAFÍOS MUNDIALES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_Toc455159098 \h </w:instrText>
            </w:r>
            <w:r w:rsidR="00211983" w:rsidRPr="00211983">
              <w:rPr>
                <w:noProof/>
                <w:webHidden/>
              </w:rPr>
            </w:r>
            <w:r w:rsidR="00211983" w:rsidRPr="00211983">
              <w:rPr>
                <w:noProof/>
                <w:webHidden/>
              </w:rPr>
              <w:fldChar w:fldCharType="separate"/>
            </w:r>
            <w:r>
              <w:rPr>
                <w:noProof/>
                <w:webHidden/>
              </w:rPr>
              <w:t>212</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099" w:history="1">
            <w:r w:rsidR="00211983" w:rsidRPr="00211983">
              <w:rPr>
                <w:rStyle w:val="Hyperlink"/>
                <w:rFonts w:ascii="Arial" w:hAnsi="Arial" w:cs="Arial"/>
                <w:noProof/>
                <w:lang w:val="es-ES_tradnl"/>
              </w:rPr>
              <w:t>META ESTRATÉGICA VIII</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_Toc455159099 \h </w:instrText>
            </w:r>
            <w:r w:rsidR="00211983" w:rsidRPr="00211983">
              <w:rPr>
                <w:noProof/>
                <w:webHidden/>
              </w:rPr>
            </w:r>
            <w:r w:rsidR="00211983" w:rsidRPr="00211983">
              <w:rPr>
                <w:noProof/>
                <w:webHidden/>
              </w:rPr>
              <w:fldChar w:fldCharType="separate"/>
            </w:r>
            <w:r>
              <w:rPr>
                <w:noProof/>
                <w:webHidden/>
              </w:rPr>
              <w:t>220</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0" w:history="1">
            <w:r w:rsidR="00211983" w:rsidRPr="00211983">
              <w:rPr>
                <w:rStyle w:val="Hyperlink"/>
                <w:noProof/>
              </w:rPr>
              <w:t>PROGRAMA 19</w:t>
            </w:r>
            <w:r w:rsidR="00211983" w:rsidRPr="00211983">
              <w:rPr>
                <w:rFonts w:eastAsiaTheme="minorEastAsia" w:cstheme="minorBidi"/>
                <w:noProof/>
                <w:sz w:val="22"/>
                <w:szCs w:val="22"/>
              </w:rPr>
              <w:tab/>
            </w:r>
            <w:r w:rsidR="00211983" w:rsidRPr="00211983">
              <w:rPr>
                <w:rStyle w:val="Hyperlink"/>
                <w:noProof/>
              </w:rPr>
              <w:t>COMUNICACIONES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_Toc455159100 \h </w:instrText>
            </w:r>
            <w:r w:rsidR="00211983" w:rsidRPr="00211983">
              <w:rPr>
                <w:noProof/>
                <w:webHidden/>
              </w:rPr>
            </w:r>
            <w:r w:rsidR="00211983" w:rsidRPr="00211983">
              <w:rPr>
                <w:noProof/>
                <w:webHidden/>
              </w:rPr>
              <w:fldChar w:fldCharType="separate"/>
            </w:r>
            <w:r>
              <w:rPr>
                <w:noProof/>
                <w:webHidden/>
              </w:rPr>
              <w:t>222</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1" w:history="1">
            <w:r w:rsidR="00211983" w:rsidRPr="00211983">
              <w:rPr>
                <w:rStyle w:val="Hyperlink"/>
                <w:noProof/>
              </w:rPr>
              <w:t>PROGRAMA 20</w:t>
            </w:r>
            <w:r w:rsidR="00211983" w:rsidRPr="00211983">
              <w:rPr>
                <w:rFonts w:eastAsiaTheme="minorEastAsia" w:cstheme="minorBidi"/>
                <w:noProof/>
                <w:sz w:val="22"/>
                <w:szCs w:val="22"/>
              </w:rPr>
              <w:tab/>
            </w:r>
            <w:r w:rsidR="00211983" w:rsidRPr="00211983">
              <w:rPr>
                <w:rStyle w:val="Hyperlink"/>
                <w:noProof/>
              </w:rPr>
              <w:t>RELACIONES EXTERIORES, ALIANZAS Y OFICINAS EN EL EXTERIOR</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_Toc455159101 \h </w:instrText>
            </w:r>
            <w:r w:rsidR="00211983" w:rsidRPr="00211983">
              <w:rPr>
                <w:noProof/>
                <w:webHidden/>
              </w:rPr>
            </w:r>
            <w:r w:rsidR="00211983" w:rsidRPr="00211983">
              <w:rPr>
                <w:noProof/>
                <w:webHidden/>
              </w:rPr>
              <w:fldChar w:fldCharType="separate"/>
            </w:r>
            <w:r>
              <w:rPr>
                <w:noProof/>
                <w:webHidden/>
              </w:rPr>
              <w:t>229</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2" w:history="1">
            <w:r w:rsidR="00211983" w:rsidRPr="00211983">
              <w:rPr>
                <w:rStyle w:val="Hyperlink"/>
                <w:rFonts w:ascii="Arial" w:hAnsi="Arial" w:cs="Arial"/>
                <w:noProof/>
                <w:lang w:val="es-ES_tradnl"/>
              </w:rPr>
              <w:t>META ESTRATÉGICA IX</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_Toc455159102 \h </w:instrText>
            </w:r>
            <w:r w:rsidR="00211983" w:rsidRPr="00211983">
              <w:rPr>
                <w:noProof/>
                <w:webHidden/>
              </w:rPr>
            </w:r>
            <w:r w:rsidR="00211983" w:rsidRPr="00211983">
              <w:rPr>
                <w:noProof/>
                <w:webHidden/>
              </w:rPr>
              <w:fldChar w:fldCharType="separate"/>
            </w:r>
            <w:r>
              <w:rPr>
                <w:noProof/>
                <w:webHidden/>
              </w:rPr>
              <w:t>247</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3" w:history="1">
            <w:r w:rsidR="00211983" w:rsidRPr="00211983">
              <w:rPr>
                <w:rStyle w:val="Hyperlink"/>
                <w:noProof/>
              </w:rPr>
              <w:t>PROGRAMA 21</w:t>
            </w:r>
            <w:r w:rsidR="00211983" w:rsidRPr="00211983">
              <w:rPr>
                <w:rFonts w:eastAsiaTheme="minorEastAsia" w:cstheme="minorBidi"/>
                <w:noProof/>
                <w:sz w:val="22"/>
                <w:szCs w:val="22"/>
              </w:rPr>
              <w:tab/>
            </w:r>
            <w:r w:rsidR="00211983" w:rsidRPr="00211983">
              <w:rPr>
                <w:rStyle w:val="Hyperlink"/>
                <w:noProof/>
              </w:rPr>
              <w:t>GESTIÓN EJECUTIVA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_Toc455159103 \h </w:instrText>
            </w:r>
            <w:r w:rsidR="00211983" w:rsidRPr="00211983">
              <w:rPr>
                <w:noProof/>
                <w:webHidden/>
              </w:rPr>
            </w:r>
            <w:r w:rsidR="00211983" w:rsidRPr="00211983">
              <w:rPr>
                <w:noProof/>
                <w:webHidden/>
              </w:rPr>
              <w:fldChar w:fldCharType="separate"/>
            </w:r>
            <w:r>
              <w:rPr>
                <w:noProof/>
                <w:webHidden/>
              </w:rPr>
              <w:t>251</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4" w:history="1">
            <w:r w:rsidR="00211983" w:rsidRPr="00211983">
              <w:rPr>
                <w:rStyle w:val="Hyperlink"/>
                <w:noProof/>
              </w:rPr>
              <w:t>PROGRAMA 22</w:t>
            </w:r>
            <w:r w:rsidR="00211983" w:rsidRPr="00211983">
              <w:rPr>
                <w:rFonts w:eastAsiaTheme="minorEastAsia" w:cstheme="minorBidi"/>
                <w:noProof/>
                <w:sz w:val="22"/>
                <w:szCs w:val="22"/>
              </w:rPr>
              <w:tab/>
            </w:r>
            <w:r w:rsidR="00211983" w:rsidRPr="00211983">
              <w:rPr>
                <w:rStyle w:val="Hyperlink"/>
                <w:noProof/>
              </w:rPr>
              <w:t>GESTIÓN DE PROGRAMAS Y RECURSOS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_Toc455159104 \h </w:instrText>
            </w:r>
            <w:r w:rsidR="00211983" w:rsidRPr="00211983">
              <w:rPr>
                <w:noProof/>
                <w:webHidden/>
              </w:rPr>
            </w:r>
            <w:r w:rsidR="00211983" w:rsidRPr="00211983">
              <w:rPr>
                <w:noProof/>
                <w:webHidden/>
              </w:rPr>
              <w:fldChar w:fldCharType="separate"/>
            </w:r>
            <w:r>
              <w:rPr>
                <w:noProof/>
                <w:webHidden/>
              </w:rPr>
              <w:t>258</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5" w:history="1">
            <w:r w:rsidR="00211983" w:rsidRPr="00211983">
              <w:rPr>
                <w:rStyle w:val="Hyperlink"/>
                <w:noProof/>
              </w:rPr>
              <w:t>PROGRAMA 23</w:t>
            </w:r>
            <w:r w:rsidR="00211983" w:rsidRPr="00211983">
              <w:rPr>
                <w:rFonts w:eastAsiaTheme="minorEastAsia" w:cstheme="minorBidi"/>
                <w:noProof/>
                <w:sz w:val="22"/>
                <w:szCs w:val="22"/>
              </w:rPr>
              <w:tab/>
            </w:r>
            <w:r w:rsidR="00211983" w:rsidRPr="00211983">
              <w:rPr>
                <w:rStyle w:val="Hyperlink"/>
                <w:noProof/>
              </w:rPr>
              <w:t>GESTIÓN Y DESARROLLO DE LOS RECURSOS HUMANOS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_Toc455159105 \h </w:instrText>
            </w:r>
            <w:r w:rsidR="00211983" w:rsidRPr="00211983">
              <w:rPr>
                <w:noProof/>
                <w:webHidden/>
              </w:rPr>
            </w:r>
            <w:r w:rsidR="00211983" w:rsidRPr="00211983">
              <w:rPr>
                <w:noProof/>
                <w:webHidden/>
              </w:rPr>
              <w:fldChar w:fldCharType="separate"/>
            </w:r>
            <w:r>
              <w:rPr>
                <w:noProof/>
                <w:webHidden/>
              </w:rPr>
              <w:t>265</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6" w:history="1">
            <w:r w:rsidR="00211983" w:rsidRPr="00211983">
              <w:rPr>
                <w:rStyle w:val="Hyperlink"/>
                <w:noProof/>
              </w:rPr>
              <w:t>PROGRAMA 24</w:t>
            </w:r>
            <w:r w:rsidR="00211983" w:rsidRPr="00211983">
              <w:rPr>
                <w:rFonts w:eastAsiaTheme="minorEastAsia" w:cstheme="minorBidi"/>
                <w:noProof/>
                <w:sz w:val="22"/>
                <w:szCs w:val="22"/>
              </w:rPr>
              <w:tab/>
            </w:r>
            <w:r w:rsidR="00211983" w:rsidRPr="00211983">
              <w:rPr>
                <w:rStyle w:val="Hyperlink"/>
                <w:noProof/>
              </w:rPr>
              <w:t>SERVICIOS GENERALES DE APOYO</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_Toc455159106 \h </w:instrText>
            </w:r>
            <w:r w:rsidR="00211983" w:rsidRPr="00211983">
              <w:rPr>
                <w:noProof/>
                <w:webHidden/>
              </w:rPr>
            </w:r>
            <w:r w:rsidR="00211983" w:rsidRPr="00211983">
              <w:rPr>
                <w:noProof/>
                <w:webHidden/>
              </w:rPr>
              <w:fldChar w:fldCharType="separate"/>
            </w:r>
            <w:r>
              <w:rPr>
                <w:noProof/>
                <w:webHidden/>
              </w:rPr>
              <w:t>273</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7" w:history="1">
            <w:r w:rsidR="00211983" w:rsidRPr="00211983">
              <w:rPr>
                <w:rStyle w:val="Hyperlink"/>
                <w:noProof/>
              </w:rPr>
              <w:t>PROGRAMA 25</w:t>
            </w:r>
            <w:r w:rsidR="00211983" w:rsidRPr="00211983">
              <w:rPr>
                <w:rFonts w:eastAsiaTheme="minorEastAsia" w:cstheme="minorBidi"/>
                <w:noProof/>
                <w:sz w:val="22"/>
                <w:szCs w:val="22"/>
              </w:rPr>
              <w:tab/>
            </w:r>
            <w:r w:rsidR="00211983" w:rsidRPr="00211983">
              <w:rPr>
                <w:rStyle w:val="Hyperlink"/>
                <w:noProof/>
              </w:rPr>
              <w:t>TECNOLOGÍAS DE LA INFORMACIÓN Y DE LAS COMUNICACIONES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_Toc455159107 \h </w:instrText>
            </w:r>
            <w:r w:rsidR="00211983" w:rsidRPr="00211983">
              <w:rPr>
                <w:noProof/>
                <w:webHidden/>
              </w:rPr>
            </w:r>
            <w:r w:rsidR="00211983" w:rsidRPr="00211983">
              <w:rPr>
                <w:noProof/>
                <w:webHidden/>
              </w:rPr>
              <w:fldChar w:fldCharType="separate"/>
            </w:r>
            <w:r>
              <w:rPr>
                <w:noProof/>
                <w:webHidden/>
              </w:rPr>
              <w:t>283</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8" w:history="1">
            <w:r w:rsidR="00211983" w:rsidRPr="00211983">
              <w:rPr>
                <w:rStyle w:val="Hyperlink"/>
                <w:noProof/>
              </w:rPr>
              <w:t>PROGRAMA 26</w:t>
            </w:r>
            <w:r w:rsidR="00211983" w:rsidRPr="00211983">
              <w:rPr>
                <w:rFonts w:eastAsiaTheme="minorEastAsia" w:cstheme="minorBidi"/>
                <w:noProof/>
                <w:sz w:val="22"/>
                <w:szCs w:val="22"/>
              </w:rPr>
              <w:tab/>
            </w:r>
            <w:r w:rsidR="00211983" w:rsidRPr="00211983">
              <w:rPr>
                <w:rStyle w:val="Hyperlink"/>
                <w:noProof/>
              </w:rPr>
              <w:t>SUPERVISIÓN INTERNA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_Toc455159108 \h </w:instrText>
            </w:r>
            <w:r w:rsidR="00211983" w:rsidRPr="00211983">
              <w:rPr>
                <w:noProof/>
                <w:webHidden/>
              </w:rPr>
            </w:r>
            <w:r w:rsidR="00211983" w:rsidRPr="00211983">
              <w:rPr>
                <w:noProof/>
                <w:webHidden/>
              </w:rPr>
              <w:fldChar w:fldCharType="separate"/>
            </w:r>
            <w:r>
              <w:rPr>
                <w:noProof/>
                <w:webHidden/>
              </w:rPr>
              <w:t>289</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09" w:history="1">
            <w:r w:rsidR="00211983" w:rsidRPr="00211983">
              <w:rPr>
                <w:rStyle w:val="Hyperlink"/>
                <w:noProof/>
              </w:rPr>
              <w:t>PROGRAMA 27</w:t>
            </w:r>
            <w:r w:rsidR="00211983" w:rsidRPr="00211983">
              <w:rPr>
                <w:rFonts w:eastAsiaTheme="minorEastAsia" w:cstheme="minorBidi"/>
                <w:noProof/>
                <w:sz w:val="22"/>
                <w:szCs w:val="22"/>
              </w:rPr>
              <w:tab/>
            </w:r>
            <w:r w:rsidR="00211983" w:rsidRPr="00211983">
              <w:rPr>
                <w:rStyle w:val="Hyperlink"/>
                <w:noProof/>
              </w:rPr>
              <w:t>SERVICIOS DE CONFERENCIAS Y LINGÜÍSTICOS</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_Toc455159109 \h </w:instrText>
            </w:r>
            <w:r w:rsidR="00211983" w:rsidRPr="00211983">
              <w:rPr>
                <w:noProof/>
                <w:webHidden/>
              </w:rPr>
            </w:r>
            <w:r w:rsidR="00211983" w:rsidRPr="00211983">
              <w:rPr>
                <w:noProof/>
                <w:webHidden/>
              </w:rPr>
              <w:fldChar w:fldCharType="separate"/>
            </w:r>
            <w:r>
              <w:rPr>
                <w:noProof/>
                <w:webHidden/>
              </w:rPr>
              <w:t>294</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10" w:history="1">
            <w:r w:rsidR="00211983" w:rsidRPr="00211983">
              <w:rPr>
                <w:rStyle w:val="Hyperlink"/>
                <w:noProof/>
              </w:rPr>
              <w:t>PROGRAMA 28</w:t>
            </w:r>
            <w:r w:rsidR="00211983" w:rsidRPr="00211983">
              <w:rPr>
                <w:rFonts w:eastAsiaTheme="minorEastAsia" w:cstheme="minorBidi"/>
                <w:noProof/>
                <w:sz w:val="22"/>
                <w:szCs w:val="22"/>
              </w:rPr>
              <w:tab/>
            </w:r>
            <w:r w:rsidR="00211983" w:rsidRPr="00211983">
              <w:rPr>
                <w:rStyle w:val="Hyperlink"/>
                <w:noProof/>
              </w:rPr>
              <w:t>SEGURIDAD Y VIGILANCIA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_Toc455159110 \h </w:instrText>
            </w:r>
            <w:r w:rsidR="00211983" w:rsidRPr="00211983">
              <w:rPr>
                <w:noProof/>
                <w:webHidden/>
              </w:rPr>
            </w:r>
            <w:r w:rsidR="00211983" w:rsidRPr="00211983">
              <w:rPr>
                <w:noProof/>
                <w:webHidden/>
              </w:rPr>
              <w:fldChar w:fldCharType="separate"/>
            </w:r>
            <w:r>
              <w:rPr>
                <w:noProof/>
                <w:webHidden/>
              </w:rPr>
              <w:t>300</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11" w:history="1">
            <w:r w:rsidR="00211983" w:rsidRPr="00211983">
              <w:rPr>
                <w:rStyle w:val="Hyperlink"/>
                <w:noProof/>
              </w:rPr>
              <w:t>PROGRAMA 29</w:t>
            </w:r>
            <w:r w:rsidR="00211983" w:rsidRPr="00211983">
              <w:rPr>
                <w:rFonts w:eastAsiaTheme="minorEastAsia" w:cstheme="minorBidi"/>
                <w:noProof/>
                <w:sz w:val="22"/>
                <w:szCs w:val="22"/>
              </w:rPr>
              <w:tab/>
            </w:r>
            <w:r w:rsidR="00211983" w:rsidRPr="00211983">
              <w:rPr>
                <w:rStyle w:val="Hyperlink"/>
                <w:noProof/>
              </w:rPr>
              <w:t>PROYECTOS DE CONSTRUCCIÓN</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_Toc455159111 \h </w:instrText>
            </w:r>
            <w:r w:rsidR="00211983" w:rsidRPr="00211983">
              <w:rPr>
                <w:noProof/>
                <w:webHidden/>
              </w:rPr>
            </w:r>
            <w:r w:rsidR="00211983" w:rsidRPr="00211983">
              <w:rPr>
                <w:noProof/>
                <w:webHidden/>
              </w:rPr>
              <w:fldChar w:fldCharType="separate"/>
            </w:r>
            <w:r>
              <w:rPr>
                <w:noProof/>
                <w:webHidden/>
              </w:rPr>
              <w:t>304</w:t>
            </w:r>
            <w:r w:rsidR="00211983" w:rsidRPr="00211983">
              <w:rPr>
                <w:noProof/>
                <w:webHidden/>
              </w:rPr>
              <w:fldChar w:fldCharType="end"/>
            </w:r>
          </w:hyperlink>
        </w:p>
        <w:p w:rsidR="00211983" w:rsidRPr="00211983" w:rsidRDefault="00F80D4E" w:rsidP="00211983">
          <w:pPr>
            <w:pStyle w:val="TOC1"/>
            <w:rPr>
              <w:rFonts w:eastAsiaTheme="minorEastAsia" w:cstheme="minorBidi"/>
            </w:rPr>
          </w:pPr>
          <w:hyperlink w:anchor="_Toc455159112" w:history="1">
            <w:r w:rsidR="00211983" w:rsidRPr="008F093A">
              <w:rPr>
                <w:rStyle w:val="Hyperlink"/>
                <w:b/>
              </w:rPr>
              <w:t>VII.</w:t>
            </w:r>
            <w:r w:rsidR="00211983" w:rsidRPr="008F093A">
              <w:rPr>
                <w:rFonts w:eastAsiaTheme="minorEastAsia" w:cstheme="minorBidi"/>
                <w:b/>
              </w:rPr>
              <w:tab/>
            </w:r>
            <w:r w:rsidR="00211983" w:rsidRPr="008F093A">
              <w:rPr>
                <w:rStyle w:val="Hyperlink"/>
                <w:b/>
              </w:rPr>
              <w:t>APÉNDICES</w:t>
            </w:r>
            <w:r w:rsidR="00211983" w:rsidRPr="00211983">
              <w:rPr>
                <w:webHidden/>
              </w:rPr>
              <w:tab/>
            </w:r>
            <w:r w:rsidR="00211983" w:rsidRPr="00211983">
              <w:rPr>
                <w:webHidden/>
              </w:rPr>
              <w:fldChar w:fldCharType="begin"/>
            </w:r>
            <w:r w:rsidR="00211983" w:rsidRPr="00211983">
              <w:rPr>
                <w:webHidden/>
              </w:rPr>
              <w:instrText xml:space="preserve"> PAGEREF _Toc455159112 \h </w:instrText>
            </w:r>
            <w:r w:rsidR="00211983" w:rsidRPr="00211983">
              <w:rPr>
                <w:webHidden/>
              </w:rPr>
            </w:r>
            <w:r w:rsidR="00211983" w:rsidRPr="00211983">
              <w:rPr>
                <w:webHidden/>
              </w:rPr>
              <w:fldChar w:fldCharType="separate"/>
            </w:r>
            <w:r>
              <w:rPr>
                <w:webHidden/>
              </w:rPr>
              <w:t>309</w:t>
            </w:r>
            <w:r w:rsidR="00211983" w:rsidRPr="00211983">
              <w:rPr>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13" w:history="1">
            <w:r w:rsidR="00211983" w:rsidRPr="00211983">
              <w:rPr>
                <w:rStyle w:val="Hyperlink"/>
                <w:noProof/>
              </w:rPr>
              <w:t>APÉNDICE I</w:t>
            </w:r>
            <w:r w:rsidR="008F093A">
              <w:rPr>
                <w:rStyle w:val="Hyperlink"/>
                <w:noProof/>
              </w:rPr>
              <w:tab/>
            </w:r>
            <w:r w:rsidR="00211983" w:rsidRPr="00211983">
              <w:rPr>
                <w:rStyle w:val="Hyperlink"/>
                <w:noProof/>
              </w:rPr>
              <w:t>DESGLOSE DE LA EVALUACIÓN DEL RENDIMIENTO DE CADA PROGRAMA</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_Toc455159113 \h </w:instrText>
            </w:r>
            <w:r w:rsidR="00211983" w:rsidRPr="00211983">
              <w:rPr>
                <w:noProof/>
                <w:webHidden/>
              </w:rPr>
            </w:r>
            <w:r w:rsidR="00211983" w:rsidRPr="00211983">
              <w:rPr>
                <w:noProof/>
                <w:webHidden/>
              </w:rPr>
              <w:fldChar w:fldCharType="separate"/>
            </w:r>
            <w:r>
              <w:rPr>
                <w:noProof/>
                <w:webHidden/>
              </w:rPr>
              <w:t>309</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14" w:history="1">
            <w:r w:rsidR="008F093A">
              <w:rPr>
                <w:rStyle w:val="Hyperlink"/>
                <w:noProof/>
              </w:rPr>
              <w:t>APÉNDICE II</w:t>
            </w:r>
            <w:r w:rsidR="008F093A" w:rsidRPr="008F093A">
              <w:rPr>
                <w:rStyle w:val="Hyperlink"/>
                <w:noProof/>
              </w:rPr>
              <w:tab/>
            </w:r>
            <w:r w:rsidR="00211983" w:rsidRPr="00211983">
              <w:rPr>
                <w:rStyle w:val="Hyperlink"/>
                <w:noProof/>
              </w:rPr>
              <w:t>ACTIVIDADES REALIZADAS CON CARGO A LOS FONDOS FIDUCIARIOS EN 2015</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_Toc455159114 \h </w:instrText>
            </w:r>
            <w:r w:rsidR="00211983" w:rsidRPr="00211983">
              <w:rPr>
                <w:noProof/>
                <w:webHidden/>
              </w:rPr>
            </w:r>
            <w:r w:rsidR="00211983" w:rsidRPr="00211983">
              <w:rPr>
                <w:noProof/>
                <w:webHidden/>
              </w:rPr>
              <w:fldChar w:fldCharType="separate"/>
            </w:r>
            <w:r>
              <w:rPr>
                <w:noProof/>
                <w:webHidden/>
              </w:rPr>
              <w:t>311</w:t>
            </w:r>
            <w:r w:rsidR="00211983" w:rsidRPr="00211983">
              <w:rPr>
                <w:noProof/>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15" w:history="1">
            <w:r w:rsidR="00211983" w:rsidRPr="00211983">
              <w:rPr>
                <w:rStyle w:val="Hyperlink"/>
                <w:bCs/>
                <w:iCs/>
                <w:noProof/>
              </w:rPr>
              <w:t>APÉNDICE III</w:t>
            </w:r>
            <w:r w:rsidR="008F093A" w:rsidRPr="008F093A">
              <w:rPr>
                <w:rStyle w:val="Hyperlink"/>
                <w:bCs/>
                <w:iCs/>
                <w:noProof/>
              </w:rPr>
              <w:tab/>
            </w:r>
            <w:r w:rsidR="00211983" w:rsidRPr="00211983">
              <w:rPr>
                <w:rStyle w:val="Hyperlink"/>
                <w:bCs/>
                <w:iCs/>
                <w:noProof/>
              </w:rPr>
              <w:t>INFORME SOBRE LA MARCHA DEL PLAN MAESTRO DE MEJORAS DE INFRAESTRUCTURA EN 2014/15</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_Toc455159115 \h </w:instrText>
            </w:r>
            <w:r w:rsidR="00211983" w:rsidRPr="00211983">
              <w:rPr>
                <w:noProof/>
                <w:webHidden/>
              </w:rPr>
            </w:r>
            <w:r w:rsidR="00211983" w:rsidRPr="00211983">
              <w:rPr>
                <w:noProof/>
                <w:webHidden/>
              </w:rPr>
              <w:fldChar w:fldCharType="separate"/>
            </w:r>
            <w:r>
              <w:rPr>
                <w:noProof/>
                <w:webHidden/>
              </w:rPr>
              <w:t>338</w:t>
            </w:r>
            <w:r w:rsidR="00211983" w:rsidRPr="00211983">
              <w:rPr>
                <w:noProof/>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116" w:history="1">
            <w:r w:rsidR="00211983" w:rsidRPr="00211983">
              <w:rPr>
                <w:rStyle w:val="Hyperlink"/>
                <w:bCs/>
              </w:rPr>
              <w:t>PROYECTO 1:</w:t>
            </w:r>
            <w:r w:rsidR="00211983" w:rsidRPr="00211983">
              <w:rPr>
                <w:rFonts w:eastAsiaTheme="minorEastAsia" w:cstheme="minorBidi"/>
                <w:sz w:val="22"/>
                <w:szCs w:val="22"/>
                <w:lang w:val="en-US"/>
              </w:rPr>
              <w:tab/>
            </w:r>
            <w:r w:rsidR="00211983" w:rsidRPr="00211983">
              <w:rPr>
                <w:rStyle w:val="Hyperlink"/>
                <w:bCs/>
              </w:rPr>
              <w:t>MEJORA DE LA SEGURIDAD:  CIFRADO DE DATOS Y GESTIÓN DE USUARIOS (PMM 1)</w:t>
            </w:r>
            <w:r w:rsidR="00211983" w:rsidRPr="00211983">
              <w:rPr>
                <w:webHidden/>
              </w:rPr>
              <w:tab/>
            </w:r>
            <w:r w:rsidR="00211983" w:rsidRPr="00211983">
              <w:rPr>
                <w:webHidden/>
              </w:rPr>
              <w:fldChar w:fldCharType="begin"/>
            </w:r>
            <w:r w:rsidR="00211983" w:rsidRPr="00211983">
              <w:rPr>
                <w:webHidden/>
              </w:rPr>
              <w:instrText xml:space="preserve"> PAGEREF _Toc455159116 \h </w:instrText>
            </w:r>
            <w:r w:rsidR="00211983" w:rsidRPr="00211983">
              <w:rPr>
                <w:webHidden/>
              </w:rPr>
            </w:r>
            <w:r w:rsidR="00211983" w:rsidRPr="00211983">
              <w:rPr>
                <w:webHidden/>
              </w:rPr>
              <w:fldChar w:fldCharType="separate"/>
            </w:r>
            <w:r>
              <w:rPr>
                <w:webHidden/>
              </w:rPr>
              <w:t>339</w:t>
            </w:r>
            <w:r w:rsidR="00211983" w:rsidRPr="00211983">
              <w:rPr>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117" w:history="1">
            <w:r w:rsidR="00211983" w:rsidRPr="00211983">
              <w:rPr>
                <w:rStyle w:val="Hyperlink"/>
                <w:bCs/>
              </w:rPr>
              <w:t>PROYECTO 2:</w:t>
            </w:r>
            <w:r w:rsidR="00211983" w:rsidRPr="00211983">
              <w:rPr>
                <w:rFonts w:eastAsiaTheme="minorEastAsia" w:cstheme="minorBidi"/>
                <w:sz w:val="22"/>
                <w:szCs w:val="22"/>
                <w:lang w:val="en-US"/>
              </w:rPr>
              <w:tab/>
            </w:r>
            <w:r w:rsidR="00211983" w:rsidRPr="00211983">
              <w:rPr>
                <w:rStyle w:val="Hyperlink"/>
                <w:bCs/>
              </w:rPr>
              <w:t>APLICACIÓN DE LA GESTIÓN DE CONTENIDOS INSTITUCIONALES (PMM 2)</w:t>
            </w:r>
            <w:r w:rsidR="00211983" w:rsidRPr="00211983">
              <w:rPr>
                <w:webHidden/>
              </w:rPr>
              <w:tab/>
            </w:r>
            <w:r w:rsidR="00211983" w:rsidRPr="00211983">
              <w:rPr>
                <w:webHidden/>
              </w:rPr>
              <w:fldChar w:fldCharType="begin"/>
            </w:r>
            <w:r w:rsidR="00211983" w:rsidRPr="00211983">
              <w:rPr>
                <w:webHidden/>
              </w:rPr>
              <w:instrText xml:space="preserve"> PAGEREF _Toc455159117 \h </w:instrText>
            </w:r>
            <w:r w:rsidR="00211983" w:rsidRPr="00211983">
              <w:rPr>
                <w:webHidden/>
              </w:rPr>
            </w:r>
            <w:r w:rsidR="00211983" w:rsidRPr="00211983">
              <w:rPr>
                <w:webHidden/>
              </w:rPr>
              <w:fldChar w:fldCharType="separate"/>
            </w:r>
            <w:r>
              <w:rPr>
                <w:webHidden/>
              </w:rPr>
              <w:t>342</w:t>
            </w:r>
            <w:r w:rsidR="00211983" w:rsidRPr="00211983">
              <w:rPr>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118" w:history="1">
            <w:r w:rsidR="00211983" w:rsidRPr="00211983">
              <w:rPr>
                <w:rStyle w:val="Hyperlink"/>
                <w:bCs/>
              </w:rPr>
              <w:t>PROYECTO 3:</w:t>
            </w:r>
            <w:r w:rsidR="00211983" w:rsidRPr="00211983">
              <w:rPr>
                <w:rFonts w:eastAsiaTheme="minorEastAsia" w:cstheme="minorBidi"/>
                <w:sz w:val="22"/>
                <w:szCs w:val="22"/>
                <w:lang w:val="en-US"/>
              </w:rPr>
              <w:tab/>
            </w:r>
            <w:r w:rsidR="00211983" w:rsidRPr="00211983">
              <w:rPr>
                <w:rStyle w:val="Hyperlink"/>
                <w:bCs/>
              </w:rPr>
              <w:t>RENOVACIÓN DE LAS FACHADAS E INSTALACIÓN DE REFRIGERACIÓN/CALEFACCIÓN EN EL EDIFICIO PCT (PMM 3)</w:t>
            </w:r>
            <w:r w:rsidR="00211983" w:rsidRPr="00211983">
              <w:rPr>
                <w:webHidden/>
              </w:rPr>
              <w:tab/>
            </w:r>
            <w:r w:rsidR="00211983" w:rsidRPr="00211983">
              <w:rPr>
                <w:webHidden/>
              </w:rPr>
              <w:fldChar w:fldCharType="begin"/>
            </w:r>
            <w:r w:rsidR="00211983" w:rsidRPr="00211983">
              <w:rPr>
                <w:webHidden/>
              </w:rPr>
              <w:instrText xml:space="preserve"> PAGEREF _Toc455159118 \h </w:instrText>
            </w:r>
            <w:r w:rsidR="00211983" w:rsidRPr="00211983">
              <w:rPr>
                <w:webHidden/>
              </w:rPr>
            </w:r>
            <w:r w:rsidR="00211983" w:rsidRPr="00211983">
              <w:rPr>
                <w:webHidden/>
              </w:rPr>
              <w:fldChar w:fldCharType="separate"/>
            </w:r>
            <w:r>
              <w:rPr>
                <w:webHidden/>
              </w:rPr>
              <w:t>349</w:t>
            </w:r>
            <w:r w:rsidR="00211983" w:rsidRPr="00211983">
              <w:rPr>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119" w:history="1">
            <w:r w:rsidR="00211983" w:rsidRPr="00211983">
              <w:rPr>
                <w:rStyle w:val="Hyperlink"/>
                <w:bCs/>
              </w:rPr>
              <w:t>PROYECTO 4:</w:t>
            </w:r>
            <w:r w:rsidR="00211983" w:rsidRPr="00211983">
              <w:rPr>
                <w:rFonts w:eastAsiaTheme="minorEastAsia" w:cstheme="minorBidi"/>
                <w:sz w:val="22"/>
                <w:szCs w:val="22"/>
                <w:lang w:val="en-US"/>
              </w:rPr>
              <w:tab/>
            </w:r>
            <w:r w:rsidR="00211983" w:rsidRPr="00211983">
              <w:rPr>
                <w:rStyle w:val="Hyperlink"/>
                <w:bCs/>
              </w:rPr>
              <w:t>INSTALACIÓN EN LOS EDIFICIOS AB Y PCT DE UN SISTEMA DE REFRIGERACIÓN QUE UTILIZA EL AGUA DEL LAGO DE GINEBRA (“GLN”) (</w:t>
            </w:r>
            <w:r w:rsidR="00211983" w:rsidRPr="00211983">
              <w:rPr>
                <w:rStyle w:val="Hyperlink"/>
                <w:rFonts w:ascii="Arial" w:hAnsi="Arial" w:cs="Arial"/>
                <w:bCs/>
              </w:rPr>
              <w:t>PMM</w:t>
            </w:r>
            <w:r w:rsidR="00211983" w:rsidRPr="00211983">
              <w:rPr>
                <w:rStyle w:val="Hyperlink"/>
                <w:bCs/>
              </w:rPr>
              <w:t xml:space="preserve"> 4)</w:t>
            </w:r>
            <w:r w:rsidR="00211983" w:rsidRPr="00211983">
              <w:rPr>
                <w:webHidden/>
              </w:rPr>
              <w:tab/>
            </w:r>
            <w:r w:rsidR="00211983" w:rsidRPr="00211983">
              <w:rPr>
                <w:webHidden/>
              </w:rPr>
              <w:fldChar w:fldCharType="begin"/>
            </w:r>
            <w:r w:rsidR="00211983" w:rsidRPr="00211983">
              <w:rPr>
                <w:webHidden/>
              </w:rPr>
              <w:instrText xml:space="preserve"> PAGEREF _Toc455159119 \h </w:instrText>
            </w:r>
            <w:r w:rsidR="00211983" w:rsidRPr="00211983">
              <w:rPr>
                <w:webHidden/>
              </w:rPr>
            </w:r>
            <w:r w:rsidR="00211983" w:rsidRPr="00211983">
              <w:rPr>
                <w:webHidden/>
              </w:rPr>
              <w:fldChar w:fldCharType="separate"/>
            </w:r>
            <w:r>
              <w:rPr>
                <w:webHidden/>
              </w:rPr>
              <w:t>353</w:t>
            </w:r>
            <w:r w:rsidR="00211983" w:rsidRPr="00211983">
              <w:rPr>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120" w:history="1">
            <w:r w:rsidR="00211983" w:rsidRPr="00211983">
              <w:rPr>
                <w:rStyle w:val="Hyperlink"/>
                <w:bCs/>
              </w:rPr>
              <w:t>PROYECTO 5:</w:t>
            </w:r>
            <w:r w:rsidR="00211983" w:rsidRPr="00211983">
              <w:rPr>
                <w:rFonts w:eastAsiaTheme="minorEastAsia" w:cstheme="minorBidi"/>
                <w:sz w:val="22"/>
                <w:szCs w:val="22"/>
                <w:lang w:val="en-US"/>
              </w:rPr>
              <w:tab/>
            </w:r>
            <w:r w:rsidR="00211983" w:rsidRPr="00211983">
              <w:rPr>
                <w:rStyle w:val="Hyperlink"/>
                <w:bCs/>
              </w:rPr>
              <w:t>EDIFICIO ARPAD BOGSCH – FASE 1 DE LA RENOVACIÓN DEL SUBSUELO (ADAPTACIÓN DE LAS DIMENSIONES DEL CENTRO DE DATOS Y RENOVACIÓN DE LA IMPRENTA) (PMM 5)</w:t>
            </w:r>
            <w:r w:rsidR="00211983" w:rsidRPr="00211983">
              <w:rPr>
                <w:webHidden/>
              </w:rPr>
              <w:tab/>
            </w:r>
            <w:r w:rsidR="00211983" w:rsidRPr="00211983">
              <w:rPr>
                <w:webHidden/>
              </w:rPr>
              <w:fldChar w:fldCharType="begin"/>
            </w:r>
            <w:r w:rsidR="00211983" w:rsidRPr="00211983">
              <w:rPr>
                <w:webHidden/>
              </w:rPr>
              <w:instrText xml:space="preserve"> PAGEREF _Toc455159120 \h </w:instrText>
            </w:r>
            <w:r w:rsidR="00211983" w:rsidRPr="00211983">
              <w:rPr>
                <w:webHidden/>
              </w:rPr>
            </w:r>
            <w:r w:rsidR="00211983" w:rsidRPr="00211983">
              <w:rPr>
                <w:webHidden/>
              </w:rPr>
              <w:fldChar w:fldCharType="separate"/>
            </w:r>
            <w:r>
              <w:rPr>
                <w:webHidden/>
              </w:rPr>
              <w:t>357</w:t>
            </w:r>
            <w:r w:rsidR="00211983" w:rsidRPr="00211983">
              <w:rPr>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121" w:history="1">
            <w:r w:rsidR="00211983" w:rsidRPr="00211983">
              <w:rPr>
                <w:rStyle w:val="Hyperlink"/>
                <w:bCs/>
              </w:rPr>
              <w:t>PROYECTO 6:</w:t>
            </w:r>
            <w:r w:rsidR="00211983" w:rsidRPr="00211983">
              <w:rPr>
                <w:rFonts w:eastAsiaTheme="minorEastAsia" w:cstheme="minorBidi"/>
                <w:sz w:val="22"/>
                <w:szCs w:val="22"/>
                <w:lang w:val="en-US"/>
              </w:rPr>
              <w:tab/>
            </w:r>
            <w:r w:rsidR="00211983" w:rsidRPr="00211983">
              <w:rPr>
                <w:rStyle w:val="Hyperlink"/>
                <w:bCs/>
              </w:rPr>
              <w:t>EDIFICIO ARPAD BOGSCH – SUSTITUCIÓN DE DETERMINADAS VENTANAS (PMM 6)</w:t>
            </w:r>
            <w:r w:rsidR="00211983" w:rsidRPr="00211983">
              <w:rPr>
                <w:webHidden/>
              </w:rPr>
              <w:tab/>
            </w:r>
            <w:r w:rsidR="00211983" w:rsidRPr="00211983">
              <w:rPr>
                <w:webHidden/>
              </w:rPr>
              <w:fldChar w:fldCharType="begin"/>
            </w:r>
            <w:r w:rsidR="00211983" w:rsidRPr="00211983">
              <w:rPr>
                <w:webHidden/>
              </w:rPr>
              <w:instrText xml:space="preserve"> PAGEREF _Toc455159121 \h </w:instrText>
            </w:r>
            <w:r w:rsidR="00211983" w:rsidRPr="00211983">
              <w:rPr>
                <w:webHidden/>
              </w:rPr>
            </w:r>
            <w:r w:rsidR="00211983" w:rsidRPr="00211983">
              <w:rPr>
                <w:webHidden/>
              </w:rPr>
              <w:fldChar w:fldCharType="separate"/>
            </w:r>
            <w:r>
              <w:rPr>
                <w:webHidden/>
              </w:rPr>
              <w:t>360</w:t>
            </w:r>
            <w:r w:rsidR="00211983" w:rsidRPr="00211983">
              <w:rPr>
                <w:webHidden/>
              </w:rPr>
              <w:fldChar w:fldCharType="end"/>
            </w:r>
          </w:hyperlink>
        </w:p>
        <w:p w:rsidR="00211983" w:rsidRPr="00211983" w:rsidRDefault="00F80D4E" w:rsidP="008F093A">
          <w:pPr>
            <w:pStyle w:val="TOC3"/>
            <w:rPr>
              <w:rFonts w:eastAsiaTheme="minorEastAsia" w:cstheme="minorBidi"/>
              <w:sz w:val="22"/>
              <w:szCs w:val="22"/>
              <w:lang w:val="en-US"/>
            </w:rPr>
          </w:pPr>
          <w:hyperlink w:anchor="_Toc455159122" w:history="1">
            <w:r w:rsidR="00211983" w:rsidRPr="00211983">
              <w:rPr>
                <w:rStyle w:val="Hyperlink"/>
                <w:bCs/>
              </w:rPr>
              <w:t>PROYECTO 7:</w:t>
            </w:r>
            <w:r w:rsidR="00211983" w:rsidRPr="00211983">
              <w:rPr>
                <w:rFonts w:eastAsiaTheme="minorEastAsia" w:cstheme="minorBidi"/>
                <w:sz w:val="22"/>
                <w:szCs w:val="22"/>
                <w:lang w:val="en-US"/>
              </w:rPr>
              <w:tab/>
            </w:r>
            <w:r w:rsidR="00211983" w:rsidRPr="00211983">
              <w:rPr>
                <w:rStyle w:val="Hyperlink"/>
                <w:bCs/>
              </w:rPr>
              <w:t>MEDIDAS DE SEGURIDAD Y DE PROTECCIÓN CONTRA INCENDIOS (PMM 7)</w:t>
            </w:r>
            <w:r w:rsidR="00211983" w:rsidRPr="00211983">
              <w:rPr>
                <w:webHidden/>
              </w:rPr>
              <w:tab/>
            </w:r>
            <w:r w:rsidR="00211983" w:rsidRPr="00211983">
              <w:rPr>
                <w:webHidden/>
              </w:rPr>
              <w:fldChar w:fldCharType="begin"/>
            </w:r>
            <w:r w:rsidR="00211983" w:rsidRPr="00211983">
              <w:rPr>
                <w:webHidden/>
              </w:rPr>
              <w:instrText xml:space="preserve"> PAGEREF _Toc455159122 \h </w:instrText>
            </w:r>
            <w:r w:rsidR="00211983" w:rsidRPr="00211983">
              <w:rPr>
                <w:webHidden/>
              </w:rPr>
            </w:r>
            <w:r w:rsidR="00211983" w:rsidRPr="00211983">
              <w:rPr>
                <w:webHidden/>
              </w:rPr>
              <w:fldChar w:fldCharType="separate"/>
            </w:r>
            <w:r>
              <w:rPr>
                <w:webHidden/>
              </w:rPr>
              <w:t>363</w:t>
            </w:r>
            <w:r w:rsidR="00211983" w:rsidRPr="00211983">
              <w:rPr>
                <w:webHidden/>
              </w:rPr>
              <w:fldChar w:fldCharType="end"/>
            </w:r>
          </w:hyperlink>
        </w:p>
        <w:p w:rsidR="00211983" w:rsidRPr="00211983" w:rsidRDefault="00F80D4E" w:rsidP="00DD5AB6">
          <w:pPr>
            <w:pStyle w:val="TOC2"/>
            <w:rPr>
              <w:rFonts w:eastAsiaTheme="minorEastAsia" w:cstheme="minorBidi"/>
              <w:noProof/>
              <w:sz w:val="22"/>
              <w:szCs w:val="22"/>
            </w:rPr>
          </w:pPr>
          <w:hyperlink w:anchor="_Toc455159123" w:history="1">
            <w:r w:rsidR="008F093A">
              <w:rPr>
                <w:rStyle w:val="Hyperlink"/>
                <w:noProof/>
              </w:rPr>
              <w:t>APÉNDICE IV</w:t>
            </w:r>
            <w:r w:rsidR="008F093A" w:rsidRPr="008F093A">
              <w:rPr>
                <w:rStyle w:val="Hyperlink"/>
                <w:noProof/>
              </w:rPr>
              <w:tab/>
            </w:r>
            <w:r w:rsidR="00211983" w:rsidRPr="00211983">
              <w:rPr>
                <w:rStyle w:val="Hyperlink"/>
                <w:noProof/>
              </w:rPr>
              <w:t>SIGLAS Y ABREVIATURAS EMPLEADAS EN EL PRESENTE DOCUMENTO</w:t>
            </w:r>
            <w:r w:rsidR="00211983" w:rsidRPr="00211983">
              <w:rPr>
                <w:noProof/>
                <w:webHidden/>
              </w:rPr>
              <w:tab/>
            </w:r>
            <w:r w:rsidR="00211983" w:rsidRPr="00211983">
              <w:rPr>
                <w:noProof/>
                <w:webHidden/>
              </w:rPr>
              <w:fldChar w:fldCharType="begin"/>
            </w:r>
            <w:r w:rsidR="00211983" w:rsidRPr="00211983">
              <w:rPr>
                <w:noProof/>
                <w:webHidden/>
              </w:rPr>
              <w:instrText xml:space="preserve"> PAGEREF _Toc455159123 \h </w:instrText>
            </w:r>
            <w:r w:rsidR="00211983" w:rsidRPr="00211983">
              <w:rPr>
                <w:noProof/>
                <w:webHidden/>
              </w:rPr>
            </w:r>
            <w:r w:rsidR="00211983" w:rsidRPr="00211983">
              <w:rPr>
                <w:noProof/>
                <w:webHidden/>
              </w:rPr>
              <w:fldChar w:fldCharType="separate"/>
            </w:r>
            <w:r>
              <w:rPr>
                <w:noProof/>
                <w:webHidden/>
              </w:rPr>
              <w:t>367</w:t>
            </w:r>
            <w:r w:rsidR="00211983" w:rsidRPr="00211983">
              <w:rPr>
                <w:noProof/>
                <w:webHidden/>
              </w:rPr>
              <w:fldChar w:fldCharType="end"/>
            </w:r>
          </w:hyperlink>
        </w:p>
        <w:p w:rsidR="00211983" w:rsidRPr="00211983" w:rsidRDefault="00211983">
          <w:r w:rsidRPr="00211983">
            <w:rPr>
              <w:bCs/>
              <w:noProof/>
            </w:rPr>
            <w:fldChar w:fldCharType="end"/>
          </w:r>
        </w:p>
      </w:sdtContent>
    </w:sdt>
    <w:p w:rsidR="00B26D73" w:rsidRDefault="00B26D73" w:rsidP="00B26D73">
      <w:pPr>
        <w:rPr>
          <w:lang w:val="en-US"/>
        </w:rPr>
      </w:pPr>
    </w:p>
    <w:p w:rsidR="00B26D73" w:rsidRDefault="00B26D73">
      <w:pPr>
        <w:rPr>
          <w:lang w:val="en-US"/>
        </w:rPr>
      </w:pPr>
      <w:r>
        <w:rPr>
          <w:lang w:val="en-US"/>
        </w:rPr>
        <w:br w:type="page"/>
      </w:r>
    </w:p>
    <w:p w:rsidR="00A712D3" w:rsidRPr="00685779" w:rsidRDefault="008C30EE" w:rsidP="002671EB">
      <w:pPr>
        <w:pStyle w:val="Heading1"/>
        <w:tabs>
          <w:tab w:val="clear" w:pos="284"/>
        </w:tabs>
        <w:ind w:hanging="578"/>
        <w:rPr>
          <w:szCs w:val="22"/>
        </w:rPr>
      </w:pPr>
      <w:bookmarkStart w:id="6" w:name="_Toc455159063"/>
      <w:r w:rsidRPr="00685779">
        <w:lastRenderedPageBreak/>
        <w:t>INTRODUCCIÓN</w:t>
      </w:r>
      <w:bookmarkEnd w:id="6"/>
    </w:p>
    <w:p w:rsidR="00E020B6" w:rsidRPr="001402C5" w:rsidRDefault="00E020B6" w:rsidP="00E020B6">
      <w:pPr>
        <w:jc w:val="both"/>
        <w:rPr>
          <w:sz w:val="20"/>
        </w:rPr>
      </w:pPr>
      <w:bookmarkStart w:id="7" w:name="_Toc454544456"/>
    </w:p>
    <w:p w:rsidR="00E020B6" w:rsidRPr="001402C5" w:rsidRDefault="00E020B6" w:rsidP="009025C4">
      <w:pPr>
        <w:pStyle w:val="ONUMFS"/>
        <w:jc w:val="both"/>
        <w:rPr>
          <w:sz w:val="20"/>
        </w:rPr>
      </w:pPr>
      <w:r w:rsidRPr="001402C5">
        <w:rPr>
          <w:sz w:val="20"/>
        </w:rPr>
        <w:t xml:space="preserve">El Informe sobre el rendimiento de los programas (documento PPR) es el principal mecanismo de rendición de cuentas que se utiliza para informar a los Estados miembros sobre el rendimiento de la Organización, y es un elemento esencial del marco de gestión por resultados de la OMPI.  El Informe constituye asimismo una importante herramienta de aprendizaje que garantiza la asimilación de las lecciones que se desprenden del rendimiento logrado en el pasado y su debida incorporación a la aplicación futura de las actividades de la OMPI.  El documento PPR constituye una autoevaluación a cargo de los directores de programa basada en el marco de resultados aprobado por los Estados miembros.  Al igual que en 2014, la evaluación de la aplicación de la Agenda para el Desarrollo (A.D.) se incorporó y, por lo tanto, se integró en los Logros alcanzados en el bienio 2014/15, en lugar de ser examinada en una sección aparte.  En el marco del compromiso de la OMPI de reforzar los sistemas de gestión de riesgos, el documento PPR de 2014/15 se ha perfeccionado para incluir, por primera vez, una sección dedicada a la Presentación de informes en materia de riesgos durante el bienio.  Para reforzar la validez de la información contenida en el documento PPR, la División de Supervisión Interna (DSI) realiza cada dos años una validación de los datos sobre el rendimiento.  La validación del documento PPR de 2014/15 se recoge en el documento WO/PBC/25/8.  </w:t>
      </w:r>
    </w:p>
    <w:p w:rsidR="00E020B6" w:rsidRPr="001402C5" w:rsidRDefault="00E020B6" w:rsidP="00E020B6">
      <w:pPr>
        <w:pStyle w:val="ONUMFS"/>
        <w:jc w:val="both"/>
        <w:rPr>
          <w:sz w:val="20"/>
        </w:rPr>
      </w:pPr>
      <w:r w:rsidRPr="001402C5">
        <w:rPr>
          <w:sz w:val="20"/>
        </w:rPr>
        <w:t>El documento PPR de 2014/15 es un informe que se elabora a final del bienio y que valorar los avances y/o los logros alcanzados en la consecución de los resultados previstos, medidos en función de los indicadores de rendimiento y teniendo en cuenta los recursos aprobados en el presupuesto por programas de 2014/15</w:t>
      </w:r>
      <w:r w:rsidRPr="001402C5">
        <w:rPr>
          <w:sz w:val="20"/>
          <w:vertAlign w:val="superscript"/>
        </w:rPr>
        <w:footnoteReference w:id="2"/>
      </w:r>
      <w:r w:rsidRPr="001402C5">
        <w:rPr>
          <w:sz w:val="20"/>
        </w:rPr>
        <w:t>.  La medición de un mismo indicador de rendimiento puede hacerse por medio de más de un objetivo.  En es</w:t>
      </w:r>
      <w:r w:rsidR="00CE5FE1">
        <w:rPr>
          <w:sz w:val="20"/>
        </w:rPr>
        <w:t>os casos</w:t>
      </w:r>
      <w:r w:rsidRPr="001402C5">
        <w:rPr>
          <w:sz w:val="20"/>
        </w:rPr>
        <w:t xml:space="preserve"> se proporciona la calificación de cada objetivo, dando  lugar con ello a múltiples calificaciones.  En el documento PPR de 2014/15 se han utilizado los siguientes criterios de evaluación:</w:t>
      </w:r>
    </w:p>
    <w:p w:rsidR="00E020B6" w:rsidRPr="006B1CAE" w:rsidRDefault="00E020B6" w:rsidP="000C6F77">
      <w:pPr>
        <w:pStyle w:val="ONUMFS"/>
        <w:jc w:val="both"/>
        <w:rPr>
          <w:sz w:val="20"/>
        </w:rPr>
      </w:pPr>
      <w:r w:rsidRPr="006B1CAE">
        <w:rPr>
          <w:sz w:val="20"/>
        </w:rPr>
        <w:t>Clave de colores:</w:t>
      </w:r>
    </w:p>
    <w:p w:rsidR="00E020B6" w:rsidRPr="001402C5" w:rsidRDefault="00E020B6" w:rsidP="000C6F77">
      <w:pPr>
        <w:numPr>
          <w:ilvl w:val="0"/>
          <w:numId w:val="5"/>
        </w:numPr>
        <w:jc w:val="both"/>
        <w:rPr>
          <w:sz w:val="20"/>
        </w:rPr>
      </w:pPr>
      <w:r w:rsidRPr="001402C5">
        <w:rPr>
          <w:b/>
          <w:bCs/>
          <w:color w:val="008000"/>
          <w:sz w:val="20"/>
        </w:rPr>
        <w:t>Plenamente logrado</w:t>
      </w:r>
      <w:r w:rsidRPr="001402C5">
        <w:rPr>
          <w:sz w:val="20"/>
        </w:rPr>
        <w:t xml:space="preserve"> se aplica cuando los datos sobre el rendimiento correspondientes al bienio 2014/15 indican que el objetivo del indicador de rendimiento se ha alcanzado en un  80% o en un porcentaje superior.</w:t>
      </w:r>
    </w:p>
    <w:p w:rsidR="00E020B6" w:rsidRPr="001402C5" w:rsidRDefault="00E020B6" w:rsidP="000C6F77">
      <w:pPr>
        <w:numPr>
          <w:ilvl w:val="0"/>
          <w:numId w:val="5"/>
        </w:numPr>
        <w:spacing w:before="120"/>
        <w:jc w:val="both"/>
        <w:rPr>
          <w:sz w:val="20"/>
        </w:rPr>
      </w:pPr>
      <w:r w:rsidRPr="001402C5">
        <w:rPr>
          <w:b/>
          <w:bCs/>
          <w:color w:val="E26B0A"/>
          <w:sz w:val="20"/>
        </w:rPr>
        <w:t>Parcialmente logrado</w:t>
      </w:r>
      <w:r w:rsidRPr="001402C5">
        <w:rPr>
          <w:sz w:val="20"/>
        </w:rPr>
        <w:t xml:space="preserve"> se aplica cuando los datos sobre el rendimiento correspondientes al bienio 2014/15 indican que el objetivo del indicador se ha alcanzado en un porcentaje de entre el 30% y el 80%. </w:t>
      </w:r>
    </w:p>
    <w:p w:rsidR="00E020B6" w:rsidRPr="001402C5" w:rsidRDefault="00E020B6" w:rsidP="000C6F77">
      <w:pPr>
        <w:numPr>
          <w:ilvl w:val="0"/>
          <w:numId w:val="5"/>
        </w:numPr>
        <w:spacing w:before="120"/>
        <w:jc w:val="both"/>
        <w:rPr>
          <w:sz w:val="20"/>
        </w:rPr>
      </w:pPr>
      <w:r w:rsidRPr="001402C5">
        <w:rPr>
          <w:b/>
          <w:bCs/>
          <w:color w:val="FF0000"/>
          <w:sz w:val="20"/>
        </w:rPr>
        <w:t>No logrado</w:t>
      </w:r>
      <w:r w:rsidRPr="001402C5">
        <w:rPr>
          <w:sz w:val="20"/>
        </w:rPr>
        <w:t xml:space="preserve"> se aplica cuando los datos sobre el rendimiento correspondientes al bienio 2014/15 indican que el objetivo del indicador del rendimiento no ha alcanzado el 30%. </w:t>
      </w:r>
    </w:p>
    <w:p w:rsidR="00E020B6" w:rsidRDefault="00E020B6" w:rsidP="000C6F77">
      <w:pPr>
        <w:pStyle w:val="ListParagraph"/>
        <w:ind w:left="794"/>
        <w:jc w:val="both"/>
        <w:rPr>
          <w:lang w:val="es-ES"/>
        </w:rPr>
      </w:pPr>
    </w:p>
    <w:p w:rsidR="00E020B6" w:rsidRDefault="00E020B6" w:rsidP="000C6F77">
      <w:pPr>
        <w:pStyle w:val="ListParagraph"/>
        <w:numPr>
          <w:ilvl w:val="0"/>
          <w:numId w:val="5"/>
        </w:numPr>
        <w:jc w:val="both"/>
        <w:rPr>
          <w:lang w:val="es-ES"/>
        </w:rPr>
      </w:pPr>
      <w:r w:rsidRPr="00F36C80">
        <w:rPr>
          <w:b/>
          <w:bCs/>
          <w:color w:val="7F7F7F" w:themeColor="text1" w:themeTint="80"/>
          <w:lang w:val="es-ES"/>
        </w:rPr>
        <w:t>No mensurable</w:t>
      </w:r>
      <w:r w:rsidRPr="001438E7">
        <w:rPr>
          <w:rStyle w:val="FootnoteReference"/>
          <w:b/>
          <w:bCs/>
          <w:color w:val="7F7F7F" w:themeColor="text1" w:themeTint="80"/>
          <w:lang w:val="es-ES"/>
        </w:rPr>
        <w:footnoteReference w:id="3"/>
      </w:r>
      <w:r w:rsidRPr="00F36C80">
        <w:rPr>
          <w:b/>
          <w:bCs/>
          <w:color w:val="A6A6A6" w:themeColor="background1" w:themeShade="A6"/>
          <w:lang w:val="es-ES"/>
        </w:rPr>
        <w:t xml:space="preserve"> </w:t>
      </w:r>
      <w:r w:rsidRPr="00F36C80">
        <w:rPr>
          <w:lang w:val="es-ES"/>
        </w:rPr>
        <w:t>se aplica cuando no resulta viable evaluar el rendimiento por no haberse definido adecuadamente</w:t>
      </w:r>
      <w:r>
        <w:rPr>
          <w:lang w:val="es-ES"/>
        </w:rPr>
        <w:t xml:space="preserve"> el </w:t>
      </w:r>
      <w:r w:rsidRPr="00F36C80">
        <w:rPr>
          <w:lang w:val="es-ES"/>
        </w:rPr>
        <w:t>objetivo</w:t>
      </w:r>
      <w:r>
        <w:rPr>
          <w:lang w:val="es-ES"/>
        </w:rPr>
        <w:t>, cuando no se dispone de una base de referencia</w:t>
      </w:r>
      <w:r w:rsidRPr="00F36C80">
        <w:rPr>
          <w:lang w:val="es-ES"/>
        </w:rPr>
        <w:t xml:space="preserve"> o cuando los datos de rendimiento son insuficientes para determinar </w:t>
      </w:r>
      <w:r>
        <w:rPr>
          <w:lang w:val="es-ES"/>
        </w:rPr>
        <w:t xml:space="preserve">la clasificación en </w:t>
      </w:r>
      <w:r w:rsidRPr="00F36C80">
        <w:rPr>
          <w:lang w:val="es-ES"/>
        </w:rPr>
        <w:t>la clave de colores</w:t>
      </w:r>
      <w:r>
        <w:rPr>
          <w:lang w:val="es-ES"/>
        </w:rPr>
        <w:t>, y;</w:t>
      </w:r>
    </w:p>
    <w:p w:rsidR="00E020B6" w:rsidRPr="001402C5" w:rsidRDefault="00E020B6" w:rsidP="000C6F77">
      <w:pPr>
        <w:numPr>
          <w:ilvl w:val="0"/>
          <w:numId w:val="5"/>
        </w:numPr>
        <w:spacing w:before="120"/>
        <w:jc w:val="both"/>
        <w:rPr>
          <w:sz w:val="20"/>
        </w:rPr>
      </w:pPr>
      <w:r w:rsidRPr="001402C5">
        <w:rPr>
          <w:b/>
          <w:bCs/>
          <w:sz w:val="20"/>
        </w:rPr>
        <w:t>Discontinuado</w:t>
      </w:r>
      <w:r w:rsidRPr="001402C5">
        <w:rPr>
          <w:b/>
          <w:bCs/>
          <w:color w:val="808080"/>
          <w:sz w:val="20"/>
        </w:rPr>
        <w:t xml:space="preserve"> </w:t>
      </w:r>
      <w:r w:rsidRPr="001402C5">
        <w:rPr>
          <w:sz w:val="20"/>
        </w:rPr>
        <w:t xml:space="preserve">se aplica cuando ha dejado de utilizarse un indicador de rendimiento para medir el rendimiento del programa.  </w:t>
      </w:r>
    </w:p>
    <w:p w:rsidR="00E020B6" w:rsidRPr="001402C5" w:rsidRDefault="00E020B6" w:rsidP="000C6F77">
      <w:pPr>
        <w:jc w:val="both"/>
        <w:rPr>
          <w:sz w:val="20"/>
        </w:rPr>
      </w:pPr>
    </w:p>
    <w:p w:rsidR="00F754C4" w:rsidRPr="00F754C4" w:rsidRDefault="00F754C4" w:rsidP="000C6F77">
      <w:pPr>
        <w:pStyle w:val="ONUMFS"/>
        <w:jc w:val="both"/>
        <w:rPr>
          <w:sz w:val="20"/>
        </w:rPr>
      </w:pPr>
      <w:r w:rsidRPr="00F754C4">
        <w:rPr>
          <w:sz w:val="20"/>
        </w:rPr>
        <w:t>Del total de 394 indicadores de rendimiento previstos en el presupuesto por programas de 2014/15,</w:t>
      </w:r>
      <w:r w:rsidR="00CE5FE1">
        <w:rPr>
          <w:sz w:val="20"/>
        </w:rPr>
        <w:t xml:space="preserve"> </w:t>
      </w:r>
      <w:r w:rsidRPr="00F754C4">
        <w:rPr>
          <w:sz w:val="20"/>
        </w:rPr>
        <w:t>286 (el</w:t>
      </w:r>
      <w:r w:rsidR="00CE5FE1">
        <w:rPr>
          <w:sz w:val="20"/>
        </w:rPr>
        <w:t xml:space="preserve"> </w:t>
      </w:r>
      <w:r w:rsidRPr="00F754C4">
        <w:rPr>
          <w:sz w:val="20"/>
        </w:rPr>
        <w:t>72%) recibieron la calificación “Plenamente logrado”.  A un total de</w:t>
      </w:r>
      <w:r w:rsidR="00CE5FE1">
        <w:rPr>
          <w:sz w:val="20"/>
        </w:rPr>
        <w:t xml:space="preserve"> </w:t>
      </w:r>
      <w:r w:rsidRPr="00F754C4">
        <w:rPr>
          <w:sz w:val="20"/>
        </w:rPr>
        <w:t>19 indicadores (el 5%) se les aplicó la calificación “Parcialmente logrado” y a</w:t>
      </w:r>
      <w:r w:rsidR="00CE5FE1">
        <w:rPr>
          <w:sz w:val="20"/>
        </w:rPr>
        <w:t xml:space="preserve"> </w:t>
      </w:r>
      <w:r w:rsidRPr="00F754C4">
        <w:rPr>
          <w:sz w:val="20"/>
        </w:rPr>
        <w:t>46 (el 12%) la de “No logrado”.  Aproximadamente 35 indicadores (el 9%) fueron calificados como “No mensurables” y otros</w:t>
      </w:r>
      <w:r w:rsidR="00CE5FE1">
        <w:rPr>
          <w:sz w:val="20"/>
        </w:rPr>
        <w:t xml:space="preserve"> </w:t>
      </w:r>
      <w:r w:rsidRPr="00F754C4">
        <w:rPr>
          <w:sz w:val="20"/>
        </w:rPr>
        <w:t>8 (el 2%) recibieron la calificación de “Discontinuado”.</w:t>
      </w:r>
    </w:p>
    <w:p w:rsidR="00E020B6" w:rsidRPr="001402C5" w:rsidRDefault="00E020B6" w:rsidP="00E020B6">
      <w:pPr>
        <w:jc w:val="both"/>
        <w:rPr>
          <w:sz w:val="20"/>
        </w:rPr>
      </w:pPr>
    </w:p>
    <w:p w:rsidR="00E020B6" w:rsidRPr="001402C5" w:rsidRDefault="00E020B6" w:rsidP="00E020B6">
      <w:pPr>
        <w:jc w:val="center"/>
        <w:rPr>
          <w:sz w:val="20"/>
        </w:rPr>
      </w:pPr>
      <w:r w:rsidRPr="001402C5">
        <w:rPr>
          <w:noProof/>
          <w:sz w:val="20"/>
          <w:lang w:val="en-US" w:eastAsia="en-US"/>
        </w:rPr>
        <w:lastRenderedPageBreak/>
        <w:drawing>
          <wp:inline distT="0" distB="0" distL="0" distR="0" wp14:anchorId="1895242C" wp14:editId="2C997ABC">
            <wp:extent cx="4881781" cy="280312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0819" cy="2802577"/>
                    </a:xfrm>
                    <a:prstGeom prst="rect">
                      <a:avLst/>
                    </a:prstGeom>
                    <a:noFill/>
                    <a:ln>
                      <a:noFill/>
                    </a:ln>
                  </pic:spPr>
                </pic:pic>
              </a:graphicData>
            </a:graphic>
          </wp:inline>
        </w:drawing>
      </w:r>
    </w:p>
    <w:p w:rsidR="00A712D3" w:rsidRPr="00B010F4" w:rsidRDefault="00E020B6" w:rsidP="002671EB">
      <w:pPr>
        <w:pStyle w:val="Heading1"/>
        <w:tabs>
          <w:tab w:val="clear" w:pos="284"/>
        </w:tabs>
        <w:ind w:hanging="578"/>
        <w:rPr>
          <w:szCs w:val="22"/>
        </w:rPr>
      </w:pPr>
      <w:bookmarkStart w:id="8" w:name="_Toc382905012"/>
      <w:bookmarkStart w:id="9" w:name="_Toc420582484"/>
      <w:bookmarkStart w:id="10" w:name="_Toc455159064"/>
      <w:bookmarkEnd w:id="7"/>
      <w:r w:rsidRPr="00B010F4">
        <w:rPr>
          <w:caps w:val="0"/>
          <w:szCs w:val="22"/>
        </w:rPr>
        <w:t xml:space="preserve">RESUMEN DE LOS AVANCES LOGRADOS EN </w:t>
      </w:r>
      <w:bookmarkEnd w:id="8"/>
      <w:r w:rsidRPr="00B010F4">
        <w:rPr>
          <w:caps w:val="0"/>
          <w:szCs w:val="22"/>
        </w:rPr>
        <w:t>2014</w:t>
      </w:r>
      <w:bookmarkEnd w:id="9"/>
      <w:r w:rsidRPr="00B010F4">
        <w:rPr>
          <w:caps w:val="0"/>
          <w:szCs w:val="22"/>
        </w:rPr>
        <w:t>/15</w:t>
      </w:r>
      <w:bookmarkEnd w:id="10"/>
    </w:p>
    <w:p w:rsidR="006760C1" w:rsidRPr="001402C5" w:rsidRDefault="006760C1" w:rsidP="006760C1">
      <w:pPr>
        <w:rPr>
          <w:sz w:val="20"/>
        </w:rPr>
      </w:pPr>
      <w:bookmarkStart w:id="11" w:name="_Toc392610023"/>
    </w:p>
    <w:p w:rsidR="00044D62" w:rsidRPr="00044D62" w:rsidRDefault="00044D62" w:rsidP="00044D62">
      <w:pPr>
        <w:pStyle w:val="ONUMFS"/>
        <w:jc w:val="both"/>
        <w:rPr>
          <w:sz w:val="20"/>
        </w:rPr>
      </w:pPr>
      <w:r w:rsidRPr="00044D62">
        <w:rPr>
          <w:sz w:val="20"/>
        </w:rPr>
        <w:t>El documento PPR de 2014/15 incluye cuadros sobre el rendimiento de cada una de la</w:t>
      </w:r>
      <w:r w:rsidR="008B1CDA">
        <w:rPr>
          <w:sz w:val="20"/>
        </w:rPr>
        <w:t>s nueve metas estratégicas.  Es</w:t>
      </w:r>
      <w:r w:rsidRPr="00044D62">
        <w:rPr>
          <w:sz w:val="20"/>
        </w:rPr>
        <w:t xml:space="preserve">os cuadros proporcionan un resumen gráfico de los avances logrados </w:t>
      </w:r>
      <w:r>
        <w:rPr>
          <w:sz w:val="20"/>
        </w:rPr>
        <w:t>en </w:t>
      </w:r>
      <w:r w:rsidRPr="00044D62">
        <w:rPr>
          <w:sz w:val="20"/>
        </w:rPr>
        <w:t xml:space="preserve">2014/2015 tomando como referencia </w:t>
      </w:r>
      <w:r w:rsidRPr="00044D62">
        <w:rPr>
          <w:color w:val="000000"/>
          <w:sz w:val="20"/>
        </w:rPr>
        <w:t>los indicadores de rendimiento de los programas que contribuyen a la consecución de las metas respectivas.</w:t>
      </w:r>
      <w:r w:rsidRPr="00044D62">
        <w:rPr>
          <w:sz w:val="20"/>
        </w:rPr>
        <w:t xml:space="preserve">  Al evaluar el rendimiento, se realizó por primera vez en lo que respecta a los programas un análisis en profundidad de los riesgos identificados en el presupuesto por programas de 2014/15.  Esto incluyó una evaluación de la evolución de los riesgos durante el bienio para determinar, entre otras cosas, la materialización o no de los riesgos;  la aplicación de estrategias de mitigación;  y la incidencia sobre el rendimiento de los programas en la consecución de los resultados previstos.  </w:t>
      </w:r>
      <w:r w:rsidRPr="00044D62">
        <w:rPr>
          <w:color w:val="000000"/>
          <w:sz w:val="20"/>
        </w:rPr>
        <w:t xml:space="preserve">En la meta estratégica IX y en el </w:t>
      </w:r>
      <w:r w:rsidR="008B1CDA" w:rsidRPr="00044D62">
        <w:rPr>
          <w:color w:val="000000"/>
          <w:sz w:val="20"/>
        </w:rPr>
        <w:t>programa </w:t>
      </w:r>
      <w:r w:rsidRPr="00044D62">
        <w:rPr>
          <w:color w:val="000000"/>
          <w:sz w:val="20"/>
        </w:rPr>
        <w:t>22 figura una visión de conjunto de la mejora de los procesos de gestión de riesgos de la OMPI.</w:t>
      </w:r>
      <w:r w:rsidRPr="00044D62">
        <w:rPr>
          <w:sz w:val="20"/>
        </w:rPr>
        <w:t xml:space="preserve">  </w:t>
      </w:r>
    </w:p>
    <w:p w:rsidR="00044D62" w:rsidRPr="00044D62" w:rsidRDefault="00044D62" w:rsidP="00044D62">
      <w:pPr>
        <w:pStyle w:val="ONUMFS"/>
        <w:jc w:val="both"/>
        <w:rPr>
          <w:sz w:val="20"/>
        </w:rPr>
      </w:pPr>
      <w:r w:rsidRPr="00044D62">
        <w:rPr>
          <w:sz w:val="20"/>
        </w:rPr>
        <w:t>A continuación se indican de forma resumida los avances más destacados acaecidos en 2014/15 hacia la consecución de las nueve metas estratégicas.</w:t>
      </w:r>
    </w:p>
    <w:p w:rsidR="006760C1" w:rsidRPr="001402C5" w:rsidRDefault="006760C1" w:rsidP="006760C1">
      <w:pPr>
        <w:jc w:val="both"/>
        <w:rPr>
          <w:sz w:val="20"/>
        </w:rPr>
      </w:pPr>
    </w:p>
    <w:p w:rsidR="006760C1" w:rsidRDefault="006760C1" w:rsidP="006760C1">
      <w:pPr>
        <w:jc w:val="center"/>
        <w:rPr>
          <w:b/>
          <w:sz w:val="18"/>
          <w:szCs w:val="18"/>
        </w:rPr>
      </w:pPr>
      <w:r w:rsidRPr="005526E0">
        <w:rPr>
          <w:b/>
          <w:sz w:val="18"/>
          <w:szCs w:val="18"/>
        </w:rPr>
        <w:t>Síntesis unificada de</w:t>
      </w:r>
      <w:r>
        <w:rPr>
          <w:b/>
          <w:sz w:val="18"/>
          <w:szCs w:val="18"/>
        </w:rPr>
        <w:t xml:space="preserve"> los avances logrados en el bienio 2014/15 hacia la consecución </w:t>
      </w:r>
      <w:r w:rsidR="008B1CDA">
        <w:rPr>
          <w:b/>
          <w:sz w:val="18"/>
          <w:szCs w:val="18"/>
        </w:rPr>
        <w:br/>
      </w:r>
      <w:r>
        <w:rPr>
          <w:b/>
          <w:sz w:val="18"/>
          <w:szCs w:val="18"/>
        </w:rPr>
        <w:t>de los resultados previstos</w:t>
      </w:r>
      <w:r w:rsidR="008B1CDA">
        <w:rPr>
          <w:b/>
          <w:sz w:val="18"/>
          <w:szCs w:val="18"/>
        </w:rPr>
        <w:t>, por</w:t>
      </w:r>
      <w:r>
        <w:rPr>
          <w:b/>
          <w:sz w:val="18"/>
          <w:szCs w:val="18"/>
        </w:rPr>
        <w:t xml:space="preserve"> </w:t>
      </w:r>
      <w:r w:rsidRPr="005526E0">
        <w:rPr>
          <w:b/>
          <w:sz w:val="18"/>
          <w:szCs w:val="18"/>
        </w:rPr>
        <w:t>meta estratégica</w:t>
      </w:r>
    </w:p>
    <w:p w:rsidR="006760C1" w:rsidRDefault="006760C1" w:rsidP="006760C1">
      <w:pPr>
        <w:jc w:val="center"/>
        <w:rPr>
          <w:b/>
          <w:iCs/>
          <w:sz w:val="18"/>
          <w:szCs w:val="18"/>
        </w:rPr>
      </w:pPr>
    </w:p>
    <w:p w:rsidR="006760C1" w:rsidRPr="001402C5" w:rsidRDefault="006760C1" w:rsidP="006760C1">
      <w:pPr>
        <w:jc w:val="center"/>
        <w:rPr>
          <w:b/>
          <w:iCs/>
          <w:sz w:val="20"/>
        </w:rPr>
      </w:pPr>
      <w:r w:rsidRPr="001402C5">
        <w:rPr>
          <w:noProof/>
          <w:sz w:val="20"/>
          <w:lang w:val="en-US" w:eastAsia="en-US"/>
        </w:rPr>
        <w:drawing>
          <wp:inline distT="0" distB="0" distL="0" distR="0" wp14:anchorId="5D756003" wp14:editId="7AF13910">
            <wp:extent cx="4761781" cy="2860383"/>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3105" cy="2861178"/>
                    </a:xfrm>
                    <a:prstGeom prst="rect">
                      <a:avLst/>
                    </a:prstGeom>
                    <a:noFill/>
                    <a:ln>
                      <a:noFill/>
                    </a:ln>
                  </pic:spPr>
                </pic:pic>
              </a:graphicData>
            </a:graphic>
          </wp:inline>
        </w:drawing>
      </w:r>
    </w:p>
    <w:p w:rsidR="006760C1" w:rsidRPr="001402C5" w:rsidRDefault="006760C1" w:rsidP="006760C1">
      <w:pPr>
        <w:rPr>
          <w:b/>
          <w:iCs/>
          <w:sz w:val="20"/>
        </w:rPr>
      </w:pPr>
    </w:p>
    <w:p w:rsidR="006760C1" w:rsidRPr="001402C5" w:rsidRDefault="006760C1" w:rsidP="006760C1">
      <w:pPr>
        <w:rPr>
          <w:b/>
          <w:iCs/>
          <w:sz w:val="20"/>
        </w:rPr>
      </w:pPr>
      <w:r w:rsidRPr="001402C5">
        <w:rPr>
          <w:b/>
          <w:iCs/>
          <w:sz w:val="20"/>
        </w:rPr>
        <w:br w:type="page"/>
      </w:r>
    </w:p>
    <w:p w:rsidR="006760C1" w:rsidRPr="001402C5" w:rsidRDefault="006760C1" w:rsidP="006760C1">
      <w:pPr>
        <w:jc w:val="center"/>
        <w:rPr>
          <w:b/>
          <w:iCs/>
          <w:sz w:val="20"/>
        </w:rPr>
      </w:pPr>
      <w:r w:rsidRPr="001402C5">
        <w:rPr>
          <w:b/>
          <w:iCs/>
          <w:sz w:val="20"/>
        </w:rPr>
        <w:lastRenderedPageBreak/>
        <w:t>Meta estratégica I</w:t>
      </w:r>
      <w:proofErr w:type="gramStart"/>
      <w:r w:rsidRPr="001402C5">
        <w:rPr>
          <w:b/>
          <w:iCs/>
          <w:sz w:val="20"/>
        </w:rPr>
        <w:t>:  Evolución</w:t>
      </w:r>
      <w:proofErr w:type="gramEnd"/>
      <w:r w:rsidRPr="001402C5">
        <w:rPr>
          <w:b/>
          <w:iCs/>
          <w:sz w:val="20"/>
        </w:rPr>
        <w:t xml:space="preserve"> equilibrada del marco normativo internacional de P.I.</w:t>
      </w:r>
    </w:p>
    <w:p w:rsidR="006760C1" w:rsidRPr="001402C5" w:rsidRDefault="006760C1" w:rsidP="006760C1">
      <w:pPr>
        <w:jc w:val="center"/>
        <w:rPr>
          <w:b/>
          <w:iCs/>
          <w:sz w:val="20"/>
        </w:rPr>
      </w:pPr>
      <w:r w:rsidRPr="001402C5">
        <w:rPr>
          <w:noProof/>
          <w:sz w:val="20"/>
          <w:lang w:val="en-US" w:eastAsia="en-US"/>
        </w:rPr>
        <w:drawing>
          <wp:inline distT="0" distB="0" distL="0" distR="0" wp14:anchorId="1327232F" wp14:editId="5F7D8C07">
            <wp:extent cx="5527788" cy="2668772"/>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3111" cy="2671342"/>
                    </a:xfrm>
                    <a:prstGeom prst="rect">
                      <a:avLst/>
                    </a:prstGeom>
                    <a:noFill/>
                    <a:ln>
                      <a:noFill/>
                    </a:ln>
                  </pic:spPr>
                </pic:pic>
              </a:graphicData>
            </a:graphic>
          </wp:inline>
        </w:drawing>
      </w:r>
    </w:p>
    <w:p w:rsidR="006760C1" w:rsidRPr="001402C5" w:rsidRDefault="006760C1" w:rsidP="006760C1">
      <w:pPr>
        <w:rPr>
          <w:b/>
          <w:iCs/>
          <w:sz w:val="20"/>
        </w:rPr>
      </w:pPr>
    </w:p>
    <w:p w:rsidR="006760C1" w:rsidRPr="001402C5" w:rsidRDefault="006760C1" w:rsidP="006760C1">
      <w:pPr>
        <w:jc w:val="center"/>
        <w:rPr>
          <w:b/>
          <w:iCs/>
          <w:sz w:val="20"/>
        </w:rPr>
      </w:pPr>
      <w:r w:rsidRPr="0047708A">
        <w:rPr>
          <w:b/>
          <w:sz w:val="18"/>
          <w:szCs w:val="18"/>
        </w:rPr>
        <w:t xml:space="preserve">Resumen de los avances logrados </w:t>
      </w:r>
      <w:r>
        <w:rPr>
          <w:b/>
          <w:sz w:val="18"/>
          <w:szCs w:val="18"/>
        </w:rPr>
        <w:t>por resultado previsto</w:t>
      </w:r>
    </w:p>
    <w:p w:rsidR="006760C1" w:rsidRPr="001402C5" w:rsidRDefault="006760C1" w:rsidP="006760C1">
      <w:pPr>
        <w:jc w:val="center"/>
        <w:rPr>
          <w:b/>
          <w:iCs/>
          <w:sz w:val="20"/>
        </w:rPr>
      </w:pPr>
      <w:r w:rsidRPr="001402C5">
        <w:rPr>
          <w:noProof/>
          <w:sz w:val="20"/>
          <w:lang w:val="en-US" w:eastAsia="en-US"/>
        </w:rPr>
        <w:drawing>
          <wp:inline distT="0" distB="0" distL="0" distR="0" wp14:anchorId="6E71CD18" wp14:editId="1ED608C8">
            <wp:extent cx="5731510" cy="1553035"/>
            <wp:effectExtent l="0" t="0" r="2540" b="952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553035"/>
                    </a:xfrm>
                    <a:prstGeom prst="rect">
                      <a:avLst/>
                    </a:prstGeom>
                    <a:noFill/>
                    <a:ln>
                      <a:noFill/>
                    </a:ln>
                  </pic:spPr>
                </pic:pic>
              </a:graphicData>
            </a:graphic>
          </wp:inline>
        </w:drawing>
      </w:r>
    </w:p>
    <w:p w:rsidR="006760C1" w:rsidRPr="001402C5" w:rsidRDefault="006760C1" w:rsidP="006760C1">
      <w:pPr>
        <w:ind w:hanging="90"/>
        <w:jc w:val="center"/>
        <w:rPr>
          <w:iCs/>
          <w:sz w:val="20"/>
        </w:rPr>
      </w:pPr>
    </w:p>
    <w:p w:rsidR="00346F22" w:rsidRPr="00346F22" w:rsidRDefault="00346F22" w:rsidP="00346F22">
      <w:pPr>
        <w:pStyle w:val="ONUMFS"/>
        <w:jc w:val="both"/>
        <w:rPr>
          <w:sz w:val="20"/>
        </w:rPr>
      </w:pPr>
      <w:r w:rsidRPr="00346F22">
        <w:rPr>
          <w:color w:val="000000"/>
          <w:sz w:val="20"/>
        </w:rPr>
        <w:t>En el bienio 2014/15 siguieron los avances en el marco de esta meta estratégica, si bien a un ritmo más moderado que el esperado.  A fines del bienio todavía quedaban varias cuestiones pendientes en los comités permanentes.</w:t>
      </w:r>
    </w:p>
    <w:p w:rsidR="00346F22" w:rsidRPr="00346F22" w:rsidRDefault="00346F22" w:rsidP="00346F22">
      <w:pPr>
        <w:pStyle w:val="ONUMFS"/>
        <w:jc w:val="both"/>
        <w:rPr>
          <w:bCs/>
          <w:sz w:val="20"/>
        </w:rPr>
      </w:pPr>
      <w:r w:rsidRPr="00346F22">
        <w:rPr>
          <w:bCs/>
          <w:sz w:val="20"/>
        </w:rPr>
        <w:t>En 2014 y 2015 se siguió avanzando en el proceso hacia la entrada en vigor de los dos nuevos tratados sobre derechos de autor.  El Tratado de Beijing sobre Interpretaciones y Ejecuciones Audiovisuales (el “Tratado de Beijing”) obtuvo ocho nuevas ratificaciones y adhesiones (Chile, China, Japón, los Emiratos Árabes Unidos, Eslovaquia, la Federación de Rusia, Qatar y la República de Moldova), alcanzando así un total de 10 de las 30 ratificaciones o adhesiones que son necesarias para su entrada en vigor.  El Tratado de Marrakech para facilitar el acceso a las obras publicadas a las personas ciegas, con discapacidad visual o con otras dificultades para acceder al texto impreso (el “Tratado de Marrakech”) obtuvo un total de 80 firmas antes de la finalización del plazo en junio de 2014.  El Tratado de Marrakech obtuvo 13 ratificaciones y adhesiones (Argentina, Australia, Brasil, El Salvador, los Emiratos Árabes Unidos, la India, Mali, México, Mongolia, Paraguay, la República de Corea, Singapur y Uruguay), avanzando así hacia las 20 necesarias para su entrada en vigor.  Aunque los objetivos</w:t>
      </w:r>
      <w:r w:rsidR="008B1CDA">
        <w:rPr>
          <w:bCs/>
          <w:sz w:val="20"/>
        </w:rPr>
        <w:t xml:space="preserve"> para 2014/15</w:t>
      </w:r>
      <w:r w:rsidRPr="00346F22">
        <w:rPr>
          <w:bCs/>
          <w:sz w:val="20"/>
        </w:rPr>
        <w:t xml:space="preserve"> de ratificación/adhesión solicitados para estos instrumentos en la vigésima sesión del Comité del Programa y Presupuesto eran bastante ambiciosos, teniendo en cuenta la necesidad de mantener las dotaciones de recursos en el nivel propuesto, los objetivos se alcanzaron parcialmente al hacer que la asistencia a los Estados miembros en el proceso de ratificación de los tratados se convirtiera en una prioridad.  Este enfoque se mantendrá en el bienio 2016/17.</w:t>
      </w:r>
    </w:p>
    <w:p w:rsidR="00346F22" w:rsidRPr="00346F22" w:rsidRDefault="00346F22" w:rsidP="00346F22">
      <w:pPr>
        <w:pStyle w:val="ONUMFS"/>
        <w:jc w:val="both"/>
        <w:rPr>
          <w:sz w:val="20"/>
        </w:rPr>
      </w:pPr>
      <w:r w:rsidRPr="00346F22">
        <w:rPr>
          <w:bCs/>
          <w:sz w:val="20"/>
        </w:rPr>
        <w:t>Se volvieron a examinar las cuestiones incluidas en el orden del día del Comité Permanente de Derecho de Autor y Derechos Conexos (SCCR) durante las cinco sesiones celebradas en abril/mayo de 2014, junio/julio de 2014, diciembre de 2014, junio/julio de 2015 y diciembre de 2015.  En el SCCR se celebró un debate sobre la propuesta de tratado sobre los organismos de radiodifusión, y sobre las limitaciones y excepciones relativas a las bibliotecas y los archivos, las instituciones docentes y de investigación y las personas con otras discapacidades</w:t>
      </w:r>
      <w:r w:rsidRPr="00346F22">
        <w:rPr>
          <w:sz w:val="20"/>
        </w:rPr>
        <w:t xml:space="preserve"> (al margen de las abarcadas por el Tratado de Marrakech</w:t>
      </w:r>
      <w:r>
        <w:rPr>
          <w:sz w:val="20"/>
        </w:rPr>
        <w:t xml:space="preserve">). </w:t>
      </w:r>
      <w:r w:rsidRPr="00346F22">
        <w:rPr>
          <w:sz w:val="20"/>
        </w:rPr>
        <w:t xml:space="preserve"> Además, en la sesión celebrada en diciembre de 2015, el SCCR también recibió dos propuestas para su inclusión como asuntos nuevos en el orden del día</w:t>
      </w:r>
      <w:proofErr w:type="gramStart"/>
      <w:r w:rsidRPr="00346F22">
        <w:rPr>
          <w:sz w:val="20"/>
        </w:rPr>
        <w:t>:  una</w:t>
      </w:r>
      <w:proofErr w:type="gramEnd"/>
      <w:r w:rsidRPr="00346F22">
        <w:rPr>
          <w:sz w:val="20"/>
        </w:rPr>
        <w:t xml:space="preserve"> sobre </w:t>
      </w:r>
      <w:r w:rsidR="008B1CDA">
        <w:rPr>
          <w:sz w:val="20"/>
        </w:rPr>
        <w:t>e</w:t>
      </w:r>
      <w:r w:rsidRPr="00346F22">
        <w:rPr>
          <w:sz w:val="20"/>
        </w:rPr>
        <w:t xml:space="preserve">l análisis del derecho </w:t>
      </w:r>
      <w:r w:rsidRPr="00346F22">
        <w:rPr>
          <w:sz w:val="20"/>
        </w:rPr>
        <w:lastRenderedPageBreak/>
        <w:t>de autor en el entorno digital y otra sobre el derecho de reventa.  No se logró el objetivo de celebrar una conferencia diplomática y de tener un nuevo tratado;  los Estados miembros solicitaron eliminar este objetivo para el bienio 2016/17.</w:t>
      </w:r>
    </w:p>
    <w:p w:rsidR="00346F22" w:rsidRPr="00346F22" w:rsidRDefault="00346F22" w:rsidP="00346F22">
      <w:pPr>
        <w:pStyle w:val="ONUMFS"/>
        <w:jc w:val="both"/>
        <w:rPr>
          <w:bCs/>
          <w:sz w:val="20"/>
        </w:rPr>
      </w:pPr>
      <w:r w:rsidRPr="00346F22">
        <w:rPr>
          <w:bCs/>
          <w:sz w:val="20"/>
        </w:rPr>
        <w:t>Durante el bienio, el Comité Permanente sobre el Derecho de Marcas, Diseños Industriales e Indicaciones Geográficas (SCT) continuó, entre su</w:t>
      </w:r>
      <w:r w:rsidR="008B1CDA">
        <w:rPr>
          <w:sz w:val="20"/>
        </w:rPr>
        <w:t xml:space="preserve"> trigésima primera y trigésima</w:t>
      </w:r>
      <w:r w:rsidRPr="00346F22">
        <w:rPr>
          <w:sz w:val="20"/>
        </w:rPr>
        <w:t xml:space="preserve"> cuarta</w:t>
      </w:r>
      <w:r w:rsidR="008B1CDA">
        <w:rPr>
          <w:sz w:val="20"/>
        </w:rPr>
        <w:t xml:space="preserve"> sesiones</w:t>
      </w:r>
      <w:r w:rsidRPr="00346F22">
        <w:rPr>
          <w:sz w:val="20"/>
        </w:rPr>
        <w:t>, el trabajo relativo a un proyecto de tratado sobre el Derecho de los diseños a fin de que fuera adoptado en una conferencia diplomática</w:t>
      </w:r>
      <w:r w:rsidRPr="00346F22">
        <w:rPr>
          <w:color w:val="000000"/>
          <w:sz w:val="20"/>
        </w:rPr>
        <w:t>.</w:t>
      </w:r>
      <w:r w:rsidRPr="00346F22">
        <w:rPr>
          <w:bCs/>
          <w:sz w:val="20"/>
        </w:rPr>
        <w:t xml:space="preserve">  </w:t>
      </w:r>
      <w:r w:rsidRPr="00346F22">
        <w:rPr>
          <w:sz w:val="20"/>
        </w:rPr>
        <w:t xml:space="preserve">La cuestión de convocar esa conferencia diplomática fue tratada por la Asamblea General de la OMPI en su </w:t>
      </w:r>
      <w:r w:rsidRPr="00346F22">
        <w:rPr>
          <w:bCs/>
          <w:sz w:val="20"/>
        </w:rPr>
        <w:t xml:space="preserve">cuadragésimo séptimo período de sesiones (22º ordinario) en octubre de 2015, en la que la Asamblea General acordó </w:t>
      </w:r>
      <w:r w:rsidRPr="00346F22">
        <w:rPr>
          <w:sz w:val="20"/>
        </w:rPr>
        <w:t xml:space="preserve">“convocar una conferencia diplomática para la adopción de un tratado sobre el Derecho de los diseños hacia fines del primer semestre de 2017, únicamente si se dan por concluidos los debates en el SCT sobre asistencia técnica y divulgación en su trigésima cuarta y trigésima </w:t>
      </w:r>
      <w:r w:rsidRPr="00346F22">
        <w:rPr>
          <w:color w:val="000000" w:themeColor="text1"/>
          <w:sz w:val="20"/>
        </w:rPr>
        <w:t>quinta</w:t>
      </w:r>
      <w:r w:rsidRPr="00346F22">
        <w:rPr>
          <w:sz w:val="20"/>
        </w:rPr>
        <w:t xml:space="preserve"> sesiones</w:t>
      </w:r>
      <w:r w:rsidRPr="00346F22">
        <w:rPr>
          <w:bCs/>
          <w:sz w:val="20"/>
        </w:rPr>
        <w:t xml:space="preserve">”.  El SCT continuó con su labor en torno a la protección de los nombres de países y aprobó un documento de referencia sobre la protección de los nombres de países contra su registro y uso como marcas (documento WIPO/Strad/INF/7).  Además, varias delegaciones presentaron propuestas en relación con el trabajo del SCT en materia de indicaciones geográficas. </w:t>
      </w:r>
    </w:p>
    <w:p w:rsidR="00346F22" w:rsidRPr="00346F22" w:rsidRDefault="00346F22" w:rsidP="00346F22">
      <w:pPr>
        <w:pStyle w:val="ONUMFS"/>
        <w:jc w:val="both"/>
        <w:rPr>
          <w:color w:val="000000" w:themeColor="text1"/>
          <w:sz w:val="20"/>
        </w:rPr>
      </w:pPr>
      <w:r w:rsidRPr="00346F22">
        <w:rPr>
          <w:color w:val="000000" w:themeColor="text1"/>
          <w:sz w:val="20"/>
        </w:rPr>
        <w:t xml:space="preserve">El Comité Intergubernamental </w:t>
      </w:r>
      <w:r w:rsidR="008B1CDA">
        <w:rPr>
          <w:color w:val="000000" w:themeColor="text1"/>
          <w:sz w:val="20"/>
        </w:rPr>
        <w:t xml:space="preserve">de la OMPI </w:t>
      </w:r>
      <w:r w:rsidRPr="00346F22">
        <w:rPr>
          <w:color w:val="000000" w:themeColor="text1"/>
          <w:sz w:val="20"/>
        </w:rPr>
        <w:t>sobre Propiedad Intelectual y Recursos Genéticos, Conocimientos Tra</w:t>
      </w:r>
      <w:r w:rsidR="008B1CDA">
        <w:rPr>
          <w:color w:val="000000" w:themeColor="text1"/>
          <w:sz w:val="20"/>
        </w:rPr>
        <w:t xml:space="preserve">dicionales y Folclore </w:t>
      </w:r>
      <w:r w:rsidRPr="00346F22">
        <w:rPr>
          <w:color w:val="000000" w:themeColor="text1"/>
          <w:sz w:val="20"/>
        </w:rPr>
        <w:t>(CIG) se reunió tres veces en 2014 (26ª, 27ª y 28ª sesiones del CIG), de conformidad con el mandato renovado del CIG para el bienio aprobado por la Asamblea General de la OMPI en octubre de 2013, y acordó un programa de trabajo para 2014.  La 26ª sesión del CIG incluyó una reunión de embajadores y altos funcionarios de las capitales</w:t>
      </w:r>
      <w:r w:rsidRPr="00346F22">
        <w:rPr>
          <w:sz w:val="20"/>
        </w:rPr>
        <w:t>.  Para el final de la 28ª sesión del CIG, el Comité había simplificado más el texto consolidado sobre los recursos genéticos (RR.GG.) y conseguido nuevos avances en lo que atañe a los textos sobre los conocimientos tradicionales (CC.TT.) y las expresiones culturales tradicionales (ECT).</w:t>
      </w:r>
      <w:r w:rsidRPr="00346F22">
        <w:rPr>
          <w:color w:val="000000" w:themeColor="text1"/>
          <w:sz w:val="20"/>
        </w:rPr>
        <w:t xml:space="preserve">  El proceso experimentó un nuevo impulso en 2014 merced a la reunión organizada por los Estados miembros y celebrada fuera de Ginebra.  </w:t>
      </w:r>
      <w:r w:rsidRPr="00346F22">
        <w:rPr>
          <w:sz w:val="20"/>
        </w:rPr>
        <w:t xml:space="preserve">La Secretaría siguió esforzándose por cumplir una función de apoyo neutral, profesional y eficaz al proceso y por mejorar los servicios prestados a los participantes en el Comité, tras la evaluación realizada por la División de Supervisión Interna de la OMPI (DSI) en 2013, que determinó que el índice de satisfacción entre los participantes en el CIG era elevado (96%).  Aunque la Secretaría siguió facilitando la participación en el CIG de los pueblos indígenas y las comunidades locales en la medida de lo posible, el Fondo </w:t>
      </w:r>
      <w:r w:rsidR="008B1CDA">
        <w:rPr>
          <w:sz w:val="20"/>
        </w:rPr>
        <w:t xml:space="preserve">de la OMPI </w:t>
      </w:r>
      <w:r w:rsidRPr="00346F22">
        <w:rPr>
          <w:sz w:val="20"/>
        </w:rPr>
        <w:t>de Contribuciones Voluntarias para las Comunidades Indígenas y Locales Acreditadas siguió careciendo de recursos.</w:t>
      </w:r>
      <w:r w:rsidRPr="00346F22">
        <w:rPr>
          <w:color w:val="000000" w:themeColor="text1"/>
          <w:sz w:val="20"/>
        </w:rPr>
        <w:t xml:space="preserve">  </w:t>
      </w:r>
      <w:r w:rsidRPr="00346F22">
        <w:rPr>
          <w:sz w:val="20"/>
        </w:rPr>
        <w:t>Si bien la Asamblea General de la OMPI examinó en octubre de 2014 los textos y los avances realizados, no logró llegar a un acuerdo sobre el programa de trabajo del CIG para 2015.</w:t>
      </w:r>
      <w:r w:rsidRPr="00346F22">
        <w:rPr>
          <w:color w:val="000000" w:themeColor="text1"/>
          <w:sz w:val="20"/>
        </w:rPr>
        <w:t xml:space="preserve">  La Asamblea General de la OMPI convino en octubre de 2015 renovar el mandato del CIG para el bienio 2016/17.</w:t>
      </w:r>
    </w:p>
    <w:p w:rsidR="00346F22" w:rsidRPr="00346F22" w:rsidRDefault="00346F22" w:rsidP="00346F22">
      <w:pPr>
        <w:pStyle w:val="ONUMFS"/>
        <w:jc w:val="both"/>
        <w:rPr>
          <w:color w:val="000000"/>
          <w:sz w:val="20"/>
        </w:rPr>
      </w:pPr>
      <w:r w:rsidRPr="00346F22">
        <w:rPr>
          <w:sz w:val="20"/>
        </w:rPr>
        <w:t>Con el fin de mejorar la cooperación entre los Estados miembros en lo que atañe a seguir elaborando marcos normativos y de política equilibrados para el sistema internacional de patentes, la vigésima, la vig</w:t>
      </w:r>
      <w:r w:rsidR="008B1CDA">
        <w:rPr>
          <w:sz w:val="20"/>
        </w:rPr>
        <w:t>e</w:t>
      </w:r>
      <w:r w:rsidRPr="00346F22">
        <w:rPr>
          <w:sz w:val="20"/>
        </w:rPr>
        <w:t>simoprimera, la vig</w:t>
      </w:r>
      <w:r w:rsidR="008B1CDA">
        <w:rPr>
          <w:sz w:val="20"/>
        </w:rPr>
        <w:t>e</w:t>
      </w:r>
      <w:r w:rsidRPr="00346F22">
        <w:rPr>
          <w:sz w:val="20"/>
        </w:rPr>
        <w:t>simosegunda y la vig</w:t>
      </w:r>
      <w:r w:rsidR="008B1CDA">
        <w:rPr>
          <w:sz w:val="20"/>
        </w:rPr>
        <w:t>e</w:t>
      </w:r>
      <w:r w:rsidRPr="00346F22">
        <w:rPr>
          <w:sz w:val="20"/>
        </w:rPr>
        <w:t>simotercera sesiones del Comité Permanente sobre el Derecho de Patentes (SCP) se celebraron en enero y noviembre de 2014, y en julio y diciembre de 2015, respectivamente.  El SCP continuó evaluando cinco cuestiones en su orden del día, a saber</w:t>
      </w:r>
      <w:proofErr w:type="gramStart"/>
      <w:r w:rsidRPr="00346F22">
        <w:rPr>
          <w:sz w:val="20"/>
        </w:rPr>
        <w:t>:  i</w:t>
      </w:r>
      <w:proofErr w:type="gramEnd"/>
      <w:r w:rsidRPr="00346F22">
        <w:rPr>
          <w:sz w:val="20"/>
        </w:rPr>
        <w:t>) las excepciones y limitaciones respecto de los derechos conferidos por las patentes;  ii) la calidad de las patentes, incluidos los procedimientos de oposición;  iii) las patentes y la salud;  iv) la confidencialidad de las comunicaciones entre asesores de patente y sus clientes;  y v) la transferencia de tecnología.</w:t>
      </w:r>
    </w:p>
    <w:p w:rsidR="006760C1" w:rsidRPr="001402C5" w:rsidRDefault="006760C1" w:rsidP="006760C1">
      <w:pPr>
        <w:rPr>
          <w:bCs/>
          <w:sz w:val="20"/>
        </w:rPr>
      </w:pPr>
    </w:p>
    <w:p w:rsidR="006760C1" w:rsidRPr="001402C5" w:rsidRDefault="006760C1" w:rsidP="006760C1">
      <w:pPr>
        <w:rPr>
          <w:b/>
          <w:iCs/>
          <w:sz w:val="20"/>
        </w:rPr>
      </w:pPr>
    </w:p>
    <w:p w:rsidR="006760C1" w:rsidRPr="001402C5" w:rsidRDefault="006760C1" w:rsidP="00346F22">
      <w:pPr>
        <w:keepNext/>
        <w:jc w:val="center"/>
        <w:rPr>
          <w:b/>
          <w:iCs/>
          <w:sz w:val="20"/>
        </w:rPr>
      </w:pPr>
      <w:r w:rsidRPr="001402C5">
        <w:rPr>
          <w:b/>
          <w:iCs/>
          <w:sz w:val="20"/>
        </w:rPr>
        <w:lastRenderedPageBreak/>
        <w:t>Meta estratégica II</w:t>
      </w:r>
      <w:proofErr w:type="gramStart"/>
      <w:r w:rsidRPr="001402C5">
        <w:rPr>
          <w:b/>
          <w:iCs/>
          <w:sz w:val="20"/>
        </w:rPr>
        <w:t>:  Prestación</w:t>
      </w:r>
      <w:proofErr w:type="gramEnd"/>
      <w:r w:rsidRPr="001402C5">
        <w:rPr>
          <w:b/>
          <w:iCs/>
          <w:sz w:val="20"/>
        </w:rPr>
        <w:t xml:space="preserve"> de servicios mundiales de P.I</w:t>
      </w:r>
      <w:r w:rsidR="00FB31BE">
        <w:rPr>
          <w:b/>
          <w:iCs/>
          <w:sz w:val="20"/>
        </w:rPr>
        <w:t>.</w:t>
      </w:r>
      <w:r w:rsidRPr="001402C5">
        <w:rPr>
          <w:b/>
          <w:iCs/>
          <w:sz w:val="20"/>
        </w:rPr>
        <w:t xml:space="preserve"> de calidad</w:t>
      </w:r>
    </w:p>
    <w:p w:rsidR="006760C1" w:rsidRPr="001402C5" w:rsidRDefault="006760C1" w:rsidP="00346F22">
      <w:pPr>
        <w:keepNext/>
        <w:jc w:val="center"/>
        <w:rPr>
          <w:b/>
          <w:iCs/>
          <w:sz w:val="20"/>
        </w:rPr>
      </w:pPr>
      <w:r w:rsidRPr="001402C5">
        <w:rPr>
          <w:noProof/>
          <w:sz w:val="20"/>
          <w:lang w:val="en-US" w:eastAsia="en-US"/>
        </w:rPr>
        <w:drawing>
          <wp:inline distT="0" distB="0" distL="0" distR="0" wp14:anchorId="141BAC43" wp14:editId="04AC4462">
            <wp:extent cx="5560828" cy="2764828"/>
            <wp:effectExtent l="0" t="0" r="1905"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1372" cy="2765099"/>
                    </a:xfrm>
                    <a:prstGeom prst="rect">
                      <a:avLst/>
                    </a:prstGeom>
                    <a:noFill/>
                    <a:ln>
                      <a:noFill/>
                    </a:ln>
                  </pic:spPr>
                </pic:pic>
              </a:graphicData>
            </a:graphic>
          </wp:inline>
        </w:drawing>
      </w:r>
    </w:p>
    <w:p w:rsidR="006760C1" w:rsidRDefault="006760C1" w:rsidP="00346F22">
      <w:pPr>
        <w:keepNext/>
        <w:rPr>
          <w:b/>
          <w:sz w:val="18"/>
          <w:szCs w:val="18"/>
        </w:rPr>
      </w:pPr>
    </w:p>
    <w:p w:rsidR="006760C1" w:rsidRDefault="006760C1" w:rsidP="006760C1">
      <w:pPr>
        <w:jc w:val="center"/>
        <w:rPr>
          <w:b/>
          <w:sz w:val="18"/>
          <w:szCs w:val="18"/>
        </w:rPr>
      </w:pPr>
    </w:p>
    <w:p w:rsidR="006760C1" w:rsidRPr="001402C5" w:rsidRDefault="006760C1" w:rsidP="006760C1">
      <w:pPr>
        <w:jc w:val="center"/>
        <w:rPr>
          <w:b/>
          <w:iCs/>
          <w:sz w:val="20"/>
        </w:rPr>
      </w:pPr>
      <w:r>
        <w:rPr>
          <w:b/>
          <w:sz w:val="18"/>
          <w:szCs w:val="18"/>
        </w:rPr>
        <w:t>Resumen</w:t>
      </w:r>
      <w:r w:rsidRPr="00E9361E">
        <w:rPr>
          <w:b/>
          <w:sz w:val="18"/>
          <w:szCs w:val="18"/>
        </w:rPr>
        <w:t xml:space="preserve"> de los avances logrados </w:t>
      </w:r>
      <w:r>
        <w:rPr>
          <w:b/>
          <w:sz w:val="18"/>
          <w:szCs w:val="18"/>
        </w:rPr>
        <w:t>por resultado previsto</w:t>
      </w:r>
    </w:p>
    <w:p w:rsidR="006760C1" w:rsidRDefault="006760C1" w:rsidP="006760C1">
      <w:pPr>
        <w:jc w:val="center"/>
        <w:rPr>
          <w:b/>
          <w:sz w:val="18"/>
          <w:szCs w:val="18"/>
        </w:rPr>
      </w:pPr>
      <w:r w:rsidRPr="001402C5">
        <w:rPr>
          <w:noProof/>
          <w:sz w:val="20"/>
          <w:lang w:val="en-US" w:eastAsia="en-US"/>
        </w:rPr>
        <w:drawing>
          <wp:inline distT="0" distB="0" distL="0" distR="0" wp14:anchorId="5FC8265C" wp14:editId="1C74918F">
            <wp:extent cx="5894599" cy="3327991"/>
            <wp:effectExtent l="0" t="0" r="0" b="635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6134" cy="3334503"/>
                    </a:xfrm>
                    <a:prstGeom prst="rect">
                      <a:avLst/>
                    </a:prstGeom>
                    <a:noFill/>
                    <a:ln>
                      <a:noFill/>
                    </a:ln>
                  </pic:spPr>
                </pic:pic>
              </a:graphicData>
            </a:graphic>
          </wp:inline>
        </w:drawing>
      </w:r>
    </w:p>
    <w:p w:rsidR="006760C1" w:rsidRDefault="006760C1" w:rsidP="006760C1">
      <w:pPr>
        <w:jc w:val="center"/>
        <w:rPr>
          <w:b/>
          <w:sz w:val="18"/>
          <w:szCs w:val="18"/>
        </w:rPr>
      </w:pPr>
    </w:p>
    <w:p w:rsidR="00346F22" w:rsidRPr="00346F22" w:rsidRDefault="00346F22" w:rsidP="00346F22">
      <w:pPr>
        <w:pStyle w:val="ONUMFS"/>
        <w:jc w:val="both"/>
        <w:rPr>
          <w:sz w:val="20"/>
        </w:rPr>
      </w:pPr>
      <w:r w:rsidRPr="00346F22">
        <w:rPr>
          <w:sz w:val="20"/>
        </w:rPr>
        <w:t>En el bienio se observó un crecimiento considerable de los sistemas de registro internacional por quinto y sexto años consecutivos a pesar de la persistente fragilidad económica a nivel mundial.</w:t>
      </w:r>
    </w:p>
    <w:p w:rsidR="00346F22" w:rsidRPr="00346F22" w:rsidRDefault="00346F22" w:rsidP="00346F22">
      <w:pPr>
        <w:pStyle w:val="ONUMFS"/>
        <w:jc w:val="both"/>
        <w:rPr>
          <w:sz w:val="20"/>
        </w:rPr>
      </w:pPr>
      <w:r w:rsidRPr="00346F22">
        <w:rPr>
          <w:sz w:val="20"/>
        </w:rPr>
        <w:t xml:space="preserve">El aumento en el número de solicitudes internacionales de patente presentadas en virtud del Tratado de Cooperación en materia de Patentes (PCT) siguió siendo sólido en 2014, </w:t>
      </w:r>
      <w:r w:rsidR="002964D9">
        <w:rPr>
          <w:sz w:val="20"/>
        </w:rPr>
        <w:t>con un total de </w:t>
      </w:r>
      <w:r w:rsidRPr="00346F22">
        <w:rPr>
          <w:sz w:val="20"/>
        </w:rPr>
        <w:t>214.500 solicitudes (un 4,5% más que en 2013), y en 2015, con 218.000 solicitudes (un incremento del 1,7% con respecto a 2014).  En 2015 se estableció un nuevo récord anual en el número de presentaciones de solicitudes de patentes.  Tres gigantes de las telecomunicaciones de China y los Estados Unidos de América lideraron las actividades relacionadas con la presentación de solicitudes internacionales de patente en los dos años del bienio.</w:t>
      </w:r>
    </w:p>
    <w:p w:rsidR="00346F22" w:rsidRPr="00346F22" w:rsidRDefault="00346F22" w:rsidP="00346F22">
      <w:pPr>
        <w:pStyle w:val="ONUMFS"/>
        <w:jc w:val="both"/>
        <w:rPr>
          <w:sz w:val="20"/>
        </w:rPr>
      </w:pPr>
      <w:r w:rsidRPr="00346F22">
        <w:rPr>
          <w:sz w:val="20"/>
        </w:rPr>
        <w:t xml:space="preserve">En su séptima y octava reuniones, celebradas en 2014 y 2015, el Grupo de Trabajo del PCT siguió debatiendo una serie de propuestas con la finalidad de mejorar el funcionamiento del Sistema del PCT.  Los debates estuvieron en consonancia con las recomendaciones refrendadas por el Grupo de Trabajo en su tercera reunión, lo que incluye recomendaciones acerca de cómo el desarrollo futuro del PCT puede ajustarse a las recomendaciones aplicables de la Agenda para el Desarrollo (A.D.), en particular </w:t>
      </w:r>
      <w:r w:rsidRPr="00346F22">
        <w:rPr>
          <w:sz w:val="20"/>
        </w:rPr>
        <w:lastRenderedPageBreak/>
        <w:t>las de las Categorías A y C.  Entre los logros de 2014 cabe mencionar:  i)  un acuerdo sobre los nuevos criterios que deben cumplir los solicitantes de determinados países para obtener una reducción de las tasas, que amplió el número de países en desarrollo y PMA que pueden acceder a dichas reducciones de tasas;  y ii) un procedimiento revisado para la designación de nuevas Administraciones encargadas de la búsqueda internacional y del examen preliminar internacional, que ayude a asegurar que las Administraciones candidatas dispongan de infraestructura y recursos para desempeñar esa función.  Entre los l</w:t>
      </w:r>
      <w:r w:rsidR="001F4714">
        <w:rPr>
          <w:sz w:val="20"/>
        </w:rPr>
        <w:t>ogros destacados de 2015, cabe señal</w:t>
      </w:r>
      <w:r w:rsidRPr="00346F22">
        <w:rPr>
          <w:sz w:val="20"/>
        </w:rPr>
        <w:t>ar:  i) un acuerdo para remitir a la Administraciones encargadas de la búsqueda internacional los resultados de búsqueda y clasificación de solicitudes anteriores para propiciar una mayor eficacia y contribuir a aumentar la calidad de la búsqueda internacional;  y ii) un acuerdo para exigir a las Oficinas designadas que informen oportunamente a la Oficina Internacional sobre las solicitudes en la fase nacional, lo que mejorará significativamente la información sobre los derechos de patente pendientes y concedidos.  La Oficina Internacional también presentó estimaciones para determinar en qué medida afectan a la presentación de solicitudes PCT los cambios que se producen en la tasa internacional de presentación de solicitudes, con simulaciones sobre cómo repercutirían eventuales reducciones de tasas en las universidades y en las organizaciones públicas de investigación, tanto en los países desarrollados como en los países en desarrollo.</w:t>
      </w:r>
    </w:p>
    <w:p w:rsidR="00346F22" w:rsidRPr="00346F22" w:rsidRDefault="00346F22" w:rsidP="00346F22">
      <w:pPr>
        <w:pStyle w:val="ONUMFS"/>
        <w:jc w:val="both"/>
        <w:rPr>
          <w:sz w:val="20"/>
          <w:lang w:eastAsia="ko-KR"/>
        </w:rPr>
      </w:pPr>
      <w:r w:rsidRPr="00346F22">
        <w:rPr>
          <w:sz w:val="20"/>
          <w:lang w:eastAsia="ko-KR"/>
        </w:rPr>
        <w:t xml:space="preserve">La utilización del Sistema de Madrid aumentó en un 2,3% en 2014 con respecto a 2013, con un total de 47.885 solicitudes recibidas.  </w:t>
      </w:r>
      <w:r w:rsidRPr="00346F22">
        <w:rPr>
          <w:sz w:val="20"/>
          <w:lang w:val="es-ES_tradnl" w:eastAsia="ko-KR"/>
        </w:rPr>
        <w:t>En 2014, los Estados Unidos de América superaron a Alemania como el principal usuario del Sistema de Madrid, lo que ilustra la transformación geográfica del Sistema.</w:t>
      </w:r>
      <w:r w:rsidRPr="00346F22">
        <w:rPr>
          <w:sz w:val="20"/>
          <w:lang w:eastAsia="ko-KR"/>
        </w:rPr>
        <w:t xml:space="preserve">  </w:t>
      </w:r>
      <w:r w:rsidRPr="00346F22">
        <w:rPr>
          <w:sz w:val="20"/>
          <w:lang w:val="es-ES_tradnl" w:eastAsia="ko-KR"/>
        </w:rPr>
        <w:t>En 2015, se recibieron un total de 49.273 solicitudes, lo que representó un crecimiento del 2,9 por ciento con respecto a 2014.  Esto representa un crecimiento sólido en el bienio, especialmente teniendo en cuenta que el Sistema de Madrid se encareció para los solicitantes de una serie de países importantes por número de solicitudes presentadas tras la fuerte revalorización del franco suizo.</w:t>
      </w:r>
      <w:r w:rsidRPr="00346F22">
        <w:rPr>
          <w:sz w:val="20"/>
          <w:lang w:eastAsia="ko-KR"/>
        </w:rPr>
        <w:t xml:space="preserve">  </w:t>
      </w:r>
      <w:r w:rsidRPr="00346F22">
        <w:rPr>
          <w:sz w:val="20"/>
          <w:lang w:val="es-ES_tradnl" w:eastAsia="ko-KR"/>
        </w:rPr>
        <w:t>La expansión geográfica del Sistema estuvo marcada por hechos importantes y positivos en el bienio.</w:t>
      </w:r>
      <w:r w:rsidRPr="00346F22">
        <w:rPr>
          <w:sz w:val="20"/>
          <w:lang w:eastAsia="ko-KR"/>
        </w:rPr>
        <w:t xml:space="preserve">  </w:t>
      </w:r>
      <w:r w:rsidRPr="00346F22">
        <w:rPr>
          <w:sz w:val="20"/>
          <w:lang w:val="es-ES_tradnl" w:eastAsia="ko-KR"/>
        </w:rPr>
        <w:t>En 2014, Zimbabwe y la Organización Africana de la Propiedad Intelectual (OAPI) se adhirieron al Protocolo de Madrid.</w:t>
      </w:r>
      <w:r w:rsidRPr="00346F22">
        <w:rPr>
          <w:sz w:val="20"/>
          <w:lang w:eastAsia="ko-KR"/>
        </w:rPr>
        <w:t xml:space="preserve">  </w:t>
      </w:r>
      <w:r w:rsidRPr="00346F22">
        <w:rPr>
          <w:sz w:val="20"/>
          <w:lang w:val="es-ES_tradnl" w:eastAsia="ko-KR"/>
        </w:rPr>
        <w:t>Puesto que la OAPI es una organización intergubernamental que cuenta con 17 Estados miembros, estas dos adhesiones aumentaron solo en 2014 de 94 a 110 el número de países en los que los usuarios pueden proteger y gestionar sus marcas de forma centralizada a través del Sistema de Madrid.</w:t>
      </w:r>
      <w:r w:rsidRPr="00346F22">
        <w:rPr>
          <w:sz w:val="20"/>
          <w:lang w:eastAsia="ko-KR"/>
        </w:rPr>
        <w:t xml:space="preserve">  </w:t>
      </w:r>
      <w:r w:rsidRPr="00346F22">
        <w:rPr>
          <w:sz w:val="20"/>
          <w:lang w:val="es-ES_tradnl" w:eastAsia="ko-KR"/>
        </w:rPr>
        <w:t>En 2015, Argelia, Camboya, Gambia y la República Democrática Popular Lao también se adhirieron al Protocolo, lo que suma un total de 97 Partes Contratantes a finales del bienio y abarca 113 países.</w:t>
      </w:r>
      <w:r w:rsidRPr="00346F22">
        <w:rPr>
          <w:sz w:val="20"/>
          <w:lang w:eastAsia="ko-KR"/>
        </w:rPr>
        <w:t xml:space="preserve">  </w:t>
      </w:r>
      <w:r w:rsidRPr="00346F22">
        <w:rPr>
          <w:sz w:val="20"/>
          <w:lang w:val="es-ES_tradnl" w:eastAsia="ko-KR"/>
        </w:rPr>
        <w:t>Dado que Argelia era la última Parte Contratante de la Unión de Madrid que era miembro únicamente del Arreglo de Madrid, el Sistema de Madrid, a efectos prácticos, funciona ahora como sistema de tratado único.</w:t>
      </w:r>
    </w:p>
    <w:p w:rsidR="00346F22" w:rsidRPr="00346F22" w:rsidRDefault="00346F22" w:rsidP="00346F22">
      <w:pPr>
        <w:pStyle w:val="ONUMFS"/>
        <w:jc w:val="both"/>
        <w:rPr>
          <w:sz w:val="20"/>
        </w:rPr>
      </w:pPr>
      <w:r w:rsidRPr="00346F22">
        <w:rPr>
          <w:sz w:val="20"/>
        </w:rPr>
        <w:t xml:space="preserve">El Sistema de La Haya registró un crecimiento positivo en el bienio 2014/15.  La República de Corea, en 2014, y los Estados Unidos de América, Japón y Turkmenistán, en 2015, pasaron a ser parte del Acta de Ginebra (1999) del Arreglo de La Haya relativo al registro internacional de dibujos y modelos industriales (denominada en lo sucesivo </w:t>
      </w:r>
      <w:r w:rsidR="001F4714">
        <w:rPr>
          <w:sz w:val="20"/>
        </w:rPr>
        <w:t>“</w:t>
      </w:r>
      <w:r w:rsidRPr="00346F22">
        <w:rPr>
          <w:sz w:val="20"/>
        </w:rPr>
        <w:t>el Acta de 1999</w:t>
      </w:r>
      <w:r w:rsidR="001F4714">
        <w:rPr>
          <w:sz w:val="20"/>
        </w:rPr>
        <w:t>”</w:t>
      </w:r>
      <w:r w:rsidRPr="00346F22">
        <w:rPr>
          <w:sz w:val="20"/>
        </w:rPr>
        <w:t>).   Con esas adhesiones, el número de Partes Contratantes de esa Acta se elevó a 50.  Aunque esta cifra se mantuvo por debajo del objetivo marcado, las adhesiones de la República de Corea, los Estados Unidos de América y Japón, que son, respectivamente, la tercera, la cuarta y la quinta jurisdicciones en términos de solicitudes de registro de dibujos y modelos industriales, aumentaron significativamente el atractivo del Sistema de La Haya.  Consecuentemente, las solicitudes internacionales aumentaron en más de un 40% en 2015, un porcentaje de incremento muy superior al previsto en 2014</w:t>
      </w:r>
      <w:r w:rsidR="001F4714">
        <w:rPr>
          <w:sz w:val="20"/>
        </w:rPr>
        <w:t>.  Como resultado también de es</w:t>
      </w:r>
      <w:r w:rsidRPr="00346F22">
        <w:rPr>
          <w:sz w:val="20"/>
        </w:rPr>
        <w:t xml:space="preserve">a expansión, a fines del bienio ya hubo indicios claros del interés de otras potenciales Partes Contratantes </w:t>
      </w:r>
      <w:r w:rsidR="001F4714">
        <w:rPr>
          <w:sz w:val="20"/>
        </w:rPr>
        <w:t>en</w:t>
      </w:r>
      <w:r w:rsidRPr="00346F22">
        <w:rPr>
          <w:sz w:val="20"/>
        </w:rPr>
        <w:t xml:space="preserve"> adherirse, incluso países obligados por Actas más antiguas.  En ese sentido, a fines de 2015 todavía se necesitaban dos autorizaciones para el cese de la aplicación del Acta de 1934, mientras que cuatro Partes Contratantes no miembros de la Unión Europea (UE) y de la Organización Africana de la Propiedad Intelectual (OAPI) siguieron obligadas únicamente por el Acta de 1960.</w:t>
      </w:r>
    </w:p>
    <w:p w:rsidR="00346F22" w:rsidRPr="00346F22" w:rsidRDefault="00346F22" w:rsidP="00346F22">
      <w:pPr>
        <w:pStyle w:val="ONUMFS"/>
        <w:jc w:val="both"/>
        <w:rPr>
          <w:sz w:val="20"/>
          <w:lang w:eastAsia="ko-KR"/>
        </w:rPr>
      </w:pPr>
      <w:r w:rsidRPr="00346F22">
        <w:rPr>
          <w:sz w:val="20"/>
        </w:rPr>
        <w:t>La Asamblea de la Unión de Lisboa encargó en 2009 al Grupo de Trabajo sobre el Desarrollo del Sistema de Lisboa que realizara una revisión completa del Sistema de Lisboa para hacerlo más atractivo para los usuarios y los posibles nuevos miembros, manteniendo sus principios y objetivos.  Ante los avances realizados por el Grupo de Trabajo, la Asamblea de la Unión de Lisboa aprobó en 2013 la convocación de una conferencia diplomática para la adopción en 2015 de un Arreglo de Lisboa revisado sobre las denominaciones de origen y las indicaciones geográficas.  En octubre de 2014, el Grupo de Trabajo concluyó su labor preparatoria</w:t>
      </w:r>
      <w:r w:rsidRPr="00346F22">
        <w:rPr>
          <w:sz w:val="20"/>
          <w:lang w:eastAsia="ko-KR"/>
        </w:rPr>
        <w:t>.  Del 11 al 21 de mayo de 2015, se celebró en Ginebra la Conferencia Diplomática para la adopción de una nueva Acta del Arreglo de Lisboa, que el 20 de mayo de 2015 adoptó el Acta de Ginebra del Arreglo de Lisboa relativo a las Denominaciones de Origen y las Indicaciones Geográficas.</w:t>
      </w:r>
    </w:p>
    <w:p w:rsidR="00346F22" w:rsidRPr="00346F22" w:rsidRDefault="00346F22" w:rsidP="00346F22">
      <w:pPr>
        <w:pStyle w:val="ONUMFS"/>
        <w:jc w:val="both"/>
        <w:rPr>
          <w:bCs/>
          <w:sz w:val="20"/>
        </w:rPr>
      </w:pPr>
      <w:r w:rsidRPr="00346F22">
        <w:rPr>
          <w:sz w:val="20"/>
        </w:rPr>
        <w:lastRenderedPageBreak/>
        <w:t xml:space="preserve">Partiendo de la base de las conclusiones de la Encuesta internacional sobre solución de controversias en el ámbito de las transacciones de tecnología efectuada por el Centro de Arbitraje y Mediación de la OMPI en 2013, el Centro procuró optimizar en 2014/15 el potencial de sus procedimientos para satisfacer las necesidades de los titulares y </w:t>
      </w:r>
      <w:r w:rsidRPr="00346F22">
        <w:rPr>
          <w:color w:val="000000"/>
          <w:sz w:val="20"/>
        </w:rPr>
        <w:t>los usuarios de derechos de P.I.</w:t>
      </w:r>
      <w:r w:rsidRPr="00346F22">
        <w:rPr>
          <w:sz w:val="20"/>
        </w:rPr>
        <w:t xml:space="preserve">  En </w:t>
      </w:r>
      <w:r w:rsidR="001B6C4E">
        <w:rPr>
          <w:sz w:val="20"/>
        </w:rPr>
        <w:t> </w:t>
      </w:r>
      <w:r w:rsidRPr="00346F22">
        <w:rPr>
          <w:sz w:val="20"/>
        </w:rPr>
        <w:t>2014 se celebró el 15º aniversario de la Política Uniforme de Solución de Controversias en materia de Nombres de Dominio (Política Uniforme) elaborada por la OMPI.  Desde que el Centro administró</w:t>
      </w:r>
      <w:r w:rsidR="001B6C4E">
        <w:rPr>
          <w:sz w:val="20"/>
        </w:rPr>
        <w:t xml:space="preserve"> en </w:t>
      </w:r>
      <w:r w:rsidRPr="00346F22">
        <w:rPr>
          <w:sz w:val="20"/>
        </w:rPr>
        <w:t>1999 el primer procedimiento con arreglo a la Política Uniforme, el total de demandas presentadas ante la OMPI ha sobrepasado la cifra de 33.000</w:t>
      </w:r>
      <w:r w:rsidRPr="00346F22">
        <w:rPr>
          <w:rStyle w:val="FootnoteReference"/>
          <w:sz w:val="20"/>
        </w:rPr>
        <w:footnoteReference w:id="4"/>
      </w:r>
      <w:r w:rsidRPr="00346F22">
        <w:rPr>
          <w:sz w:val="20"/>
        </w:rPr>
        <w:t>, abarcando más de 61.000 nombres de dominio.  Las demandas por ciberocupación presentadas ante la OMPI por propietarios de marcas denunciando el uso abusivo de sus marcas aumentaron en un 1,9% en 2014 con respecto al nivel de 2013, con un aumento adicional del 4,6% en 2015 en comparación con 2014.  Entre ellas figuraban las primeras demandas presentadas en virtud de la Política Uniforme en relación con los registros efectuados en los nuevos gTLD, que representaron un 6,8% de los nombres de dominio objeto de controversia en 2014/15.</w:t>
      </w:r>
      <w:r w:rsidRPr="00346F22">
        <w:rPr>
          <w:bCs/>
          <w:sz w:val="20"/>
        </w:rPr>
        <w:t xml:space="preserve">  En las demandas presentadas ante la OMPI en virtud de la Política Uniforme intervinieron partes de 108 países, en 2014, y de 113 países, en 2015</w:t>
      </w:r>
      <w:r w:rsidRPr="00346F22">
        <w:rPr>
          <w:sz w:val="20"/>
        </w:rPr>
        <w:t>.  Entre los cinco primeros usuarios en el bienio, los Estados Unidos de América registró en 2014 el mayor crecimiento en el número de demandas presentadas (14,3%), mientras que en 2015 el mayor crecimiento correspondió a Alemania (43,6%).  En 2014, los tres principales sectores de actividad de los demandantes fueron: venta al por menor (13% de las demandas), banca y las finanzas (11%) y  moda (10%);  en 2015 fueron moda (10%), banca y las finanzas (9%), e Internet y T.I. (9%).</w:t>
      </w:r>
    </w:p>
    <w:p w:rsidR="006760C1" w:rsidRPr="001402C5" w:rsidRDefault="006760C1" w:rsidP="006760C1">
      <w:pPr>
        <w:rPr>
          <w:b/>
          <w:iCs/>
          <w:sz w:val="20"/>
        </w:rPr>
      </w:pPr>
    </w:p>
    <w:p w:rsidR="006760C1" w:rsidRPr="001402C5" w:rsidRDefault="006760C1" w:rsidP="006760C1">
      <w:pPr>
        <w:jc w:val="center"/>
        <w:rPr>
          <w:b/>
          <w:iCs/>
          <w:sz w:val="20"/>
        </w:rPr>
      </w:pPr>
      <w:r w:rsidRPr="001402C5">
        <w:rPr>
          <w:b/>
          <w:iCs/>
          <w:sz w:val="20"/>
        </w:rPr>
        <w:t>Meta estratégica III</w:t>
      </w:r>
      <w:proofErr w:type="gramStart"/>
      <w:r w:rsidRPr="001402C5">
        <w:rPr>
          <w:b/>
          <w:iCs/>
          <w:sz w:val="20"/>
        </w:rPr>
        <w:t>:  Facilitar</w:t>
      </w:r>
      <w:proofErr w:type="gramEnd"/>
      <w:r w:rsidRPr="001402C5">
        <w:rPr>
          <w:b/>
          <w:iCs/>
          <w:sz w:val="20"/>
        </w:rPr>
        <w:t xml:space="preserve"> el uso de la P.I. en aras del desarrollo</w:t>
      </w:r>
    </w:p>
    <w:p w:rsidR="006760C1" w:rsidRPr="001402C5" w:rsidRDefault="006760C1" w:rsidP="006760C1">
      <w:pPr>
        <w:jc w:val="center"/>
        <w:rPr>
          <w:b/>
          <w:iCs/>
          <w:sz w:val="20"/>
        </w:rPr>
      </w:pPr>
      <w:r w:rsidRPr="001402C5">
        <w:rPr>
          <w:noProof/>
          <w:sz w:val="20"/>
          <w:lang w:val="en-US" w:eastAsia="en-US"/>
        </w:rPr>
        <w:drawing>
          <wp:inline distT="0" distB="0" distL="0" distR="0" wp14:anchorId="3F00D146" wp14:editId="1D69385C">
            <wp:extent cx="5422605" cy="2716097"/>
            <wp:effectExtent l="0" t="0" r="6985" b="8255"/>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3466" cy="2716528"/>
                    </a:xfrm>
                    <a:prstGeom prst="rect">
                      <a:avLst/>
                    </a:prstGeom>
                    <a:noFill/>
                    <a:ln>
                      <a:noFill/>
                    </a:ln>
                  </pic:spPr>
                </pic:pic>
              </a:graphicData>
            </a:graphic>
          </wp:inline>
        </w:drawing>
      </w:r>
    </w:p>
    <w:p w:rsidR="006760C1" w:rsidRPr="001402C5" w:rsidRDefault="006760C1" w:rsidP="006760C1">
      <w:pPr>
        <w:jc w:val="center"/>
        <w:rPr>
          <w:b/>
          <w:iCs/>
          <w:sz w:val="20"/>
        </w:rPr>
      </w:pPr>
    </w:p>
    <w:p w:rsidR="006760C1" w:rsidRDefault="006760C1" w:rsidP="006760C1">
      <w:pPr>
        <w:jc w:val="center"/>
        <w:rPr>
          <w:b/>
          <w:sz w:val="18"/>
          <w:szCs w:val="18"/>
        </w:rPr>
      </w:pPr>
    </w:p>
    <w:p w:rsidR="006760C1" w:rsidRDefault="006760C1" w:rsidP="002964D9">
      <w:pPr>
        <w:keepNext/>
        <w:jc w:val="center"/>
        <w:rPr>
          <w:b/>
          <w:sz w:val="18"/>
          <w:szCs w:val="18"/>
        </w:rPr>
      </w:pPr>
      <w:r>
        <w:rPr>
          <w:b/>
          <w:sz w:val="18"/>
          <w:szCs w:val="18"/>
        </w:rPr>
        <w:lastRenderedPageBreak/>
        <w:t>Resumen</w:t>
      </w:r>
      <w:r w:rsidRPr="00033A0B">
        <w:rPr>
          <w:b/>
          <w:sz w:val="18"/>
          <w:szCs w:val="18"/>
        </w:rPr>
        <w:t xml:space="preserve"> de los avances logrados </w:t>
      </w:r>
      <w:r>
        <w:rPr>
          <w:b/>
          <w:sz w:val="18"/>
          <w:szCs w:val="18"/>
        </w:rPr>
        <w:t>por resultado previsto</w:t>
      </w:r>
    </w:p>
    <w:p w:rsidR="002964D9" w:rsidRPr="001402C5" w:rsidRDefault="002964D9" w:rsidP="002964D9">
      <w:pPr>
        <w:keepNext/>
        <w:jc w:val="center"/>
        <w:rPr>
          <w:b/>
          <w:iCs/>
          <w:sz w:val="20"/>
        </w:rPr>
      </w:pPr>
    </w:p>
    <w:p w:rsidR="00320578" w:rsidRDefault="006760C1" w:rsidP="002964D9">
      <w:pPr>
        <w:keepNext/>
        <w:rPr>
          <w:sz w:val="20"/>
        </w:rPr>
      </w:pPr>
      <w:r w:rsidRPr="001402C5">
        <w:rPr>
          <w:noProof/>
          <w:sz w:val="20"/>
          <w:lang w:val="en-US" w:eastAsia="en-US"/>
        </w:rPr>
        <w:drawing>
          <wp:inline distT="0" distB="0" distL="0" distR="0" wp14:anchorId="68A3D14D" wp14:editId="6FA1536E">
            <wp:extent cx="5731510" cy="3290618"/>
            <wp:effectExtent l="0" t="0" r="2540" b="508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90618"/>
                    </a:xfrm>
                    <a:prstGeom prst="rect">
                      <a:avLst/>
                    </a:prstGeom>
                    <a:noFill/>
                    <a:ln>
                      <a:noFill/>
                    </a:ln>
                  </pic:spPr>
                </pic:pic>
              </a:graphicData>
            </a:graphic>
          </wp:inline>
        </w:drawing>
      </w:r>
    </w:p>
    <w:p w:rsidR="00320578" w:rsidRDefault="00320578" w:rsidP="002964D9">
      <w:pPr>
        <w:keepNext/>
        <w:rPr>
          <w:sz w:val="20"/>
        </w:rPr>
      </w:pPr>
    </w:p>
    <w:p w:rsidR="00346F22" w:rsidRPr="00346F22" w:rsidRDefault="00346F22" w:rsidP="002964D9">
      <w:pPr>
        <w:pStyle w:val="ONUMFS"/>
        <w:keepNext/>
        <w:jc w:val="both"/>
        <w:rPr>
          <w:sz w:val="20"/>
        </w:rPr>
      </w:pPr>
      <w:r w:rsidRPr="00346F22">
        <w:rPr>
          <w:sz w:val="20"/>
        </w:rPr>
        <w:t xml:space="preserve">En el bienio siguió siendo </w:t>
      </w:r>
      <w:r w:rsidR="001F4714">
        <w:rPr>
          <w:sz w:val="20"/>
        </w:rPr>
        <w:t>priorit</w:t>
      </w:r>
      <w:r w:rsidRPr="00346F22">
        <w:rPr>
          <w:sz w:val="20"/>
        </w:rPr>
        <w:t>a</w:t>
      </w:r>
      <w:r w:rsidR="001F4714">
        <w:rPr>
          <w:sz w:val="20"/>
        </w:rPr>
        <w:t>rio</w:t>
      </w:r>
      <w:r w:rsidRPr="00346F22">
        <w:rPr>
          <w:sz w:val="20"/>
        </w:rPr>
        <w:t xml:space="preserve"> propiciar el uso de la P.I. en aras del desarrollo y potenciar a los países en desarrollo, los PMA y los países en transición, a fin de que utilicen la P.I. para aumentar el potencial y las capacidades de innovación nacional. </w:t>
      </w:r>
    </w:p>
    <w:p w:rsidR="00346F22" w:rsidRPr="00346F22" w:rsidRDefault="00346F22" w:rsidP="00346F22">
      <w:pPr>
        <w:pStyle w:val="ONUMFS"/>
        <w:jc w:val="both"/>
        <w:rPr>
          <w:sz w:val="20"/>
        </w:rPr>
      </w:pPr>
      <w:r w:rsidRPr="00346F22">
        <w:rPr>
          <w:sz w:val="20"/>
        </w:rPr>
        <w:t xml:space="preserve">La OMPI no dejó de asistir a los países en desarrollo y a los PMA en el diseño, desarrollo y aplicación de estrategias nacionales de P.I. coherentes con sus planes generales de desarrollo y, al mismo tiempo, capaces de fomentar la innovación y la creatividad.  El proceso siguió orientándose hacia la aplicación de una metodología normalizada, pero flexible, y un repertorio de herramientas prácticas para la formulación de estrategias y planes nacionales de P.I., creadas en el marco del proyecto de la A.D. sobre la mejora de la capacidad de las instituciones de P.I. de ámbito nacional, subregional y regional y de los respectivos usuarios en 2012.  El resultado fue que 15 países (seis en África, cinco en Asia y el Pacífico, y cuatro en América Latina y el Caribe) iniciaron el proceso de formulación de estrategias y planes de desarrollo nacionales de P.I., y 13 países (cuatro en África, dos en la región </w:t>
      </w:r>
      <w:r w:rsidR="001F4714" w:rsidRPr="00346F22">
        <w:rPr>
          <w:sz w:val="20"/>
        </w:rPr>
        <w:t>árabe</w:t>
      </w:r>
      <w:r w:rsidRPr="00346F22">
        <w:rPr>
          <w:sz w:val="20"/>
        </w:rPr>
        <w:t xml:space="preserve">, tres en Asia y el Pacífico, y cuatro en América Latina y el Caribe) estaban todavía en el proceso de formulación o adopción a fines de 2014.  A fines del bienio 2014/15, se habían adoptado, o estaban en vías de aplicación, planes de desarrollo o estrategias nacionales en materia de P.I. en un total de 44 países (26 en África, dos en la región </w:t>
      </w:r>
      <w:r w:rsidR="001F4714" w:rsidRPr="00346F22">
        <w:rPr>
          <w:sz w:val="20"/>
        </w:rPr>
        <w:t>árabe</w:t>
      </w:r>
      <w:r w:rsidRPr="00346F22">
        <w:rPr>
          <w:sz w:val="20"/>
        </w:rPr>
        <w:t xml:space="preserve">, ocho en Asia y el Pacífico, y ocho en América Latina y el Caribe), 19 de ellos en PMA. </w:t>
      </w:r>
    </w:p>
    <w:p w:rsidR="00346F22" w:rsidRPr="00346F22" w:rsidRDefault="00346F22" w:rsidP="00346F22">
      <w:pPr>
        <w:pStyle w:val="ONUMFS"/>
        <w:jc w:val="both"/>
        <w:rPr>
          <w:sz w:val="20"/>
        </w:rPr>
      </w:pPr>
      <w:r w:rsidRPr="00346F22">
        <w:rPr>
          <w:sz w:val="20"/>
        </w:rPr>
        <w:t>Conforme a los planes de cooperación y las estrategias nacionales de P.I., y tras recibir asistencia de la OMPI que incluía actividades de promoción, los nueve países que se enumeran a continuación modificaron su legislación nacional en materia de P.I. y/o se adhirieron a tratados administrados por la OMPI</w:t>
      </w:r>
      <w:proofErr w:type="gramStart"/>
      <w:r w:rsidRPr="00346F22">
        <w:rPr>
          <w:sz w:val="20"/>
        </w:rPr>
        <w:t>:  la</w:t>
      </w:r>
      <w:proofErr w:type="gramEnd"/>
      <w:r w:rsidRPr="00346F22">
        <w:rPr>
          <w:sz w:val="20"/>
        </w:rPr>
        <w:t xml:space="preserve"> Federación de Rusia, Kazajstán, Kirguistán, Letonia, Lituania, Montenegro, la República de Moldova, Tayikistán y Turkmenistán. En el bienio 2014/15, siguió siendo prioritario fomentar la importancia de elaborar y aplicar estrategias nacionales exhaustivas y de largo plazo en materia de P.I., así como prestar asistencia a ese respecto, para satisfacer las necesidades de los Estados miembros.  Seis países (Bulgaria, Eslovenia, Tayikistán, Turkmenistán. Turquía y Ucrania) aprobaron estrategias nacionales relacionadas con la P.I. y cuatro países (Albania, Georgia, Letonia y Polonia) iniciaron la elaboración de una nueva estrategia.</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En 2014/15, la Academia de la OMPI dio inicio a un proceso de reforma con miras a volver a situarse en la posición de principal entidad de la Organización en materia de formación y fortalecimiento de capacidades en P.I. para funcionarios gubernamentales y otras partes interesadas.</w:t>
      </w:r>
      <w:r w:rsidR="00B11F08">
        <w:rPr>
          <w:rFonts w:eastAsiaTheme="minorHAnsi"/>
          <w:color w:val="000000"/>
          <w:sz w:val="20"/>
        </w:rPr>
        <w:t xml:space="preserve">  A lo largo de es</w:t>
      </w:r>
      <w:r w:rsidRPr="00346F22">
        <w:rPr>
          <w:rFonts w:eastAsiaTheme="minorHAnsi"/>
          <w:color w:val="000000"/>
          <w:sz w:val="20"/>
        </w:rPr>
        <w:t xml:space="preserve">e proceso, la Academia de la OMPI procuró mantener la cantidad, calidad y frecuencia de los programas de formación propuestos regularmente para cumplir con las obligaciones ya asumidas con los asociados; responder a nuevas peticiones urgentes de los Estados miembros y demás sectores interesados; y </w:t>
      </w:r>
      <w:r w:rsidRPr="00346F22">
        <w:rPr>
          <w:rFonts w:eastAsiaTheme="minorHAnsi"/>
          <w:color w:val="000000"/>
          <w:sz w:val="20"/>
        </w:rPr>
        <w:lastRenderedPageBreak/>
        <w:t>preservar la continuidad de la formación impartida. Dur</w:t>
      </w:r>
      <w:r w:rsidR="002964D9">
        <w:rPr>
          <w:rFonts w:eastAsiaTheme="minorHAnsi"/>
          <w:color w:val="000000"/>
          <w:sz w:val="20"/>
        </w:rPr>
        <w:t>ante el bienio, aproximadamente </w:t>
      </w:r>
      <w:r w:rsidRPr="00346F22">
        <w:rPr>
          <w:rFonts w:eastAsiaTheme="minorHAnsi"/>
          <w:color w:val="000000"/>
          <w:sz w:val="20"/>
        </w:rPr>
        <w:t>80.000 personas aprovecharon sus programas y actividades.</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 xml:space="preserve">Con respecto al Programa de Desarrollo Profesional, se impartieron aproximadamente 35 cursos de formación organizados conjuntamente con 22 instituciones asociadas en Alemania, Argelia, Austria, Brasil, Camerún, Canadá, Costa Rica, España, Finlandia, Francia, Indonesia, Israel, Malasia, Marruecos, México, Noruega, Paraguay, Perú, el Reino Unido y Suiza, así como con la Organización Mundial del Comercio (OMC) y el </w:t>
      </w:r>
      <w:r w:rsidR="00B11F08" w:rsidRPr="00B11F08">
        <w:rPr>
          <w:i/>
          <w:sz w:val="20"/>
        </w:rPr>
        <w:t>Centre d’Études Internationales de la Propriété Intellectuelle</w:t>
      </w:r>
      <w:r w:rsidRPr="00346F22">
        <w:rPr>
          <w:rFonts w:eastAsiaTheme="minorHAnsi"/>
          <w:color w:val="000000"/>
          <w:sz w:val="20"/>
        </w:rPr>
        <w:t xml:space="preserve"> (CEIPI), en Estrasburgo (Francia).  El Programa de enseñanza a distancia siguió atrayendo a participantes de un amplio abanico de sectores interesados.  En 2014/15, un total de 78.551 participantes de 193 países  (67.809 en el marco de los cursos generales y 10.742 en el marco de los cursos avanzados), lo que representa un descenso del 3,6% con respecto a 2012/13, utilizaron la plataforma mejorada de enseñanza a distancia (WeLC).  Cabe destacar que la demanda de cursos avanzados impartidos por las Oficinas de P.I., otros organismos gubernamentales, academias y CATI, en los países en desarrollo y en los PMA, alcanzó una cifra récord de 6.926 frente a las 2.907 del bienio anterior, lo que representa un incremento del 138%</w:t>
      </w:r>
      <w:r w:rsidRPr="00346F22">
        <w:rPr>
          <w:rFonts w:eastAsiaTheme="minorHAnsi"/>
          <w:color w:val="000000"/>
          <w:sz w:val="20"/>
          <w:vertAlign w:val="superscript"/>
        </w:rPr>
        <w:footnoteReference w:id="5"/>
      </w:r>
      <w:r w:rsidRPr="00346F22">
        <w:rPr>
          <w:rFonts w:eastAsiaTheme="minorHAnsi"/>
          <w:color w:val="000000"/>
          <w:sz w:val="20"/>
        </w:rPr>
        <w:t xml:space="preserve">. </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En 2014, el proyecto de creación de academias nacionales de P.I. se integró en los programas regulares de la Academia de la OMPI tras la aprobación en la decimocuarta sesión del CDIP de una evaluación independiente del proyecto.  La cooperación continuó durante todo el bienio con la creación de seis academias nacionales de P.I. durante la fase proyecto del CDIP (Colombia, Egipto, Etiopía, Perú, República Dominicana y Túnez).  Se firmaron nuevos acuerdos para la creación de centros nacionales de formación en materia de P.I. con los gobiernos de Azerbaiyán, Camboya, Costa Rica, Ecuador, El</w:t>
      </w:r>
      <w:r w:rsidR="00EC0C5E">
        <w:rPr>
          <w:rFonts w:eastAsiaTheme="minorHAnsi"/>
          <w:color w:val="000000"/>
          <w:sz w:val="20"/>
        </w:rPr>
        <w:t> </w:t>
      </w:r>
      <w:r w:rsidRPr="00346F22">
        <w:rPr>
          <w:rFonts w:eastAsiaTheme="minorHAnsi"/>
          <w:color w:val="000000"/>
          <w:sz w:val="20"/>
        </w:rPr>
        <w:t>Salvador, Georgia y</w:t>
      </w:r>
      <w:r w:rsidR="00B11F08">
        <w:rPr>
          <w:rFonts w:eastAsiaTheme="minorHAnsi"/>
          <w:color w:val="000000"/>
          <w:sz w:val="20"/>
        </w:rPr>
        <w:t xml:space="preserve"> Turquía.  En el bienio 2014/15</w:t>
      </w:r>
      <w:r w:rsidRPr="00346F22">
        <w:rPr>
          <w:rFonts w:eastAsiaTheme="minorHAnsi"/>
          <w:color w:val="000000"/>
          <w:sz w:val="20"/>
        </w:rPr>
        <w:t xml:space="preserve"> se recibieron nuevas peticiones de Estados miembros que necesitan asistencia para establecer centros nacionales de formación en materia de P.I.  Estas peticiones se estudiarán en 2016/17. </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 xml:space="preserve">Durante el bienio, siguió siendo prioritaria la tarea de mejorar las capacidades en el ámbito de los recursos humanos para hacer frente al amplio espectro de exigencias que supone la utilización eficaz de la P.I. en aras del desarrollo y de potenciar la innovación y la creatividad.  Se llevaron a cabo programas, en los planos nacional, subregional y regional, de fortalecimiento de capacidades y de desarrollo de aptitudes destinados a grupos específicos tales como funcionarios gubernamentales, responsables de la elaboración de políticas, profesionales de la P.I., funcionarios encargados de hacer cumplir la ley, investigadores y académicos, empresarios y miembros del sector industrial, así como pymes. Se organizaron 33 programas sobre gestión eficaz de activos de P.I. por parte de las pymes, que beneficiaron a más de 700 participantes, con el fin de crear en países concretos una masa crítica de formadores con conocimientos, aptitudes y experiencia para prestar asistencia básica a las pymes en relación con la gestión de activos de P.I. </w:t>
      </w:r>
    </w:p>
    <w:p w:rsidR="00346F22" w:rsidRPr="00346F22" w:rsidRDefault="00346F22" w:rsidP="00346F22">
      <w:pPr>
        <w:pStyle w:val="ONUMFS"/>
        <w:jc w:val="both"/>
        <w:rPr>
          <w:sz w:val="20"/>
        </w:rPr>
      </w:pPr>
      <w:r w:rsidRPr="00346F22">
        <w:rPr>
          <w:bCs/>
          <w:sz w:val="20"/>
        </w:rPr>
        <w:t>La OMPI también reforzó su cooperación con los PMA para la elaboración de un marco de políticas nacionales sobre innovación;  la evaluación de necesidades en materia de habilidades técnicas;  la facilitación del acceso a las plataformas mundiales de información científica y tecnológica; el  desarrollo de infraestructuras de apoyo a la innovación;  y el apoyo a los inventarios y al fortalecimiento de capacidades en los conocimientos tradicionales.  En el marco de la fase II del proyecto de la A.D. sobre el fortalecimiento de capacidades en el uso de información técnica y científica relativa a tecnologías apropiadas para solucionar determinados problemas de desarrollo, se firmaron memorandos de entendimiento con cuatro PMA (Etiopía, la República Unida de Tanzanía, Rwanda y Uganda), y a fines de 2015 la ejecución del proyecto había comenzado en tres PMA (</w:t>
      </w:r>
      <w:r w:rsidRPr="00346F22">
        <w:rPr>
          <w:rFonts w:eastAsia="Calibri"/>
          <w:color w:val="000000"/>
          <w:sz w:val="20"/>
          <w:szCs w:val="24"/>
        </w:rPr>
        <w:t xml:space="preserve">Etiopía, </w:t>
      </w:r>
      <w:r w:rsidRPr="00346F22">
        <w:rPr>
          <w:bCs/>
          <w:sz w:val="20"/>
        </w:rPr>
        <w:t>la República Unida de Tanzanía y Rwanda</w:t>
      </w:r>
      <w:r w:rsidRPr="00346F22">
        <w:rPr>
          <w:rFonts w:eastAsia="Calibri"/>
          <w:color w:val="000000"/>
          <w:sz w:val="20"/>
          <w:szCs w:val="24"/>
        </w:rPr>
        <w:t>)</w:t>
      </w:r>
      <w:r w:rsidRPr="00346F22">
        <w:rPr>
          <w:bCs/>
          <w:sz w:val="20"/>
        </w:rPr>
        <w:t>.</w:t>
      </w:r>
    </w:p>
    <w:p w:rsidR="00346F22" w:rsidRPr="00346F22" w:rsidRDefault="00346F22" w:rsidP="00346F22">
      <w:pPr>
        <w:pStyle w:val="ONUMFS"/>
        <w:jc w:val="both"/>
        <w:rPr>
          <w:sz w:val="20"/>
        </w:rPr>
      </w:pPr>
      <w:r w:rsidRPr="00346F22">
        <w:rPr>
          <w:sz w:val="20"/>
        </w:rPr>
        <w:t xml:space="preserve">Igualmente, la OMPI colaboró estrechamente con la Oficina del Alto Representante para los Países Menos Adelantados, los Países en Desarrollo sin Litoral y los Pequeños Estados Insulares en Desarrollo en el contexto de la puesta en marcha del Programa de Acción de Estambul.  En 2014, con motivo de la Conferencia Ministerial de PMA celebrada en Benin, la OMPI implementó un programa de asociación interregional en colaboración con la Unión Internacional de Telecomunicaciones (UIT), el Fondo de las Naciones Unidas para el Desarrollo de la Capitalización (FNUDC) y la Organización de las Naciones Unidas para el Desarrollo Industrial (ONUDI).  En 2015, se crearon dos foros adicionales de </w:t>
      </w:r>
      <w:r w:rsidRPr="00346F22">
        <w:rPr>
          <w:sz w:val="20"/>
        </w:rPr>
        <w:lastRenderedPageBreak/>
        <w:t>cooperación con los asociados, con la Comisión Económica y Social para Asia y el Pacífico (CESPAP) de las Naciones Unidas y con la Comisión Económica de las Naciones Unidas para África (CEPA).  La asociación con la CESPAP se tradujo en una propuesta para la firma de un memorando de entendimiento entre las dos organizaciones.  El documento incidió específicamente en el fortalecimiento de las capacidades y de las instituciones de los PMA de África y Asia.</w:t>
      </w:r>
    </w:p>
    <w:p w:rsidR="00346F22" w:rsidRPr="00346F22" w:rsidRDefault="00346F22" w:rsidP="00346F22">
      <w:pPr>
        <w:pStyle w:val="ONUMFS"/>
        <w:jc w:val="both"/>
        <w:rPr>
          <w:sz w:val="20"/>
        </w:rPr>
      </w:pPr>
      <w:r w:rsidRPr="00346F22">
        <w:rPr>
          <w:rFonts w:eastAsiaTheme="minorHAnsi"/>
          <w:color w:val="000000"/>
          <w:sz w:val="20"/>
        </w:rPr>
        <w:t>Durante</w:t>
      </w:r>
      <w:r w:rsidRPr="00346F22">
        <w:rPr>
          <w:sz w:val="20"/>
        </w:rPr>
        <w:t xml:space="preserve"> el bienio, el CDIP sometió a consideración y debatió diversos documentos y estudios. Además, el Comité aprobó propuestas para la puesta en marcha de las segundas fases de dos proyectos completados y evaluados, de tres nuevas propuestas de proyectos y de nuevas actividades relacionadas con la utilización del derecho de autor para promover el acceso a la información y el contenido creativo.  Asimismo, el Comité aprobó el mandato relativo al examen independiente de la aplicación de las recomendaciones de la Agenda para el Desarrollo y tomó una decisión sobre la convocación de la Conferencia Internacional sobre Propiedad Intelectual y Desarrollo.</w:t>
      </w:r>
    </w:p>
    <w:p w:rsidR="006760C1" w:rsidRPr="001402C5" w:rsidRDefault="006760C1" w:rsidP="006760C1">
      <w:pPr>
        <w:rPr>
          <w:b/>
          <w:iCs/>
          <w:sz w:val="20"/>
        </w:rPr>
      </w:pPr>
    </w:p>
    <w:p w:rsidR="006760C1" w:rsidRPr="001402C5" w:rsidRDefault="006760C1" w:rsidP="006760C1">
      <w:pPr>
        <w:jc w:val="center"/>
        <w:rPr>
          <w:b/>
          <w:iCs/>
          <w:sz w:val="20"/>
        </w:rPr>
      </w:pPr>
      <w:r w:rsidRPr="001402C5">
        <w:rPr>
          <w:b/>
          <w:iCs/>
          <w:sz w:val="20"/>
        </w:rPr>
        <w:t>Meta estratégica IV</w:t>
      </w:r>
      <w:proofErr w:type="gramStart"/>
      <w:r w:rsidRPr="001402C5">
        <w:rPr>
          <w:b/>
          <w:iCs/>
          <w:sz w:val="20"/>
        </w:rPr>
        <w:t>:  Coordinación</w:t>
      </w:r>
      <w:proofErr w:type="gramEnd"/>
      <w:r w:rsidRPr="001402C5">
        <w:rPr>
          <w:b/>
          <w:iCs/>
          <w:sz w:val="20"/>
        </w:rPr>
        <w:t xml:space="preserve"> y desarrollo de la infraestructura mundial de P.I.</w:t>
      </w:r>
    </w:p>
    <w:p w:rsidR="006760C1" w:rsidRDefault="006760C1" w:rsidP="006760C1">
      <w:pPr>
        <w:jc w:val="center"/>
        <w:rPr>
          <w:b/>
          <w:noProof/>
          <w:sz w:val="18"/>
          <w:szCs w:val="18"/>
        </w:rPr>
      </w:pPr>
    </w:p>
    <w:p w:rsidR="006760C1" w:rsidRDefault="006760C1" w:rsidP="006760C1">
      <w:pPr>
        <w:jc w:val="center"/>
        <w:rPr>
          <w:b/>
          <w:sz w:val="18"/>
          <w:szCs w:val="18"/>
        </w:rPr>
      </w:pPr>
      <w:r w:rsidRPr="001402C5">
        <w:rPr>
          <w:noProof/>
          <w:sz w:val="20"/>
          <w:lang w:val="en-US" w:eastAsia="en-US"/>
        </w:rPr>
        <w:drawing>
          <wp:inline distT="0" distB="0" distL="0" distR="0" wp14:anchorId="1B0AA8B6" wp14:editId="02F70A70">
            <wp:extent cx="5050465" cy="2773153"/>
            <wp:effectExtent l="0" t="0" r="0" b="8255"/>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0959" cy="2773424"/>
                    </a:xfrm>
                    <a:prstGeom prst="rect">
                      <a:avLst/>
                    </a:prstGeom>
                    <a:noFill/>
                    <a:ln>
                      <a:noFill/>
                    </a:ln>
                  </pic:spPr>
                </pic:pic>
              </a:graphicData>
            </a:graphic>
          </wp:inline>
        </w:drawing>
      </w:r>
    </w:p>
    <w:p w:rsidR="006760C1" w:rsidRDefault="006760C1" w:rsidP="006760C1">
      <w:pPr>
        <w:jc w:val="center"/>
        <w:rPr>
          <w:b/>
          <w:sz w:val="18"/>
          <w:szCs w:val="18"/>
        </w:rPr>
      </w:pPr>
    </w:p>
    <w:p w:rsidR="006760C1" w:rsidRPr="001402C5" w:rsidRDefault="006760C1" w:rsidP="006760C1">
      <w:pPr>
        <w:jc w:val="center"/>
        <w:rPr>
          <w:b/>
          <w:iCs/>
          <w:sz w:val="20"/>
        </w:rPr>
      </w:pPr>
      <w:r w:rsidRPr="0047708A">
        <w:rPr>
          <w:b/>
          <w:sz w:val="18"/>
          <w:szCs w:val="18"/>
        </w:rPr>
        <w:t xml:space="preserve">Resumen de los avances logrados </w:t>
      </w:r>
      <w:r>
        <w:rPr>
          <w:b/>
          <w:sz w:val="18"/>
          <w:szCs w:val="18"/>
        </w:rPr>
        <w:t>por resultado previsto</w:t>
      </w:r>
    </w:p>
    <w:p w:rsidR="006760C1" w:rsidRDefault="006760C1" w:rsidP="006760C1">
      <w:pPr>
        <w:rPr>
          <w:b/>
          <w:noProof/>
          <w:sz w:val="18"/>
          <w:szCs w:val="18"/>
        </w:rPr>
      </w:pPr>
      <w:r w:rsidRPr="001402C5">
        <w:rPr>
          <w:noProof/>
          <w:sz w:val="20"/>
          <w:lang w:val="en-US" w:eastAsia="en-US"/>
        </w:rPr>
        <w:drawing>
          <wp:inline distT="0" distB="0" distL="0" distR="0" wp14:anchorId="5A5826A1" wp14:editId="02CED452">
            <wp:extent cx="5731510" cy="2241823"/>
            <wp:effectExtent l="0" t="0" r="2540" b="635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241823"/>
                    </a:xfrm>
                    <a:prstGeom prst="rect">
                      <a:avLst/>
                    </a:prstGeom>
                    <a:noFill/>
                    <a:ln>
                      <a:noFill/>
                    </a:ln>
                  </pic:spPr>
                </pic:pic>
              </a:graphicData>
            </a:graphic>
          </wp:inline>
        </w:drawing>
      </w:r>
    </w:p>
    <w:p w:rsidR="00346F22" w:rsidRPr="00346F22" w:rsidRDefault="00346F22" w:rsidP="00346F22">
      <w:pPr>
        <w:pStyle w:val="ONUMFS"/>
        <w:jc w:val="both"/>
        <w:rPr>
          <w:bCs/>
          <w:sz w:val="20"/>
        </w:rPr>
      </w:pPr>
      <w:r w:rsidRPr="00346F22">
        <w:rPr>
          <w:bCs/>
          <w:sz w:val="20"/>
        </w:rPr>
        <w:t xml:space="preserve">Con la mira puesta en fomentar la infraestructura mundial de P.I. para contribuir a satisfacer la creciente demanda mundial con respecto al sistema de P.I. y facilitar la participación en el mismo de los países en </w:t>
      </w:r>
      <w:r w:rsidRPr="00346F22">
        <w:rPr>
          <w:rFonts w:eastAsiaTheme="minorHAnsi"/>
          <w:color w:val="000000"/>
          <w:sz w:val="20"/>
        </w:rPr>
        <w:t>desarrollo</w:t>
      </w:r>
      <w:r w:rsidRPr="00346F22">
        <w:rPr>
          <w:bCs/>
          <w:sz w:val="20"/>
        </w:rPr>
        <w:t xml:space="preserve"> y los PMA, en 2014/15 se lograron importantes avances en los ámbitos de las bases mundiales de datos de P.I., las clasificaciones, la modernización de las oficinas de P.I. y los CATI. </w:t>
      </w:r>
    </w:p>
    <w:p w:rsidR="00346F22" w:rsidRPr="00346F22" w:rsidRDefault="00346F22" w:rsidP="00346F22">
      <w:pPr>
        <w:pStyle w:val="ONUMFS"/>
        <w:jc w:val="both"/>
        <w:rPr>
          <w:sz w:val="20"/>
        </w:rPr>
      </w:pPr>
      <w:r w:rsidRPr="00346F22">
        <w:rPr>
          <w:rFonts w:eastAsiaTheme="minorHAnsi"/>
          <w:color w:val="000000"/>
          <w:sz w:val="20"/>
        </w:rPr>
        <w:t>En 2014/2015, se siguió fortaleciendo el sistema PATENTSCOPE y se prestó especial atención a mejorar el acceso al sistema en las regiones que experimentaban retrasos en las conexiones.  También se lograron</w:t>
      </w:r>
      <w:r w:rsidRPr="00346F22">
        <w:rPr>
          <w:sz w:val="20"/>
        </w:rPr>
        <w:t xml:space="preserve"> mejoras demostrables para los usuarios en Asia</w:t>
      </w:r>
      <w:r w:rsidRPr="00346F22">
        <w:rPr>
          <w:rFonts w:eastAsia="MS Mincho"/>
          <w:sz w:val="20"/>
          <w:lang w:eastAsia="ja-JP" w:bidi="th-TH"/>
        </w:rPr>
        <w:t xml:space="preserve">.  </w:t>
      </w:r>
      <w:r w:rsidRPr="00346F22">
        <w:rPr>
          <w:sz w:val="20"/>
        </w:rPr>
        <w:t xml:space="preserve">Se hicieron los preparativos necesarios para incorporar otros dos idiomas al sistema de búsqueda plurilingüe </w:t>
      </w:r>
      <w:r w:rsidRPr="00346F22">
        <w:rPr>
          <w:i/>
          <w:sz w:val="20"/>
        </w:rPr>
        <w:t>Cross Lingual Information Retrieval</w:t>
      </w:r>
      <w:r w:rsidRPr="00346F22">
        <w:rPr>
          <w:sz w:val="20"/>
        </w:rPr>
        <w:t xml:space="preserve"> </w:t>
      </w:r>
      <w:r w:rsidRPr="00346F22">
        <w:rPr>
          <w:sz w:val="20"/>
        </w:rPr>
        <w:lastRenderedPageBreak/>
        <w:t>(CLIR), situando la cifra total de idiomas en 14 a fines del bienio.  También a fines de 2014/15, WIPO Translate</w:t>
      </w:r>
      <w:r w:rsidRPr="00346F22">
        <w:rPr>
          <w:rStyle w:val="FootnoteReference"/>
          <w:sz w:val="20"/>
        </w:rPr>
        <w:footnoteReference w:id="6"/>
      </w:r>
      <w:r w:rsidRPr="00346F22">
        <w:rPr>
          <w:sz w:val="20"/>
        </w:rPr>
        <w:t>, el sistema de traducción estadística por computadora puesto a punto en la Organización, se amplió para dar cabida a otros tres pares de idiomas adicionales que ofrecen dificultades:  inglés y coreano, inglés y ruso, e inglés y español, situando el número de combinaciones idiomáticas en nueve.  Además, se amplió la cobertura del inglés y el chino para incluir las descripciones y las reivindicaciones.</w:t>
      </w:r>
    </w:p>
    <w:p w:rsidR="00346F22" w:rsidRPr="00346F22" w:rsidRDefault="00346F22" w:rsidP="00346F22">
      <w:pPr>
        <w:pStyle w:val="ONUMFS"/>
        <w:jc w:val="both"/>
        <w:rPr>
          <w:sz w:val="20"/>
        </w:rPr>
      </w:pPr>
      <w:r w:rsidRPr="00346F22">
        <w:rPr>
          <w:rFonts w:eastAsia="MS Mincho"/>
          <w:sz w:val="20"/>
          <w:lang w:eastAsia="ja-JP" w:bidi="th-TH"/>
        </w:rPr>
        <w:t>El servicio PATENTSCOPE siguió mostrando altos niveles de uso, con un</w:t>
      </w:r>
      <w:r w:rsidR="00B11F08">
        <w:rPr>
          <w:rFonts w:eastAsia="MS Mincho"/>
          <w:sz w:val="20"/>
          <w:lang w:eastAsia="ja-JP" w:bidi="th-TH"/>
        </w:rPr>
        <w:t xml:space="preserve"> promedio</w:t>
      </w:r>
      <w:r w:rsidRPr="00346F22">
        <w:rPr>
          <w:rFonts w:eastAsia="MS Mincho"/>
          <w:sz w:val="20"/>
          <w:lang w:eastAsia="ja-JP" w:bidi="th-TH"/>
        </w:rPr>
        <w:t xml:space="preserve"> de 500.000 visitas de páginas distintas al día.  El uso de </w:t>
      </w:r>
      <w:r w:rsidRPr="00346F22">
        <w:rPr>
          <w:sz w:val="20"/>
        </w:rPr>
        <w:t xml:space="preserve">PATENTSCOPE </w:t>
      </w:r>
      <w:r w:rsidRPr="00346F22">
        <w:rPr>
          <w:rFonts w:eastAsia="MS Mincho"/>
          <w:sz w:val="20"/>
          <w:lang w:eastAsia="ja-JP" w:bidi="th-TH"/>
        </w:rPr>
        <w:t xml:space="preserve">se mantuvo estable con más de 221.000 usuarios distintos por trimestre a fines del bienio,  lo que demuestra que los niveles de servicio del motor de búsqueda de PATENTSCOPE tienen ahora la madurez suficiente para llegar al punto en que </w:t>
      </w:r>
      <w:r w:rsidR="00B11F08">
        <w:rPr>
          <w:rFonts w:eastAsia="MS Mincho"/>
          <w:sz w:val="20"/>
          <w:lang w:eastAsia="ja-JP" w:bidi="th-TH"/>
        </w:rPr>
        <w:t>e</w:t>
      </w:r>
      <w:r w:rsidRPr="00346F22">
        <w:rPr>
          <w:rFonts w:eastAsia="MS Mincho"/>
          <w:sz w:val="20"/>
          <w:lang w:eastAsia="ja-JP" w:bidi="th-TH"/>
        </w:rPr>
        <w:t>l rendimiento decrece.  El número de colecciones en PATENTSCOPE también aumentó en un 19% con respecto a 2013, lo que sitúa el número total de colecciones nacionales y regionales en 43 (frente a 36 a fines de 201</w:t>
      </w:r>
      <w:r w:rsidR="00B11F08">
        <w:rPr>
          <w:rFonts w:eastAsia="MS Mincho"/>
          <w:sz w:val="20"/>
          <w:lang w:eastAsia="ja-JP" w:bidi="th-TH"/>
        </w:rPr>
        <w:t>3) y el número t</w:t>
      </w:r>
      <w:r w:rsidRPr="00346F22">
        <w:rPr>
          <w:rFonts w:eastAsia="MS Mincho"/>
          <w:sz w:val="20"/>
          <w:lang w:eastAsia="ja-JP" w:bidi="th-TH"/>
        </w:rPr>
        <w:t>otal de registros contenidos en ellas a más de 50 millones (frente a los 34 millones a fines de 2013), un incremento del 47% con respecto a 2013.</w:t>
      </w:r>
    </w:p>
    <w:p w:rsidR="00346F22" w:rsidRPr="00346F22" w:rsidRDefault="00346F22" w:rsidP="00346F22">
      <w:pPr>
        <w:pStyle w:val="ONUMFS"/>
        <w:jc w:val="both"/>
        <w:rPr>
          <w:bCs/>
          <w:sz w:val="20"/>
        </w:rPr>
      </w:pPr>
      <w:r w:rsidRPr="00346F22">
        <w:rPr>
          <w:rFonts w:eastAsiaTheme="minorHAnsi"/>
          <w:color w:val="000000"/>
          <w:sz w:val="20"/>
        </w:rPr>
        <w:t>Gracias a la introducción de una potente función de búsqueda de imágenes similares, en 2014/15 el uso de la Base</w:t>
      </w:r>
      <w:r w:rsidRPr="00346F22">
        <w:rPr>
          <w:bCs/>
          <w:sz w:val="20"/>
        </w:rPr>
        <w:t xml:space="preserve"> Mundial de datos sobre Marcas superó las expectativas, ya que el número de usuarios distintos por trimestre se cuadruplicó, pasando de 23.000 a fines de 2013 a más de 80.000.  El número de colecciones nacionales se duplicó con creces, pasando de 12 a fines de 2013 a 26 a fines de 2015.  Asimismo, el número total de registros contenidos en el sistema aumentó en más del doble en 2014/15, pasando de 12 millones a más de 24 millones.</w:t>
      </w:r>
    </w:p>
    <w:p w:rsidR="00346F22" w:rsidRPr="00346F22" w:rsidRDefault="00346F22" w:rsidP="00346F22">
      <w:pPr>
        <w:pStyle w:val="ONUMFS"/>
        <w:jc w:val="both"/>
        <w:rPr>
          <w:sz w:val="20"/>
          <w:lang w:eastAsia="ja-JP" w:bidi="th-TH"/>
        </w:rPr>
      </w:pPr>
      <w:r w:rsidRPr="00346F22">
        <w:rPr>
          <w:rFonts w:eastAsia="MS Mincho"/>
          <w:sz w:val="20"/>
          <w:lang w:eastAsia="ja-JP" w:bidi="th-TH"/>
        </w:rPr>
        <w:t xml:space="preserve">En el bienio cabe destacar también el lanzamiento en enero de 2015 de un nuevo servicio, la Base Mundial de Datos sobre Diseños (GDD).  A fines de 2015, solo un año después de su introducción, esta base de datos ya había alcanzado la impresionante cifra de 14.000 usuarios distintos por trimestre.  Además, el número de colecciones nacionales ascendió a cinco, conteniendo más de 1,5 millones de documentos de dibujos y modelos industriales. </w:t>
      </w:r>
    </w:p>
    <w:p w:rsidR="00346F22" w:rsidRPr="00346F22" w:rsidRDefault="00346F22" w:rsidP="00346F22">
      <w:pPr>
        <w:pStyle w:val="ONUMFS"/>
        <w:jc w:val="both"/>
        <w:rPr>
          <w:sz w:val="20"/>
        </w:rPr>
      </w:pPr>
      <w:r w:rsidRPr="00346F22">
        <w:rPr>
          <w:rFonts w:eastAsiaTheme="minorHAnsi"/>
          <w:color w:val="000000"/>
          <w:sz w:val="20"/>
        </w:rPr>
        <w:t>A pesar de los desiguales avances logrados en 2014, la situación en lo que respecta a las clasificaciones internacionales y a las normas técnicas de la OMPI sobre propiedad industrial mejoró sustancialmente en 2015, superándose</w:t>
      </w:r>
      <w:r w:rsidRPr="00346F22">
        <w:rPr>
          <w:bCs/>
          <w:sz w:val="20"/>
        </w:rPr>
        <w:t xml:space="preserve"> las expectativas en determinados ámbitos y acusándose retrasos en otros.  En lo que respecta a la Clasificación de Niza, en el bienio se introdujeron un total de 1.480 nuevas modificaciones y 25 ficheros de información nuevos.  El número de modificaciones supone un aumento del 94% con respecto al bienio </w:t>
      </w:r>
      <w:r w:rsidRPr="00346F22">
        <w:rPr>
          <w:sz w:val="20"/>
        </w:rPr>
        <w:t xml:space="preserve">2012/13.  </w:t>
      </w:r>
      <w:r w:rsidRPr="00346F22">
        <w:rPr>
          <w:bCs/>
          <w:sz w:val="20"/>
        </w:rPr>
        <w:t xml:space="preserve">En el marco de la CIP, en abril de 2014 empezó a utilizarse una plataforma de publicación modificada para facilitar el uso del sistema, que incluye una herramienta de búsqueda nueva y la función “Parallel Viewer” de la Clasificación Internacional de Patentes, la Clasificación de Patentes Cooperativa y el sistema </w:t>
      </w:r>
      <w:r w:rsidRPr="00B772EB">
        <w:rPr>
          <w:bCs/>
          <w:i/>
          <w:sz w:val="20"/>
        </w:rPr>
        <w:t>File Index</w:t>
      </w:r>
      <w:r w:rsidRPr="00346F22">
        <w:rPr>
          <w:bCs/>
          <w:sz w:val="20"/>
        </w:rPr>
        <w:t xml:space="preserve"> (CIP/CPC/FI).  Debido al aumento de los nuevos proyectos de revisión procedentes de las Oficinas de la Cooperación Pentalateral y de la comunidad de la CIP, el número de subdivisiones introducidas en </w:t>
      </w:r>
      <w:r w:rsidRPr="00346F22">
        <w:rPr>
          <w:sz w:val="20"/>
        </w:rPr>
        <w:t xml:space="preserve">2015 (1.031) superó el objetivo anual en un 28%, recuperándose con respecto a 2014 para alcanzar el objetivo.  </w:t>
      </w:r>
      <w:r w:rsidRPr="00346F22">
        <w:rPr>
          <w:bCs/>
          <w:sz w:val="20"/>
        </w:rPr>
        <w:t xml:space="preserve">En su cuarta sesión, el Comité de Normas Técnicas de la OMPI (CWS) no logró aprobar el orden del día, es decir que no fue posible tomar decisiones oficiales.  A pesar de ese contratiempo, en 2014 pudo aprobarse una nueva norma técnica y pudo revisarse otra de manera oficiosa.  Esta paralización tuvo continuidad en </w:t>
      </w:r>
      <w:r w:rsidRPr="00346F22">
        <w:rPr>
          <w:sz w:val="20"/>
        </w:rPr>
        <w:t xml:space="preserve">2015, lo que supuso la ausencia de aprobación formal de nuevas normas técnicas.  Pese a ello, las gestiones informales continuaron en los equipos técnicos, grupos integrados por expertos designados por los miembros y los observadores del CWS para hacerse cargo de tareas específicas.  Está previsto que varias normas técnicas sean aprobadas cuando el CWS reanude sus trabajos en 2016.  </w:t>
      </w:r>
      <w:r w:rsidRPr="00346F22">
        <w:rPr>
          <w:bCs/>
          <w:sz w:val="20"/>
        </w:rPr>
        <w:t>El uso de herramientas de Internet para acceder a las publicaciones de clasificaciones y de normas técnicas aumentó de forma estable, registrándose un número considerablemente mayor de visitas a las publicaciones de la CIP (un 107% frente a 2013), debido a la inclusión de clasificaciones revisadas y de nuevas herramientas.</w:t>
      </w:r>
    </w:p>
    <w:p w:rsidR="00346F22" w:rsidRPr="00346F22" w:rsidRDefault="00346F22" w:rsidP="00346F22">
      <w:pPr>
        <w:pStyle w:val="ONUMFS"/>
        <w:jc w:val="both"/>
        <w:rPr>
          <w:bCs/>
          <w:sz w:val="20"/>
        </w:rPr>
      </w:pPr>
      <w:r w:rsidRPr="00346F22">
        <w:rPr>
          <w:bCs/>
          <w:sz w:val="20"/>
        </w:rPr>
        <w:t xml:space="preserve">En el bienio 2014/15, el número de Estados miembros que habían establecido en sus países centros de apoyo a la tecnología y la innovación (CATI) ascendió a 50, con 11 redes adicionales, lo que supuso un incremento del 28% con respecto a 2012/13.  Se siguió prestando atención a la sostenibilidad a largo plazo </w:t>
      </w:r>
      <w:r w:rsidRPr="00346F22">
        <w:rPr>
          <w:rFonts w:eastAsiaTheme="minorHAnsi"/>
          <w:color w:val="000000"/>
          <w:sz w:val="20"/>
        </w:rPr>
        <w:t>de</w:t>
      </w:r>
      <w:r w:rsidRPr="00346F22">
        <w:rPr>
          <w:bCs/>
          <w:sz w:val="20"/>
        </w:rPr>
        <w:t xml:space="preserve"> las redes, y, a fines de 2015, se determinó que 25 redes de CATI eran sostenibles.  La plataforma de gestión de conocimientos “eTISC” siguió creciendo con solidez, doblando con creces el número de miembros hasta casi 1.500 procedentes de más de 115 paíse</w:t>
      </w:r>
      <w:r w:rsidR="00AC067A">
        <w:rPr>
          <w:bCs/>
          <w:sz w:val="20"/>
        </w:rPr>
        <w:t>s a fines de 2015, frente a los </w:t>
      </w:r>
      <w:r w:rsidRPr="00346F22">
        <w:rPr>
          <w:bCs/>
          <w:sz w:val="20"/>
        </w:rPr>
        <w:t xml:space="preserve">700 miembros del bienio anterior.  Se incorporaron a la plataforma “eTISC” 16 seminarios de </w:t>
      </w:r>
      <w:r w:rsidRPr="00346F22">
        <w:rPr>
          <w:bCs/>
          <w:sz w:val="20"/>
        </w:rPr>
        <w:lastRenderedPageBreak/>
        <w:t>formación por Internet y se celebraron 10 sesiones de preguntas y respuestas en directo con expertos de ayuda a la innovación.</w:t>
      </w:r>
    </w:p>
    <w:p w:rsidR="00346F22" w:rsidRPr="00346F22" w:rsidRDefault="00346F22" w:rsidP="00346F22">
      <w:pPr>
        <w:pStyle w:val="ONUMFS"/>
        <w:jc w:val="both"/>
        <w:rPr>
          <w:sz w:val="20"/>
        </w:rPr>
      </w:pPr>
      <w:r w:rsidRPr="00346F22">
        <w:rPr>
          <w:sz w:val="20"/>
        </w:rPr>
        <w:t xml:space="preserve">Para atender la demanda, la Oficina Internacional </w:t>
      </w:r>
      <w:r w:rsidRPr="00346F22">
        <w:rPr>
          <w:bCs/>
          <w:sz w:val="20"/>
        </w:rPr>
        <w:t>siguió elaborando instrumentos para dar apoyo a los procesos operacionales de las Oficinas de P.I., en particular, el Sistema de Automatización de la Propiedad Industrial (IPAS) y sus módulos de apoyo</w:t>
      </w:r>
      <w:r w:rsidRPr="00346F22">
        <w:rPr>
          <w:sz w:val="20"/>
        </w:rPr>
        <w:t xml:space="preserve">.  Entre las principales funciones nuevas incorporadas durante el bienio, cabe citar un apoyo más sólido a la gestión electrónica de documentos y el apoyo a las operaciones bilingües, sobre todo a las oficinas cuyo idioma de trabajo es el árabe.  En diversas oficinas de P.I. se desarrollaron y se pusieron a prueba dos módulos nuevos: </w:t>
      </w:r>
    </w:p>
    <w:p w:rsidR="006760C1" w:rsidRPr="001402C5" w:rsidRDefault="006760C1" w:rsidP="006760C1">
      <w:pPr>
        <w:numPr>
          <w:ilvl w:val="0"/>
          <w:numId w:val="4"/>
        </w:numPr>
        <w:ind w:left="1134" w:hanging="425"/>
        <w:jc w:val="both"/>
        <w:rPr>
          <w:sz w:val="20"/>
        </w:rPr>
      </w:pPr>
      <w:r w:rsidRPr="001402C5">
        <w:rPr>
          <w:i/>
          <w:sz w:val="20"/>
        </w:rPr>
        <w:t>WIPO Publish:</w:t>
      </w:r>
      <w:r w:rsidRPr="001402C5">
        <w:rPr>
          <w:sz w:val="20"/>
        </w:rPr>
        <w:t xml:space="preserve"> diseñado para satisfacer las necesidades de las oficinas en lo que respecta a la publicación en Internet de datos de P.I., documentos, información sobre la situación jurídica y los expedientes así como las necesidades de intercambio de datos (lo que incluye el intercambio de datos de las bases de datos mundiales de la OMPI).  En 10 oficinas, este módulo se incorporó para su uso interno y en muchas otras para la difusión por Internet de información en materia de P.I.</w:t>
      </w:r>
    </w:p>
    <w:p w:rsidR="006760C1" w:rsidRPr="001402C5" w:rsidRDefault="006760C1" w:rsidP="006760C1">
      <w:pPr>
        <w:ind w:left="1134"/>
        <w:jc w:val="both"/>
        <w:rPr>
          <w:sz w:val="20"/>
        </w:rPr>
      </w:pPr>
    </w:p>
    <w:p w:rsidR="006760C1" w:rsidRDefault="006760C1" w:rsidP="006760C1">
      <w:pPr>
        <w:numPr>
          <w:ilvl w:val="0"/>
          <w:numId w:val="4"/>
        </w:numPr>
        <w:shd w:val="clear" w:color="auto" w:fill="FFFFFF"/>
        <w:ind w:left="1134" w:hanging="425"/>
        <w:jc w:val="both"/>
        <w:rPr>
          <w:sz w:val="20"/>
        </w:rPr>
      </w:pPr>
      <w:r w:rsidRPr="001402C5">
        <w:rPr>
          <w:i/>
          <w:sz w:val="20"/>
        </w:rPr>
        <w:t>WIPO File</w:t>
      </w:r>
      <w:proofErr w:type="gramStart"/>
      <w:r w:rsidRPr="001402C5">
        <w:rPr>
          <w:i/>
          <w:sz w:val="20"/>
        </w:rPr>
        <w:t xml:space="preserve">:  </w:t>
      </w:r>
      <w:r w:rsidRPr="001402C5">
        <w:rPr>
          <w:sz w:val="20"/>
        </w:rPr>
        <w:t>diseñado</w:t>
      </w:r>
      <w:proofErr w:type="gramEnd"/>
      <w:r w:rsidRPr="001402C5">
        <w:rPr>
          <w:sz w:val="20"/>
        </w:rPr>
        <w:t xml:space="preserve"> para facilitar una solución electrónica de presentación de solicitudes a las oficinas pequeñas y medianas, sin olvidar la flexibilidad para permitir una amplia adaptación a las condiciones locales (por ejemplo, a los sistemas de pago locales).  </w:t>
      </w:r>
      <w:r w:rsidRPr="001402C5">
        <w:rPr>
          <w:i/>
          <w:sz w:val="20"/>
        </w:rPr>
        <w:t>WIPO File</w:t>
      </w:r>
      <w:r w:rsidRPr="001402C5">
        <w:rPr>
          <w:sz w:val="20"/>
        </w:rPr>
        <w:t xml:space="preserve"> se aplicó experimentalmente con éxito en una oficina de P.I., donde se está utilizando para la presentación electrónica de solicitudes.</w:t>
      </w:r>
    </w:p>
    <w:p w:rsidR="002D601A" w:rsidRPr="001402C5" w:rsidRDefault="002D601A" w:rsidP="002D601A">
      <w:pPr>
        <w:shd w:val="clear" w:color="auto" w:fill="FFFFFF"/>
        <w:ind w:left="1134"/>
        <w:jc w:val="both"/>
        <w:rPr>
          <w:sz w:val="20"/>
        </w:rPr>
      </w:pPr>
    </w:p>
    <w:p w:rsidR="00346F22" w:rsidRPr="00346F22" w:rsidRDefault="00346F22" w:rsidP="00346F22">
      <w:pPr>
        <w:pStyle w:val="ONUMFS"/>
        <w:jc w:val="both"/>
        <w:rPr>
          <w:color w:val="282828"/>
          <w:sz w:val="20"/>
        </w:rPr>
      </w:pPr>
      <w:r w:rsidRPr="00346F22">
        <w:rPr>
          <w:color w:val="282828"/>
          <w:sz w:val="20"/>
        </w:rPr>
        <w:t xml:space="preserve">En </w:t>
      </w:r>
      <w:r w:rsidRPr="00346F22">
        <w:rPr>
          <w:rFonts w:eastAsiaTheme="minorHAnsi"/>
          <w:color w:val="000000"/>
          <w:sz w:val="20"/>
        </w:rPr>
        <w:t>2014</w:t>
      </w:r>
      <w:r w:rsidRPr="00346F22">
        <w:rPr>
          <w:color w:val="282828"/>
          <w:sz w:val="20"/>
        </w:rPr>
        <w:t xml:space="preserve"> se puso en marcha el proyecto “Conexión de Derecho de Autor de la OMPI” (WCC) (que ha sustituido al proyecto WIPOCOS) a fin de disponer de un sistema interconectado para la gestión de los derechos de autor y derechos conexos.  El sistema estaba en la fase</w:t>
      </w:r>
      <w:r w:rsidR="00887662">
        <w:rPr>
          <w:color w:val="282828"/>
          <w:sz w:val="20"/>
        </w:rPr>
        <w:t xml:space="preserve"> final de desarrollo a fines de </w:t>
      </w:r>
      <w:r w:rsidRPr="00346F22">
        <w:rPr>
          <w:color w:val="282828"/>
          <w:sz w:val="20"/>
        </w:rPr>
        <w:t>2014/15 y se implanta</w:t>
      </w:r>
      <w:r w:rsidR="00B772EB">
        <w:rPr>
          <w:color w:val="282828"/>
          <w:sz w:val="20"/>
        </w:rPr>
        <w:t>rá</w:t>
      </w:r>
      <w:r w:rsidRPr="00346F22">
        <w:rPr>
          <w:color w:val="282828"/>
          <w:sz w:val="20"/>
        </w:rPr>
        <w:t xml:space="preserve"> en organismos de gestión colectiva (OGC) de países en desarrollo y PMA </w:t>
      </w:r>
      <w:r w:rsidR="00B772EB">
        <w:rPr>
          <w:color w:val="282828"/>
          <w:sz w:val="20"/>
        </w:rPr>
        <w:t xml:space="preserve">a partir de comienzos </w:t>
      </w:r>
      <w:r w:rsidRPr="00346F22">
        <w:rPr>
          <w:color w:val="282828"/>
          <w:sz w:val="20"/>
        </w:rPr>
        <w:t>de 2016.</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 xml:space="preserve">A partir de un proceso de publicación de especificaciones y su examen, en colaboración con las Oficinas participantes, en diciembre de 2014 se publicó una nueva versión del Servicio de Acceso Digital a los Documentos de Prioridad (DAS) en apoyo del marco revisado de DAS 2.0.  El número de Oficinas participantes permaneció estable, manteniéndose en 11.  En abril de 2014, el acceso centralizado a los resultados de la búsqueda y el examen de la OMPI (CASE) quedó vinculado con la plataforma </w:t>
      </w:r>
      <w:r w:rsidRPr="002D601A">
        <w:rPr>
          <w:rFonts w:eastAsiaTheme="minorHAnsi"/>
          <w:i/>
          <w:color w:val="000000"/>
          <w:sz w:val="20"/>
        </w:rPr>
        <w:t>IP5 One Portal Dossier</w:t>
      </w:r>
      <w:r w:rsidRPr="00346F22">
        <w:rPr>
          <w:rFonts w:eastAsiaTheme="minorHAnsi"/>
          <w:color w:val="000000"/>
          <w:sz w:val="20"/>
        </w:rPr>
        <w:t>, que permite el intercambio de información sobre expedientes, pleno y recíproco, entre el sistema WIPO CASE y las Oficinas de la Cooperación Pentalateral.  Varias oficinas nuevas se inscribieron para utilizar WIPO CASE durante el bienio, lo que eleva a 21 el número total de oficinas participantes, de las cuales 10 han convenido compartir con otros la información contenida en sus expedientes.</w:t>
      </w:r>
    </w:p>
    <w:p w:rsidR="00346F22" w:rsidRPr="00346F22" w:rsidRDefault="00346F22" w:rsidP="00346F22">
      <w:pPr>
        <w:pStyle w:val="ONUMFS"/>
        <w:jc w:val="both"/>
        <w:rPr>
          <w:sz w:val="20"/>
        </w:rPr>
      </w:pPr>
      <w:r w:rsidRPr="00346F22">
        <w:rPr>
          <w:bCs/>
          <w:sz w:val="20"/>
        </w:rPr>
        <w:t>En junio de 2014, se creó una nueva entidad de múltiples sectores interesados, el Consorcio de Libros Accesibles (ABC), para aumentar el número de libros en todo el mundo en formatos accesibles para las personas con dificultad para acceder al texto impreso.  El ABC llevó a cabo tres actividades principales:  i) la asistencia técnica para elaboración de libros en formatos accesibles (con financiación de los Gobiernos de Australia y de la República de Corea);</w:t>
      </w:r>
      <w:r w:rsidRPr="00346F22">
        <w:rPr>
          <w:color w:val="000000"/>
          <w:sz w:val="20"/>
        </w:rPr>
        <w:t xml:space="preserve">  ii) el fomento de la publicación inclusiva, que promueve tecnologías que facilitan la edición de obras “que nacen accesibles”, de suerte que puedan utilizar desde el principio las obras de reciente creación tanto las personas sin dificultad visual como las personas con dificultad para acceder al texto impreso;  y iii) el Servicio de Libros del ABC, conocido también como TIGAR, un base internacional de datos con títulos accesibles en 55 idiomas.  En el marco de la primera actividad, el ABC produjo 1.580 libros educativos destinados a 23.500 estudiantes con dificultad para acceder al texto impreso en Bangladesh, la India, Nepal y Sri Lanka.  En el marco de la segunda actividad, el ABC patrocinó la Carta del ABC de la Edición Accesible y el Premio internacional a la excelencia en la edición accesible</w:t>
      </w:r>
      <w:r w:rsidRPr="00346F22">
        <w:rPr>
          <w:bCs/>
          <w:i/>
          <w:color w:val="000000"/>
          <w:sz w:val="20"/>
        </w:rPr>
        <w:t xml:space="preserve">.  </w:t>
      </w:r>
      <w:r w:rsidRPr="00346F22">
        <w:rPr>
          <w:color w:val="000000"/>
          <w:sz w:val="20"/>
        </w:rPr>
        <w:t>A fines de 2015, hubo 4.208 descargas de títulos accesibles adicionales por parte de 15 bibliotecas participantes y, en el periodo comprendido en el informe, más de 58.000 préstamos de libros accesibles a personas con dificultades para acceder al texto impreso.</w:t>
      </w:r>
    </w:p>
    <w:p w:rsidR="006760C1" w:rsidRPr="001402C5" w:rsidRDefault="006760C1" w:rsidP="006760C1">
      <w:pPr>
        <w:rPr>
          <w:b/>
          <w:iCs/>
          <w:sz w:val="20"/>
        </w:rPr>
      </w:pPr>
    </w:p>
    <w:p w:rsidR="006760C1" w:rsidRPr="001402C5" w:rsidRDefault="006760C1" w:rsidP="006760C1">
      <w:pPr>
        <w:rPr>
          <w:b/>
          <w:iCs/>
          <w:sz w:val="20"/>
        </w:rPr>
      </w:pPr>
    </w:p>
    <w:p w:rsidR="006760C1" w:rsidRPr="001402C5" w:rsidRDefault="006760C1" w:rsidP="006760C1">
      <w:pPr>
        <w:keepNext/>
        <w:keepLines/>
        <w:jc w:val="center"/>
        <w:rPr>
          <w:sz w:val="20"/>
        </w:rPr>
      </w:pPr>
      <w:r w:rsidRPr="001402C5">
        <w:rPr>
          <w:b/>
          <w:iCs/>
          <w:sz w:val="20"/>
        </w:rPr>
        <w:lastRenderedPageBreak/>
        <w:t>Meta estratégica V</w:t>
      </w:r>
      <w:proofErr w:type="gramStart"/>
      <w:r w:rsidRPr="001402C5">
        <w:rPr>
          <w:b/>
          <w:iCs/>
          <w:sz w:val="20"/>
        </w:rPr>
        <w:t>:  Fuente</w:t>
      </w:r>
      <w:proofErr w:type="gramEnd"/>
      <w:r w:rsidRPr="001402C5">
        <w:rPr>
          <w:b/>
          <w:iCs/>
          <w:sz w:val="20"/>
        </w:rPr>
        <w:t xml:space="preserve"> de referencia en el mundo de información y análisis en materia de P.I.</w:t>
      </w:r>
      <w:r w:rsidRPr="001402C5">
        <w:rPr>
          <w:noProof/>
          <w:sz w:val="20"/>
        </w:rPr>
        <w:t xml:space="preserve"> </w:t>
      </w:r>
      <w:r w:rsidRPr="001402C5">
        <w:rPr>
          <w:noProof/>
          <w:sz w:val="20"/>
          <w:lang w:val="en-US" w:eastAsia="en-US"/>
        </w:rPr>
        <w:drawing>
          <wp:inline distT="0" distB="0" distL="0" distR="0" wp14:anchorId="53B4127F" wp14:editId="3E3681A2">
            <wp:extent cx="5731510" cy="2748762"/>
            <wp:effectExtent l="0" t="0" r="254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48762"/>
                    </a:xfrm>
                    <a:prstGeom prst="rect">
                      <a:avLst/>
                    </a:prstGeom>
                    <a:noFill/>
                    <a:ln>
                      <a:noFill/>
                    </a:ln>
                  </pic:spPr>
                </pic:pic>
              </a:graphicData>
            </a:graphic>
          </wp:inline>
        </w:drawing>
      </w:r>
    </w:p>
    <w:p w:rsidR="006760C1" w:rsidRDefault="006760C1" w:rsidP="006760C1">
      <w:pPr>
        <w:keepNext/>
        <w:keepLines/>
        <w:jc w:val="center"/>
        <w:rPr>
          <w:b/>
          <w:sz w:val="18"/>
          <w:szCs w:val="18"/>
        </w:rPr>
      </w:pPr>
    </w:p>
    <w:p w:rsidR="006760C1" w:rsidRDefault="006760C1" w:rsidP="006760C1">
      <w:pPr>
        <w:rPr>
          <w:b/>
          <w:sz w:val="18"/>
          <w:szCs w:val="18"/>
        </w:rPr>
      </w:pPr>
    </w:p>
    <w:p w:rsidR="006760C1" w:rsidRPr="001402C5" w:rsidRDefault="006760C1" w:rsidP="006760C1">
      <w:pPr>
        <w:jc w:val="center"/>
        <w:rPr>
          <w:b/>
          <w:iCs/>
          <w:sz w:val="20"/>
        </w:rPr>
      </w:pPr>
      <w:r w:rsidRPr="0047708A">
        <w:rPr>
          <w:b/>
          <w:sz w:val="18"/>
          <w:szCs w:val="18"/>
        </w:rPr>
        <w:t xml:space="preserve">Resumen de los avances logrados </w:t>
      </w:r>
      <w:r>
        <w:rPr>
          <w:b/>
          <w:sz w:val="18"/>
          <w:szCs w:val="18"/>
        </w:rPr>
        <w:t>por resultado previsto</w:t>
      </w:r>
    </w:p>
    <w:p w:rsidR="006760C1" w:rsidRPr="001402C5" w:rsidRDefault="006760C1" w:rsidP="006760C1">
      <w:pPr>
        <w:rPr>
          <w:iCs/>
          <w:sz w:val="20"/>
        </w:rPr>
      </w:pPr>
      <w:r w:rsidRPr="001402C5">
        <w:rPr>
          <w:noProof/>
          <w:sz w:val="20"/>
          <w:lang w:val="en-US" w:eastAsia="en-US"/>
        </w:rPr>
        <w:drawing>
          <wp:inline distT="0" distB="0" distL="0" distR="0" wp14:anchorId="4C17F91F" wp14:editId="4EBCE8DC">
            <wp:extent cx="5731510" cy="1205915"/>
            <wp:effectExtent l="0" t="0" r="254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205915"/>
                    </a:xfrm>
                    <a:prstGeom prst="rect">
                      <a:avLst/>
                    </a:prstGeom>
                    <a:noFill/>
                    <a:ln>
                      <a:noFill/>
                    </a:ln>
                  </pic:spPr>
                </pic:pic>
              </a:graphicData>
            </a:graphic>
          </wp:inline>
        </w:drawing>
      </w:r>
    </w:p>
    <w:p w:rsidR="006760C1" w:rsidRPr="001402C5" w:rsidRDefault="006760C1" w:rsidP="006760C1">
      <w:pPr>
        <w:jc w:val="both"/>
        <w:rPr>
          <w:bCs/>
          <w:sz w:val="20"/>
        </w:rPr>
      </w:pPr>
    </w:p>
    <w:p w:rsidR="00346F22" w:rsidRPr="00346F22" w:rsidRDefault="00346F22" w:rsidP="00346F22">
      <w:pPr>
        <w:pStyle w:val="ONUMFS"/>
        <w:jc w:val="both"/>
        <w:rPr>
          <w:sz w:val="20"/>
        </w:rPr>
      </w:pPr>
      <w:r w:rsidRPr="00346F22">
        <w:rPr>
          <w:sz w:val="20"/>
        </w:rPr>
        <w:t>En el bienio, la labor de análisis económico de la OMPI avanzó de forma significativa hacia su objetivo de promover un análisis de alta calidad de los retos económicos en el sistema internacional de P.I. y de los efectos económicos de las decisiones sobre las políticas de P.I.  Un gran logro fue la publicación del tercer “Informe Mundial sobre la Propiedad intelectual</w:t>
      </w:r>
      <w:proofErr w:type="gramStart"/>
      <w:r w:rsidRPr="00346F22">
        <w:rPr>
          <w:sz w:val="20"/>
        </w:rPr>
        <w:t>:  La</w:t>
      </w:r>
      <w:proofErr w:type="gramEnd"/>
      <w:r w:rsidRPr="00346F22">
        <w:rPr>
          <w:sz w:val="20"/>
        </w:rPr>
        <w:t xml:space="preserve"> innovación revolucionaria y el crecimiento económico”, que generó más de 200 artículos de prensa y el interés de responsables políticos y académicos de todo el mundo.  Además, la OMPI siguió participando en la publicación conjunta del Índice Mundial de Innovación (GII), junto la Universidad de Cornell y el INSEAD.  </w:t>
      </w:r>
      <w:r w:rsidR="001212FD">
        <w:rPr>
          <w:sz w:val="20"/>
        </w:rPr>
        <w:t>En </w:t>
      </w:r>
      <w:r w:rsidRPr="00346F22">
        <w:rPr>
          <w:sz w:val="20"/>
        </w:rPr>
        <w:t>2014/15, por primera vez, las presentaciones del GII no se llevaron a cabo en Ginebra, sino que se organizaron de manera conjunta en su territorio con el Gobierno de Australia, en 2014, y con el Gobierno del Reino Unido, en 2015.  La cobertura mediática y la atención en las redes sociales también alcanzó nuevos niveles máximos con respecto al bienio anterior.</w:t>
      </w:r>
    </w:p>
    <w:p w:rsidR="00346F22" w:rsidRPr="00346F22" w:rsidRDefault="00346F22" w:rsidP="00346F22">
      <w:pPr>
        <w:pStyle w:val="ONUMFS"/>
        <w:jc w:val="both"/>
        <w:rPr>
          <w:sz w:val="20"/>
        </w:rPr>
      </w:pPr>
      <w:r w:rsidRPr="00346F22">
        <w:rPr>
          <w:sz w:val="20"/>
        </w:rPr>
        <w:t>En el bienio 2014/15 hubo también logros importantes en relación con los estudios económicos orientados a apoyar el trabajo que realizan los comités de la OMPI.  Hay que destacar ante todo que se finalizaron tres proyectos de la Agenda para el Desarrollo (A.D.) sobre P.I. y desarrollo socioeconómico, P.I. y la economía informal, y P.I. y la fuga de cerebros.  En 2015, también se lanzó la segunda fase del proyecto sobre P.I. y desarrollo socioeconómico, que lleva la labor principal de estudio a los nuevos países en desarrollo.</w:t>
      </w:r>
    </w:p>
    <w:p w:rsidR="00346F22" w:rsidRPr="00346F22" w:rsidRDefault="00346F22" w:rsidP="00346F22">
      <w:pPr>
        <w:pStyle w:val="ONUMFS"/>
        <w:jc w:val="both"/>
        <w:rPr>
          <w:sz w:val="20"/>
        </w:rPr>
      </w:pPr>
      <w:r w:rsidRPr="00346F22">
        <w:rPr>
          <w:sz w:val="20"/>
        </w:rPr>
        <w:t>Finalmente, el trabajo estadístico realizado en el bienio 2014/15 también cumplió el objetivo de  proporcionar información estadística precisa, exhaustiva y puntual sobre los resultados del sistema de P.I. a escala mundial.  Y lo más importante</w:t>
      </w:r>
      <w:proofErr w:type="gramStart"/>
      <w:r w:rsidRPr="00346F22">
        <w:rPr>
          <w:sz w:val="20"/>
        </w:rPr>
        <w:t>:  se</w:t>
      </w:r>
      <w:proofErr w:type="gramEnd"/>
      <w:r w:rsidRPr="00346F22">
        <w:rPr>
          <w:sz w:val="20"/>
        </w:rPr>
        <w:t xml:space="preserve"> llevaron a cabo sondeos estadísticos anuales de oficinas nacionales y regionales de P.I., en los que el número promedio de respuestas aumentó a 127, frente a las 112 del bienio anterior.</w:t>
      </w:r>
    </w:p>
    <w:p w:rsidR="006760C1" w:rsidRPr="001402C5" w:rsidRDefault="006760C1" w:rsidP="006760C1">
      <w:pPr>
        <w:rPr>
          <w:b/>
          <w:iCs/>
          <w:sz w:val="20"/>
        </w:rPr>
      </w:pPr>
    </w:p>
    <w:p w:rsidR="006760C1" w:rsidRPr="001402C5" w:rsidRDefault="006760C1" w:rsidP="006760C1">
      <w:pPr>
        <w:rPr>
          <w:b/>
          <w:iCs/>
          <w:sz w:val="20"/>
        </w:rPr>
      </w:pPr>
    </w:p>
    <w:p w:rsidR="006760C1" w:rsidRPr="001402C5" w:rsidRDefault="006760C1" w:rsidP="009D2603">
      <w:pPr>
        <w:keepNext/>
        <w:jc w:val="center"/>
        <w:rPr>
          <w:b/>
          <w:iCs/>
          <w:sz w:val="20"/>
        </w:rPr>
      </w:pPr>
      <w:r w:rsidRPr="001402C5">
        <w:rPr>
          <w:b/>
          <w:iCs/>
          <w:sz w:val="20"/>
        </w:rPr>
        <w:lastRenderedPageBreak/>
        <w:t>Meta estratégica VI</w:t>
      </w:r>
      <w:proofErr w:type="gramStart"/>
      <w:r w:rsidRPr="001402C5">
        <w:rPr>
          <w:b/>
          <w:iCs/>
          <w:sz w:val="20"/>
        </w:rPr>
        <w:t>:  Cooperación</w:t>
      </w:r>
      <w:proofErr w:type="gramEnd"/>
      <w:r w:rsidRPr="001402C5">
        <w:rPr>
          <w:b/>
          <w:iCs/>
          <w:sz w:val="20"/>
        </w:rPr>
        <w:t xml:space="preserve"> internacional para fomentar el respeto por la P.I.</w:t>
      </w:r>
    </w:p>
    <w:p w:rsidR="006760C1" w:rsidRDefault="006760C1" w:rsidP="009D2603">
      <w:pPr>
        <w:keepNext/>
        <w:jc w:val="center"/>
        <w:rPr>
          <w:b/>
          <w:noProof/>
          <w:sz w:val="18"/>
          <w:szCs w:val="18"/>
        </w:rPr>
      </w:pPr>
      <w:r w:rsidRPr="001402C5">
        <w:rPr>
          <w:noProof/>
          <w:sz w:val="20"/>
          <w:lang w:val="en-US" w:eastAsia="en-US"/>
        </w:rPr>
        <w:drawing>
          <wp:inline distT="0" distB="0" distL="0" distR="0" wp14:anchorId="403E2E84" wp14:editId="2C8B5BB1">
            <wp:extent cx="5731510" cy="2747629"/>
            <wp:effectExtent l="0" t="0" r="254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747629"/>
                    </a:xfrm>
                    <a:prstGeom prst="rect">
                      <a:avLst/>
                    </a:prstGeom>
                    <a:noFill/>
                    <a:ln>
                      <a:noFill/>
                    </a:ln>
                  </pic:spPr>
                </pic:pic>
              </a:graphicData>
            </a:graphic>
          </wp:inline>
        </w:drawing>
      </w:r>
    </w:p>
    <w:p w:rsidR="006760C1" w:rsidRDefault="006760C1" w:rsidP="009D2603">
      <w:pPr>
        <w:keepNext/>
        <w:rPr>
          <w:b/>
          <w:noProof/>
          <w:sz w:val="18"/>
          <w:szCs w:val="18"/>
        </w:rPr>
      </w:pPr>
    </w:p>
    <w:p w:rsidR="006760C1" w:rsidRPr="001402C5" w:rsidRDefault="006760C1" w:rsidP="009D2603">
      <w:pPr>
        <w:keepNext/>
        <w:jc w:val="center"/>
        <w:rPr>
          <w:b/>
          <w:iCs/>
          <w:sz w:val="20"/>
        </w:rPr>
      </w:pPr>
      <w:r w:rsidRPr="0047708A">
        <w:rPr>
          <w:b/>
          <w:sz w:val="18"/>
          <w:szCs w:val="18"/>
        </w:rPr>
        <w:t xml:space="preserve">Resumen de los avances logrados </w:t>
      </w:r>
      <w:r>
        <w:rPr>
          <w:b/>
          <w:sz w:val="18"/>
          <w:szCs w:val="18"/>
        </w:rPr>
        <w:t>por resultado previsto</w:t>
      </w:r>
    </w:p>
    <w:p w:rsidR="006760C1" w:rsidRDefault="006760C1" w:rsidP="006760C1">
      <w:pPr>
        <w:rPr>
          <w:b/>
          <w:sz w:val="18"/>
          <w:szCs w:val="18"/>
        </w:rPr>
      </w:pPr>
      <w:r w:rsidRPr="001402C5">
        <w:rPr>
          <w:noProof/>
          <w:sz w:val="20"/>
          <w:lang w:val="en-US" w:eastAsia="en-US"/>
        </w:rPr>
        <w:drawing>
          <wp:inline distT="0" distB="0" distL="0" distR="0" wp14:anchorId="794951B1" wp14:editId="0CCFDC94">
            <wp:extent cx="5731510" cy="1223142"/>
            <wp:effectExtent l="0" t="0" r="254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223142"/>
                    </a:xfrm>
                    <a:prstGeom prst="rect">
                      <a:avLst/>
                    </a:prstGeom>
                    <a:noFill/>
                    <a:ln>
                      <a:noFill/>
                    </a:ln>
                  </pic:spPr>
                </pic:pic>
              </a:graphicData>
            </a:graphic>
          </wp:inline>
        </w:drawing>
      </w:r>
    </w:p>
    <w:p w:rsidR="006760C1" w:rsidRPr="001402C5" w:rsidRDefault="006760C1" w:rsidP="006760C1">
      <w:pPr>
        <w:rPr>
          <w:sz w:val="20"/>
        </w:rPr>
      </w:pPr>
    </w:p>
    <w:p w:rsidR="00346F22" w:rsidRPr="00346F22" w:rsidRDefault="00346F22" w:rsidP="00346F22">
      <w:pPr>
        <w:pStyle w:val="ONUMFS"/>
        <w:jc w:val="both"/>
        <w:rPr>
          <w:sz w:val="20"/>
        </w:rPr>
      </w:pPr>
      <w:r w:rsidRPr="00346F22">
        <w:rPr>
          <w:rFonts w:eastAsiaTheme="minorHAnsi"/>
          <w:color w:val="000000"/>
          <w:sz w:val="20"/>
        </w:rPr>
        <w:t>Con</w:t>
      </w:r>
      <w:r w:rsidRPr="00346F22">
        <w:rPr>
          <w:sz w:val="20"/>
        </w:rPr>
        <w:t xml:space="preserve"> miras a conseguir avances en el diálogo internacional sobre políticas entre los Estados miembros de la OMPI para fomentar el respeto por la P.I., la 9ª y la 10ª sesiones del Comité Asesor en materia de Observancia (ACE) (celebrada</w:t>
      </w:r>
      <w:r w:rsidR="00B772EB">
        <w:rPr>
          <w:sz w:val="20"/>
        </w:rPr>
        <w:t>s</w:t>
      </w:r>
      <w:r w:rsidRPr="00346F22">
        <w:rPr>
          <w:sz w:val="20"/>
        </w:rPr>
        <w:t xml:space="preserve"> del 3 al 5 de marzo de 2014, y del 23 al 25 de noviembre</w:t>
      </w:r>
      <w:r w:rsidR="00557183">
        <w:rPr>
          <w:sz w:val="20"/>
        </w:rPr>
        <w:t xml:space="preserve"> de </w:t>
      </w:r>
      <w:r w:rsidRPr="00346F22">
        <w:rPr>
          <w:sz w:val="20"/>
        </w:rPr>
        <w:t>2015) sirvió como un "mercado de ideas" propicio para el intercambio de experiencias y prácticas nacionales.  En la reuniones de tres días de duración se observó el creciente interés que despiertan las estrategias de prevención eficaces, desde las actividades de sensibilización, los nuevos modelos de negocios y la seguridad en la cadena de suministro, hasta los mecanismos extrajudiciales de solución de controversias en materia de P.I.  En las dos sesiones hubo exposiciones audiovisuales en las que se presentaron campañas de comunicación pública sobre el respeto por la P.I. y herramientas de sensibilización dirigidas a los jóvenes.  Los Estados miembros convinieron</w:t>
      </w:r>
      <w:r w:rsidR="007F16A3">
        <w:rPr>
          <w:sz w:val="20"/>
        </w:rPr>
        <w:t xml:space="preserve"> en </w:t>
      </w:r>
      <w:r w:rsidRPr="00346F22">
        <w:rPr>
          <w:sz w:val="20"/>
        </w:rPr>
        <w:t>intercambiar información</w:t>
      </w:r>
      <w:r w:rsidR="007F16A3" w:rsidRPr="00346F22">
        <w:rPr>
          <w:sz w:val="20"/>
        </w:rPr>
        <w:t xml:space="preserve">, en </w:t>
      </w:r>
      <w:r w:rsidR="007F16A3" w:rsidRPr="007F16A3">
        <w:rPr>
          <w:sz w:val="20"/>
        </w:rPr>
        <w:t>su undécima sesión,</w:t>
      </w:r>
      <w:r w:rsidR="007F16A3" w:rsidRPr="00346F22">
        <w:rPr>
          <w:sz w:val="20"/>
        </w:rPr>
        <w:t xml:space="preserve"> </w:t>
      </w:r>
      <w:r w:rsidRPr="00346F22">
        <w:rPr>
          <w:sz w:val="20"/>
        </w:rPr>
        <w:t>sobre las experiencias a nivel nacional en cuatro temas:   i) las actividades de sensibilización y las campañas estratégicas como un medio para fomentar el respeto por la P.I. entre el público en general, especialmente los jóvenes, de conformidad con las prioridades educativas y de otra índole de los Estados miembros;  ii) los acuerdos institucionales relativos a las políticas y los regímenes de observancia de la P.I., entre ellos los mecanismos para resolver controversias de P.I. de manera equilibrada, integral y eficaz;  iii) la asistencia legislativa de la OMPI, con hincapié en la redacción de leyes nacionales de observancia que tengan presentes las flexibilidades, el nivel de desarrollo, las diferencias en la tradición jurídica y el posible abuso de los procedimientos de observancia;  y iv) el fortalecimiento de las capacidades y el apoyo de la OMPI a las actividades de formación, en consonancia con las correspondientes recomendaciones de la A.D. y con el mandato del ACE.</w:t>
      </w:r>
    </w:p>
    <w:p w:rsidR="006760C1" w:rsidRPr="001402C5" w:rsidRDefault="006760C1" w:rsidP="006760C1">
      <w:pPr>
        <w:jc w:val="center"/>
        <w:rPr>
          <w:b/>
          <w:iCs/>
          <w:sz w:val="20"/>
        </w:rPr>
      </w:pPr>
    </w:p>
    <w:p w:rsidR="006760C1" w:rsidRPr="001402C5" w:rsidRDefault="006760C1" w:rsidP="002913F7">
      <w:pPr>
        <w:keepNext/>
        <w:jc w:val="center"/>
        <w:rPr>
          <w:b/>
          <w:iCs/>
          <w:sz w:val="20"/>
        </w:rPr>
      </w:pPr>
      <w:r w:rsidRPr="001402C5">
        <w:rPr>
          <w:b/>
          <w:iCs/>
          <w:sz w:val="20"/>
        </w:rPr>
        <w:lastRenderedPageBreak/>
        <w:t>Meta estratégica VII</w:t>
      </w:r>
      <w:proofErr w:type="gramStart"/>
      <w:r w:rsidRPr="001402C5">
        <w:rPr>
          <w:b/>
          <w:iCs/>
          <w:sz w:val="20"/>
        </w:rPr>
        <w:t>:  Vínculos</w:t>
      </w:r>
      <w:proofErr w:type="gramEnd"/>
      <w:r w:rsidRPr="001402C5">
        <w:rPr>
          <w:b/>
          <w:iCs/>
          <w:sz w:val="20"/>
        </w:rPr>
        <w:t xml:space="preserve"> entre la P.I. y los problemas mundiales de política pública</w:t>
      </w:r>
    </w:p>
    <w:p w:rsidR="006760C1" w:rsidRPr="001402C5" w:rsidRDefault="006760C1" w:rsidP="002913F7">
      <w:pPr>
        <w:keepNext/>
        <w:jc w:val="center"/>
        <w:rPr>
          <w:sz w:val="20"/>
        </w:rPr>
      </w:pPr>
      <w:r w:rsidRPr="001402C5">
        <w:rPr>
          <w:noProof/>
          <w:sz w:val="20"/>
          <w:lang w:val="en-US" w:eastAsia="en-US"/>
        </w:rPr>
        <w:drawing>
          <wp:inline distT="0" distB="0" distL="0" distR="0" wp14:anchorId="1D4DD530" wp14:editId="4DF8477C">
            <wp:extent cx="5731510" cy="2899833"/>
            <wp:effectExtent l="0" t="0" r="254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899833"/>
                    </a:xfrm>
                    <a:prstGeom prst="rect">
                      <a:avLst/>
                    </a:prstGeom>
                    <a:noFill/>
                    <a:ln>
                      <a:noFill/>
                    </a:ln>
                  </pic:spPr>
                </pic:pic>
              </a:graphicData>
            </a:graphic>
          </wp:inline>
        </w:drawing>
      </w:r>
    </w:p>
    <w:p w:rsidR="006760C1" w:rsidRPr="001402C5" w:rsidRDefault="006760C1" w:rsidP="002913F7">
      <w:pPr>
        <w:keepNext/>
        <w:jc w:val="center"/>
        <w:rPr>
          <w:sz w:val="20"/>
        </w:rPr>
      </w:pPr>
    </w:p>
    <w:p w:rsidR="006760C1" w:rsidRPr="001402C5" w:rsidRDefault="006760C1" w:rsidP="002913F7">
      <w:pPr>
        <w:keepNext/>
        <w:jc w:val="center"/>
        <w:rPr>
          <w:b/>
          <w:iCs/>
          <w:sz w:val="20"/>
        </w:rPr>
      </w:pPr>
      <w:r w:rsidRPr="0047708A">
        <w:rPr>
          <w:b/>
          <w:sz w:val="18"/>
          <w:szCs w:val="18"/>
        </w:rPr>
        <w:t xml:space="preserve">Resumen de los avances logrados </w:t>
      </w:r>
      <w:r>
        <w:rPr>
          <w:b/>
          <w:sz w:val="18"/>
          <w:szCs w:val="18"/>
        </w:rPr>
        <w:t>por resultado previsto</w:t>
      </w:r>
    </w:p>
    <w:p w:rsidR="006760C1" w:rsidRPr="001402C5" w:rsidRDefault="006760C1" w:rsidP="006760C1">
      <w:pPr>
        <w:rPr>
          <w:sz w:val="20"/>
        </w:rPr>
      </w:pPr>
      <w:r w:rsidRPr="001402C5">
        <w:rPr>
          <w:noProof/>
          <w:sz w:val="20"/>
          <w:lang w:val="en-US" w:eastAsia="en-US"/>
        </w:rPr>
        <w:drawing>
          <wp:inline distT="0" distB="0" distL="0" distR="0" wp14:anchorId="48DB50F7" wp14:editId="20BDE34E">
            <wp:extent cx="5731510" cy="1337426"/>
            <wp:effectExtent l="0" t="0" r="254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337426"/>
                    </a:xfrm>
                    <a:prstGeom prst="rect">
                      <a:avLst/>
                    </a:prstGeom>
                    <a:noFill/>
                    <a:ln>
                      <a:noFill/>
                    </a:ln>
                  </pic:spPr>
                </pic:pic>
              </a:graphicData>
            </a:graphic>
          </wp:inline>
        </w:drawing>
      </w:r>
    </w:p>
    <w:p w:rsidR="006760C1" w:rsidRPr="001402C5" w:rsidRDefault="006760C1" w:rsidP="006760C1">
      <w:pPr>
        <w:rPr>
          <w:sz w:val="20"/>
        </w:rPr>
      </w:pPr>
    </w:p>
    <w:p w:rsidR="00346F22" w:rsidRPr="00346F22" w:rsidRDefault="00346F22" w:rsidP="00346F22">
      <w:pPr>
        <w:pStyle w:val="ONUMFS"/>
        <w:jc w:val="both"/>
        <w:rPr>
          <w:rFonts w:eastAsiaTheme="minorHAnsi"/>
          <w:color w:val="000000"/>
          <w:sz w:val="20"/>
        </w:rPr>
      </w:pPr>
      <w:r w:rsidRPr="00346F22">
        <w:rPr>
          <w:bCs/>
          <w:iCs/>
          <w:sz w:val="20"/>
        </w:rPr>
        <w:t xml:space="preserve">En la confluencia de varios problemas mundiales de carácter urgente relacionados entre sí, en particular la salud mundial, el cambio climático y la seguridad alimentaria, se logró un considerable avance en mejorar la comprensión de los responsables de la elaboración de políticas acerca de la relación entre los </w:t>
      </w:r>
      <w:r w:rsidRPr="00346F22">
        <w:rPr>
          <w:rFonts w:eastAsiaTheme="minorHAnsi"/>
          <w:color w:val="000000"/>
          <w:sz w:val="20"/>
        </w:rPr>
        <w:t>desafíos mundiales, la innovación y la propiedad intelectual.  En el bienio, la OMPI consolidó su posición como fuente fiable de apoyo, colaboración y referencia informativa en cuestiones relacionadas con las políticas públicas y la P.I., lo que motivó continuas solicitudes dirigidas a la Organización para contribuir y participar en foros de otras organizaciones como la OMS, la OMC, las ONG, el sector privado y las universidades.  Tras su puesta en marc</w:t>
      </w:r>
      <w:r w:rsidR="00600ABE">
        <w:rPr>
          <w:rFonts w:eastAsiaTheme="minorHAnsi"/>
          <w:color w:val="000000"/>
          <w:sz w:val="20"/>
        </w:rPr>
        <w:t>ha en noviembre de 2013, el año </w:t>
      </w:r>
      <w:r w:rsidRPr="00346F22">
        <w:rPr>
          <w:rFonts w:eastAsiaTheme="minorHAnsi"/>
          <w:color w:val="000000"/>
          <w:sz w:val="20"/>
        </w:rPr>
        <w:t>2014 supuso el primer año completo de actividad de la plataforma WIPO GREEN.  Mediante una campaña de sensibilización dirigida a destinatarios específicos, se logró potenciar considerablemente la visibilidad de WIPO GREEN.  La</w:t>
      </w:r>
      <w:r w:rsidR="004341AB">
        <w:rPr>
          <w:rFonts w:eastAsiaTheme="minorHAnsi"/>
          <w:color w:val="000000"/>
          <w:sz w:val="20"/>
        </w:rPr>
        <w:t xml:space="preserve"> alianza</w:t>
      </w:r>
      <w:r w:rsidRPr="00346F22">
        <w:rPr>
          <w:rFonts w:eastAsiaTheme="minorHAnsi"/>
          <w:color w:val="000000"/>
          <w:sz w:val="20"/>
        </w:rPr>
        <w:t xml:space="preserve"> se amplió de 36 a 54</w:t>
      </w:r>
      <w:r w:rsidR="004341AB">
        <w:rPr>
          <w:rFonts w:eastAsiaTheme="minorHAnsi"/>
          <w:color w:val="000000"/>
          <w:sz w:val="20"/>
        </w:rPr>
        <w:t xml:space="preserve"> miembros</w:t>
      </w:r>
      <w:r w:rsidRPr="00346F22">
        <w:rPr>
          <w:rFonts w:eastAsiaTheme="minorHAnsi"/>
          <w:color w:val="000000"/>
          <w:sz w:val="20"/>
        </w:rPr>
        <w:t xml:space="preserve"> en 2014, y de 54 a 65 en 2015, y el número de usuarios inscritos se triplicó, de 160 en 2013 a 490 a fines de 2015.  La base de datos de WIPO GREEN también aumentó en más del doble sus contenidos, pasando de 830 </w:t>
      </w:r>
      <w:r w:rsidR="00600ABE">
        <w:rPr>
          <w:rFonts w:eastAsiaTheme="minorHAnsi"/>
          <w:color w:val="000000"/>
          <w:sz w:val="20"/>
        </w:rPr>
        <w:t>registros en </w:t>
      </w:r>
      <w:r w:rsidRPr="00346F22">
        <w:rPr>
          <w:rFonts w:eastAsiaTheme="minorHAnsi"/>
          <w:color w:val="000000"/>
          <w:sz w:val="20"/>
        </w:rPr>
        <w:t xml:space="preserve">2013 a 2.181 en 2015, gracias a los acuerdos de integración de base de datos y las aportaciones individuales de datos.  </w:t>
      </w:r>
    </w:p>
    <w:p w:rsidR="00346F22" w:rsidRPr="00346F22" w:rsidRDefault="00346F22" w:rsidP="00346F22">
      <w:pPr>
        <w:pStyle w:val="ONUMFS"/>
        <w:jc w:val="both"/>
        <w:rPr>
          <w:color w:val="000000" w:themeColor="text1"/>
          <w:sz w:val="20"/>
        </w:rPr>
      </w:pPr>
      <w:r w:rsidRPr="00346F22">
        <w:rPr>
          <w:rFonts w:eastAsiaTheme="minorHAnsi"/>
          <w:color w:val="000000"/>
          <w:sz w:val="20"/>
        </w:rPr>
        <w:t xml:space="preserve">WIPO Re:Search – </w:t>
      </w:r>
      <w:r w:rsidRPr="002D601A">
        <w:rPr>
          <w:rFonts w:eastAsiaTheme="minorHAnsi"/>
          <w:i/>
          <w:color w:val="000000"/>
          <w:sz w:val="20"/>
        </w:rPr>
        <w:t xml:space="preserve">Compartir la innovación en la lucha contra las enfermedades tropicales desatendidas </w:t>
      </w:r>
      <w:r w:rsidRPr="00346F22">
        <w:rPr>
          <w:rFonts w:eastAsiaTheme="minorHAnsi"/>
          <w:color w:val="000000"/>
          <w:sz w:val="20"/>
        </w:rPr>
        <w:t>– logró un mayor</w:t>
      </w:r>
      <w:r w:rsidRPr="00346F22">
        <w:rPr>
          <w:bCs/>
          <w:sz w:val="20"/>
        </w:rPr>
        <w:t xml:space="preserve"> reconocimiento como plataforma de apoyo a la innovación, la transferencia de conocimientos y tecnología, y el fortalecimientos de capacidades relacionados con la investigación en el ámbito de las enfermedades tropicales desatendidas, la tuberculosis y el paludismo.  Se entablaron 52 colaboraciones adicionales durante el bienio entre miembros de WIPO Re</w:t>
      </w:r>
      <w:proofErr w:type="gramStart"/>
      <w:r w:rsidRPr="00346F22">
        <w:rPr>
          <w:bCs/>
          <w:sz w:val="20"/>
        </w:rPr>
        <w:t>:Search</w:t>
      </w:r>
      <w:proofErr w:type="gramEnd"/>
      <w:r w:rsidRPr="00346F22">
        <w:rPr>
          <w:bCs/>
          <w:sz w:val="20"/>
        </w:rPr>
        <w:t xml:space="preserve"> y 20 nuevos miembros, seis de ellos de países en desarrollo, lo que eleva los totales a 96 colaboraciones y 100 miembros, 22 de los cuales pro</w:t>
      </w:r>
      <w:r w:rsidR="004341AB">
        <w:rPr>
          <w:bCs/>
          <w:sz w:val="20"/>
        </w:rPr>
        <w:t>c</w:t>
      </w:r>
      <w:r w:rsidRPr="00346F22">
        <w:rPr>
          <w:bCs/>
          <w:sz w:val="20"/>
        </w:rPr>
        <w:t>e</w:t>
      </w:r>
      <w:r w:rsidR="004341AB">
        <w:rPr>
          <w:bCs/>
          <w:sz w:val="20"/>
        </w:rPr>
        <w:t>d</w:t>
      </w:r>
      <w:r w:rsidRPr="00346F22">
        <w:rPr>
          <w:bCs/>
          <w:sz w:val="20"/>
        </w:rPr>
        <w:t xml:space="preserve">en de países en desarrollo.  Además, se concretó el potencial de la plataforma para la transferencia de tecnología de países desarrollados a países en desarrollo respecto de los activos de P.I., incluidos los conocimientos especializados y la capacidad técnica, con la continuación de la concesión de licencias sabáticas a seis científicos africanos para trabajar en instituciones de investigación de otros países. </w:t>
      </w:r>
      <w:r w:rsidRPr="00346F22">
        <w:rPr>
          <w:color w:val="000000" w:themeColor="text1"/>
          <w:sz w:val="20"/>
        </w:rPr>
        <w:t xml:space="preserve"> Las licencias sabáticas, que comenzaron en el bienio anterior, fueron posibles gracias a un fondo fiduciario del Gobierno de Australia.  Cuatro de las licencias vencieron a fines de 2014.</w:t>
      </w:r>
    </w:p>
    <w:p w:rsidR="00346F22" w:rsidRPr="00346F22" w:rsidRDefault="00346F22" w:rsidP="00346F22">
      <w:pPr>
        <w:pStyle w:val="ONUMFS"/>
        <w:jc w:val="both"/>
        <w:rPr>
          <w:sz w:val="20"/>
        </w:rPr>
      </w:pPr>
      <w:r w:rsidRPr="00346F22">
        <w:rPr>
          <w:rFonts w:eastAsiaTheme="minorHAnsi"/>
          <w:color w:val="000000"/>
          <w:sz w:val="20"/>
        </w:rPr>
        <w:lastRenderedPageBreak/>
        <w:t>En 2014/2015, se organizaron tres seminarios de la OMPI sobre desafíos mundiales y se publicaron cuatro</w:t>
      </w:r>
      <w:r w:rsidRPr="00346F22">
        <w:rPr>
          <w:color w:val="000000" w:themeColor="text1"/>
          <w:sz w:val="20"/>
        </w:rPr>
        <w:t xml:space="preserve"> resúmenes sobre los desafíos mundiales y tres informes sobre desafíos mundiales, que ofrecieron una tribuna para </w:t>
      </w:r>
      <w:r w:rsidRPr="00346F22">
        <w:rPr>
          <w:rFonts w:eastAsia="Batang"/>
          <w:sz w:val="20"/>
          <w:lang w:eastAsia="ja-JP"/>
        </w:rPr>
        <w:t>que los participantes intercambiaran ideas, experiencias e información relacionadas con los tres ámbitos fundamentales</w:t>
      </w:r>
      <w:r w:rsidRPr="00346F22">
        <w:rPr>
          <w:sz w:val="20"/>
        </w:rPr>
        <w:t xml:space="preserve">. </w:t>
      </w:r>
    </w:p>
    <w:p w:rsidR="00346F22" w:rsidRPr="00346F22" w:rsidRDefault="00346F22" w:rsidP="00346F22">
      <w:pPr>
        <w:pStyle w:val="ONUMFS"/>
        <w:jc w:val="both"/>
        <w:rPr>
          <w:sz w:val="20"/>
        </w:rPr>
      </w:pPr>
      <w:r w:rsidRPr="00346F22">
        <w:rPr>
          <w:sz w:val="20"/>
        </w:rPr>
        <w:t>La cooperación trilateral con la OMS y la OMC siguió centrándose en mejorar la comprensión, entre los responsables de la elaboración de políticas, acerca de la interacción entre la salud, la P.I. y el comercio.  En noviembre de 2014 y octubre de 2015, se celebraron en Ginebra las ediciones cuarta y quinta del Simposio Trilateral, en las que se examinaron los desafíos y las oportunidades en la esfera de la innovación en materia de salud en los países de ingresos medi</w:t>
      </w:r>
      <w:r w:rsidR="004341AB">
        <w:rPr>
          <w:sz w:val="20"/>
        </w:rPr>
        <w:t>an</w:t>
      </w:r>
      <w:r w:rsidRPr="00346F22">
        <w:rPr>
          <w:sz w:val="20"/>
        </w:rPr>
        <w:t xml:space="preserve">os y las políticas públicas necesarias para asegurar que el rápido crecimiento económico contribuya al acceso y a una cobertura sanitaria universal. </w:t>
      </w:r>
    </w:p>
    <w:p w:rsidR="006760C1" w:rsidRPr="001402C5" w:rsidRDefault="006760C1" w:rsidP="006760C1">
      <w:pPr>
        <w:rPr>
          <w:b/>
          <w:iCs/>
          <w:sz w:val="20"/>
        </w:rPr>
      </w:pPr>
    </w:p>
    <w:p w:rsidR="006760C1" w:rsidRPr="001402C5" w:rsidRDefault="006760C1" w:rsidP="006760C1">
      <w:pPr>
        <w:jc w:val="center"/>
        <w:rPr>
          <w:b/>
          <w:iCs/>
          <w:sz w:val="20"/>
        </w:rPr>
      </w:pPr>
      <w:r w:rsidRPr="001402C5">
        <w:rPr>
          <w:b/>
          <w:iCs/>
          <w:sz w:val="20"/>
        </w:rPr>
        <w:t>Meta estratégica VIII</w:t>
      </w:r>
      <w:proofErr w:type="gramStart"/>
      <w:r w:rsidRPr="001402C5">
        <w:rPr>
          <w:b/>
          <w:iCs/>
          <w:sz w:val="20"/>
        </w:rPr>
        <w:t>:  Comunicación</w:t>
      </w:r>
      <w:proofErr w:type="gramEnd"/>
      <w:r w:rsidRPr="001402C5">
        <w:rPr>
          <w:b/>
          <w:iCs/>
          <w:sz w:val="20"/>
        </w:rPr>
        <w:t xml:space="preserve"> eficaz entre la OMPI, sus Estados miembros y todas las partes interesadas</w:t>
      </w:r>
    </w:p>
    <w:p w:rsidR="006760C1" w:rsidRDefault="006760C1" w:rsidP="006760C1">
      <w:pPr>
        <w:jc w:val="center"/>
        <w:rPr>
          <w:b/>
          <w:sz w:val="18"/>
          <w:szCs w:val="18"/>
        </w:rPr>
      </w:pPr>
      <w:r w:rsidRPr="001402C5">
        <w:rPr>
          <w:noProof/>
          <w:sz w:val="20"/>
          <w:lang w:val="en-US" w:eastAsia="en-US"/>
        </w:rPr>
        <w:drawing>
          <wp:inline distT="0" distB="0" distL="0" distR="0" wp14:anchorId="2FC5FD6E" wp14:editId="5998337C">
            <wp:extent cx="5731510" cy="2895419"/>
            <wp:effectExtent l="0" t="0" r="2540" b="63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895419"/>
                    </a:xfrm>
                    <a:prstGeom prst="rect">
                      <a:avLst/>
                    </a:prstGeom>
                    <a:noFill/>
                    <a:ln>
                      <a:noFill/>
                    </a:ln>
                  </pic:spPr>
                </pic:pic>
              </a:graphicData>
            </a:graphic>
          </wp:inline>
        </w:drawing>
      </w:r>
    </w:p>
    <w:p w:rsidR="006760C1" w:rsidRDefault="006760C1" w:rsidP="006760C1">
      <w:pPr>
        <w:jc w:val="center"/>
        <w:rPr>
          <w:b/>
          <w:sz w:val="18"/>
          <w:szCs w:val="18"/>
        </w:rPr>
      </w:pPr>
    </w:p>
    <w:p w:rsidR="006760C1" w:rsidRPr="001402C5" w:rsidRDefault="006760C1" w:rsidP="006760C1">
      <w:pPr>
        <w:keepNext/>
        <w:keepLines/>
        <w:jc w:val="center"/>
        <w:rPr>
          <w:b/>
          <w:iCs/>
          <w:sz w:val="20"/>
        </w:rPr>
      </w:pPr>
      <w:r w:rsidRPr="0047708A">
        <w:rPr>
          <w:b/>
          <w:sz w:val="18"/>
          <w:szCs w:val="18"/>
        </w:rPr>
        <w:t xml:space="preserve">Resumen de los avances logrados </w:t>
      </w:r>
      <w:r>
        <w:rPr>
          <w:b/>
          <w:sz w:val="18"/>
          <w:szCs w:val="18"/>
        </w:rPr>
        <w:t>por resultado previsto</w:t>
      </w:r>
    </w:p>
    <w:p w:rsidR="006760C1" w:rsidRPr="001402C5" w:rsidRDefault="006760C1" w:rsidP="006760C1">
      <w:pPr>
        <w:keepNext/>
        <w:keepLines/>
        <w:rPr>
          <w:iCs/>
          <w:sz w:val="20"/>
        </w:rPr>
      </w:pPr>
      <w:r w:rsidRPr="001402C5">
        <w:rPr>
          <w:noProof/>
          <w:sz w:val="20"/>
          <w:lang w:val="en-US" w:eastAsia="en-US"/>
        </w:rPr>
        <w:drawing>
          <wp:inline distT="0" distB="0" distL="0" distR="0" wp14:anchorId="3EFC03AC" wp14:editId="6525BF57">
            <wp:extent cx="5731510" cy="2385597"/>
            <wp:effectExtent l="0" t="0" r="254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385597"/>
                    </a:xfrm>
                    <a:prstGeom prst="rect">
                      <a:avLst/>
                    </a:prstGeom>
                    <a:noFill/>
                    <a:ln>
                      <a:noFill/>
                    </a:ln>
                  </pic:spPr>
                </pic:pic>
              </a:graphicData>
            </a:graphic>
          </wp:inline>
        </w:drawing>
      </w:r>
    </w:p>
    <w:p w:rsidR="006760C1" w:rsidRPr="001402C5" w:rsidRDefault="006760C1" w:rsidP="006760C1">
      <w:pPr>
        <w:keepNext/>
        <w:keepLines/>
        <w:rPr>
          <w:iCs/>
          <w:sz w:val="20"/>
        </w:rPr>
      </w:pPr>
    </w:p>
    <w:p w:rsidR="00346F22" w:rsidRPr="00346F22" w:rsidRDefault="00346F22" w:rsidP="00346F22">
      <w:pPr>
        <w:pStyle w:val="ONUMFS"/>
        <w:jc w:val="both"/>
        <w:rPr>
          <w:sz w:val="20"/>
        </w:rPr>
      </w:pPr>
      <w:r w:rsidRPr="00346F22">
        <w:rPr>
          <w:sz w:val="20"/>
        </w:rPr>
        <w:t>Entre las prioridades de este objetivo figuraba seguir centrando la atención en la elaboración y difusión de contenidos pertinentes y de alto nivel, aumentar la visibilidad de la OMPI y el entendimiento público hacia sus actividades, y fortalecer la cultura orientada a la prestación de servicios en el seno de la Organización.</w:t>
      </w:r>
    </w:p>
    <w:p w:rsidR="00346F22" w:rsidRPr="00346F22" w:rsidRDefault="00346F22" w:rsidP="00346F22">
      <w:pPr>
        <w:pStyle w:val="ONUMFS"/>
        <w:jc w:val="both"/>
        <w:rPr>
          <w:sz w:val="20"/>
        </w:rPr>
      </w:pPr>
      <w:r w:rsidRPr="00346F22">
        <w:rPr>
          <w:sz w:val="20"/>
        </w:rPr>
        <w:t xml:space="preserve">El hecho de disponer de una estrategia más integrada en materia de contenidos y de medios de comunicación permitió conseguir una mayor repercusión en los medios sobre los principales eventos y </w:t>
      </w:r>
      <w:r w:rsidRPr="00346F22">
        <w:rPr>
          <w:sz w:val="20"/>
        </w:rPr>
        <w:lastRenderedPageBreak/>
        <w:t>presentaciones de productos de la OMPI.  El día de su lanzamiento en el Reino Unido, el Índice Mundial de Innovación (GII) de 2015 logró en Londres el estatus de ser uno de los temas más comentados en Twitter.  La cobertura conseguida en algunos de los medios de comunicación más influyentes del mundo ayudó a posicionar los informes emblemáticos de la OMPI en materia de P.I. (el GII; el Informe mundial sobre la propiedad intelectual; las reseñas anuales del PCT, del Sistema de Madrid y del Sistema de La Haya;  y los Indicadores mundiales de propiedad intelectual) como fuentes mundiales de referencia sobre la P.I. y la información sobre innovación.  La promoción del Informe mundial sobre la propiedad intelectual generó aproximadamente 200 artículos de prensa en la semana posterior a su publicación.  El trabajo concertado de difusión en medios de comunicación y en redes sociales para promover la Conferencia Ministerial de Dakar de 2014 generó una amplia cobertura en las radios y los medios de comunicación por Internet africanos, lo que estimuló el interés público en la P.I. y en las cuestiones relacionadas con el desarrollo.  Se publicaron sitios web en los seis idiomas dedicados a los principales eventos y se reforzaron las actividades de promoción del Consorcio de Libros Accesibles (ABC) a través de la producción de un emocionante video sobre el fortalecimiento de capacidades del consorcio en la India</w:t>
      </w:r>
      <w:r w:rsidR="000F7345">
        <w:rPr>
          <w:sz w:val="20"/>
        </w:rPr>
        <w:t>.</w:t>
      </w:r>
    </w:p>
    <w:p w:rsidR="00346F22" w:rsidRPr="00346F22" w:rsidRDefault="00346F22" w:rsidP="00346F22">
      <w:pPr>
        <w:pStyle w:val="ONUMFS"/>
        <w:jc w:val="both"/>
        <w:rPr>
          <w:sz w:val="20"/>
        </w:rPr>
      </w:pPr>
      <w:r w:rsidRPr="00346F22">
        <w:rPr>
          <w:sz w:val="20"/>
        </w:rPr>
        <w:t xml:space="preserve">La participación de los Estados miembros y el público en la campaña del Día Mundial de la P.I. alcanzó un nivel sin precedentes. En torno al lema “El cine, una pasión universal”, se organizaron más </w:t>
      </w:r>
      <w:r w:rsidR="00955456">
        <w:rPr>
          <w:sz w:val="20"/>
        </w:rPr>
        <w:t>de </w:t>
      </w:r>
      <w:r w:rsidRPr="00346F22">
        <w:rPr>
          <w:sz w:val="20"/>
        </w:rPr>
        <w:t>350 eventos en 105 países (en comparación con los 236 eventos celebrados en 93</w:t>
      </w:r>
      <w:r w:rsidRPr="00346F22">
        <w:rPr>
          <w:rStyle w:val="FootnoteReference"/>
          <w:sz w:val="20"/>
        </w:rPr>
        <w:footnoteReference w:id="7"/>
      </w:r>
      <w:r w:rsidRPr="00346F22">
        <w:rPr>
          <w:sz w:val="20"/>
        </w:rPr>
        <w:t xml:space="preserve"> países en 2013). Los tuit</w:t>
      </w:r>
      <w:r w:rsidR="007F16A3">
        <w:rPr>
          <w:sz w:val="20"/>
        </w:rPr>
        <w:t>eo</w:t>
      </w:r>
      <w:r w:rsidRPr="00346F22">
        <w:rPr>
          <w:sz w:val="20"/>
        </w:rPr>
        <w:t>s sobre el Día Mundial de la P.I. (#WorldIPDay) obtuvieron 5,2 millones de impresiones potenciales (en comparación con la cifra de 1,55 millones obtenida en 2013) y consiguieron aproximadamente 900 retuit</w:t>
      </w:r>
      <w:r w:rsidR="007F16A3">
        <w:rPr>
          <w:sz w:val="20"/>
        </w:rPr>
        <w:t>eo</w:t>
      </w:r>
      <w:r w:rsidRPr="00346F22">
        <w:rPr>
          <w:sz w:val="20"/>
        </w:rPr>
        <w:t xml:space="preserve">s.  La participación fue realmente de ámbito mundial, con más visitas </w:t>
      </w:r>
      <w:r w:rsidR="00FD069A">
        <w:rPr>
          <w:sz w:val="20"/>
        </w:rPr>
        <w:t>en </w:t>
      </w:r>
      <w:r w:rsidRPr="00346F22">
        <w:rPr>
          <w:sz w:val="20"/>
        </w:rPr>
        <w:t>2014 al sitio web en chino que a la versión inglesa, mientras que el mayor número de “me gusta” en la página de Facebook se registró, por este orden, en la India, los Estados Unidos de América, México, Egipto y Brasil.</w:t>
      </w:r>
    </w:p>
    <w:p w:rsidR="00346F22" w:rsidRPr="00CA607A" w:rsidRDefault="00346F22" w:rsidP="00346F22">
      <w:pPr>
        <w:pStyle w:val="ONUMFS"/>
        <w:jc w:val="both"/>
        <w:rPr>
          <w:sz w:val="20"/>
        </w:rPr>
      </w:pPr>
      <w:r w:rsidRPr="00CA607A">
        <w:rPr>
          <w:sz w:val="20"/>
        </w:rPr>
        <w:t>En lo que respecta a las relaciones exteriores, las Naciones Unidas y sus Estados miembros</w:t>
      </w:r>
      <w:r w:rsidRPr="00CA607A">
        <w:rPr>
          <w:color w:val="000000"/>
          <w:sz w:val="20"/>
        </w:rPr>
        <w:t xml:space="preserve"> formalizaron una serie de importantes procesos de negociación relevantes para la labor de la OMPI</w:t>
      </w:r>
      <w:r w:rsidRPr="00CA607A">
        <w:rPr>
          <w:bCs/>
          <w:sz w:val="20"/>
        </w:rPr>
        <w:t xml:space="preserve"> en el bienio 2014/15, entre otros la adopción de la Agenda de Acción de Addis Abeba</w:t>
      </w:r>
      <w:r w:rsidRPr="00CA607A">
        <w:rPr>
          <w:color w:val="000000"/>
          <w:sz w:val="20"/>
        </w:rPr>
        <w:t xml:space="preserve"> (AAAA) durante la III Conferencia Internacional sobre la Financiación para el Desarrollo;  la adopción de la resolución “Transformar nuestro mundo: la Agenda 2030 para el Desarrollo Sostenible”;  y la adopción del Acuerdo de París sobre cambio climático al amparo de la Convención Marco de la Naciones Unidas sobre el Cambio Climático (CMNUCC).</w:t>
      </w:r>
      <w:r w:rsidRPr="00CA607A">
        <w:rPr>
          <w:bCs/>
          <w:sz w:val="20"/>
        </w:rPr>
        <w:t xml:space="preserve">  En su condición de organismo especializado de las Naciones Unidas, y en sintonía con su mandato y con las recomendaciones 30 y 40 de la A.D., la OMPI siguió desempeñando la función q</w:t>
      </w:r>
      <w:r w:rsidR="00CA607A">
        <w:rPr>
          <w:bCs/>
          <w:sz w:val="20"/>
        </w:rPr>
        <w:t>ue le incumbe en el apoyo de es</w:t>
      </w:r>
      <w:r w:rsidRPr="00CA607A">
        <w:rPr>
          <w:bCs/>
          <w:sz w:val="20"/>
        </w:rPr>
        <w:t>os procesos mediante su participación estratégica y el suministro de información equilibrada y empírica, así como de respuestas oportunas a solicitudes específicas de contribuciones y cooperación</w:t>
      </w:r>
      <w:r w:rsidRPr="00CA607A">
        <w:rPr>
          <w:sz w:val="20"/>
        </w:rPr>
        <w:t>.</w:t>
      </w:r>
    </w:p>
    <w:p w:rsidR="00346F22" w:rsidRPr="00346F22" w:rsidRDefault="00346F22" w:rsidP="00346F22">
      <w:pPr>
        <w:pStyle w:val="ONUMFS"/>
        <w:jc w:val="both"/>
        <w:rPr>
          <w:sz w:val="20"/>
        </w:rPr>
      </w:pPr>
      <w:r w:rsidRPr="00346F22">
        <w:rPr>
          <w:sz w:val="20"/>
        </w:rPr>
        <w:t xml:space="preserve">La red de oficinas </w:t>
      </w:r>
      <w:r w:rsidR="00CA607A">
        <w:rPr>
          <w:sz w:val="20"/>
        </w:rPr>
        <w:t xml:space="preserve">de la OMPI </w:t>
      </w:r>
      <w:r w:rsidRPr="00346F22">
        <w:rPr>
          <w:sz w:val="20"/>
        </w:rPr>
        <w:t xml:space="preserve">en el exterior </w:t>
      </w:r>
      <w:r w:rsidR="00CA607A">
        <w:rPr>
          <w:sz w:val="20"/>
        </w:rPr>
        <w:t>es</w:t>
      </w:r>
      <w:r w:rsidRPr="00346F22">
        <w:rPr>
          <w:sz w:val="20"/>
        </w:rPr>
        <w:t xml:space="preserve"> parte integral de la Organización, con la finalidad de acercar los servicios y la cooperación de la OMPI a los Estados miembros, las partes interesadas y los asociados, en aras de una mayor eficacia en la ejecución de los programas y de responder a las necesidades y prioridades específicas de los países o regiones en los que operan. </w:t>
      </w:r>
      <w:r w:rsidR="00FD069A">
        <w:rPr>
          <w:sz w:val="20"/>
        </w:rPr>
        <w:t>En </w:t>
      </w:r>
      <w:r w:rsidRPr="00346F22">
        <w:rPr>
          <w:sz w:val="20"/>
        </w:rPr>
        <w:t>2014, la red aumentó a 5 oficinas a raíz de la apertura de las Oficinas de la OMPI en China (OOC) y en la Federación de Rusia (OOR).  En 2015, se celebró el décimo aniversario de la creación de la Oficina de la OMPI en Singapur.  Los resultados obtenidos en el bienio 2014/15 siguieron subrayando la contribución de las oficinas en el exterior en el cumplimiento del mandato de la Organización.</w:t>
      </w:r>
    </w:p>
    <w:p w:rsidR="006760C1" w:rsidRPr="001402C5" w:rsidRDefault="006760C1" w:rsidP="006760C1">
      <w:pPr>
        <w:rPr>
          <w:b/>
          <w:iCs/>
          <w:sz w:val="20"/>
        </w:rPr>
      </w:pPr>
    </w:p>
    <w:p w:rsidR="006760C1" w:rsidRPr="001402C5" w:rsidRDefault="006760C1" w:rsidP="007944F2">
      <w:pPr>
        <w:keepNext/>
        <w:jc w:val="center"/>
        <w:rPr>
          <w:b/>
          <w:iCs/>
          <w:sz w:val="20"/>
        </w:rPr>
      </w:pPr>
      <w:r w:rsidRPr="001402C5">
        <w:rPr>
          <w:b/>
          <w:iCs/>
          <w:sz w:val="20"/>
        </w:rPr>
        <w:lastRenderedPageBreak/>
        <w:t>Meta estratégica IX</w:t>
      </w:r>
      <w:proofErr w:type="gramStart"/>
      <w:r w:rsidRPr="001402C5">
        <w:rPr>
          <w:b/>
          <w:iCs/>
          <w:sz w:val="20"/>
        </w:rPr>
        <w:t>:  Estructura</w:t>
      </w:r>
      <w:proofErr w:type="gramEnd"/>
      <w:r w:rsidRPr="001402C5">
        <w:rPr>
          <w:b/>
          <w:iCs/>
          <w:sz w:val="20"/>
        </w:rPr>
        <w:t xml:space="preserve"> eficiente de apoyo administrativo y financiero que facilite la ejecución de los programas de la OMPI </w:t>
      </w:r>
    </w:p>
    <w:p w:rsidR="006760C1" w:rsidRPr="001402C5" w:rsidRDefault="006760C1" w:rsidP="007944F2">
      <w:pPr>
        <w:keepNext/>
        <w:jc w:val="center"/>
        <w:rPr>
          <w:noProof/>
          <w:sz w:val="20"/>
        </w:rPr>
      </w:pPr>
      <w:r w:rsidRPr="001402C5">
        <w:rPr>
          <w:noProof/>
          <w:sz w:val="20"/>
          <w:lang w:val="en-US" w:eastAsia="en-US"/>
        </w:rPr>
        <w:drawing>
          <wp:inline distT="0" distB="0" distL="0" distR="0" wp14:anchorId="742A4EFC" wp14:editId="16250658">
            <wp:extent cx="5411972" cy="2875377"/>
            <wp:effectExtent l="0" t="0" r="0"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2502" cy="2875658"/>
                    </a:xfrm>
                    <a:prstGeom prst="rect">
                      <a:avLst/>
                    </a:prstGeom>
                    <a:noFill/>
                    <a:ln>
                      <a:noFill/>
                    </a:ln>
                  </pic:spPr>
                </pic:pic>
              </a:graphicData>
            </a:graphic>
          </wp:inline>
        </w:drawing>
      </w:r>
    </w:p>
    <w:p w:rsidR="006760C1" w:rsidRPr="001402C5" w:rsidRDefault="006760C1" w:rsidP="007944F2">
      <w:pPr>
        <w:keepNext/>
        <w:rPr>
          <w:noProof/>
          <w:sz w:val="20"/>
        </w:rPr>
      </w:pPr>
    </w:p>
    <w:p w:rsidR="006760C1" w:rsidRPr="001402C5" w:rsidRDefault="006760C1" w:rsidP="007944F2">
      <w:pPr>
        <w:keepNext/>
        <w:jc w:val="center"/>
        <w:rPr>
          <w:b/>
          <w:iCs/>
          <w:sz w:val="20"/>
        </w:rPr>
      </w:pPr>
      <w:r w:rsidRPr="0047708A">
        <w:rPr>
          <w:b/>
          <w:sz w:val="18"/>
          <w:szCs w:val="18"/>
        </w:rPr>
        <w:t xml:space="preserve">Resumen de los avances logrados </w:t>
      </w:r>
      <w:r>
        <w:rPr>
          <w:b/>
          <w:sz w:val="18"/>
          <w:szCs w:val="18"/>
        </w:rPr>
        <w:t>por resultado previsto</w:t>
      </w:r>
    </w:p>
    <w:p w:rsidR="006760C1" w:rsidRDefault="006760C1" w:rsidP="006760C1">
      <w:pPr>
        <w:rPr>
          <w:sz w:val="20"/>
        </w:rPr>
      </w:pPr>
      <w:r w:rsidRPr="001402C5">
        <w:rPr>
          <w:noProof/>
          <w:sz w:val="20"/>
          <w:lang w:val="en-US" w:eastAsia="en-US"/>
        </w:rPr>
        <w:drawing>
          <wp:inline distT="0" distB="0" distL="0" distR="0" wp14:anchorId="25712DEB" wp14:editId="01FB62F2">
            <wp:extent cx="5731510" cy="2424481"/>
            <wp:effectExtent l="0" t="0" r="254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424481"/>
                    </a:xfrm>
                    <a:prstGeom prst="rect">
                      <a:avLst/>
                    </a:prstGeom>
                    <a:noFill/>
                    <a:ln>
                      <a:noFill/>
                    </a:ln>
                  </pic:spPr>
                </pic:pic>
              </a:graphicData>
            </a:graphic>
          </wp:inline>
        </w:drawing>
      </w:r>
    </w:p>
    <w:p w:rsidR="00592880" w:rsidRPr="001402C5" w:rsidRDefault="00592880" w:rsidP="006760C1">
      <w:pPr>
        <w:rPr>
          <w:sz w:val="20"/>
        </w:rPr>
      </w:pPr>
    </w:p>
    <w:p w:rsidR="00346F22" w:rsidRPr="00346F22" w:rsidRDefault="00346F22" w:rsidP="00346F22">
      <w:pPr>
        <w:pStyle w:val="ONUMFS"/>
        <w:jc w:val="both"/>
        <w:rPr>
          <w:sz w:val="20"/>
        </w:rPr>
      </w:pPr>
      <w:r w:rsidRPr="00346F22">
        <w:rPr>
          <w:sz w:val="20"/>
        </w:rPr>
        <w:t>Durante el bienio se siguió fortaleciendo la gestión de los programas y la gestión financiera con el fin de utilizar más eficazmente los recursos así como de establecer mejores prácticas en el ámbito de la administración, que atañen a la planificación, la gestión del rendimiento, la facilitación y el apoyo de diversas actividades operacionales a través de la Organización.</w:t>
      </w:r>
    </w:p>
    <w:p w:rsidR="00346F22" w:rsidRPr="00346F22" w:rsidRDefault="00346F22" w:rsidP="00346F22">
      <w:pPr>
        <w:pStyle w:val="ONUMFS"/>
        <w:jc w:val="both"/>
        <w:rPr>
          <w:rFonts w:eastAsiaTheme="minorHAnsi"/>
          <w:color w:val="000000"/>
          <w:sz w:val="20"/>
        </w:rPr>
      </w:pPr>
      <w:r w:rsidRPr="00346F22">
        <w:rPr>
          <w:rFonts w:eastAsiaTheme="minorHAnsi"/>
          <w:color w:val="000000"/>
          <w:sz w:val="20"/>
        </w:rPr>
        <w:t xml:space="preserve">A pesar de las persistentes incertidumbres económicas, la OMPI cerró el año con un resultado global positivo de 70,3 millones de francos suizos, con arreglo a las IPSAS.  Los ingresos tras los ajustes con arreglo a las IPSAS en 2014/15 totalizaron 775,7 millones de francos suizos, es decir, 62,4 millones de francos más (un 8%) con respecto a los ingresos presupuestados para el bienio.  Los gastos para el bienio ascendieron a 642,6 millones de francos suizos, es decir, 31,4 millones de francos suizos menos (un 4,7%) de lo establecido en el presupuesto aprobado para 2014/15. </w:t>
      </w:r>
    </w:p>
    <w:p w:rsidR="00346F22" w:rsidRPr="00346F22" w:rsidRDefault="00346F22" w:rsidP="00346F22">
      <w:pPr>
        <w:pStyle w:val="ONUMFS"/>
        <w:jc w:val="both"/>
        <w:rPr>
          <w:bCs/>
          <w:sz w:val="20"/>
          <w:szCs w:val="22"/>
        </w:rPr>
      </w:pPr>
      <w:r w:rsidRPr="00346F22">
        <w:rPr>
          <w:rFonts w:eastAsiaTheme="minorHAnsi"/>
          <w:color w:val="000000"/>
          <w:sz w:val="20"/>
        </w:rPr>
        <w:t>El estudio exhaustivo de las prácticas y riesgos de tesorería de la OMPI, emprendido en 2013, se terminó de realizar en la primavera de 2014, dando lugar a una serie de recomendaciones, entre las que figuraba el empleo de instrumentos de cobertura como medio de reducir la exposición a las fluctuaciones de los tipos de cambio en el PCT.  En 2015, se llevó a cabo un examen exhaustivo de la estrategia propuesta de cobertura de los ingresos que incluye la decisión final de crear un modelo de simulación de los efectos de</w:t>
      </w:r>
      <w:r w:rsidRPr="00346F22">
        <w:rPr>
          <w:bCs/>
          <w:sz w:val="20"/>
          <w:szCs w:val="22"/>
        </w:rPr>
        <w:t xml:space="preserve"> esta cobertura en los resultados del bienio 2014/15 y del año 2016.  Tras investigar extensamente en diversos bancos e instituciones financieras y estudiar las muchas políticas de inversiones operativas en el sistema de las Naciones Unidas, los Estados miembros prepararon y aprobaron en 2015 una nueva política de inversiones para la Organización.  </w:t>
      </w:r>
    </w:p>
    <w:p w:rsidR="00346F22" w:rsidRPr="00346F22" w:rsidRDefault="00346F22" w:rsidP="00346F22">
      <w:pPr>
        <w:pStyle w:val="ONUMFS"/>
        <w:jc w:val="both"/>
        <w:rPr>
          <w:sz w:val="20"/>
        </w:rPr>
      </w:pPr>
      <w:r w:rsidRPr="00346F22">
        <w:rPr>
          <w:sz w:val="20"/>
        </w:rPr>
        <w:lastRenderedPageBreak/>
        <w:t xml:space="preserve">En el bienio se lograron positivos avances con respecto a seguir arraigando una cultura basada en los resultados y en el fortalecimiento del ciclo de gestión del rendimiento de la OMPI.  Se siguieron reforzando los procesos bienales y anuales de planificación del trabajo.  En 2014, se introdujo la planificación </w:t>
      </w:r>
      <w:r w:rsidR="005B7A99">
        <w:rPr>
          <w:sz w:val="20"/>
        </w:rPr>
        <w:t>a nivel d</w:t>
      </w:r>
      <w:r w:rsidRPr="00346F22">
        <w:rPr>
          <w:sz w:val="20"/>
        </w:rPr>
        <w:t xml:space="preserve">e </w:t>
      </w:r>
      <w:r w:rsidR="005B7A99">
        <w:rPr>
          <w:sz w:val="20"/>
        </w:rPr>
        <w:t>cada puesto</w:t>
      </w:r>
      <w:r w:rsidRPr="00346F22">
        <w:rPr>
          <w:sz w:val="20"/>
        </w:rPr>
        <w:t>, intensificando los vínculos entre los resultados previstos para cada uno de los programas y los objetivos de cada miembro del personal, lo que aumentó la transparencia y la precisión en cuanto a la asignación y utilización de recursos relativos a personal.</w:t>
      </w:r>
    </w:p>
    <w:p w:rsidR="00346F22" w:rsidRPr="00346F22" w:rsidRDefault="00346F22" w:rsidP="00346F22">
      <w:pPr>
        <w:pStyle w:val="ONUMFS"/>
        <w:jc w:val="both"/>
        <w:rPr>
          <w:sz w:val="20"/>
        </w:rPr>
      </w:pPr>
      <w:r w:rsidRPr="00346F22">
        <w:rPr>
          <w:bCs/>
          <w:sz w:val="20"/>
        </w:rPr>
        <w:t xml:space="preserve">La integración aún mayor de los componentes del sistema de PRI en 2014/15 también contribuyó a mejorar la presentación de informes y las herramientas analíticas.  </w:t>
      </w:r>
      <w:r w:rsidRPr="00346F22">
        <w:rPr>
          <w:sz w:val="20"/>
        </w:rPr>
        <w:t xml:space="preserve">Por primera vez en 2014, se integraron los sistemas de planificación de la gestión del rendimiento institucional y los componentes financieros del sistema automatizado de gestión de la información (AIMS), lo que facilitó la presentación de informes comparativos entre el presupuesto y los gastos reales.  </w:t>
      </w:r>
      <w:r w:rsidRPr="00346F22">
        <w:rPr>
          <w:bCs/>
          <w:sz w:val="20"/>
        </w:rPr>
        <w:t>Además, en enero de 2014, comenzó a funcionar el sistema de g</w:t>
      </w:r>
      <w:r w:rsidRPr="00346F22">
        <w:rPr>
          <w:sz w:val="20"/>
        </w:rPr>
        <w:t>estión de los recursos humanos y de las nóminas</w:t>
      </w:r>
      <w:r w:rsidRPr="00346F22">
        <w:rPr>
          <w:bCs/>
          <w:sz w:val="20"/>
        </w:rPr>
        <w:t xml:space="preserve"> en el marco de la PRI y, en abril, se completó la integración con el sistema de gestión del rendimiento institucional, mejorando considerablemente la capacidad de gestión de los cargos.  E</w:t>
      </w:r>
      <w:r w:rsidRPr="00346F22">
        <w:rPr>
          <w:bCs/>
          <w:sz w:val="20"/>
          <w:szCs w:val="24"/>
        </w:rPr>
        <w:t>l módulo de inteligencia institucional evolucionó durante el bienio, con la creación y la puesta en marcha inicial en 2014 de tableros de control en los principales sectores administrativos (gestión de recursos humanos, adquisiciones y viajes, y planificación de programas y finanzas), y en el</w:t>
      </w:r>
      <w:r w:rsidR="00592880">
        <w:rPr>
          <w:bCs/>
          <w:sz w:val="20"/>
          <w:szCs w:val="24"/>
        </w:rPr>
        <w:t xml:space="preserve"> conjunto de la organización en </w:t>
      </w:r>
      <w:r w:rsidRPr="00346F22">
        <w:rPr>
          <w:bCs/>
          <w:sz w:val="20"/>
          <w:szCs w:val="24"/>
        </w:rPr>
        <w:t>2015. También en 2015, se creó y se puso en marcha un tablero de control sobre gestión de los riesgos.</w:t>
      </w:r>
    </w:p>
    <w:p w:rsidR="00346F22" w:rsidRPr="00346F22" w:rsidRDefault="00346F22" w:rsidP="00346F22">
      <w:pPr>
        <w:pStyle w:val="ONUMFS"/>
        <w:jc w:val="both"/>
        <w:rPr>
          <w:sz w:val="20"/>
        </w:rPr>
      </w:pPr>
      <w:r w:rsidRPr="00346F22">
        <w:rPr>
          <w:bCs/>
          <w:sz w:val="20"/>
          <w:szCs w:val="22"/>
        </w:rPr>
        <w:t xml:space="preserve">En consonancia con la hoja de ruta de gestión de riesgos, se elaboró un marco formal y coherente de gestión de riesgos y control interno para la Organización, que incluye </w:t>
      </w:r>
      <w:r w:rsidRPr="00346F22">
        <w:rPr>
          <w:sz w:val="20"/>
        </w:rPr>
        <w:t>el marco de rendición de cuentas de la OMPI, la declaración de apetito de riesgo de la OMPI, el establecimiento del Grupo de Gestión de Riesgos de la OMPI (RMG), la publicación de la política de gestión de riesgos, y la elaboración de un manual de gestión de riesgos y control interno.</w:t>
      </w:r>
    </w:p>
    <w:p w:rsidR="00346F22" w:rsidRPr="00346F22" w:rsidRDefault="00346F22" w:rsidP="00346F22">
      <w:pPr>
        <w:pStyle w:val="ONUMFS"/>
        <w:jc w:val="both"/>
        <w:rPr>
          <w:bCs/>
          <w:sz w:val="20"/>
          <w:szCs w:val="22"/>
        </w:rPr>
      </w:pPr>
      <w:r w:rsidRPr="00346F22">
        <w:rPr>
          <w:bCs/>
          <w:sz w:val="20"/>
          <w:szCs w:val="22"/>
        </w:rPr>
        <w:t>A fin de facilitar el acceso en tiempo real a información sobre riesgos y control, de prestar apoyo en materia de gestión proactiva de los riesgos y el control, y de ofrecer respuestas eficaces a los órganos de auditoria, en el segundo semestre de 2014 se creó una herramienta de gestión del riesgo institucional que se utilizó para apoyar el ejercicio de planificación del trabajo de 2015 y el pro</w:t>
      </w:r>
      <w:r w:rsidR="005B7A99">
        <w:rPr>
          <w:bCs/>
          <w:sz w:val="20"/>
          <w:szCs w:val="22"/>
        </w:rPr>
        <w:t>ceso del presupuesto por programas</w:t>
      </w:r>
      <w:r w:rsidRPr="00346F22">
        <w:rPr>
          <w:bCs/>
          <w:sz w:val="20"/>
          <w:szCs w:val="22"/>
        </w:rPr>
        <w:t xml:space="preserve"> de 2016/17.</w:t>
      </w:r>
    </w:p>
    <w:p w:rsidR="00346F22" w:rsidRPr="00346F22" w:rsidRDefault="00346F22" w:rsidP="00346F22">
      <w:pPr>
        <w:pStyle w:val="ONUMFS"/>
        <w:jc w:val="both"/>
        <w:rPr>
          <w:sz w:val="20"/>
        </w:rPr>
      </w:pPr>
      <w:r w:rsidRPr="00346F22">
        <w:rPr>
          <w:sz w:val="20"/>
        </w:rPr>
        <w:t>El bienio 2014/15 fue el primero en el que se aplicó la estrategia de recursos humanos aprobada por los Estados miembros en 2013.  También se siguió avanzando en la incorporación a las actividades de la Organización del diseño orgánico y la planificación de los recursos humanos, de suerte que queden plenamente integradas como actividades institucionales clave.  Entre los logros del bienio cabe señalar:  i) un mayor compromiso de los directivos en la planificación de los recursos humanos mediante la celebración de talleres introductorios y la elaboración de directrices conexas;  ii) la elaboración de planes de acción de recursos humanos de 2014/15 para cada</w:t>
      </w:r>
      <w:r w:rsidR="00C9083C">
        <w:rPr>
          <w:sz w:val="20"/>
        </w:rPr>
        <w:t xml:space="preserve"> unidad orgánica</w:t>
      </w:r>
      <w:r w:rsidRPr="00346F22">
        <w:rPr>
          <w:sz w:val="20"/>
        </w:rPr>
        <w:t xml:space="preserve"> a fin de determinar las medidas clave en materia de recursos humanos destinadas a satisfacer las necesidades institucionales;  iii) un ejercicio en el conjunto de la Organización para actualizar todas las descripciones de los puestos, asegurando que reflejan con precisión las prioridades institucionales;  y iv) una mayor y más sistemática armonización entre las descripciones de los puestos y los planes anuales de trabajo.  Como parte del ejercicio de planificación de los recursos humanos, se alentó a los directivos a examinar la combinación de recursos más adecuada para atender eficazmente sus necesidade</w:t>
      </w:r>
      <w:r w:rsidR="00C9083C">
        <w:rPr>
          <w:sz w:val="20"/>
        </w:rPr>
        <w:t>s operativas</w:t>
      </w:r>
      <w:r w:rsidRPr="00346F22">
        <w:rPr>
          <w:sz w:val="20"/>
        </w:rPr>
        <w:t>.</w:t>
      </w:r>
    </w:p>
    <w:p w:rsidR="00346F22" w:rsidRPr="00346F22" w:rsidRDefault="00346F22" w:rsidP="00346F22">
      <w:pPr>
        <w:pStyle w:val="ONUMFS"/>
        <w:jc w:val="both"/>
        <w:rPr>
          <w:sz w:val="20"/>
        </w:rPr>
      </w:pPr>
      <w:r w:rsidRPr="00346F22">
        <w:rPr>
          <w:sz w:val="20"/>
        </w:rPr>
        <w:t>En 2014, la OMPI publicó su primera Política sobre igualdad de género, con la doble finalidad de integrar la perspectiva de género en las actividades de la Organización y de establecer el objetivo, con un plazo concreto, de lograr el equilibrio de género entre los miembros del personal a todos los niveles.  Si bien el porcentaje de mujeres en el nivel P4 (46,1%) supuso un incremento de 2,7 puntos porcentuales con respecto a la base de referencia de 2013, lo que supone alcanzar plenamente el objetivo, la consecución de los objetivos de equilibrio de género en los niveles de mayor responsabilidad ejecutiva sigue siendo un reto.  Los nuevos nombramientos de mujeres en los niveles P5 y D1 evitaron que se ampliaran las diferencias por razón de sexo tras la salida de varias funcionarias que ocupaban puestos en esos niveles, si bien el número de mujeres en el nivel D2 disminuyó un 11,1</w:t>
      </w:r>
      <w:r w:rsidR="00592880">
        <w:rPr>
          <w:sz w:val="20"/>
        </w:rPr>
        <w:t>% con respecto a </w:t>
      </w:r>
      <w:r w:rsidRPr="00346F22">
        <w:rPr>
          <w:sz w:val="20"/>
        </w:rPr>
        <w:t xml:space="preserve">2013.  Los porcentajes de representación femenina fueron, no obstante, los más altos en la historia de la OMPI.  En consecuencia, se creó una red de coordinadores en cuestiones de género que abarca todos los programas de la OMPI, y la Organización se unió a la red </w:t>
      </w:r>
      <w:r w:rsidRPr="00346F22">
        <w:rPr>
          <w:i/>
          <w:sz w:val="20"/>
        </w:rPr>
        <w:t>Geneva Champions</w:t>
      </w:r>
      <w:r w:rsidRPr="00346F22">
        <w:rPr>
          <w:sz w:val="20"/>
        </w:rPr>
        <w:t xml:space="preserve"> en su compromiso colectivo de promocionar a las mujeres en el lugar de trabajo.</w:t>
      </w:r>
    </w:p>
    <w:p w:rsidR="00346F22" w:rsidRPr="00346F22" w:rsidRDefault="00346F22" w:rsidP="00346F22">
      <w:pPr>
        <w:pStyle w:val="ONUMFS"/>
        <w:jc w:val="both"/>
        <w:rPr>
          <w:sz w:val="20"/>
        </w:rPr>
      </w:pPr>
      <w:r w:rsidRPr="00346F22">
        <w:rPr>
          <w:sz w:val="20"/>
        </w:rPr>
        <w:lastRenderedPageBreak/>
        <w:t xml:space="preserve">En 2014 se llevó a término el proceso de regularización de empleados temporales con muchos años de servicio, en cuyo marco se regularizó ese mismo año la situación de 31 empleados de este tipo como consecuencia de un concurso.  Además, se anunciaron 40 puestos de plazo fijo para la regularización de funciones de naturaleza permanente durante el bienio (17 en 2014 y 23 en 2015), 30 de los cuales fueron cubiertos a fines de 2015.  El bienio siguió siendo testigo de un nivel significativo de actividad de contratación, lo que resultó en una </w:t>
      </w:r>
      <w:r w:rsidR="00B86C7F">
        <w:rPr>
          <w:sz w:val="20"/>
        </w:rPr>
        <w:t>disminución</w:t>
      </w:r>
      <w:r w:rsidRPr="00346F22">
        <w:rPr>
          <w:sz w:val="20"/>
        </w:rPr>
        <w:t xml:space="preserve"> del tiempo promedio en el proceso de contratación a 19,77 semanas, frente a las 16,03 semanas de 2012/13.  Durante el bienio hubo un total de 255 concursos (183 para puestos de plazo fijo, lo que supone un incremento del 29% con respecto a 2012/13, y 72 para puestos temporales).  En total, se recibieron 30.320 </w:t>
      </w:r>
      <w:r w:rsidR="00B86C7F">
        <w:rPr>
          <w:sz w:val="20"/>
        </w:rPr>
        <w:t>candidaturas</w:t>
      </w:r>
      <w:r w:rsidRPr="00346F22">
        <w:rPr>
          <w:sz w:val="20"/>
        </w:rPr>
        <w:t xml:space="preserve">.  También continuaron los procesos de modernización de los sistemas y los procedimientos del Departamento de Gestión de los Recursos Humanos.  En 2015, </w:t>
      </w:r>
      <w:r w:rsidR="00B86C7F">
        <w:rPr>
          <w:sz w:val="20"/>
        </w:rPr>
        <w:t>comenzó</w:t>
      </w:r>
      <w:r w:rsidRPr="00346F22">
        <w:rPr>
          <w:sz w:val="20"/>
        </w:rPr>
        <w:t xml:space="preserve"> la creación de una nueva plataforma integral de contratación (utilizando Taleo), que previsiblemente mejorará la eficiencia del proceso de contratación</w:t>
      </w:r>
      <w:r w:rsidR="000D43F6">
        <w:rPr>
          <w:sz w:val="20"/>
        </w:rPr>
        <w:t>.</w:t>
      </w:r>
    </w:p>
    <w:p w:rsidR="00346F22" w:rsidRPr="00346F22" w:rsidRDefault="00346F22" w:rsidP="00346F22">
      <w:pPr>
        <w:pStyle w:val="ONUMFS"/>
        <w:jc w:val="both"/>
        <w:rPr>
          <w:sz w:val="20"/>
        </w:rPr>
      </w:pPr>
      <w:r w:rsidRPr="00346F22">
        <w:rPr>
          <w:sz w:val="20"/>
        </w:rPr>
        <w:t>En 2014/15, se realizaron sólidos progresos para alcanzar las metas fijadas en el ámbito de las compras y los viajes a través de una serie de medidas que tienen como finalidad optimizar el costo de los productos y servicios adquiridos por la OMPI y simplificar sus procesos, dando lugar a un ahorro global de 3,8 millones de francos suizos en 2015 y de 2,6 millones de francos suizos en 2014.  En lo que respecta a los gastos de viajes, el precio medio del billete se redujo en un 14% en 2015 hasta los 1.484 francos suizos, frente a los 1.728 francos suizos en 2013, lo que implica un ahorro importante en el conjunto del bienio.  Desde la puesta en marcha de la nueva herramienta de reservas por Internet (OBT</w:t>
      </w:r>
      <w:r w:rsidR="00B86C7F">
        <w:rPr>
          <w:sz w:val="20"/>
        </w:rPr>
        <w:t xml:space="preserve">, siglas de </w:t>
      </w:r>
      <w:r w:rsidR="00B86C7F" w:rsidRPr="00B86C7F">
        <w:rPr>
          <w:i/>
          <w:sz w:val="20"/>
        </w:rPr>
        <w:t>Online Booking Tool</w:t>
      </w:r>
      <w:r w:rsidRPr="00346F22">
        <w:rPr>
          <w:sz w:val="20"/>
        </w:rPr>
        <w:t xml:space="preserve">) en diciembre de 2014, la comisión promedio por transacción también disminuyó en un 20% pese al incremento de la comisión de agencia </w:t>
      </w:r>
      <w:r w:rsidR="00B86C7F">
        <w:rPr>
          <w:sz w:val="20"/>
        </w:rPr>
        <w:t>generada tras</w:t>
      </w:r>
      <w:r w:rsidRPr="00346F22">
        <w:rPr>
          <w:sz w:val="20"/>
        </w:rPr>
        <w:t xml:space="preserve"> el cambio de proveedor.  Cabe señalar también que se realizaron esfuerzos considerables para reducir los gastos de viaje durante el bienio, con lo que disminuyó el número de billetes emitidos y el número de casos de presentación tardía de solicitudes de viaje.  Mediante la estrecha supervisión de los procesos administrativos, el tiempo medio de tramitación de las solicitudes de compra se redujo a la mitad en los últimos cinco años, dando lugar a una mayor eficiencia y agilidad en la adquisición de productos y servicios.  También es reseñable que el porcentaje de productos y servicios suministrados localmente para las actividades relacionadas con el desarrollo aumentó hasta</w:t>
      </w:r>
      <w:r w:rsidR="00B86C7F">
        <w:rPr>
          <w:sz w:val="20"/>
        </w:rPr>
        <w:t xml:space="preserve"> situarse en</w:t>
      </w:r>
      <w:r w:rsidRPr="00346F22">
        <w:rPr>
          <w:sz w:val="20"/>
        </w:rPr>
        <w:t xml:space="preserve"> el 57% del total en 2015, un incremento del 9% con respecto a 2013 y del 12% con respecto a 2014.</w:t>
      </w:r>
    </w:p>
    <w:p w:rsidR="00346F22" w:rsidRPr="00346F22" w:rsidRDefault="00346F22" w:rsidP="00346F22">
      <w:pPr>
        <w:pStyle w:val="ONUMFS"/>
        <w:jc w:val="both"/>
        <w:rPr>
          <w:sz w:val="20"/>
        </w:rPr>
      </w:pPr>
      <w:r w:rsidRPr="00346F22">
        <w:rPr>
          <w:sz w:val="20"/>
        </w:rPr>
        <w:t xml:space="preserve">En cuanto a las mejoras en las TIC, en 2014/15 se alcanzaron varios logros concretos:  una revisión de los contratos por servicios y de los procesos operativos para procurar operaciones más económicas, dando lugar a un ahorro de aproximadamente 460.000 francos suizos con respecto  a 2013;  la creación y puesta a prueba con éxito de un mecanismo de alto nivel de recuperación en caso de desastre en relación con las TIC, que presta servicio al sistema del PCT;  la finalización de la infraestructura de las TIC para la nueva sala de conferencias de la OMPI en el plazo previsto para acoger la vigesimosegunda sesión del </w:t>
      </w:r>
      <w:r w:rsidRPr="00346F22">
        <w:rPr>
          <w:bCs/>
          <w:sz w:val="20"/>
        </w:rPr>
        <w:t>PBC y la quincuagésimo cuarta serie de reuniones de las Asambleas de los Estados miembros de la OMPI</w:t>
      </w:r>
      <w:r w:rsidRPr="00346F22">
        <w:rPr>
          <w:sz w:val="20"/>
        </w:rPr>
        <w:t>;  un nuevo proyecto general de arquitectura de oficinas para procurar a las oficinas de la OMPI en el exterior un acceso seguro a todos los sistemas administrativos de T.I. ubicados en la sede central de la Organización, así como de servicios de T.I. centralizados y coherentes;  e</w:t>
      </w:r>
      <w:r w:rsidRPr="00346F22">
        <w:rPr>
          <w:bCs/>
          <w:sz w:val="20"/>
        </w:rPr>
        <w:t>l establecimiento de acuerdos de prestación de servicios para determinar explícitamente las necesidades en materia de TIC de sectores de actividad concretos y asegurar igualmente un seguimiento y supervisión más sistemáticos</w:t>
      </w:r>
      <w:r w:rsidRPr="00346F22">
        <w:rPr>
          <w:sz w:val="20"/>
        </w:rPr>
        <w:t>;  y la implantación de un sistema avanzado de fax que se integre con fluidez con los sistemas informáticos de Madrid, así como con los sistemas administrativos internos, dando lugar a una mayor eficiencia y a una reducción significativa de los índices de error en l</w:t>
      </w:r>
      <w:r w:rsidR="00B86C7F">
        <w:rPr>
          <w:sz w:val="20"/>
        </w:rPr>
        <w:t>as transmisiones por</w:t>
      </w:r>
      <w:r w:rsidRPr="00346F22">
        <w:rPr>
          <w:sz w:val="20"/>
        </w:rPr>
        <w:t xml:space="preserve"> fax.</w:t>
      </w:r>
    </w:p>
    <w:p w:rsidR="00346F22" w:rsidRPr="00346F22" w:rsidRDefault="00346F22" w:rsidP="00346F22">
      <w:pPr>
        <w:pStyle w:val="ONUMFS"/>
        <w:jc w:val="both"/>
        <w:rPr>
          <w:sz w:val="20"/>
        </w:rPr>
      </w:pPr>
      <w:r w:rsidRPr="00346F22">
        <w:rPr>
          <w:sz w:val="20"/>
        </w:rPr>
        <w:t xml:space="preserve">En el campo del aseguramiento de la información, como parte del proceso de mejora constante promovido por la Norma ISO 27001, el PCT se sometió en octubre de 2014 a una segunda ronda de auditorías de seguimiento externas para obtener la certificación ISO 27001, y al mismo </w:t>
      </w:r>
      <w:r w:rsidR="00AC0166">
        <w:rPr>
          <w:sz w:val="20"/>
        </w:rPr>
        <w:t xml:space="preserve">tiempo </w:t>
      </w:r>
      <w:r w:rsidRPr="00346F22">
        <w:rPr>
          <w:sz w:val="20"/>
        </w:rPr>
        <w:t xml:space="preserve">migró la certificación de la versión de 2005 a la más reciente ISO 27001:2013.  En octubre de 2015, la certificación se amplió para incluir las operaciones el Sistema de Madrid y del Sistema de La Haya, además de las del PCT.  Las campañas de simulación de estafas por suplantación de identidad o </w:t>
      </w:r>
      <w:r w:rsidRPr="00346F22">
        <w:rPr>
          <w:i/>
          <w:sz w:val="20"/>
        </w:rPr>
        <w:t>phishing</w:t>
      </w:r>
      <w:r w:rsidRPr="00346F22">
        <w:rPr>
          <w:sz w:val="20"/>
        </w:rPr>
        <w:t xml:space="preserve">, que se pusieron en práctica por primera vez en 2014, siguieron sensibilizando a los usuarios sobre las amenazas contra la seguridad de la información, como evidenció el marcado aumento de usuarios que denunciaron esta práctica (del 1% en 2014 al 59% en 2015), así como por el descenso en un 10% en el número de usuarios que “picaron” en las campañas de sensibilización contra el </w:t>
      </w:r>
      <w:r w:rsidRPr="00346F22">
        <w:rPr>
          <w:i/>
          <w:sz w:val="20"/>
        </w:rPr>
        <w:t>phishing</w:t>
      </w:r>
      <w:r w:rsidRPr="00346F22">
        <w:rPr>
          <w:sz w:val="20"/>
        </w:rPr>
        <w:t xml:space="preserve"> (de un promedio del 17% en 2014 a un promedio del 7% en 2015).</w:t>
      </w:r>
    </w:p>
    <w:p w:rsidR="00346F22" w:rsidRPr="00346F22" w:rsidRDefault="00346F22" w:rsidP="00346F22">
      <w:pPr>
        <w:pStyle w:val="ONUMFS"/>
        <w:jc w:val="both"/>
        <w:rPr>
          <w:bCs/>
          <w:sz w:val="20"/>
        </w:rPr>
      </w:pPr>
      <w:r w:rsidRPr="00346F22">
        <w:rPr>
          <w:sz w:val="20"/>
        </w:rPr>
        <w:t xml:space="preserve">Se siguió aplicando eficazmente la Política lingüística de la OMPI al ampliar la cobertura </w:t>
      </w:r>
      <w:r w:rsidR="00AC0166">
        <w:rPr>
          <w:sz w:val="20"/>
        </w:rPr>
        <w:t>de</w:t>
      </w:r>
      <w:r w:rsidRPr="00346F22">
        <w:rPr>
          <w:sz w:val="20"/>
        </w:rPr>
        <w:t xml:space="preserve"> seis idiomas a los grupos de trabajo, con un enfoque gradual y eficaz en función de los costos.  De </w:t>
      </w:r>
      <w:r w:rsidRPr="00346F22">
        <w:rPr>
          <w:sz w:val="20"/>
        </w:rPr>
        <w:lastRenderedPageBreak/>
        <w:t>conformidad con el calendario establecido por los Estados miembros, la cobertura se amplió en 2014/15 a</w:t>
      </w:r>
      <w:proofErr w:type="gramStart"/>
      <w:r w:rsidRPr="00346F22">
        <w:rPr>
          <w:sz w:val="20"/>
        </w:rPr>
        <w:t>:  i</w:t>
      </w:r>
      <w:proofErr w:type="gramEnd"/>
      <w:r w:rsidRPr="00346F22">
        <w:rPr>
          <w:sz w:val="20"/>
        </w:rPr>
        <w:t xml:space="preserve">) el Grupo de Trabajo del PCT;  ii) el Grupo de Trabajo sobre el Desarrollo Jurídico del Sistema de La Haya para el Registro Internacional de Dibujos y Modelos Industriales;  iii) el Grupo de Trabajo sobre el Desarrollo Jurídico del Sistema de Madrid para el Registro Internacional de Marcas;  y </w:t>
      </w:r>
      <w:r w:rsidRPr="00346F22">
        <w:rPr>
          <w:bCs/>
          <w:sz w:val="20"/>
        </w:rPr>
        <w:t xml:space="preserve">iv) el Grupo de Trabajo sobre la Revisión de la CIP. </w:t>
      </w:r>
    </w:p>
    <w:p w:rsidR="00346F22" w:rsidRPr="00346F22" w:rsidRDefault="00346F22" w:rsidP="00346F22">
      <w:pPr>
        <w:pStyle w:val="ONUMFS"/>
        <w:jc w:val="both"/>
        <w:rPr>
          <w:sz w:val="20"/>
        </w:rPr>
      </w:pPr>
      <w:r w:rsidRPr="00346F22">
        <w:rPr>
          <w:sz w:val="20"/>
        </w:rPr>
        <w:t>Un logro reseñable en 2014 fue la inauguración de la nueva sala de conferencias de la OMPI. El proyecto se entregó en varias etapas y se realizaron en paralelo diversas pruebas técnicas y de los sistemas, zona por zona.  El nuevo Centro de Acceso se entregó en julio de 2014 y los elementos paisajísticos exteriores situados entre el nuevo edificio, la nueva sala de conferencias de la OMPI y el edificio AB se entregaron a finales de agosto de 2014.  La nueva sala de conferencias de la OMPI fue entregada a finales de agosto y estuvo disponible para celebrar la sesión del P</w:t>
      </w:r>
      <w:r w:rsidR="00AC0166">
        <w:rPr>
          <w:sz w:val="20"/>
        </w:rPr>
        <w:t>B</w:t>
      </w:r>
      <w:r w:rsidRPr="00346F22">
        <w:rPr>
          <w:sz w:val="20"/>
        </w:rPr>
        <w:t>C del 1 al 5 de septiembre de 2014.  En septiembre de 2014, se terminaron todas las obras de construcción y renovación en la nueva sala de conferencias de la OMPI y en tres plantas del edificio AB, quedando disponible para la celebración de las reuniones de las Asambleas de la OMPI del 22 al 30 de septiembre de 2014, lo que incluyó la inauguración de la nueva sala de conferencias el día de la apertura de las reuniones, en presencia de los Estados miembros de la OMPI y los observadores, de funcionarios del país anfitrión (de nivel federal, cantonal y municipal), de representantes de otros organismos de las Naciones Unidas, y de unas 70 empresas y entidades que habían contribuido a la construcción y finalización del proyecto.  Durante 2015, se trabajó en una serie de elementos de los componentes paisajísticos exteriores.  El proyecto se concluyó a tiempo para las Asambleas de la OMPI, a pesar de que se retrasó de abril a septiembre de 2014 debido a la complejidad de la obra, especialmente en los últimos meses.</w:t>
      </w:r>
    </w:p>
    <w:p w:rsidR="00346F22" w:rsidRPr="00346F22" w:rsidRDefault="00346F22" w:rsidP="00346F22">
      <w:pPr>
        <w:pStyle w:val="ONUMFS"/>
        <w:jc w:val="both"/>
        <w:rPr>
          <w:bCs/>
          <w:sz w:val="20"/>
        </w:rPr>
      </w:pPr>
      <w:r w:rsidRPr="00346F22">
        <w:rPr>
          <w:sz w:val="20"/>
        </w:rPr>
        <w:t>En el bienio 2014/15 también se consiguió finalizar e impulsar algunos logros importantes en materia de seguridad</w:t>
      </w:r>
      <w:r w:rsidRPr="00346F22">
        <w:rPr>
          <w:bCs/>
          <w:sz w:val="20"/>
        </w:rPr>
        <w:t xml:space="preserve"> y vigilancia, entre los que destacó la apertura del nuevo Centro de Acceso de la OMPI (recepción AB) y del Centro de Operaciones de Coordinación en materia de Seguridad (SCOC) en el plazo previsto para brindar un apoyo eficaz a la celebración de la vigesimosegunda sesión del PBC y de las Asambleas de los Estados miembros de la OMPI en 2014, así como a más de 200 conferencias y eventos en 2015 con presencia de empleados, delegados, visitantes y público.  Además, el proyecto de normas mínimas operativas de seguridad para las sedes de Naciones Unidas se completó en 2015, introduciendo mejoras que han reforzado significativamente la gestión de la seguridad y la vigilancia en todo el recinto de la OMPI.</w:t>
      </w:r>
    </w:p>
    <w:p w:rsidR="006760C1" w:rsidRPr="001402C5" w:rsidRDefault="006760C1" w:rsidP="006760C1">
      <w:pPr>
        <w:rPr>
          <w:sz w:val="20"/>
        </w:rPr>
      </w:pPr>
    </w:p>
    <w:p w:rsidR="006760C1" w:rsidRPr="00537605" w:rsidRDefault="006760C1" w:rsidP="006760C1"/>
    <w:p w:rsidR="006760C1" w:rsidRPr="00537605" w:rsidRDefault="006760C1" w:rsidP="006760C1"/>
    <w:p w:rsidR="006760C1" w:rsidRPr="00537605" w:rsidRDefault="006760C1" w:rsidP="006760C1"/>
    <w:p w:rsidR="006760C1" w:rsidRPr="00537605" w:rsidRDefault="006760C1" w:rsidP="006760C1"/>
    <w:p w:rsidR="006760C1" w:rsidRPr="00537605" w:rsidRDefault="006760C1" w:rsidP="006760C1"/>
    <w:p w:rsidR="006760C1" w:rsidRPr="00537605" w:rsidRDefault="006760C1" w:rsidP="006760C1"/>
    <w:p w:rsidR="002A52D5" w:rsidRPr="00BD33C8" w:rsidRDefault="002671EB" w:rsidP="002671EB">
      <w:pPr>
        <w:pStyle w:val="Heading1"/>
        <w:numPr>
          <w:ilvl w:val="0"/>
          <w:numId w:val="0"/>
        </w:numPr>
        <w:tabs>
          <w:tab w:val="left" w:pos="709"/>
        </w:tabs>
      </w:pPr>
      <w:bookmarkStart w:id="12" w:name="_Toc455159065"/>
      <w:r w:rsidRPr="002671EB">
        <w:lastRenderedPageBreak/>
        <w:t>III.</w:t>
      </w:r>
      <w:r w:rsidRPr="002671EB">
        <w:tab/>
        <w:t>PRESUPUESTO CONSOLIDADO Y GASTO REAL DEL BIENIO 2014/1</w:t>
      </w:r>
      <w:bookmarkEnd w:id="11"/>
      <w:r w:rsidRPr="002671EB">
        <w:t>5</w:t>
      </w:r>
      <w:bookmarkEnd w:id="12"/>
    </w:p>
    <w:p w:rsidR="002A52D5" w:rsidRPr="00BD33C8" w:rsidRDefault="002A52D5" w:rsidP="002A52D5">
      <w:pPr>
        <w:keepNext/>
        <w:widowControl w:val="0"/>
        <w:rPr>
          <w:u w:val="single"/>
        </w:rPr>
      </w:pPr>
    </w:p>
    <w:p w:rsidR="002A52D5" w:rsidRPr="00BD33C8" w:rsidRDefault="002A52D5" w:rsidP="002A52D5">
      <w:pPr>
        <w:keepNext/>
        <w:widowControl w:val="0"/>
        <w:rPr>
          <w:u w:val="single"/>
        </w:rPr>
      </w:pPr>
    </w:p>
    <w:p w:rsidR="002A52D5" w:rsidRPr="0023015B" w:rsidRDefault="002A52D5" w:rsidP="002A52D5">
      <w:pPr>
        <w:keepNext/>
        <w:jc w:val="center"/>
        <w:rPr>
          <w:b/>
          <w:sz w:val="18"/>
          <w:szCs w:val="18"/>
        </w:rPr>
      </w:pPr>
      <w:r w:rsidRPr="0023015B">
        <w:rPr>
          <w:b/>
          <w:sz w:val="18"/>
          <w:szCs w:val="18"/>
        </w:rPr>
        <w:t>Cuadro 1</w:t>
      </w:r>
      <w:proofErr w:type="gramStart"/>
      <w:r w:rsidRPr="0023015B">
        <w:rPr>
          <w:b/>
          <w:sz w:val="18"/>
          <w:szCs w:val="18"/>
        </w:rPr>
        <w:t>:  Resumen</w:t>
      </w:r>
      <w:proofErr w:type="gramEnd"/>
      <w:r w:rsidRPr="0023015B">
        <w:rPr>
          <w:b/>
          <w:sz w:val="18"/>
          <w:szCs w:val="18"/>
        </w:rPr>
        <w:t xml:space="preserve"> por programa, 2014/15</w:t>
      </w:r>
    </w:p>
    <w:p w:rsidR="002A52D5" w:rsidRPr="0023015B" w:rsidRDefault="002A52D5" w:rsidP="002A52D5">
      <w:pPr>
        <w:keepNext/>
        <w:jc w:val="center"/>
        <w:rPr>
          <w:i/>
          <w:sz w:val="18"/>
          <w:szCs w:val="18"/>
        </w:rPr>
      </w:pPr>
      <w:r w:rsidRPr="0023015B">
        <w:rPr>
          <w:i/>
          <w:sz w:val="18"/>
          <w:szCs w:val="18"/>
        </w:rPr>
        <w:t>(</w:t>
      </w:r>
      <w:proofErr w:type="gramStart"/>
      <w:r w:rsidRPr="0023015B">
        <w:rPr>
          <w:i/>
          <w:sz w:val="18"/>
          <w:szCs w:val="18"/>
        </w:rPr>
        <w:t>en</w:t>
      </w:r>
      <w:proofErr w:type="gramEnd"/>
      <w:r w:rsidRPr="0023015B">
        <w:rPr>
          <w:i/>
          <w:sz w:val="18"/>
          <w:szCs w:val="18"/>
        </w:rPr>
        <w:t xml:space="preserve"> miles de francos suizos)</w:t>
      </w:r>
    </w:p>
    <w:p w:rsidR="002A52D5" w:rsidRDefault="002A52D5" w:rsidP="002A52D5">
      <w:pPr>
        <w:keepNext/>
        <w:jc w:val="center"/>
        <w:rPr>
          <w:i/>
          <w:sz w:val="16"/>
          <w:szCs w:val="16"/>
        </w:rPr>
      </w:pPr>
    </w:p>
    <w:p w:rsidR="002A52D5" w:rsidRPr="00BD33C8" w:rsidRDefault="002A52D5" w:rsidP="002A52D5">
      <w:pPr>
        <w:keepNext/>
        <w:jc w:val="center"/>
        <w:rPr>
          <w:i/>
          <w:sz w:val="16"/>
          <w:szCs w:val="16"/>
        </w:rPr>
      </w:pPr>
    </w:p>
    <w:p w:rsidR="002A52D5" w:rsidRPr="00BD33C8" w:rsidRDefault="002A52D5" w:rsidP="002A52D5">
      <w:pPr>
        <w:keepNext/>
        <w:jc w:val="center"/>
        <w:rPr>
          <w:i/>
          <w:sz w:val="18"/>
          <w:szCs w:val="18"/>
        </w:rPr>
      </w:pPr>
      <w:r w:rsidRPr="004310C4">
        <w:rPr>
          <w:noProof/>
          <w:lang w:val="en-US" w:eastAsia="en-US"/>
        </w:rPr>
        <w:drawing>
          <wp:inline distT="0" distB="0" distL="0" distR="0" wp14:anchorId="6BBB5C67" wp14:editId="0DD4D7BA">
            <wp:extent cx="5940425" cy="528381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5283811"/>
                    </a:xfrm>
                    <a:prstGeom prst="rect">
                      <a:avLst/>
                    </a:prstGeom>
                    <a:noFill/>
                    <a:ln>
                      <a:noFill/>
                    </a:ln>
                  </pic:spPr>
                </pic:pic>
              </a:graphicData>
            </a:graphic>
          </wp:inline>
        </w:drawing>
      </w:r>
    </w:p>
    <w:p w:rsidR="002A52D5" w:rsidRPr="00BD33C8" w:rsidRDefault="002A52D5" w:rsidP="00DC1333">
      <w:pPr>
        <w:jc w:val="center"/>
      </w:pPr>
    </w:p>
    <w:p w:rsidR="002A52D5" w:rsidRPr="00BD33C8" w:rsidRDefault="002A52D5">
      <w:pPr>
        <w:rPr>
          <w:b/>
          <w:sz w:val="18"/>
          <w:szCs w:val="18"/>
        </w:rPr>
      </w:pPr>
      <w:r w:rsidRPr="00BD33C8">
        <w:rPr>
          <w:b/>
          <w:sz w:val="18"/>
          <w:szCs w:val="18"/>
        </w:rPr>
        <w:br w:type="page"/>
      </w:r>
    </w:p>
    <w:p w:rsidR="002A52D5" w:rsidRPr="00BD33C8" w:rsidRDefault="002A52D5" w:rsidP="00DC1333">
      <w:pPr>
        <w:jc w:val="center"/>
        <w:rPr>
          <w:b/>
          <w:sz w:val="16"/>
          <w:szCs w:val="16"/>
        </w:rPr>
      </w:pPr>
      <w:r>
        <w:rPr>
          <w:b/>
          <w:sz w:val="16"/>
          <w:szCs w:val="16"/>
        </w:rPr>
        <w:lastRenderedPageBreak/>
        <w:t>Cuadro 2</w:t>
      </w:r>
      <w:proofErr w:type="gramStart"/>
      <w:r>
        <w:rPr>
          <w:b/>
          <w:sz w:val="16"/>
          <w:szCs w:val="16"/>
        </w:rPr>
        <w:t>:</w:t>
      </w:r>
      <w:r w:rsidRPr="00BD33C8">
        <w:rPr>
          <w:b/>
          <w:sz w:val="16"/>
          <w:szCs w:val="16"/>
        </w:rPr>
        <w:t xml:space="preserve"> </w:t>
      </w:r>
      <w:r>
        <w:rPr>
          <w:b/>
          <w:sz w:val="16"/>
          <w:szCs w:val="16"/>
        </w:rPr>
        <w:t xml:space="preserve"> Resumen</w:t>
      </w:r>
      <w:proofErr w:type="gramEnd"/>
      <w:r>
        <w:rPr>
          <w:b/>
          <w:sz w:val="16"/>
          <w:szCs w:val="16"/>
        </w:rPr>
        <w:t xml:space="preserve"> por resultado previsto, 2014-15</w:t>
      </w:r>
    </w:p>
    <w:p w:rsidR="002A52D5" w:rsidRDefault="002A52D5" w:rsidP="00DC1333">
      <w:pPr>
        <w:jc w:val="center"/>
        <w:rPr>
          <w:i/>
          <w:sz w:val="16"/>
          <w:szCs w:val="16"/>
        </w:rPr>
      </w:pPr>
      <w:r w:rsidRPr="00BD33C8">
        <w:rPr>
          <w:i/>
          <w:sz w:val="16"/>
          <w:szCs w:val="16"/>
        </w:rPr>
        <w:t>(</w:t>
      </w:r>
      <w:proofErr w:type="gramStart"/>
      <w:r>
        <w:rPr>
          <w:i/>
          <w:sz w:val="16"/>
          <w:szCs w:val="16"/>
        </w:rPr>
        <w:t>en</w:t>
      </w:r>
      <w:proofErr w:type="gramEnd"/>
      <w:r>
        <w:rPr>
          <w:i/>
          <w:sz w:val="16"/>
          <w:szCs w:val="16"/>
        </w:rPr>
        <w:t xml:space="preserve"> miles de francos suizos</w:t>
      </w:r>
      <w:r w:rsidRPr="00BD33C8">
        <w:rPr>
          <w:i/>
          <w:sz w:val="16"/>
          <w:szCs w:val="16"/>
        </w:rPr>
        <w:t>)</w:t>
      </w:r>
    </w:p>
    <w:p w:rsidR="002A52D5" w:rsidRDefault="002A52D5" w:rsidP="00DC1333">
      <w:pPr>
        <w:jc w:val="center"/>
        <w:rPr>
          <w:i/>
          <w:sz w:val="16"/>
          <w:szCs w:val="16"/>
        </w:rPr>
      </w:pPr>
    </w:p>
    <w:p w:rsidR="002A52D5" w:rsidRDefault="002A52D5" w:rsidP="00DC1333">
      <w:pPr>
        <w:jc w:val="center"/>
        <w:rPr>
          <w:i/>
          <w:sz w:val="16"/>
          <w:szCs w:val="16"/>
        </w:rPr>
      </w:pPr>
      <w:r w:rsidRPr="000E4231">
        <w:rPr>
          <w:noProof/>
          <w:lang w:val="en-US" w:eastAsia="en-US"/>
        </w:rPr>
        <w:drawing>
          <wp:inline distT="0" distB="0" distL="0" distR="0" wp14:anchorId="3964BB3C" wp14:editId="686FBD45">
            <wp:extent cx="3923117" cy="8476646"/>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0278" cy="8492119"/>
                    </a:xfrm>
                    <a:prstGeom prst="rect">
                      <a:avLst/>
                    </a:prstGeom>
                    <a:noFill/>
                    <a:ln>
                      <a:noFill/>
                    </a:ln>
                  </pic:spPr>
                </pic:pic>
              </a:graphicData>
            </a:graphic>
          </wp:inline>
        </w:drawing>
      </w:r>
    </w:p>
    <w:p w:rsidR="002A52D5" w:rsidRPr="00AA0B48" w:rsidRDefault="002A52D5" w:rsidP="00DC1333">
      <w:pPr>
        <w:rPr>
          <w:i/>
          <w:sz w:val="16"/>
          <w:szCs w:val="16"/>
        </w:rPr>
      </w:pPr>
    </w:p>
    <w:p w:rsidR="002A52D5" w:rsidRPr="002671EB" w:rsidRDefault="002A52D5" w:rsidP="00CA2B81">
      <w:pPr>
        <w:pStyle w:val="Heading1"/>
        <w:numPr>
          <w:ilvl w:val="0"/>
          <w:numId w:val="0"/>
        </w:numPr>
        <w:tabs>
          <w:tab w:val="left" w:pos="567"/>
        </w:tabs>
      </w:pPr>
      <w:bookmarkStart w:id="13" w:name="_Toc455159066"/>
      <w:r w:rsidRPr="002671EB">
        <w:lastRenderedPageBreak/>
        <w:t>IV.</w:t>
      </w:r>
      <w:r w:rsidRPr="002671EB">
        <w:tab/>
        <w:t>INFORME SOBRE LOS GASTOS EN DESARROLLO D</w:t>
      </w:r>
      <w:r w:rsidR="00CA2B81">
        <w:t xml:space="preserve">URANTE </w:t>
      </w:r>
      <w:r w:rsidRPr="002671EB">
        <w:t>EL BIENIO 2014/15</w:t>
      </w:r>
      <w:bookmarkEnd w:id="13"/>
    </w:p>
    <w:p w:rsidR="002A52D5" w:rsidRPr="00393114" w:rsidRDefault="002A52D5" w:rsidP="00DC1333">
      <w:pPr>
        <w:keepNext/>
        <w:widowControl w:val="0"/>
        <w:rPr>
          <w:u w:val="single"/>
        </w:rPr>
      </w:pPr>
    </w:p>
    <w:p w:rsidR="002A52D5" w:rsidRPr="000D43F6" w:rsidRDefault="002A52D5" w:rsidP="002671EB">
      <w:pPr>
        <w:pStyle w:val="ONUMFS"/>
        <w:numPr>
          <w:ilvl w:val="0"/>
          <w:numId w:val="6"/>
        </w:numPr>
        <w:jc w:val="both"/>
        <w:rPr>
          <w:rFonts w:eastAsia="MS Mincho"/>
          <w:sz w:val="20"/>
          <w:lang w:eastAsia="ja-JP" w:bidi="th-TH"/>
        </w:rPr>
      </w:pPr>
      <w:r w:rsidRPr="000D43F6">
        <w:rPr>
          <w:sz w:val="20"/>
        </w:rPr>
        <w:t>El presupuesto por programas del bienio 2014/15 presentaba una estimación de los gastos en desarrollo para el período 2014/15 desglosada por programa (en su cuadro 6) y por resultado previsto (en su marco de resultados, página 14).  En el período 2014/15, se consideran gastos en desarrollo únicamente aquellos cuyo beneficiario es un país en desarrollo, siempre que no se haya previsto un gasto equivalente para los países desarrollados.  En tales importes quedan excluidos los ingresos sacrificados por la reducción de tasas acordada por los sistemas internacionales de registro a solicitantes de países en desarrollo</w:t>
      </w:r>
      <w:r w:rsidRPr="000D43F6">
        <w:rPr>
          <w:rStyle w:val="FootnoteReference"/>
          <w:rFonts w:eastAsia="MS Mincho"/>
          <w:sz w:val="20"/>
          <w:lang w:eastAsia="ja-JP" w:bidi="th-TH"/>
        </w:rPr>
        <w:footnoteReference w:id="8"/>
      </w:r>
      <w:r w:rsidRPr="000D43F6">
        <w:rPr>
          <w:sz w:val="20"/>
        </w:rPr>
        <w:t>.  La finalidad de este informe es presentar el gasto real en desarrollo durante el bienio 2014/15.</w:t>
      </w:r>
    </w:p>
    <w:p w:rsidR="002A52D5" w:rsidRPr="000D43F6" w:rsidRDefault="002A52D5" w:rsidP="002671EB">
      <w:pPr>
        <w:pStyle w:val="ONUMFS"/>
        <w:numPr>
          <w:ilvl w:val="0"/>
          <w:numId w:val="6"/>
        </w:numPr>
        <w:jc w:val="both"/>
        <w:rPr>
          <w:sz w:val="20"/>
        </w:rPr>
      </w:pPr>
      <w:r w:rsidRPr="000D43F6">
        <w:rPr>
          <w:sz w:val="20"/>
        </w:rPr>
        <w:t>Cabe recordar que se introdujo por primera vez una estimación integral del gasto en materia de desarrollo en el presupuesto por programas revisado del bienio 2008/2009.  La metodología de 2010/11 se basó, al igual que para el bienio 2008/2009, en estimaciones globales a nivel de programa.  En el período 2012/13, el enfoque se perfeccionó considerablemente mediante la adopción de un enfoque integral ascendente detallado a nivel de actividad.  Este enfoque revisado, junto con el establecimiento de mecanismos de seguimiento del gasto en desarrollo mediante la PRI, dio lugar a la obtención de información más precisa sobre tales gastos.  La metodología aplicada para estimar la parte del presupuesto destinada al desarrollo en el período 2014/15 se ha armonizado y es plenamente compatible con la adoptada en el período 2012/13.  Este mecanismo fue perfeccionado de cara al bienio 2014/15 con la introducción de una metodología más precisa para la gestión de los recursos de personal asignados a actividades.  Los gastos en desarrollo por programa previstos para 2014/15 se calcularon aplicando la definición de gastos en desarrollo antes mencionada a las actividades programáticas, en estrecha colaboración con los directores de programa.</w:t>
      </w:r>
    </w:p>
    <w:p w:rsidR="002A52D5" w:rsidRPr="000D43F6" w:rsidRDefault="002A52D5" w:rsidP="002671EB">
      <w:pPr>
        <w:pStyle w:val="ONUMFS"/>
        <w:numPr>
          <w:ilvl w:val="0"/>
          <w:numId w:val="6"/>
        </w:numPr>
        <w:jc w:val="both"/>
        <w:rPr>
          <w:sz w:val="20"/>
        </w:rPr>
      </w:pPr>
      <w:r w:rsidRPr="000D43F6">
        <w:rPr>
          <w:sz w:val="20"/>
        </w:rPr>
        <w:t xml:space="preserve">Los cuadros 3 y 4, </w:t>
      </w:r>
      <w:r w:rsidRPr="000D43F6">
        <w:rPr>
          <w:i/>
          <w:sz w:val="20"/>
        </w:rPr>
        <w:t>infra</w:t>
      </w:r>
      <w:r w:rsidRPr="000D43F6">
        <w:rPr>
          <w:sz w:val="20"/>
        </w:rPr>
        <w:t>, proporcionan una visión general de la estimación de gastos en desarrollo por programa y por resultado previsto, partiendo del presupuesto después de transferencias y de los gastos reales para el bienio 2014/15.  Para obtener más información sobre los resultados logrados en materia de desarrollo y sobre la utilización del presupuesto durante el bienio, sírvase consultar la evaluación del rendimiento de cada uno de los programas que se incluye en el presente informe.</w:t>
      </w:r>
    </w:p>
    <w:p w:rsidR="002A52D5" w:rsidRPr="000D43F6" w:rsidRDefault="002A52D5" w:rsidP="002671EB">
      <w:pPr>
        <w:pStyle w:val="ONUMFS"/>
        <w:numPr>
          <w:ilvl w:val="0"/>
          <w:numId w:val="6"/>
        </w:numPr>
        <w:jc w:val="both"/>
        <w:rPr>
          <w:sz w:val="20"/>
        </w:rPr>
      </w:pPr>
      <w:r w:rsidRPr="000D43F6">
        <w:rPr>
          <w:sz w:val="20"/>
        </w:rPr>
        <w:t>En los comentarios sobre presupuesto y gastos reales de cada programa se incluyen explicaciones sobre las diferencias entre el presupuesto aprobado, el presupuesto después de transferencias y los gastos reales del bienio 2014/15.</w:t>
      </w: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p>
    <w:p w:rsidR="002A52D5" w:rsidRPr="00393114" w:rsidRDefault="002A52D5" w:rsidP="00DC1333">
      <w:pPr>
        <w:jc w:val="center"/>
        <w:rPr>
          <w:b/>
          <w:sz w:val="18"/>
          <w:szCs w:val="18"/>
        </w:rPr>
      </w:pPr>
      <w:r w:rsidRPr="00393114">
        <w:rPr>
          <w:b/>
          <w:sz w:val="18"/>
          <w:szCs w:val="18"/>
        </w:rPr>
        <w:lastRenderedPageBreak/>
        <w:t>Cuadro 3</w:t>
      </w:r>
      <w:proofErr w:type="gramStart"/>
      <w:r w:rsidRPr="00393114">
        <w:rPr>
          <w:b/>
          <w:sz w:val="18"/>
          <w:szCs w:val="18"/>
        </w:rPr>
        <w:t>:  Gastos</w:t>
      </w:r>
      <w:proofErr w:type="gramEnd"/>
      <w:r w:rsidRPr="00393114">
        <w:rPr>
          <w:b/>
          <w:sz w:val="18"/>
          <w:szCs w:val="18"/>
        </w:rPr>
        <w:t xml:space="preserve"> en desarrollo por programa, 2014/15</w:t>
      </w:r>
    </w:p>
    <w:p w:rsidR="002A52D5" w:rsidRPr="00393114" w:rsidRDefault="002A52D5" w:rsidP="00DC1333">
      <w:pPr>
        <w:jc w:val="center"/>
        <w:rPr>
          <w:i/>
          <w:sz w:val="18"/>
          <w:szCs w:val="18"/>
        </w:rPr>
      </w:pPr>
      <w:r w:rsidRPr="00393114">
        <w:rPr>
          <w:i/>
          <w:sz w:val="18"/>
          <w:szCs w:val="18"/>
        </w:rPr>
        <w:t>(</w:t>
      </w:r>
      <w:proofErr w:type="gramStart"/>
      <w:r w:rsidRPr="00393114">
        <w:rPr>
          <w:i/>
          <w:sz w:val="18"/>
          <w:szCs w:val="18"/>
        </w:rPr>
        <w:t>en</w:t>
      </w:r>
      <w:proofErr w:type="gramEnd"/>
      <w:r w:rsidRPr="00393114">
        <w:rPr>
          <w:i/>
          <w:sz w:val="18"/>
          <w:szCs w:val="18"/>
        </w:rPr>
        <w:t xml:space="preserve"> miles de francos suizos)</w:t>
      </w:r>
    </w:p>
    <w:p w:rsidR="002A52D5" w:rsidRPr="00393114" w:rsidRDefault="002A52D5" w:rsidP="00DC1333"/>
    <w:p w:rsidR="002A52D5" w:rsidRPr="00393114" w:rsidRDefault="002A52D5" w:rsidP="00DC1333">
      <w:pPr>
        <w:jc w:val="center"/>
      </w:pPr>
      <w:r w:rsidRPr="00393114">
        <w:rPr>
          <w:noProof/>
          <w:lang w:val="en-US" w:eastAsia="en-US"/>
        </w:rPr>
        <w:drawing>
          <wp:inline distT="0" distB="0" distL="0" distR="0" wp14:anchorId="21BCDD0E" wp14:editId="65792585">
            <wp:extent cx="5940425" cy="3419723"/>
            <wp:effectExtent l="0" t="0" r="31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419723"/>
                    </a:xfrm>
                    <a:prstGeom prst="rect">
                      <a:avLst/>
                    </a:prstGeom>
                    <a:noFill/>
                    <a:ln>
                      <a:noFill/>
                    </a:ln>
                  </pic:spPr>
                </pic:pic>
              </a:graphicData>
            </a:graphic>
          </wp:inline>
        </w:drawing>
      </w:r>
    </w:p>
    <w:p w:rsidR="002A52D5" w:rsidRPr="00393114" w:rsidRDefault="002A52D5" w:rsidP="00DC1333">
      <w:pPr>
        <w:rPr>
          <w:b/>
          <w:sz w:val="18"/>
          <w:szCs w:val="18"/>
        </w:rPr>
      </w:pPr>
    </w:p>
    <w:p w:rsidR="002A52D5" w:rsidRPr="00393114" w:rsidRDefault="002A52D5" w:rsidP="00DC1333">
      <w:pPr>
        <w:keepNext/>
        <w:keepLines/>
        <w:jc w:val="center"/>
        <w:rPr>
          <w:b/>
          <w:sz w:val="18"/>
          <w:szCs w:val="18"/>
        </w:rPr>
      </w:pPr>
      <w:r w:rsidRPr="00393114">
        <w:rPr>
          <w:b/>
          <w:sz w:val="18"/>
          <w:szCs w:val="18"/>
        </w:rPr>
        <w:lastRenderedPageBreak/>
        <w:t>Cuadro 4</w:t>
      </w:r>
      <w:proofErr w:type="gramStart"/>
      <w:r w:rsidRPr="00393114">
        <w:rPr>
          <w:b/>
          <w:sz w:val="18"/>
          <w:szCs w:val="18"/>
        </w:rPr>
        <w:t>:  Gastos</w:t>
      </w:r>
      <w:proofErr w:type="gramEnd"/>
      <w:r w:rsidRPr="00393114">
        <w:rPr>
          <w:b/>
          <w:sz w:val="18"/>
          <w:szCs w:val="18"/>
        </w:rPr>
        <w:t xml:space="preserve"> en desarrollo por resultado previsto*, 2014/15</w:t>
      </w:r>
    </w:p>
    <w:p w:rsidR="002A52D5" w:rsidRPr="00393114" w:rsidRDefault="002A52D5" w:rsidP="00DC1333">
      <w:pPr>
        <w:keepNext/>
        <w:keepLines/>
        <w:jc w:val="center"/>
        <w:rPr>
          <w:i/>
          <w:sz w:val="18"/>
          <w:szCs w:val="18"/>
        </w:rPr>
      </w:pPr>
      <w:r w:rsidRPr="00393114">
        <w:rPr>
          <w:i/>
          <w:sz w:val="18"/>
          <w:szCs w:val="18"/>
        </w:rPr>
        <w:t>(</w:t>
      </w:r>
      <w:proofErr w:type="gramStart"/>
      <w:r w:rsidRPr="00393114">
        <w:rPr>
          <w:i/>
          <w:sz w:val="18"/>
          <w:szCs w:val="18"/>
        </w:rPr>
        <w:t>en</w:t>
      </w:r>
      <w:proofErr w:type="gramEnd"/>
      <w:r w:rsidRPr="00393114">
        <w:rPr>
          <w:i/>
          <w:sz w:val="18"/>
          <w:szCs w:val="18"/>
        </w:rPr>
        <w:t xml:space="preserve"> miles de francos suizos)</w:t>
      </w:r>
    </w:p>
    <w:p w:rsidR="002A52D5" w:rsidRPr="00B6368C" w:rsidRDefault="002A52D5" w:rsidP="00DC1333">
      <w:pPr>
        <w:keepNext/>
        <w:keepLines/>
        <w:jc w:val="center"/>
        <w:rPr>
          <w:i/>
          <w:sz w:val="18"/>
          <w:szCs w:val="18"/>
        </w:rPr>
      </w:pPr>
      <w:r w:rsidRPr="00393114">
        <w:rPr>
          <w:noProof/>
          <w:lang w:val="en-US" w:eastAsia="en-US"/>
        </w:rPr>
        <w:drawing>
          <wp:inline distT="0" distB="0" distL="0" distR="0" wp14:anchorId="73A14B6F" wp14:editId="0DD7E5A7">
            <wp:extent cx="4117231" cy="86192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6709" cy="8639056"/>
                    </a:xfrm>
                    <a:prstGeom prst="rect">
                      <a:avLst/>
                    </a:prstGeom>
                    <a:noFill/>
                    <a:ln>
                      <a:noFill/>
                    </a:ln>
                  </pic:spPr>
                </pic:pic>
              </a:graphicData>
            </a:graphic>
          </wp:inline>
        </w:drawing>
      </w:r>
    </w:p>
    <w:p w:rsidR="00C876E1" w:rsidRDefault="00C876E1" w:rsidP="00B26D73">
      <w:pPr>
        <w:rPr>
          <w:lang w:val="en-US"/>
        </w:rPr>
      </w:pPr>
    </w:p>
    <w:p w:rsidR="0010230A" w:rsidRPr="008F0E12" w:rsidRDefault="0010230A" w:rsidP="00DC1333"/>
    <w:p w:rsidR="0010230A" w:rsidRPr="008F0E12" w:rsidRDefault="00545F60" w:rsidP="002671EB">
      <w:pPr>
        <w:pStyle w:val="Heading1"/>
        <w:numPr>
          <w:ilvl w:val="0"/>
          <w:numId w:val="0"/>
        </w:numPr>
        <w:tabs>
          <w:tab w:val="left" w:pos="709"/>
        </w:tabs>
        <w:ind w:left="709" w:hanging="709"/>
      </w:pPr>
      <w:bookmarkStart w:id="14" w:name="_Toc451848679"/>
      <w:bookmarkStart w:id="15" w:name="_Toc455159067"/>
      <w:r w:rsidRPr="002671EB">
        <w:rPr>
          <w:caps w:val="0"/>
        </w:rPr>
        <w:t>V.</w:t>
      </w:r>
      <w:r w:rsidRPr="002671EB">
        <w:rPr>
          <w:caps w:val="0"/>
        </w:rPr>
        <w:tab/>
      </w:r>
      <w:bookmarkEnd w:id="14"/>
      <w:r w:rsidRPr="008F0E12">
        <w:rPr>
          <w:caps w:val="0"/>
        </w:rPr>
        <w:t xml:space="preserve">INFORME SOBRE LA APLICACIÓN DE LAS MEDIDAS DESTINADAS A FOMENTAR LA EFICACIA EN FUNCIÓN DE LOS COSTOS EN EL BIENIO </w:t>
      </w:r>
      <w:r w:rsidRPr="002671EB">
        <w:rPr>
          <w:caps w:val="0"/>
        </w:rPr>
        <w:t>2014/15</w:t>
      </w:r>
      <w:bookmarkEnd w:id="15"/>
    </w:p>
    <w:p w:rsidR="0010230A" w:rsidRPr="008F0E12" w:rsidRDefault="0010230A" w:rsidP="00DC1333">
      <w:pPr>
        <w:jc w:val="center"/>
        <w:rPr>
          <w:b/>
        </w:rPr>
      </w:pPr>
    </w:p>
    <w:p w:rsidR="0010230A" w:rsidRPr="008F0E12" w:rsidRDefault="0010230A" w:rsidP="00DC1333">
      <w:pPr>
        <w:jc w:val="center"/>
        <w:rPr>
          <w:b/>
        </w:rPr>
      </w:pPr>
    </w:p>
    <w:p w:rsidR="0010230A" w:rsidRPr="008F0E12" w:rsidRDefault="0010230A" w:rsidP="00DC1333">
      <w:pPr>
        <w:jc w:val="center"/>
      </w:pPr>
      <w:r w:rsidRPr="008F0E12">
        <w:rPr>
          <w:sz w:val="20"/>
        </w:rPr>
        <w:t>MEJORAS DE LA EFICACIA EN FUNCIÓN DE LOS COSTOS CONSEGUIDAS EN 2014/15</w:t>
      </w:r>
    </w:p>
    <w:p w:rsidR="0010230A" w:rsidRPr="008F0E12" w:rsidRDefault="0010230A" w:rsidP="00DC1333">
      <w:pPr>
        <w:rPr>
          <w:sz w:val="20"/>
        </w:rPr>
      </w:pPr>
    </w:p>
    <w:tbl>
      <w:tblPr>
        <w:tblW w:w="5091" w:type="pct"/>
        <w:tblInd w:w="-176" w:type="dxa"/>
        <w:tblLayout w:type="fixed"/>
        <w:tblCellMar>
          <w:top w:w="85" w:type="dxa"/>
        </w:tblCellMar>
        <w:tblLook w:val="04A0" w:firstRow="1" w:lastRow="0" w:firstColumn="1" w:lastColumn="0" w:noHBand="0" w:noVBand="1"/>
      </w:tblPr>
      <w:tblGrid>
        <w:gridCol w:w="1973"/>
        <w:gridCol w:w="1270"/>
        <w:gridCol w:w="930"/>
        <w:gridCol w:w="1604"/>
        <w:gridCol w:w="1694"/>
        <w:gridCol w:w="2274"/>
      </w:tblGrid>
      <w:tr w:rsidR="0010230A" w:rsidRPr="008F0E12" w:rsidTr="00DC1333">
        <w:trPr>
          <w:trHeight w:val="1229"/>
          <w:tblHeader/>
        </w:trPr>
        <w:tc>
          <w:tcPr>
            <w:tcW w:w="1012" w:type="pct"/>
            <w:tcBorders>
              <w:top w:val="single" w:sz="4" w:space="0" w:color="auto"/>
              <w:left w:val="single" w:sz="4" w:space="0" w:color="auto"/>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Mejoras de la eficacia en función de los costos</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A</w:t>
            </w:r>
          </w:p>
        </w:tc>
        <w:tc>
          <w:tcPr>
            <w:tcW w:w="651"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 xml:space="preserve">2014 </w:t>
            </w:r>
            <w:r w:rsidRPr="008F0E12">
              <w:rPr>
                <w:b/>
                <w:bCs/>
                <w:color w:val="000000"/>
                <w:sz w:val="18"/>
              </w:rPr>
              <w:br/>
              <w:t>Ahorros anuales</w:t>
            </w:r>
          </w:p>
          <w:p w:rsidR="0010230A" w:rsidRPr="008F0E12" w:rsidRDefault="0010230A" w:rsidP="00DC1333">
            <w:pPr>
              <w:jc w:val="center"/>
              <w:rPr>
                <w:b/>
                <w:bCs/>
                <w:color w:val="000000"/>
                <w:sz w:val="18"/>
              </w:rPr>
            </w:pPr>
            <w:r w:rsidRPr="008F0E12">
              <w:rPr>
                <w:b/>
                <w:bCs/>
                <w:color w:val="000000"/>
                <w:sz w:val="18"/>
              </w:rPr>
              <w:t>(francos suizos)*</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B</w:t>
            </w:r>
          </w:p>
        </w:tc>
        <w:tc>
          <w:tcPr>
            <w:tcW w:w="477"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 xml:space="preserve">2015 </w:t>
            </w:r>
            <w:r w:rsidRPr="008F0E12">
              <w:rPr>
                <w:b/>
                <w:bCs/>
                <w:color w:val="000000"/>
                <w:sz w:val="18"/>
              </w:rPr>
              <w:br/>
              <w:t>Ahorros anuales</w:t>
            </w:r>
          </w:p>
          <w:p w:rsidR="0010230A" w:rsidRPr="008F0E12" w:rsidRDefault="0010230A" w:rsidP="00DC1333">
            <w:pPr>
              <w:jc w:val="center"/>
              <w:rPr>
                <w:b/>
                <w:bCs/>
                <w:color w:val="000000"/>
                <w:sz w:val="18"/>
              </w:rPr>
            </w:pPr>
            <w:r w:rsidRPr="008F0E12">
              <w:rPr>
                <w:b/>
                <w:bCs/>
                <w:color w:val="000000"/>
                <w:sz w:val="18"/>
              </w:rPr>
              <w:t>(francos suizos)**</w:t>
            </w:r>
          </w:p>
          <w:p w:rsidR="0010230A" w:rsidRPr="008F0E12" w:rsidRDefault="0010230A" w:rsidP="00DC1333">
            <w:pPr>
              <w:jc w:val="center"/>
              <w:rPr>
                <w:b/>
                <w:bCs/>
                <w:color w:val="000000"/>
                <w:sz w:val="18"/>
              </w:rPr>
            </w:pPr>
            <w:r w:rsidRPr="008F0E12">
              <w:rPr>
                <w:b/>
                <w:bCs/>
                <w:color w:val="000000"/>
                <w:sz w:val="18"/>
              </w:rPr>
              <w:t>C</w:t>
            </w:r>
          </w:p>
        </w:tc>
        <w:tc>
          <w:tcPr>
            <w:tcW w:w="823"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Disminución del costo unitario en 2014*</w:t>
            </w:r>
            <w:r w:rsidRPr="008F0E12">
              <w:rPr>
                <w:b/>
                <w:bCs/>
                <w:color w:val="000000"/>
                <w:sz w:val="18"/>
              </w:rPr>
              <w:br/>
              <w:t>(francos suizos)</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D</w:t>
            </w:r>
          </w:p>
        </w:tc>
        <w:tc>
          <w:tcPr>
            <w:tcW w:w="869"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Disminución del costo unitario en 2015</w:t>
            </w:r>
            <w:r w:rsidRPr="008F0E12">
              <w:rPr>
                <w:b/>
                <w:bCs/>
                <w:color w:val="000000"/>
                <w:sz w:val="18"/>
              </w:rPr>
              <w:br/>
              <w:t>(francos suizos)</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E</w:t>
            </w:r>
          </w:p>
        </w:tc>
        <w:tc>
          <w:tcPr>
            <w:tcW w:w="1167" w:type="pct"/>
            <w:tcBorders>
              <w:top w:val="single" w:sz="4" w:space="0" w:color="auto"/>
              <w:left w:val="nil"/>
              <w:bottom w:val="single" w:sz="4" w:space="0" w:color="auto"/>
              <w:right w:val="single" w:sz="4" w:space="0" w:color="auto"/>
            </w:tcBorders>
            <w:shd w:val="clear" w:color="000000" w:fill="8DB4E2"/>
            <w:vAlign w:val="center"/>
            <w:hideMark/>
          </w:tcPr>
          <w:p w:rsidR="0010230A" w:rsidRPr="008F0E12" w:rsidRDefault="0010230A" w:rsidP="00DC1333">
            <w:pPr>
              <w:jc w:val="center"/>
              <w:rPr>
                <w:b/>
                <w:bCs/>
                <w:color w:val="000000"/>
                <w:sz w:val="18"/>
              </w:rPr>
            </w:pPr>
            <w:r w:rsidRPr="008F0E12">
              <w:rPr>
                <w:b/>
                <w:bCs/>
                <w:color w:val="000000"/>
                <w:sz w:val="18"/>
              </w:rPr>
              <w:t xml:space="preserve">Notas </w:t>
            </w: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p>
          <w:p w:rsidR="0010230A" w:rsidRPr="008F0E12" w:rsidRDefault="0010230A" w:rsidP="00DC1333">
            <w:pPr>
              <w:jc w:val="center"/>
              <w:rPr>
                <w:b/>
                <w:bCs/>
                <w:color w:val="000000"/>
                <w:sz w:val="18"/>
              </w:rPr>
            </w:pPr>
            <w:r w:rsidRPr="008F0E12">
              <w:rPr>
                <w:b/>
                <w:bCs/>
                <w:color w:val="000000"/>
                <w:sz w:val="18"/>
              </w:rPr>
              <w:t>F</w:t>
            </w:r>
          </w:p>
        </w:tc>
      </w:tr>
      <w:tr w:rsidR="0010230A" w:rsidRPr="00D512B8" w:rsidTr="00DC1333">
        <w:trPr>
          <w:trHeight w:val="2281"/>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Menores costos globales de tramitación de solicitudes internacionales PCT publicadas </w:t>
            </w:r>
            <w:r>
              <w:rPr>
                <w:color w:val="000000"/>
                <w:sz w:val="17"/>
                <w:szCs w:val="17"/>
              </w:rPr>
              <w:t>como consecuencia</w:t>
            </w:r>
            <w:r w:rsidRPr="008F0E12">
              <w:rPr>
                <w:color w:val="000000"/>
                <w:sz w:val="17"/>
                <w:szCs w:val="17"/>
              </w:rPr>
              <w:t xml:space="preserve"> de la mejora en el tratamiento de los compromisos financieros para la subcontratación de servicios de traducción y el aumento de la productividad</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spacing w:after="240"/>
              <w:rPr>
                <w:color w:val="000000"/>
                <w:sz w:val="17"/>
                <w:szCs w:val="17"/>
              </w:rPr>
            </w:pP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Reducción de 722 CHF en 2013 a 662 CHF  en 2014  (es decir, disminución de 60 CHF o 8,3%)</w:t>
            </w: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Aumento de 662 CHF en 2014 a 735 CHF en 2015 (es decir, 73 CHF o 11%)</w:t>
            </w: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sz w:val="17"/>
                <w:szCs w:val="17"/>
              </w:rPr>
              <w:t xml:space="preserve">El costo unitario se define como el costo medio de producción de una unidad de producto.  En el cálculo del costo unitario se tiene en cuenta el costo total de producción que comprende los gastos relativos exclusivamente al Sistema del PCT y los gastos de actividades de apoyo al sistema.  </w:t>
            </w:r>
            <w:r w:rsidRPr="008F0E12">
              <w:rPr>
                <w:color w:val="000000"/>
                <w:sz w:val="17"/>
                <w:szCs w:val="17"/>
              </w:rPr>
              <w:t xml:space="preserve">(Para información más detallada, cabe remitirse al documento PPR de 2014/15).  </w:t>
            </w:r>
          </w:p>
          <w:p w:rsidR="0010230A" w:rsidRPr="008F0E12" w:rsidRDefault="0010230A">
            <w:pPr>
              <w:rPr>
                <w:color w:val="000000"/>
                <w:sz w:val="17"/>
                <w:szCs w:val="17"/>
              </w:rPr>
            </w:pPr>
          </w:p>
        </w:tc>
      </w:tr>
      <w:tr w:rsidR="0010230A" w:rsidRPr="00D512B8" w:rsidTr="00DC1333">
        <w:trPr>
          <w:trHeight w:val="1256"/>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 xml:space="preserve">Menor costo de tramitación de los nuevos registros internacionales y de las renovaciones en el marco del Sistema de Madrid </w:t>
            </w:r>
          </w:p>
        </w:tc>
        <w:tc>
          <w:tcPr>
            <w:tcW w:w="651"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Disminución de 837 CHF en 2014 a 743 CHF en 2015 (es decir, 94 CHF o 11%)</w:t>
            </w:r>
          </w:p>
        </w:tc>
        <w:tc>
          <w:tcPr>
            <w:tcW w:w="116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Cabe remitirse al documento PPR de 2014/15 para más información sobre los indicadores de las operaciones del Sistema de Madrid.</w:t>
            </w:r>
          </w:p>
          <w:p w:rsidR="0010230A" w:rsidRPr="008F0E12" w:rsidRDefault="0010230A" w:rsidP="00DC1333">
            <w:pPr>
              <w:rPr>
                <w:color w:val="000000"/>
                <w:sz w:val="17"/>
                <w:szCs w:val="17"/>
              </w:rPr>
            </w:pPr>
          </w:p>
        </w:tc>
      </w:tr>
      <w:tr w:rsidR="0010230A" w:rsidRPr="00D512B8" w:rsidTr="00DC1333">
        <w:trPr>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Reducción de los costos de viajes por vacaciones en el país de origen </w:t>
            </w:r>
            <w:r>
              <w:rPr>
                <w:color w:val="000000"/>
                <w:sz w:val="17"/>
                <w:szCs w:val="17"/>
              </w:rPr>
              <w:t xml:space="preserve">como consecuencia </w:t>
            </w:r>
            <w:r w:rsidRPr="008F0E12">
              <w:rPr>
                <w:color w:val="000000"/>
                <w:sz w:val="17"/>
                <w:szCs w:val="17"/>
              </w:rPr>
              <w:t>de la aplicación de la nueva política de viajes por vacaciones en el país de origen (OI 22/2014)</w:t>
            </w:r>
          </w:p>
          <w:p w:rsidR="0010230A" w:rsidRPr="008F0E12" w:rsidRDefault="0010230A" w:rsidP="00DC1333">
            <w:pPr>
              <w:rPr>
                <w:color w:val="000000"/>
                <w:sz w:val="17"/>
                <w:szCs w:val="17"/>
              </w:rPr>
            </w:pP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n/a</w:t>
            </w: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267.000</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La nueva política de viajes por vacaciones en el país de origen comenzó a aplicarse en 2015.</w:t>
            </w:r>
          </w:p>
        </w:tc>
      </w:tr>
      <w:tr w:rsidR="0010230A" w:rsidRPr="00D512B8" w:rsidTr="00DC1333">
        <w:trPr>
          <w:trHeight w:val="2040"/>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 xml:space="preserve">Disminución del precio medio del billete de avión </w:t>
            </w:r>
            <w:r>
              <w:rPr>
                <w:color w:val="000000"/>
                <w:sz w:val="17"/>
                <w:szCs w:val="17"/>
              </w:rPr>
              <w:t>como consecuencia</w:t>
            </w:r>
            <w:r w:rsidRPr="008F0E12">
              <w:rPr>
                <w:color w:val="000000"/>
                <w:sz w:val="17"/>
                <w:szCs w:val="17"/>
              </w:rPr>
              <w:t xml:space="preserve"> de la aplicación de nuevas herramientas tecnológicas para los viajes que ofrecen tarifas más económicas (restrictivas o billetes no reembolsables) configuradas en pleno cumplimiento de la política de viajes la OMPI e influyen en la reserva anticipada de billetes.</w:t>
            </w:r>
          </w:p>
        </w:tc>
        <w:tc>
          <w:tcPr>
            <w:tcW w:w="651"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 </w:t>
            </w: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Reducción de 1.728 CHF en 2013 a 1.598 CHF en 2014  (7,5% menos que en 2013)</w:t>
            </w: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Nueva reducción a 1.481 CHF en 2015 (7</w:t>
            </w:r>
            <w:r>
              <w:rPr>
                <w:color w:val="000000"/>
                <w:sz w:val="17"/>
                <w:szCs w:val="17"/>
              </w:rPr>
              <w:t>,</w:t>
            </w:r>
            <w:r w:rsidRPr="008F0E12">
              <w:rPr>
                <w:color w:val="000000"/>
                <w:sz w:val="17"/>
                <w:szCs w:val="17"/>
              </w:rPr>
              <w:t xml:space="preserve">3% menos que en 2014) </w:t>
            </w:r>
          </w:p>
        </w:tc>
        <w:tc>
          <w:tcPr>
            <w:tcW w:w="116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2014</w:t>
            </w:r>
            <w:proofErr w:type="gramStart"/>
            <w:r w:rsidRPr="008F0E12">
              <w:rPr>
                <w:color w:val="000000"/>
                <w:sz w:val="17"/>
                <w:szCs w:val="17"/>
              </w:rPr>
              <w:t>:  Se</w:t>
            </w:r>
            <w:proofErr w:type="gramEnd"/>
            <w:r w:rsidRPr="008F0E12">
              <w:rPr>
                <w:color w:val="000000"/>
                <w:sz w:val="17"/>
                <w:szCs w:val="17"/>
              </w:rPr>
              <w:t xml:space="preserve"> realizaron esfuerzos considerables para reducir los gastos de viaje, con lo que disminuyó el número de billetes emitidos y el número de casos de presentación tardía de solicitudes de viaje.</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r w:rsidRPr="008F0E12">
              <w:rPr>
                <w:color w:val="000000"/>
                <w:sz w:val="17"/>
                <w:szCs w:val="17"/>
              </w:rPr>
              <w:t xml:space="preserve">2015: La utilización de una herramienta de reservas en línea y la presentación de informes sobre pedidos de autorización de viaje efectuados tardíamente (es decir, 16 días antes del inicio del viaje) han </w:t>
            </w:r>
            <w:r w:rsidRPr="008F0E12">
              <w:rPr>
                <w:color w:val="000000"/>
                <w:sz w:val="17"/>
                <w:szCs w:val="17"/>
              </w:rPr>
              <w:lastRenderedPageBreak/>
              <w:t xml:space="preserve">mejorado los índices de reserva anticipada de billetes, con lo que se dispone de tarifas más baratas en el mercado (el precio medio del billete comprende los billetes emitidos por medio de la agencia de viajes, el PNUD y los que compran por su cuenta quienes viajan). </w:t>
            </w:r>
          </w:p>
        </w:tc>
      </w:tr>
      <w:tr w:rsidR="0010230A" w:rsidRPr="00D512B8" w:rsidTr="00DC1333">
        <w:trPr>
          <w:trHeight w:val="1711"/>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lastRenderedPageBreak/>
              <w:t xml:space="preserve">Menor </w:t>
            </w:r>
            <w:r w:rsidRPr="0071586D">
              <w:rPr>
                <w:color w:val="000000"/>
                <w:sz w:val="17"/>
                <w:szCs w:val="17"/>
              </w:rPr>
              <w:t>comisión media por transacción</w:t>
            </w:r>
            <w:r w:rsidRPr="008F0E12">
              <w:rPr>
                <w:color w:val="000000"/>
                <w:sz w:val="17"/>
                <w:szCs w:val="17"/>
              </w:rPr>
              <w:t xml:space="preserve"> pagada en total a la agencia de viajes, al PNUD, y herramienta de reservas en línea. </w:t>
            </w:r>
          </w:p>
          <w:p w:rsidR="0010230A" w:rsidRPr="008F0E12" w:rsidRDefault="0010230A" w:rsidP="00DC1333">
            <w:pPr>
              <w:rPr>
                <w:color w:val="000000"/>
                <w:sz w:val="17"/>
                <w:szCs w:val="17"/>
              </w:rPr>
            </w:pPr>
          </w:p>
        </w:tc>
        <w:tc>
          <w:tcPr>
            <w:tcW w:w="651"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119</w:t>
            </w: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95</w:t>
            </w:r>
          </w:p>
        </w:tc>
        <w:tc>
          <w:tcPr>
            <w:tcW w:w="1167" w:type="pct"/>
            <w:tcBorders>
              <w:top w:val="nil"/>
              <w:left w:val="nil"/>
              <w:bottom w:val="single" w:sz="4" w:space="0" w:color="auto"/>
              <w:right w:val="single" w:sz="4" w:space="0" w:color="auto"/>
            </w:tcBorders>
            <w:shd w:val="clear" w:color="auto" w:fill="auto"/>
          </w:tcPr>
          <w:p w:rsidR="0010230A" w:rsidRPr="008F0E12" w:rsidRDefault="0010230A">
            <w:pPr>
              <w:rPr>
                <w:color w:val="000000"/>
                <w:sz w:val="17"/>
                <w:szCs w:val="17"/>
              </w:rPr>
            </w:pPr>
            <w:r w:rsidRPr="008F0E12">
              <w:rPr>
                <w:color w:val="000000"/>
                <w:sz w:val="17"/>
                <w:szCs w:val="17"/>
              </w:rPr>
              <w:t xml:space="preserve">La obligación de usar la herramienta de reservas en línea para todos los viajes sencillos (destino único) dio lugar a que la agencia de viajes emitiera el 69% de los billetes y a la disminución de la comisión media por transacción. </w:t>
            </w:r>
          </w:p>
          <w:p w:rsidR="0010230A" w:rsidRPr="008F0E12" w:rsidRDefault="0010230A">
            <w:pPr>
              <w:rPr>
                <w:color w:val="000000"/>
                <w:sz w:val="17"/>
                <w:szCs w:val="17"/>
              </w:rPr>
            </w:pPr>
          </w:p>
        </w:tc>
      </w:tr>
      <w:tr w:rsidR="0010230A" w:rsidRPr="00D512B8" w:rsidTr="00DC1333">
        <w:trPr>
          <w:trHeight w:val="2040"/>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Disminución de los costos de adquisición de productos y servicios por la OMPI</w:t>
            </w:r>
          </w:p>
        </w:tc>
        <w:tc>
          <w:tcPr>
            <w:tcW w:w="651"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2.663.000</w:t>
            </w:r>
          </w:p>
        </w:tc>
        <w:tc>
          <w:tcPr>
            <w:tcW w:w="47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 xml:space="preserve">3.826.361 </w:t>
            </w: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10230A" w:rsidRDefault="0010230A" w:rsidP="00DC1333">
            <w:pPr>
              <w:rPr>
                <w:bCs/>
                <w:sz w:val="17"/>
                <w:szCs w:val="17"/>
              </w:rPr>
            </w:pPr>
            <w:r w:rsidRPr="008F0E12">
              <w:rPr>
                <w:bCs/>
                <w:sz w:val="17"/>
                <w:szCs w:val="17"/>
              </w:rPr>
              <w:t>2014: se han obtenido ahorros de 1.598.000 CHF gracias al  Grupo de Actividades Comunes de Compra de las Naciones Unidas (CPAG) y</w:t>
            </w:r>
            <w:r>
              <w:rPr>
                <w:bCs/>
                <w:sz w:val="17"/>
                <w:szCs w:val="17"/>
              </w:rPr>
              <w:t xml:space="preserve"> ahorros de</w:t>
            </w:r>
            <w:r w:rsidRPr="008F0E12">
              <w:rPr>
                <w:bCs/>
                <w:sz w:val="17"/>
                <w:szCs w:val="17"/>
              </w:rPr>
              <w:t xml:space="preserve"> 1.064.000 CHF </w:t>
            </w:r>
            <w:r>
              <w:rPr>
                <w:bCs/>
                <w:sz w:val="17"/>
                <w:szCs w:val="17"/>
              </w:rPr>
              <w:t>gracias a las</w:t>
            </w:r>
            <w:r w:rsidRPr="008F0E12">
              <w:rPr>
                <w:bCs/>
                <w:sz w:val="17"/>
                <w:szCs w:val="17"/>
              </w:rPr>
              <w:t xml:space="preserve"> negociaciones de la OMPI tras las licitaciones o </w:t>
            </w:r>
            <w:r>
              <w:rPr>
                <w:bCs/>
                <w:sz w:val="17"/>
                <w:szCs w:val="17"/>
              </w:rPr>
              <w:t xml:space="preserve">a las </w:t>
            </w:r>
            <w:r w:rsidRPr="008F0E12">
              <w:rPr>
                <w:bCs/>
                <w:sz w:val="17"/>
                <w:szCs w:val="17"/>
              </w:rPr>
              <w:t>negociaciones con proveedores únicos.</w:t>
            </w:r>
          </w:p>
          <w:p w:rsidR="0010230A" w:rsidRDefault="0010230A" w:rsidP="00DC1333">
            <w:pPr>
              <w:rPr>
                <w:bCs/>
                <w:sz w:val="17"/>
                <w:szCs w:val="17"/>
              </w:rPr>
            </w:pPr>
          </w:p>
          <w:p w:rsidR="0010230A" w:rsidRPr="00A95CB6" w:rsidRDefault="0010230A" w:rsidP="00DC1333">
            <w:pPr>
              <w:rPr>
                <w:bCs/>
                <w:sz w:val="17"/>
                <w:szCs w:val="17"/>
              </w:rPr>
            </w:pPr>
            <w:r>
              <w:rPr>
                <w:bCs/>
                <w:sz w:val="17"/>
                <w:szCs w:val="17"/>
              </w:rPr>
              <w:t>2015</w:t>
            </w:r>
            <w:r w:rsidRPr="00A95CB6">
              <w:rPr>
                <w:bCs/>
                <w:sz w:val="17"/>
                <w:szCs w:val="17"/>
              </w:rPr>
              <w:t>: se han obtenido ahorros de 1.</w:t>
            </w:r>
            <w:r>
              <w:rPr>
                <w:bCs/>
                <w:sz w:val="17"/>
                <w:szCs w:val="17"/>
              </w:rPr>
              <w:t>316</w:t>
            </w:r>
            <w:r w:rsidRPr="00A95CB6">
              <w:rPr>
                <w:bCs/>
                <w:sz w:val="17"/>
                <w:szCs w:val="17"/>
              </w:rPr>
              <w:t>.</w:t>
            </w:r>
            <w:r>
              <w:rPr>
                <w:bCs/>
                <w:sz w:val="17"/>
                <w:szCs w:val="17"/>
              </w:rPr>
              <w:t>919</w:t>
            </w:r>
            <w:r w:rsidRPr="00A95CB6">
              <w:rPr>
                <w:bCs/>
                <w:sz w:val="17"/>
                <w:szCs w:val="17"/>
              </w:rPr>
              <w:t xml:space="preserve"> CHF </w:t>
            </w:r>
            <w:r>
              <w:rPr>
                <w:bCs/>
                <w:sz w:val="17"/>
                <w:szCs w:val="17"/>
              </w:rPr>
              <w:t xml:space="preserve">gracias al </w:t>
            </w:r>
            <w:r w:rsidRPr="00A95CB6">
              <w:rPr>
                <w:bCs/>
                <w:sz w:val="17"/>
                <w:szCs w:val="17"/>
              </w:rPr>
              <w:t>Grupo de Actividades Comunes de Compra de las Naciones Unidas (CPAG) y ahorros de</w:t>
            </w:r>
            <w:r>
              <w:rPr>
                <w:bCs/>
                <w:sz w:val="17"/>
                <w:szCs w:val="17"/>
              </w:rPr>
              <w:t xml:space="preserve"> 2</w:t>
            </w:r>
            <w:r w:rsidRPr="00A95CB6">
              <w:rPr>
                <w:bCs/>
                <w:sz w:val="17"/>
                <w:szCs w:val="17"/>
              </w:rPr>
              <w:t>.</w:t>
            </w:r>
            <w:r>
              <w:rPr>
                <w:bCs/>
                <w:sz w:val="17"/>
                <w:szCs w:val="17"/>
              </w:rPr>
              <w:t>5</w:t>
            </w:r>
            <w:r w:rsidRPr="00A95CB6">
              <w:rPr>
                <w:bCs/>
                <w:sz w:val="17"/>
                <w:szCs w:val="17"/>
              </w:rPr>
              <w:t>0</w:t>
            </w:r>
            <w:r>
              <w:rPr>
                <w:bCs/>
                <w:sz w:val="17"/>
                <w:szCs w:val="17"/>
              </w:rPr>
              <w:t>9</w:t>
            </w:r>
            <w:r w:rsidRPr="00A95CB6">
              <w:rPr>
                <w:bCs/>
                <w:sz w:val="17"/>
                <w:szCs w:val="17"/>
              </w:rPr>
              <w:t>.</w:t>
            </w:r>
            <w:r>
              <w:rPr>
                <w:bCs/>
                <w:sz w:val="17"/>
                <w:szCs w:val="17"/>
              </w:rPr>
              <w:t>442</w:t>
            </w:r>
            <w:r w:rsidRPr="00A95CB6">
              <w:rPr>
                <w:bCs/>
                <w:sz w:val="17"/>
                <w:szCs w:val="17"/>
              </w:rPr>
              <w:t xml:space="preserve"> CHF gracias a las negociaciones de la OMPI tras las licitaciones o a las negociaciones con proveedores únicos.</w:t>
            </w:r>
          </w:p>
        </w:tc>
      </w:tr>
      <w:tr w:rsidR="0010230A" w:rsidRPr="00D512B8" w:rsidTr="00DC1333">
        <w:trPr>
          <w:trHeight w:val="719"/>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Reducción en el consumo de energía del sistema de refrigeración mediante el uso de agua del lago de Ginebra en lugar de utilizar agua de la red de abastecimiento urbano, sin necesidad de emplear máquinas para disminuir la temperatura, con el consiguiente ahorro de electricidad y agua para el funcionamiento del sistema de refrigeración </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lastRenderedPageBreak/>
              <w:t>35.</w:t>
            </w:r>
            <w:r w:rsidRPr="008F0E12">
              <w:rPr>
                <w:color w:val="000000"/>
                <w:sz w:val="17"/>
                <w:szCs w:val="17"/>
              </w:rPr>
              <w:t>000</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75</w:t>
            </w:r>
            <w:r>
              <w:rPr>
                <w:color w:val="000000"/>
                <w:sz w:val="17"/>
                <w:szCs w:val="17"/>
              </w:rPr>
              <w:t>.</w:t>
            </w:r>
            <w:r w:rsidRPr="008F0E12">
              <w:rPr>
                <w:color w:val="000000"/>
                <w:sz w:val="17"/>
                <w:szCs w:val="17"/>
              </w:rPr>
              <w:t>000</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2014: Edificio AB:  </w:t>
            </w:r>
          </w:p>
          <w:p w:rsidR="0010230A" w:rsidRPr="008F0E12" w:rsidRDefault="0010230A" w:rsidP="00DC1333">
            <w:pPr>
              <w:rPr>
                <w:color w:val="000000"/>
                <w:sz w:val="17"/>
                <w:szCs w:val="17"/>
              </w:rPr>
            </w:pPr>
            <w:r w:rsidRPr="008F0E12">
              <w:rPr>
                <w:color w:val="000000"/>
                <w:sz w:val="17"/>
                <w:szCs w:val="17"/>
              </w:rPr>
              <w:t>Reducción del consumo de electricidad y agua gracias a la conexión del Edificio AB con el sistema de refrigeración.  La conexión se llevó a cabo a mediados de año;  por lo tanto, solo se obtuvieron ahorros en el segundo semestre.</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r w:rsidRPr="008F0E12">
              <w:rPr>
                <w:color w:val="000000"/>
                <w:sz w:val="17"/>
                <w:szCs w:val="17"/>
              </w:rPr>
              <w:t>2015: Edificio AB</w:t>
            </w:r>
            <w:proofErr w:type="gramStart"/>
            <w:r w:rsidRPr="008F0E12">
              <w:rPr>
                <w:color w:val="000000"/>
                <w:sz w:val="17"/>
                <w:szCs w:val="17"/>
              </w:rPr>
              <w:t>:  ahorros</w:t>
            </w:r>
            <w:proofErr w:type="gramEnd"/>
            <w:r w:rsidRPr="008F0E12">
              <w:rPr>
                <w:color w:val="000000"/>
                <w:sz w:val="17"/>
                <w:szCs w:val="17"/>
              </w:rPr>
              <w:t xml:space="preserve"> en todo el año (70.000 CHF).  </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r w:rsidRPr="008F0E12">
              <w:rPr>
                <w:color w:val="000000"/>
                <w:sz w:val="17"/>
                <w:szCs w:val="17"/>
              </w:rPr>
              <w:t xml:space="preserve">2015: Edificio PCT:  </w:t>
            </w:r>
          </w:p>
          <w:p w:rsidR="0010230A" w:rsidRPr="008F0E12" w:rsidRDefault="0010230A" w:rsidP="00DC1333">
            <w:pPr>
              <w:rPr>
                <w:color w:val="000000"/>
                <w:sz w:val="17"/>
                <w:szCs w:val="17"/>
              </w:rPr>
            </w:pPr>
            <w:r w:rsidRPr="008F0E12">
              <w:rPr>
                <w:color w:val="000000"/>
                <w:sz w:val="17"/>
                <w:szCs w:val="17"/>
              </w:rPr>
              <w:t xml:space="preserve">La conexión del sistema </w:t>
            </w:r>
            <w:r w:rsidRPr="008F0E12">
              <w:rPr>
                <w:color w:val="000000"/>
                <w:sz w:val="17"/>
                <w:szCs w:val="17"/>
              </w:rPr>
              <w:lastRenderedPageBreak/>
              <w:t xml:space="preserve">de refrigeración con el agua del lago de Ginebra entró en funcionamiento a partir de noviembre de 2015 (por lo tanto, ahorros de 5.000 CHF en 2 meses) </w:t>
            </w:r>
          </w:p>
        </w:tc>
      </w:tr>
      <w:tr w:rsidR="0010230A" w:rsidRPr="00D512B8" w:rsidTr="00DC1333">
        <w:trPr>
          <w:trHeight w:val="577"/>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lastRenderedPageBreak/>
              <w:t xml:space="preserve">Reducción del consumo de electricidad en todos los edificios de la OMPI </w:t>
            </w:r>
            <w:r>
              <w:rPr>
                <w:color w:val="000000"/>
                <w:sz w:val="17"/>
                <w:szCs w:val="17"/>
              </w:rPr>
              <w:t>como consecuencia</w:t>
            </w:r>
            <w:r w:rsidRPr="008F0E12">
              <w:rPr>
                <w:color w:val="000000"/>
                <w:sz w:val="17"/>
                <w:szCs w:val="17"/>
              </w:rPr>
              <w:t xml:space="preserve"> de la instalación de detectores de movimiento para la iluminación, bombillas de </w:t>
            </w:r>
            <w:r>
              <w:rPr>
                <w:color w:val="000000"/>
                <w:sz w:val="17"/>
                <w:szCs w:val="17"/>
              </w:rPr>
              <w:t>bajo consumo</w:t>
            </w:r>
            <w:r w:rsidRPr="008F0E12">
              <w:rPr>
                <w:color w:val="000000"/>
                <w:sz w:val="17"/>
                <w:szCs w:val="17"/>
              </w:rPr>
              <w:t>, un mecanismo de temporización en el aparcamiento y nuevos cuadros de distribución más eficaces para el funcionamiento de las instalaciones eléctricas en los pisos de todos los edificios.</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15,000</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45,000</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sz w:val="17"/>
                <w:szCs w:val="17"/>
              </w:rPr>
            </w:pPr>
            <w:r w:rsidRPr="008F0E12">
              <w:rPr>
                <w:sz w:val="17"/>
                <w:szCs w:val="17"/>
              </w:rPr>
              <w:t xml:space="preserve">Las medidas </w:t>
            </w:r>
            <w:r>
              <w:rPr>
                <w:sz w:val="17"/>
                <w:szCs w:val="17"/>
              </w:rPr>
              <w:t>aplicadas</w:t>
            </w:r>
            <w:r w:rsidRPr="008F0E12">
              <w:rPr>
                <w:sz w:val="17"/>
                <w:szCs w:val="17"/>
              </w:rPr>
              <w:t xml:space="preserve"> </w:t>
            </w:r>
            <w:r>
              <w:rPr>
                <w:sz w:val="17"/>
                <w:szCs w:val="17"/>
              </w:rPr>
              <w:t xml:space="preserve">en </w:t>
            </w:r>
            <w:r w:rsidRPr="008F0E12">
              <w:rPr>
                <w:sz w:val="17"/>
                <w:szCs w:val="17"/>
              </w:rPr>
              <w:t>2014 dieron lugar a ahorros de 15.000 CHF en 2014 y 30.000 CHF en 2015.</w:t>
            </w:r>
          </w:p>
          <w:p w:rsidR="0010230A" w:rsidRPr="008F0E12" w:rsidRDefault="0010230A" w:rsidP="00DC1333">
            <w:pPr>
              <w:rPr>
                <w:sz w:val="17"/>
                <w:szCs w:val="17"/>
              </w:rPr>
            </w:pPr>
          </w:p>
          <w:p w:rsidR="0010230A" w:rsidRPr="008F0E12" w:rsidRDefault="0010230A" w:rsidP="00DC1333">
            <w:pPr>
              <w:rPr>
                <w:color w:val="000000"/>
                <w:sz w:val="17"/>
                <w:szCs w:val="17"/>
              </w:rPr>
            </w:pPr>
            <w:r w:rsidRPr="008F0E12">
              <w:rPr>
                <w:sz w:val="17"/>
                <w:szCs w:val="17"/>
              </w:rPr>
              <w:t>Se han seguido aplicando las medidas en otros pisos y zonas de los edificios del recinto de la OMPI y han producido nuevos ahorros de 15.000 CHF en 2015.</w:t>
            </w:r>
          </w:p>
        </w:tc>
      </w:tr>
      <w:tr w:rsidR="0010230A" w:rsidRPr="008F0E12" w:rsidTr="00DC1333">
        <w:trPr>
          <w:trHeight w:val="1154"/>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Reducción del consumo de agua </w:t>
            </w:r>
            <w:r>
              <w:rPr>
                <w:color w:val="000000"/>
                <w:sz w:val="17"/>
                <w:szCs w:val="17"/>
              </w:rPr>
              <w:t>como consecuencia</w:t>
            </w:r>
            <w:r w:rsidRPr="008F0E12">
              <w:rPr>
                <w:color w:val="000000"/>
                <w:sz w:val="17"/>
                <w:szCs w:val="17"/>
              </w:rPr>
              <w:t>, entre otros factores, del uso de agua del lago en lugar de agua de la red de distribución urbana</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19.500</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125.500</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p>
        </w:tc>
      </w:tr>
      <w:tr w:rsidR="0010230A" w:rsidRPr="00D512B8" w:rsidTr="00DC1333">
        <w:trPr>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tcPr>
          <w:p w:rsidR="0010230A" w:rsidRPr="008F0E12" w:rsidRDefault="0010230A">
            <w:pPr>
              <w:rPr>
                <w:color w:val="000000"/>
                <w:sz w:val="17"/>
                <w:szCs w:val="17"/>
              </w:rPr>
            </w:pPr>
            <w:r w:rsidRPr="008F0E12">
              <w:rPr>
                <w:color w:val="000000"/>
                <w:sz w:val="17"/>
                <w:szCs w:val="17"/>
              </w:rPr>
              <w:t>Reducción en la tarifa eléctrica debido al contrato suscrito con el nuevo proveedor tras la licitación con otros organismos de las NN.UU. en Ginebra</w:t>
            </w:r>
          </w:p>
        </w:tc>
        <w:tc>
          <w:tcPr>
            <w:tcW w:w="651"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n/a</w:t>
            </w:r>
          </w:p>
        </w:tc>
        <w:tc>
          <w:tcPr>
            <w:tcW w:w="477" w:type="pct"/>
            <w:tcBorders>
              <w:top w:val="single" w:sz="4" w:space="0" w:color="auto"/>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 </w:t>
            </w:r>
            <w:r w:rsidRPr="008F0E12">
              <w:rPr>
                <w:sz w:val="17"/>
                <w:szCs w:val="17"/>
              </w:rPr>
              <w:t>164.000</w:t>
            </w:r>
          </w:p>
          <w:p w:rsidR="0010230A" w:rsidRPr="008F0E12" w:rsidRDefault="0010230A">
            <w:pPr>
              <w:rPr>
                <w:color w:val="000000"/>
                <w:sz w:val="17"/>
                <w:szCs w:val="17"/>
              </w:rPr>
            </w:pPr>
          </w:p>
        </w:tc>
        <w:tc>
          <w:tcPr>
            <w:tcW w:w="823"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El contrato con el nuevo proveedor entró en vigor el 1 de enero de 2015.</w:t>
            </w:r>
          </w:p>
        </w:tc>
      </w:tr>
      <w:tr w:rsidR="0010230A" w:rsidRPr="00D512B8" w:rsidTr="00DC1333">
        <w:trPr>
          <w:trHeight w:val="1966"/>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Rescisión del contrato de alquiler de áreas de almacenamiento ubicadas fuera del recinto</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12.178 </w:t>
            </w:r>
          </w:p>
          <w:p w:rsidR="0010230A" w:rsidRPr="008F0E12" w:rsidRDefault="0010230A" w:rsidP="00DC1333">
            <w:pPr>
              <w:rPr>
                <w:color w:val="000000"/>
                <w:sz w:val="17"/>
                <w:szCs w:val="17"/>
              </w:rPr>
            </w:pPr>
            <w:r w:rsidRPr="008F0E12">
              <w:rPr>
                <w:color w:val="000000"/>
                <w:sz w:val="17"/>
                <w:szCs w:val="17"/>
              </w:rPr>
              <w:t>(7.845 CHF en Meyrin IV y</w:t>
            </w:r>
          </w:p>
          <w:p w:rsidR="0010230A" w:rsidRPr="008F0E12" w:rsidRDefault="0010230A" w:rsidP="00DC1333">
            <w:pPr>
              <w:rPr>
                <w:sz w:val="17"/>
                <w:szCs w:val="17"/>
              </w:rPr>
            </w:pPr>
            <w:r w:rsidRPr="008F0E12">
              <w:rPr>
                <w:color w:val="000000"/>
                <w:sz w:val="17"/>
                <w:szCs w:val="17"/>
              </w:rPr>
              <w:t>4.333 CHF en La Praille)</w:t>
            </w:r>
          </w:p>
          <w:p w:rsidR="0010230A" w:rsidRPr="008F0E12" w:rsidRDefault="0010230A" w:rsidP="00DC1333">
            <w:pPr>
              <w:rPr>
                <w:color w:val="000000"/>
                <w:sz w:val="17"/>
                <w:szCs w:val="17"/>
              </w:rPr>
            </w:pP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 54.150</w:t>
            </w:r>
          </w:p>
          <w:p w:rsidR="0010230A" w:rsidRPr="008F0E12" w:rsidRDefault="0010230A" w:rsidP="00DC1333">
            <w:pPr>
              <w:rPr>
                <w:color w:val="000000"/>
                <w:sz w:val="17"/>
                <w:szCs w:val="17"/>
              </w:rPr>
            </w:pPr>
            <w:r w:rsidRPr="008F0E12">
              <w:rPr>
                <w:color w:val="000000"/>
                <w:sz w:val="17"/>
                <w:szCs w:val="17"/>
              </w:rPr>
              <w:t xml:space="preserve">(31.380 CHF en Meyrin IV, </w:t>
            </w:r>
          </w:p>
          <w:p w:rsidR="0010230A" w:rsidRPr="008F0E12" w:rsidRDefault="0010230A" w:rsidP="00DC1333">
            <w:pPr>
              <w:rPr>
                <w:color w:val="000000"/>
                <w:sz w:val="17"/>
                <w:szCs w:val="17"/>
              </w:rPr>
            </w:pPr>
            <w:r w:rsidRPr="008F0E12">
              <w:rPr>
                <w:color w:val="000000"/>
                <w:sz w:val="17"/>
                <w:szCs w:val="17"/>
              </w:rPr>
              <w:t xml:space="preserve">15.000 CHF en La Praille y </w:t>
            </w:r>
          </w:p>
          <w:p w:rsidR="0010230A" w:rsidRPr="008F0E12" w:rsidRDefault="0010230A" w:rsidP="00DC1333">
            <w:pPr>
              <w:rPr>
                <w:sz w:val="17"/>
                <w:szCs w:val="17"/>
              </w:rPr>
            </w:pPr>
            <w:r w:rsidRPr="008F0E12">
              <w:rPr>
                <w:color w:val="000000"/>
                <w:sz w:val="17"/>
                <w:szCs w:val="17"/>
              </w:rPr>
              <w:t>7.770 CHF en Meyrin II)</w:t>
            </w:r>
          </w:p>
          <w:p w:rsidR="0010230A" w:rsidRPr="008F0E12" w:rsidRDefault="0010230A">
            <w:pPr>
              <w:rPr>
                <w:sz w:val="17"/>
                <w:szCs w:val="17"/>
              </w:rPr>
            </w:pPr>
          </w:p>
          <w:p w:rsidR="0010230A" w:rsidRPr="008F0E12" w:rsidRDefault="0010230A" w:rsidP="00DC1333">
            <w:pPr>
              <w:rPr>
                <w:color w:val="000000"/>
                <w:sz w:val="17"/>
                <w:szCs w:val="17"/>
              </w:rPr>
            </w:pP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El contrato de  alquiler de Meyrin IV se rescindió el 30 de septiembre de 2014.  El de La Praille, en noviembre de 2014.</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r w:rsidRPr="008F0E12">
              <w:rPr>
                <w:color w:val="000000"/>
                <w:sz w:val="17"/>
                <w:szCs w:val="17"/>
              </w:rPr>
              <w:t>En 2015, se rescindió por anticipado el contrato de alquiler de Meyrin II (antes de la fecha estipulada en el contrato, a fines de enero de 2016, debido al acuerdo alcanzado con el inquilino siguiente).</w:t>
            </w:r>
          </w:p>
        </w:tc>
      </w:tr>
      <w:tr w:rsidR="0010230A" w:rsidRPr="008F0E12" w:rsidTr="00523D2E">
        <w:trPr>
          <w:trHeight w:val="362"/>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Rescisión del contrato de alquiler de 32 plazas de estacionamiento en el Parking des Nations en varios lotes, entre </w:t>
            </w:r>
            <w:r w:rsidRPr="008F0E12">
              <w:rPr>
                <w:color w:val="000000"/>
                <w:sz w:val="17"/>
                <w:szCs w:val="17"/>
              </w:rPr>
              <w:lastRenderedPageBreak/>
              <w:t>agosto y diciembre de 2014.</w:t>
            </w:r>
          </w:p>
          <w:p w:rsidR="0010230A" w:rsidRPr="008F0E12" w:rsidRDefault="0010230A" w:rsidP="00DC1333">
            <w:pPr>
              <w:rPr>
                <w:color w:val="000000"/>
                <w:sz w:val="17"/>
                <w:szCs w:val="17"/>
              </w:rPr>
            </w:pP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lastRenderedPageBreak/>
              <w:t>3.404</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pPr>
              <w:rPr>
                <w:sz w:val="17"/>
                <w:szCs w:val="17"/>
              </w:rPr>
            </w:pPr>
            <w:r w:rsidRPr="008F0E12">
              <w:rPr>
                <w:color w:val="000000"/>
                <w:sz w:val="17"/>
                <w:szCs w:val="17"/>
              </w:rPr>
              <w:t>  61.440</w:t>
            </w:r>
          </w:p>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pPr>
              <w:rPr>
                <w:sz w:val="17"/>
                <w:szCs w:val="17"/>
              </w:rPr>
            </w:pPr>
          </w:p>
          <w:p w:rsidR="0010230A" w:rsidRPr="008F0E12" w:rsidRDefault="0010230A" w:rsidP="00DC1333">
            <w:pPr>
              <w:rPr>
                <w:color w:val="000000"/>
                <w:sz w:val="17"/>
                <w:szCs w:val="17"/>
              </w:rPr>
            </w:pPr>
          </w:p>
        </w:tc>
      </w:tr>
      <w:tr w:rsidR="0010230A" w:rsidRPr="008F0E12" w:rsidTr="00DC1333">
        <w:trPr>
          <w:trHeight w:val="1363"/>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lastRenderedPageBreak/>
              <w:t>Rescisión del contrato de alquiler de otras 20 plazas de estacionamiento en el Parking des Nations en varios lotes en 2015</w:t>
            </w:r>
          </w:p>
          <w:p w:rsidR="0010230A" w:rsidRPr="008F0E12" w:rsidRDefault="0010230A" w:rsidP="00DC1333">
            <w:pPr>
              <w:rPr>
                <w:color w:val="000000"/>
                <w:sz w:val="17"/>
                <w:szCs w:val="17"/>
              </w:rPr>
            </w:pPr>
          </w:p>
        </w:tc>
        <w:tc>
          <w:tcPr>
            <w:tcW w:w="651" w:type="pct"/>
            <w:tcBorders>
              <w:top w:val="nil"/>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n/a</w:t>
            </w:r>
          </w:p>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62.052</w:t>
            </w:r>
          </w:p>
          <w:p w:rsidR="0010230A" w:rsidRPr="008F0E12" w:rsidRDefault="0010230A" w:rsidP="00DC1333">
            <w:pPr>
              <w:rPr>
                <w:color w:val="000000"/>
                <w:sz w:val="17"/>
                <w:szCs w:val="17"/>
              </w:rPr>
            </w:pPr>
          </w:p>
          <w:p w:rsidR="0010230A" w:rsidRPr="008F0E12" w:rsidRDefault="0010230A" w:rsidP="00DC1333">
            <w:pPr>
              <w:jc w:val="center"/>
              <w:rPr>
                <w:sz w:val="17"/>
                <w:szCs w:val="17"/>
              </w:rPr>
            </w:pP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10230A" w:rsidRPr="008F0E12" w:rsidRDefault="0010230A">
            <w:pPr>
              <w:rPr>
                <w:color w:val="000000"/>
                <w:sz w:val="17"/>
                <w:szCs w:val="17"/>
              </w:rPr>
            </w:pPr>
          </w:p>
        </w:tc>
      </w:tr>
      <w:tr w:rsidR="0010230A" w:rsidRPr="008F0E12" w:rsidTr="00DC1333">
        <w:trPr>
          <w:trHeight w:val="1075"/>
        </w:trPr>
        <w:tc>
          <w:tcPr>
            <w:tcW w:w="1012" w:type="pct"/>
            <w:tcBorders>
              <w:top w:val="nil"/>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Rescisión del contrato de alquiler de 5 plazas de estacionamiento en el aparcamiento del edificio del CAM en 2015.</w:t>
            </w:r>
          </w:p>
        </w:tc>
        <w:tc>
          <w:tcPr>
            <w:tcW w:w="651" w:type="pct"/>
            <w:tcBorders>
              <w:top w:val="nil"/>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n/a</w:t>
            </w:r>
          </w:p>
          <w:p w:rsidR="0010230A" w:rsidRPr="008F0E12" w:rsidRDefault="0010230A" w:rsidP="00DC1333">
            <w:pPr>
              <w:rPr>
                <w:color w:val="000000"/>
                <w:sz w:val="17"/>
                <w:szCs w:val="17"/>
              </w:rPr>
            </w:pPr>
          </w:p>
        </w:tc>
        <w:tc>
          <w:tcPr>
            <w:tcW w:w="477" w:type="pct"/>
            <w:tcBorders>
              <w:top w:val="nil"/>
              <w:left w:val="nil"/>
              <w:bottom w:val="single" w:sz="4" w:space="0" w:color="auto"/>
              <w:right w:val="single" w:sz="4" w:space="0" w:color="auto"/>
            </w:tcBorders>
            <w:shd w:val="clear" w:color="auto" w:fill="auto"/>
          </w:tcPr>
          <w:p w:rsidR="0010230A" w:rsidRPr="008F0E12" w:rsidRDefault="0010230A">
            <w:pPr>
              <w:rPr>
                <w:sz w:val="17"/>
                <w:szCs w:val="17"/>
              </w:rPr>
            </w:pPr>
            <w:r w:rsidRPr="008F0E12">
              <w:rPr>
                <w:color w:val="000000"/>
                <w:sz w:val="17"/>
                <w:szCs w:val="17"/>
              </w:rPr>
              <w:t>8.340</w:t>
            </w:r>
          </w:p>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nil"/>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r>
      <w:tr w:rsidR="0010230A" w:rsidRPr="00D512B8" w:rsidTr="00DC1333">
        <w:trPr>
          <w:trHeight w:val="765"/>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Reducción del uso de material de oficina</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8.193</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pPr>
              <w:rPr>
                <w:sz w:val="17"/>
                <w:szCs w:val="17"/>
              </w:rPr>
            </w:pPr>
            <w:r w:rsidRPr="008F0E12">
              <w:rPr>
                <w:color w:val="000000"/>
                <w:sz w:val="17"/>
                <w:szCs w:val="17"/>
              </w:rPr>
              <w:t> 9.269</w:t>
            </w:r>
          </w:p>
          <w:p w:rsidR="0010230A" w:rsidRPr="008F0E12" w:rsidRDefault="0010230A" w:rsidP="00DC1333">
            <w:pPr>
              <w:rPr>
                <w:color w:val="000000"/>
                <w:sz w:val="17"/>
                <w:szCs w:val="17"/>
              </w:rPr>
            </w:pP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Los ahorros obtenidos en 2014 aumentaron ligeramente en 2015.</w:t>
            </w:r>
          </w:p>
        </w:tc>
      </w:tr>
      <w:tr w:rsidR="0010230A" w:rsidRPr="00D512B8" w:rsidTr="00DC1333">
        <w:trPr>
          <w:trHeight w:val="1283"/>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Implantación de un sistema de gestión de dispositivos móviles </w:t>
            </w:r>
            <w:r>
              <w:rPr>
                <w:color w:val="000000"/>
                <w:sz w:val="17"/>
                <w:szCs w:val="17"/>
              </w:rPr>
              <w:t>(MDM) con servicios más integrados ofrecidos a menor costo.</w:t>
            </w:r>
            <w:r w:rsidRPr="008F0E12">
              <w:rPr>
                <w:color w:val="000000"/>
                <w:sz w:val="17"/>
                <w:szCs w:val="17"/>
              </w:rPr>
              <w:t xml:space="preserve"> (OI 17/2014)</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112.691</w:t>
            </w: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277.540</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Reducción del costo medio mensual de los dispositivos, de </w:t>
            </w:r>
            <w:r w:rsidRPr="008F0E12">
              <w:rPr>
                <w:color w:val="000000"/>
                <w:sz w:val="17"/>
                <w:szCs w:val="17"/>
              </w:rPr>
              <w:t xml:space="preserve">177 CHF </w:t>
            </w:r>
            <w:r>
              <w:rPr>
                <w:color w:val="000000"/>
                <w:sz w:val="17"/>
                <w:szCs w:val="17"/>
              </w:rPr>
              <w:t>e</w:t>
            </w:r>
            <w:r w:rsidRPr="008F0E12">
              <w:rPr>
                <w:color w:val="000000"/>
                <w:sz w:val="17"/>
                <w:szCs w:val="17"/>
              </w:rPr>
              <w:t xml:space="preserve">n 2013 </w:t>
            </w:r>
            <w:r>
              <w:rPr>
                <w:color w:val="000000"/>
                <w:sz w:val="17"/>
                <w:szCs w:val="17"/>
              </w:rPr>
              <w:t>a</w:t>
            </w:r>
            <w:r w:rsidRPr="008F0E12">
              <w:rPr>
                <w:color w:val="000000"/>
                <w:sz w:val="17"/>
                <w:szCs w:val="17"/>
              </w:rPr>
              <w:t xml:space="preserve"> 111 CHF </w:t>
            </w:r>
            <w:r>
              <w:rPr>
                <w:color w:val="000000"/>
                <w:sz w:val="17"/>
                <w:szCs w:val="17"/>
              </w:rPr>
              <w:t>e</w:t>
            </w:r>
            <w:r w:rsidRPr="008F0E12">
              <w:rPr>
                <w:color w:val="000000"/>
                <w:sz w:val="17"/>
                <w:szCs w:val="17"/>
              </w:rPr>
              <w:t xml:space="preserve">n 2014 </w:t>
            </w:r>
            <w:r>
              <w:rPr>
                <w:color w:val="000000"/>
                <w:sz w:val="17"/>
                <w:szCs w:val="17"/>
              </w:rPr>
              <w:t xml:space="preserve">(un </w:t>
            </w:r>
            <w:r w:rsidRPr="008F0E12">
              <w:rPr>
                <w:color w:val="000000"/>
                <w:sz w:val="17"/>
                <w:szCs w:val="17"/>
              </w:rPr>
              <w:t>37%</w:t>
            </w:r>
            <w:r>
              <w:rPr>
                <w:color w:val="000000"/>
                <w:sz w:val="17"/>
                <w:szCs w:val="17"/>
              </w:rPr>
              <w:t>)</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Aumento del costo medio mensual de los dispositivos, de </w:t>
            </w:r>
            <w:r w:rsidRPr="008F0E12">
              <w:rPr>
                <w:color w:val="000000"/>
                <w:sz w:val="17"/>
                <w:szCs w:val="17"/>
              </w:rPr>
              <w:t xml:space="preserve">111 </w:t>
            </w:r>
            <w:r>
              <w:rPr>
                <w:color w:val="000000"/>
                <w:sz w:val="17"/>
                <w:szCs w:val="17"/>
              </w:rPr>
              <w:t>e</w:t>
            </w:r>
            <w:r w:rsidRPr="008F0E12">
              <w:rPr>
                <w:color w:val="000000"/>
                <w:sz w:val="17"/>
                <w:szCs w:val="17"/>
              </w:rPr>
              <w:t xml:space="preserve">n 2014 </w:t>
            </w:r>
            <w:r>
              <w:rPr>
                <w:color w:val="000000"/>
                <w:sz w:val="17"/>
                <w:szCs w:val="17"/>
              </w:rPr>
              <w:t xml:space="preserve">a </w:t>
            </w:r>
            <w:r w:rsidRPr="008F0E12">
              <w:rPr>
                <w:color w:val="000000"/>
                <w:sz w:val="17"/>
                <w:szCs w:val="17"/>
              </w:rPr>
              <w:t xml:space="preserve">115 </w:t>
            </w:r>
            <w:r>
              <w:rPr>
                <w:color w:val="000000"/>
                <w:sz w:val="17"/>
                <w:szCs w:val="17"/>
              </w:rPr>
              <w:t>e</w:t>
            </w:r>
            <w:r w:rsidRPr="008F0E12">
              <w:rPr>
                <w:color w:val="000000"/>
                <w:sz w:val="17"/>
                <w:szCs w:val="17"/>
              </w:rPr>
              <w:t xml:space="preserve">n 2015 </w:t>
            </w:r>
            <w:r>
              <w:rPr>
                <w:color w:val="000000"/>
                <w:sz w:val="17"/>
                <w:szCs w:val="17"/>
              </w:rPr>
              <w:t xml:space="preserve">(un </w:t>
            </w:r>
            <w:r w:rsidRPr="008F0E12">
              <w:rPr>
                <w:color w:val="000000"/>
                <w:sz w:val="17"/>
                <w:szCs w:val="17"/>
              </w:rPr>
              <w:t>3.6%</w:t>
            </w:r>
            <w:r>
              <w:rPr>
                <w:color w:val="000000"/>
                <w:sz w:val="17"/>
                <w:szCs w:val="17"/>
              </w:rPr>
              <w:t>)</w:t>
            </w:r>
            <w:r w:rsidRPr="008F0E12">
              <w:rPr>
                <w:color w:val="000000"/>
                <w:sz w:val="17"/>
                <w:szCs w:val="17"/>
              </w:rPr>
              <w:t xml:space="preserve">.  </w:t>
            </w:r>
            <w:r>
              <w:rPr>
                <w:color w:val="000000"/>
                <w:sz w:val="17"/>
                <w:szCs w:val="17"/>
              </w:rPr>
              <w:t xml:space="preserve">El costo medio en </w:t>
            </w:r>
            <w:r w:rsidRPr="008F0E12">
              <w:rPr>
                <w:color w:val="000000"/>
                <w:sz w:val="17"/>
                <w:szCs w:val="17"/>
              </w:rPr>
              <w:t xml:space="preserve">2015 </w:t>
            </w:r>
            <w:r>
              <w:rPr>
                <w:color w:val="000000"/>
                <w:sz w:val="17"/>
                <w:szCs w:val="17"/>
              </w:rPr>
              <w:t xml:space="preserve">sigue siendo sensiblemente inferior al costo de </w:t>
            </w:r>
            <w:r w:rsidRPr="008F0E12">
              <w:rPr>
                <w:color w:val="000000"/>
                <w:sz w:val="17"/>
                <w:szCs w:val="17"/>
              </w:rPr>
              <w:t>2013.</w:t>
            </w:r>
          </w:p>
        </w:tc>
        <w:tc>
          <w:tcPr>
            <w:tcW w:w="116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Disminuyeron los gastos totales relacionados con la suscripción de </w:t>
            </w:r>
            <w:r w:rsidRPr="008F0E12">
              <w:rPr>
                <w:color w:val="000000"/>
                <w:sz w:val="17"/>
                <w:szCs w:val="17"/>
              </w:rPr>
              <w:t>Swisscom</w:t>
            </w:r>
            <w:r>
              <w:rPr>
                <w:color w:val="000000"/>
                <w:sz w:val="17"/>
                <w:szCs w:val="17"/>
              </w:rPr>
              <w:t xml:space="preserve">, que pasaron de </w:t>
            </w:r>
            <w:r w:rsidRPr="008F0E12">
              <w:rPr>
                <w:color w:val="000000"/>
                <w:sz w:val="17"/>
                <w:szCs w:val="17"/>
              </w:rPr>
              <w:t xml:space="preserve">799.815 CHF </w:t>
            </w:r>
            <w:r>
              <w:rPr>
                <w:color w:val="000000"/>
                <w:sz w:val="17"/>
                <w:szCs w:val="17"/>
              </w:rPr>
              <w:t>e</w:t>
            </w:r>
            <w:r w:rsidRPr="008F0E12">
              <w:rPr>
                <w:color w:val="000000"/>
                <w:sz w:val="17"/>
                <w:szCs w:val="17"/>
              </w:rPr>
              <w:t xml:space="preserve">n 2013 (374 </w:t>
            </w:r>
            <w:r>
              <w:rPr>
                <w:color w:val="000000"/>
                <w:sz w:val="17"/>
                <w:szCs w:val="17"/>
              </w:rPr>
              <w:t>dispositivos al final del año</w:t>
            </w:r>
            <w:r w:rsidRPr="008F0E12">
              <w:rPr>
                <w:color w:val="000000"/>
                <w:sz w:val="17"/>
                <w:szCs w:val="17"/>
              </w:rPr>
              <w:t xml:space="preserve">) </w:t>
            </w:r>
            <w:r>
              <w:rPr>
                <w:color w:val="000000"/>
                <w:sz w:val="17"/>
                <w:szCs w:val="17"/>
              </w:rPr>
              <w:t>a</w:t>
            </w:r>
            <w:r w:rsidRPr="008F0E12">
              <w:rPr>
                <w:color w:val="000000"/>
                <w:sz w:val="17"/>
                <w:szCs w:val="17"/>
              </w:rPr>
              <w:t xml:space="preserve"> 520.430 CHF </w:t>
            </w:r>
            <w:r>
              <w:rPr>
                <w:color w:val="000000"/>
                <w:sz w:val="17"/>
                <w:szCs w:val="17"/>
              </w:rPr>
              <w:t>e</w:t>
            </w:r>
            <w:r w:rsidRPr="008F0E12">
              <w:rPr>
                <w:color w:val="000000"/>
                <w:sz w:val="17"/>
                <w:szCs w:val="17"/>
              </w:rPr>
              <w:t xml:space="preserve">n 2014 (404 </w:t>
            </w:r>
            <w:r>
              <w:rPr>
                <w:color w:val="000000"/>
                <w:sz w:val="17"/>
                <w:szCs w:val="17"/>
              </w:rPr>
              <w:t>dispositivos al final del año</w:t>
            </w:r>
            <w:r w:rsidRPr="008F0E12">
              <w:rPr>
                <w:color w:val="000000"/>
                <w:sz w:val="17"/>
                <w:szCs w:val="17"/>
              </w:rPr>
              <w:t xml:space="preserve">).  </w:t>
            </w:r>
            <w:r>
              <w:rPr>
                <w:color w:val="000000"/>
                <w:sz w:val="17"/>
                <w:szCs w:val="17"/>
              </w:rPr>
              <w:t xml:space="preserve">En 2014 se incurrió en un costo único de proyecto de </w:t>
            </w:r>
            <w:r w:rsidRPr="008F0E12">
              <w:rPr>
                <w:color w:val="000000"/>
                <w:sz w:val="17"/>
                <w:szCs w:val="17"/>
              </w:rPr>
              <w:t>166.784 CHF</w:t>
            </w:r>
            <w:r>
              <w:rPr>
                <w:color w:val="000000"/>
                <w:sz w:val="17"/>
                <w:szCs w:val="17"/>
              </w:rPr>
              <w:t xml:space="preserve">, que abarca la renovación de los dispositivos, la nota de crédito de </w:t>
            </w:r>
            <w:r w:rsidRPr="008F0E12">
              <w:rPr>
                <w:color w:val="000000"/>
                <w:sz w:val="17"/>
                <w:szCs w:val="17"/>
              </w:rPr>
              <w:t xml:space="preserve">Swisscom </w:t>
            </w:r>
            <w:r>
              <w:rPr>
                <w:color w:val="000000"/>
                <w:sz w:val="17"/>
                <w:szCs w:val="17"/>
              </w:rPr>
              <w:t xml:space="preserve">para la compra de dispositivos, las licencias del sistema </w:t>
            </w:r>
            <w:r w:rsidRPr="008F0E12">
              <w:rPr>
                <w:color w:val="000000"/>
                <w:sz w:val="17"/>
                <w:szCs w:val="17"/>
              </w:rPr>
              <w:t xml:space="preserve">MDM </w:t>
            </w:r>
            <w:r>
              <w:rPr>
                <w:color w:val="000000"/>
                <w:sz w:val="17"/>
                <w:szCs w:val="17"/>
              </w:rPr>
              <w:t>y el establecimiento de la infraestructura de dicho sistema</w:t>
            </w:r>
            <w:r w:rsidRPr="008F0E12">
              <w:rPr>
                <w:color w:val="000000"/>
                <w:sz w:val="17"/>
                <w:szCs w:val="17"/>
              </w:rPr>
              <w:t xml:space="preserve">. </w:t>
            </w:r>
            <w:r>
              <w:rPr>
                <w:color w:val="000000"/>
                <w:sz w:val="17"/>
                <w:szCs w:val="17"/>
              </w:rPr>
              <w:t>E</w:t>
            </w:r>
            <w:r w:rsidRPr="008F0E12">
              <w:rPr>
                <w:color w:val="000000"/>
                <w:sz w:val="17"/>
                <w:szCs w:val="17"/>
              </w:rPr>
              <w:t xml:space="preserve">n 2015, </w:t>
            </w:r>
            <w:r>
              <w:rPr>
                <w:color w:val="000000"/>
                <w:sz w:val="17"/>
                <w:szCs w:val="17"/>
              </w:rPr>
              <w:t xml:space="preserve">los gastos totales ascendieron a </w:t>
            </w:r>
            <w:r w:rsidRPr="008F0E12">
              <w:rPr>
                <w:color w:val="000000"/>
                <w:sz w:val="17"/>
                <w:szCs w:val="17"/>
              </w:rPr>
              <w:t>522.276 CHF (364</w:t>
            </w:r>
            <w:r>
              <w:rPr>
                <w:color w:val="000000"/>
                <w:sz w:val="17"/>
                <w:szCs w:val="17"/>
              </w:rPr>
              <w:t xml:space="preserve"> dispositivos al final del año</w:t>
            </w:r>
            <w:r w:rsidRPr="008F0E12">
              <w:rPr>
                <w:color w:val="000000"/>
                <w:sz w:val="17"/>
                <w:szCs w:val="17"/>
              </w:rPr>
              <w:t>).</w:t>
            </w:r>
          </w:p>
        </w:tc>
      </w:tr>
      <w:tr w:rsidR="0010230A" w:rsidRPr="00D512B8" w:rsidTr="00DC1333">
        <w:trPr>
          <w:trHeight w:val="1669"/>
        </w:trPr>
        <w:tc>
          <w:tcPr>
            <w:tcW w:w="1012" w:type="pct"/>
            <w:tcBorders>
              <w:top w:val="single" w:sz="4" w:space="0" w:color="auto"/>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Pr>
                <w:color w:val="000000"/>
                <w:sz w:val="17"/>
                <w:szCs w:val="17"/>
              </w:rPr>
              <w:t>Aplicación de una nueva política de gestión de buzones de correo a partir de marzo de 2015</w:t>
            </w:r>
          </w:p>
        </w:tc>
        <w:tc>
          <w:tcPr>
            <w:tcW w:w="651" w:type="pct"/>
            <w:tcBorders>
              <w:top w:val="single" w:sz="4" w:space="0" w:color="auto"/>
              <w:left w:val="nil"/>
              <w:bottom w:val="single" w:sz="4" w:space="0" w:color="auto"/>
              <w:right w:val="single" w:sz="4" w:space="0" w:color="auto"/>
            </w:tcBorders>
            <w:shd w:val="clear" w:color="auto" w:fill="auto"/>
          </w:tcPr>
          <w:p w:rsidR="0010230A" w:rsidRPr="008F0E12" w:rsidRDefault="0010230A">
            <w:pPr>
              <w:rPr>
                <w:color w:val="000000"/>
                <w:sz w:val="17"/>
                <w:szCs w:val="17"/>
              </w:rPr>
            </w:pPr>
            <w:r w:rsidRPr="008F0E12">
              <w:rPr>
                <w:color w:val="000000"/>
                <w:sz w:val="17"/>
                <w:szCs w:val="17"/>
              </w:rPr>
              <w:t>n/a</w:t>
            </w:r>
          </w:p>
          <w:p w:rsidR="0010230A" w:rsidRPr="008F0E12" w:rsidRDefault="0010230A">
            <w:pPr>
              <w:rPr>
                <w:color w:val="000000"/>
                <w:sz w:val="17"/>
                <w:szCs w:val="17"/>
              </w:rPr>
            </w:pPr>
          </w:p>
        </w:tc>
        <w:tc>
          <w:tcPr>
            <w:tcW w:w="477" w:type="pct"/>
            <w:tcBorders>
              <w:top w:val="single" w:sz="4" w:space="0" w:color="auto"/>
              <w:left w:val="nil"/>
              <w:bottom w:val="single" w:sz="4" w:space="0" w:color="auto"/>
              <w:right w:val="nil"/>
            </w:tcBorders>
            <w:shd w:val="clear" w:color="auto" w:fill="auto"/>
          </w:tcPr>
          <w:p w:rsidR="0010230A" w:rsidRPr="008F0E12" w:rsidRDefault="0010230A" w:rsidP="00DC1333">
            <w:pPr>
              <w:rPr>
                <w:color w:val="000000"/>
                <w:sz w:val="17"/>
                <w:szCs w:val="17"/>
              </w:rPr>
            </w:pPr>
            <w:r w:rsidRPr="008F0E12">
              <w:rPr>
                <w:color w:val="000000"/>
                <w:sz w:val="17"/>
                <w:szCs w:val="17"/>
              </w:rPr>
              <w:t>70.000</w:t>
            </w:r>
          </w:p>
        </w:tc>
        <w:tc>
          <w:tcPr>
            <w:tcW w:w="823" w:type="pct"/>
            <w:tcBorders>
              <w:top w:val="single" w:sz="4" w:space="0" w:color="auto"/>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Pr>
                <w:color w:val="000000"/>
                <w:sz w:val="17"/>
                <w:szCs w:val="17"/>
              </w:rPr>
              <w:t xml:space="preserve">La nueva política dio lugar al archivo y progresiva limpieza de más de 1.480 antiguos buzones de correo a lo largo de 2015.  La reducción neta, que asciende aproximadamente a 113.000 CHF por año, seguirá realizándose en forma de ahorro de costos durante el bienio </w:t>
            </w:r>
            <w:r w:rsidRPr="008F0E12">
              <w:rPr>
                <w:color w:val="000000"/>
                <w:sz w:val="17"/>
                <w:szCs w:val="17"/>
              </w:rPr>
              <w:t>2016/17.</w:t>
            </w:r>
          </w:p>
        </w:tc>
      </w:tr>
      <w:tr w:rsidR="0010230A" w:rsidRPr="00D512B8" w:rsidTr="00DC1333">
        <w:trPr>
          <w:trHeight w:val="1228"/>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lastRenderedPageBreak/>
              <w:t xml:space="preserve">Reducción en los costos de traducción debido a la renegociación de contratos con los traductores externos, la puesta en marcha de licitaciones internacionales para traducciones al árabe, chino y ruso, teniendo en cuenta la experiencia adquirida en la subcontratación de traducciones al español y al francés, y el uso de </w:t>
            </w:r>
            <w:r w:rsidRPr="006445BA">
              <w:rPr>
                <w:color w:val="000000"/>
                <w:sz w:val="17"/>
                <w:szCs w:val="17"/>
              </w:rPr>
              <w:t>herramientas de terminología y traducción asistida por computadora</w:t>
            </w:r>
            <w:r>
              <w:rPr>
                <w:color w:val="000000"/>
                <w:sz w:val="17"/>
                <w:szCs w:val="17"/>
              </w:rPr>
              <w:t>.</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306.375</w:t>
            </w:r>
          </w:p>
          <w:p w:rsidR="0010230A" w:rsidRPr="008F0E12" w:rsidRDefault="0010230A" w:rsidP="00DC1333">
            <w:pPr>
              <w:rPr>
                <w:color w:val="000000"/>
                <w:sz w:val="17"/>
                <w:szCs w:val="17"/>
              </w:rPr>
            </w:pPr>
          </w:p>
        </w:tc>
        <w:tc>
          <w:tcPr>
            <w:tcW w:w="477" w:type="pct"/>
            <w:tcBorders>
              <w:top w:val="single" w:sz="4" w:space="0" w:color="auto"/>
              <w:left w:val="nil"/>
              <w:bottom w:val="single" w:sz="4" w:space="0" w:color="auto"/>
              <w:right w:val="nil"/>
            </w:tcBorders>
            <w:shd w:val="clear" w:color="auto" w:fill="auto"/>
            <w:hideMark/>
          </w:tcPr>
          <w:p w:rsidR="0010230A" w:rsidRPr="008F0E12" w:rsidRDefault="0010230A" w:rsidP="00DC1333">
            <w:pPr>
              <w:rPr>
                <w:color w:val="000000"/>
                <w:sz w:val="17"/>
                <w:szCs w:val="17"/>
              </w:rPr>
            </w:pPr>
            <w:r w:rsidRPr="008F0E12">
              <w:rPr>
                <w:color w:val="000000"/>
                <w:sz w:val="17"/>
                <w:szCs w:val="17"/>
              </w:rPr>
              <w:t>601.084</w:t>
            </w:r>
          </w:p>
        </w:tc>
        <w:tc>
          <w:tcPr>
            <w:tcW w:w="823" w:type="pct"/>
            <w:tcBorders>
              <w:top w:val="single" w:sz="4" w:space="0" w:color="auto"/>
              <w:left w:val="single" w:sz="4" w:space="0" w:color="auto"/>
              <w:bottom w:val="single" w:sz="4" w:space="0" w:color="auto"/>
              <w:right w:val="single" w:sz="4" w:space="0" w:color="auto"/>
            </w:tcBorders>
            <w:shd w:val="clear" w:color="auto" w:fill="auto"/>
            <w:hideMark/>
          </w:tcPr>
          <w:p w:rsidR="0010230A" w:rsidRDefault="0010230A">
            <w:pPr>
              <w:rPr>
                <w:color w:val="000000"/>
                <w:sz w:val="17"/>
                <w:szCs w:val="17"/>
              </w:rPr>
            </w:pPr>
            <w:r>
              <w:rPr>
                <w:color w:val="000000"/>
                <w:sz w:val="17"/>
                <w:szCs w:val="17"/>
              </w:rPr>
              <w:t>Reducción en el costo de traducción por palabra, de 0,63 CHF en 2013 a 0,59 en 2014</w:t>
            </w:r>
            <w:r w:rsidRPr="008F0E12">
              <w:rPr>
                <w:color w:val="000000"/>
                <w:sz w:val="17"/>
                <w:szCs w:val="17"/>
              </w:rPr>
              <w:t xml:space="preserve"> </w:t>
            </w:r>
            <w:r>
              <w:rPr>
                <w:color w:val="000000"/>
                <w:sz w:val="17"/>
                <w:szCs w:val="17"/>
              </w:rPr>
              <w:t>(es decir</w:t>
            </w:r>
            <w:r w:rsidRPr="008F0E12">
              <w:rPr>
                <w:color w:val="000000"/>
                <w:sz w:val="17"/>
                <w:szCs w:val="17"/>
              </w:rPr>
              <w:t xml:space="preserve">, </w:t>
            </w:r>
            <w:r>
              <w:rPr>
                <w:color w:val="000000"/>
                <w:sz w:val="17"/>
                <w:szCs w:val="17"/>
              </w:rPr>
              <w:t xml:space="preserve">una disminución de </w:t>
            </w:r>
            <w:r w:rsidRPr="008F0E12">
              <w:rPr>
                <w:color w:val="000000"/>
                <w:sz w:val="17"/>
                <w:szCs w:val="17"/>
              </w:rPr>
              <w:t>0</w:t>
            </w:r>
            <w:r>
              <w:rPr>
                <w:color w:val="000000"/>
                <w:sz w:val="17"/>
                <w:szCs w:val="17"/>
              </w:rPr>
              <w:t>,</w:t>
            </w:r>
            <w:r w:rsidRPr="008F0E12">
              <w:rPr>
                <w:color w:val="000000"/>
                <w:sz w:val="17"/>
                <w:szCs w:val="17"/>
              </w:rPr>
              <w:t>04 CHF</w:t>
            </w:r>
            <w:r>
              <w:rPr>
                <w:color w:val="000000"/>
                <w:sz w:val="17"/>
                <w:szCs w:val="17"/>
              </w:rPr>
              <w:t xml:space="preserve"> por palabra</w:t>
            </w:r>
            <w:r w:rsidRPr="008F0E12">
              <w:rPr>
                <w:color w:val="000000"/>
                <w:sz w:val="17"/>
                <w:szCs w:val="17"/>
              </w:rPr>
              <w:t>)</w:t>
            </w:r>
          </w:p>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Se redujo el costo por palabra a 0,57 CHF en 2015 (es decir, otra disminución de 0,02 CHF)</w:t>
            </w: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r>
      <w:tr w:rsidR="0010230A" w:rsidRPr="00D512B8" w:rsidTr="00DC1333">
        <w:trPr>
          <w:trHeight w:val="102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Reducción de los costos de impresión tras las negociaciones del contrato base para las impresoras.</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243.000***</w:t>
            </w:r>
          </w:p>
          <w:p w:rsidR="0010230A" w:rsidRPr="008F0E12" w:rsidRDefault="0010230A" w:rsidP="00DC1333">
            <w:pPr>
              <w:rPr>
                <w:color w:val="000000"/>
                <w:sz w:val="17"/>
                <w:szCs w:val="17"/>
              </w:rPr>
            </w:pP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 399.000</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Reducción del costo por página de 0,20 CHF en 2013 a 0,15 CHF en </w:t>
            </w:r>
            <w:r w:rsidRPr="008F0E12">
              <w:rPr>
                <w:color w:val="000000"/>
                <w:sz w:val="17"/>
                <w:szCs w:val="17"/>
              </w:rPr>
              <w:t xml:space="preserve">2014 </w:t>
            </w:r>
            <w:r>
              <w:rPr>
                <w:color w:val="000000"/>
                <w:sz w:val="17"/>
                <w:szCs w:val="17"/>
              </w:rPr>
              <w:t xml:space="preserve">(un </w:t>
            </w:r>
            <w:r w:rsidRPr="008F0E12">
              <w:rPr>
                <w:color w:val="000000"/>
                <w:sz w:val="17"/>
                <w:szCs w:val="17"/>
              </w:rPr>
              <w:t>26%</w:t>
            </w:r>
            <w:proofErr w:type="gramStart"/>
            <w:r>
              <w:rPr>
                <w:color w:val="000000"/>
                <w:sz w:val="17"/>
                <w:szCs w:val="17"/>
              </w:rPr>
              <w:t>)</w:t>
            </w:r>
            <w:r w:rsidRPr="008F0E12">
              <w:rPr>
                <w:color w:val="000000"/>
                <w:sz w:val="17"/>
                <w:szCs w:val="17"/>
              </w:rPr>
              <w:t>*</w:t>
            </w:r>
            <w:proofErr w:type="gramEnd"/>
            <w:r w:rsidRPr="008F0E12">
              <w:rPr>
                <w:color w:val="000000"/>
                <w:sz w:val="17"/>
                <w:szCs w:val="17"/>
              </w:rPr>
              <w:t xml:space="preserve">** </w:t>
            </w: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Pr>
                <w:color w:val="000000"/>
                <w:sz w:val="17"/>
                <w:szCs w:val="17"/>
              </w:rPr>
              <w:t>El costo por página ascendió a 0,15 CHF en 2015, el mismo que en 2014.</w:t>
            </w: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r>
      <w:tr w:rsidR="0010230A" w:rsidRPr="00D512B8" w:rsidTr="00DC1333">
        <w:trPr>
          <w:trHeight w:val="1561"/>
        </w:trPr>
        <w:tc>
          <w:tcPr>
            <w:tcW w:w="1012" w:type="pct"/>
            <w:tcBorders>
              <w:top w:val="nil"/>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Reducción de los costos de correo debido a la negociación de tarifas reducidas con los proveedores de servicios de correo externos y al agrupamiento de las direcciones</w:t>
            </w:r>
          </w:p>
        </w:tc>
        <w:tc>
          <w:tcPr>
            <w:tcW w:w="651"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71.662***</w:t>
            </w:r>
          </w:p>
          <w:p w:rsidR="0010230A" w:rsidRPr="008F0E12" w:rsidRDefault="0010230A">
            <w:pPr>
              <w:rPr>
                <w:color w:val="000000"/>
                <w:sz w:val="17"/>
                <w:szCs w:val="17"/>
              </w:rPr>
            </w:pPr>
          </w:p>
        </w:tc>
        <w:tc>
          <w:tcPr>
            <w:tcW w:w="477"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189.367</w:t>
            </w:r>
          </w:p>
        </w:tc>
        <w:tc>
          <w:tcPr>
            <w:tcW w:w="823"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nil"/>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nil"/>
              <w:left w:val="nil"/>
              <w:bottom w:val="single" w:sz="4" w:space="0" w:color="auto"/>
              <w:right w:val="single" w:sz="4" w:space="0" w:color="auto"/>
            </w:tcBorders>
            <w:shd w:val="clear" w:color="auto" w:fill="auto"/>
            <w:hideMark/>
          </w:tcPr>
          <w:p w:rsidR="0010230A" w:rsidRDefault="0010230A" w:rsidP="00DC1333">
            <w:pPr>
              <w:rPr>
                <w:color w:val="000000"/>
                <w:sz w:val="17"/>
                <w:szCs w:val="17"/>
              </w:rPr>
            </w:pPr>
            <w:r>
              <w:rPr>
                <w:color w:val="000000"/>
                <w:sz w:val="17"/>
                <w:szCs w:val="17"/>
              </w:rPr>
              <w:t>Las renegociaciones de contratos con los proveedores de servicios de correo han dado lugar a una disminución global de los costos de correo cifrada en un 4% en comparación con 2013.</w:t>
            </w:r>
          </w:p>
          <w:p w:rsidR="0010230A" w:rsidRPr="008F0E12" w:rsidRDefault="0010230A" w:rsidP="00DC1333">
            <w:pPr>
              <w:rPr>
                <w:color w:val="000000"/>
                <w:sz w:val="17"/>
                <w:szCs w:val="17"/>
              </w:rPr>
            </w:pPr>
          </w:p>
          <w:p w:rsidR="0010230A" w:rsidRPr="008F0E12" w:rsidRDefault="0010230A">
            <w:pPr>
              <w:rPr>
                <w:color w:val="000000"/>
                <w:sz w:val="17"/>
                <w:szCs w:val="17"/>
              </w:rPr>
            </w:pPr>
            <w:r>
              <w:rPr>
                <w:color w:val="000000"/>
                <w:sz w:val="17"/>
                <w:szCs w:val="17"/>
              </w:rPr>
              <w:t>2015: Reducción del</w:t>
            </w:r>
            <w:r w:rsidRPr="008F0E12">
              <w:rPr>
                <w:color w:val="000000"/>
                <w:sz w:val="17"/>
                <w:szCs w:val="17"/>
              </w:rPr>
              <w:t xml:space="preserve"> 11% </w:t>
            </w:r>
            <w:r>
              <w:rPr>
                <w:color w:val="000000"/>
                <w:sz w:val="17"/>
                <w:szCs w:val="17"/>
              </w:rPr>
              <w:t>e</w:t>
            </w:r>
            <w:r w:rsidRPr="008F0E12">
              <w:rPr>
                <w:color w:val="000000"/>
                <w:sz w:val="17"/>
                <w:szCs w:val="17"/>
              </w:rPr>
              <w:t xml:space="preserve">n 2015 </w:t>
            </w:r>
            <w:r>
              <w:rPr>
                <w:color w:val="000000"/>
                <w:sz w:val="17"/>
                <w:szCs w:val="17"/>
              </w:rPr>
              <w:t xml:space="preserve">en comparación con </w:t>
            </w:r>
            <w:r w:rsidRPr="008F0E12">
              <w:rPr>
                <w:color w:val="000000"/>
                <w:sz w:val="17"/>
                <w:szCs w:val="17"/>
              </w:rPr>
              <w:t>2013.</w:t>
            </w:r>
          </w:p>
          <w:p w:rsidR="0010230A" w:rsidRPr="008F0E12" w:rsidRDefault="0010230A">
            <w:pPr>
              <w:rPr>
                <w:color w:val="000000"/>
                <w:sz w:val="17"/>
                <w:szCs w:val="17"/>
              </w:rPr>
            </w:pPr>
            <w:r w:rsidRPr="008F0E12">
              <w:rPr>
                <w:color w:val="000000"/>
                <w:sz w:val="17"/>
                <w:szCs w:val="17"/>
              </w:rPr>
              <w:t xml:space="preserve"> </w:t>
            </w:r>
          </w:p>
        </w:tc>
      </w:tr>
      <w:tr w:rsidR="0010230A" w:rsidRPr="00D512B8" w:rsidTr="00523D2E">
        <w:trPr>
          <w:trHeight w:val="636"/>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Reducción del número de guardias de seguridad subcontratados y del número de horas que trabajan.</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xml:space="preserve">331.882*** </w:t>
            </w:r>
          </w:p>
          <w:p w:rsidR="0010230A" w:rsidRPr="008F0E12" w:rsidRDefault="0010230A" w:rsidP="00DC1333">
            <w:pPr>
              <w:rPr>
                <w:color w:val="000000"/>
                <w:sz w:val="17"/>
                <w:szCs w:val="17"/>
              </w:rPr>
            </w:pPr>
          </w:p>
          <w:p w:rsidR="0010230A" w:rsidRPr="008F0E12" w:rsidRDefault="0010230A" w:rsidP="00DC1333">
            <w:pPr>
              <w:rPr>
                <w:color w:val="000000"/>
                <w:sz w:val="17"/>
                <w:szCs w:val="17"/>
              </w:rPr>
            </w:pP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color w:val="000000"/>
                <w:sz w:val="17"/>
                <w:szCs w:val="17"/>
              </w:rPr>
            </w:pPr>
            <w:r w:rsidRPr="008F0E12">
              <w:rPr>
                <w:color w:val="000000"/>
                <w:sz w:val="17"/>
                <w:szCs w:val="17"/>
              </w:rPr>
              <w:t> 708.739</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69"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contextualSpacing/>
              <w:rPr>
                <w:sz w:val="17"/>
                <w:szCs w:val="17"/>
              </w:rPr>
            </w:pPr>
            <w:r w:rsidRPr="008F0E12">
              <w:rPr>
                <w:sz w:val="17"/>
                <w:szCs w:val="17"/>
              </w:rPr>
              <w:t xml:space="preserve">2014: </w:t>
            </w:r>
            <w:r>
              <w:rPr>
                <w:sz w:val="17"/>
                <w:szCs w:val="17"/>
              </w:rPr>
              <w:t xml:space="preserve">Reducción global del </w:t>
            </w:r>
            <w:r w:rsidRPr="008F0E12">
              <w:rPr>
                <w:sz w:val="17"/>
                <w:szCs w:val="17"/>
              </w:rPr>
              <w:t>8</w:t>
            </w:r>
            <w:r>
              <w:rPr>
                <w:sz w:val="17"/>
                <w:szCs w:val="17"/>
              </w:rPr>
              <w:t>,</w:t>
            </w:r>
            <w:r w:rsidRPr="008F0E12">
              <w:rPr>
                <w:sz w:val="17"/>
                <w:szCs w:val="17"/>
              </w:rPr>
              <w:t>4% (331.</w:t>
            </w:r>
            <w:r>
              <w:rPr>
                <w:sz w:val="17"/>
                <w:szCs w:val="17"/>
              </w:rPr>
              <w:t xml:space="preserve">882 CHF), de </w:t>
            </w:r>
            <w:r w:rsidRPr="008F0E12">
              <w:rPr>
                <w:sz w:val="17"/>
                <w:szCs w:val="17"/>
              </w:rPr>
              <w:t>2013 (3.943.837 CHF)</w:t>
            </w:r>
            <w:r>
              <w:rPr>
                <w:sz w:val="17"/>
                <w:szCs w:val="17"/>
              </w:rPr>
              <w:t xml:space="preserve"> a</w:t>
            </w:r>
            <w:r w:rsidRPr="008F0E12">
              <w:rPr>
                <w:sz w:val="17"/>
                <w:szCs w:val="17"/>
              </w:rPr>
              <w:t xml:space="preserve"> 2014 (3.611.955 CHF)</w:t>
            </w:r>
            <w:r>
              <w:rPr>
                <w:sz w:val="17"/>
                <w:szCs w:val="17"/>
              </w:rPr>
              <w:t xml:space="preserve">, como consecuencia de la reducción del número de guardias de seguridad de </w:t>
            </w:r>
          </w:p>
          <w:p w:rsidR="0010230A" w:rsidRDefault="0010230A" w:rsidP="00DC1333">
            <w:pPr>
              <w:contextualSpacing/>
              <w:rPr>
                <w:sz w:val="17"/>
                <w:szCs w:val="17"/>
              </w:rPr>
            </w:pPr>
            <w:r w:rsidRPr="008F0E12">
              <w:rPr>
                <w:sz w:val="17"/>
                <w:szCs w:val="17"/>
              </w:rPr>
              <w:t xml:space="preserve">ARNDT </w:t>
            </w:r>
            <w:r>
              <w:rPr>
                <w:sz w:val="17"/>
                <w:szCs w:val="17"/>
              </w:rPr>
              <w:t>e</w:t>
            </w:r>
            <w:r w:rsidRPr="008F0E12">
              <w:rPr>
                <w:sz w:val="17"/>
                <w:szCs w:val="17"/>
              </w:rPr>
              <w:t xml:space="preserve">n 2014, </w:t>
            </w:r>
            <w:r>
              <w:rPr>
                <w:sz w:val="17"/>
                <w:szCs w:val="17"/>
              </w:rPr>
              <w:t>y una reducción del 2</w:t>
            </w:r>
            <w:r w:rsidRPr="00F46CFD">
              <w:rPr>
                <w:sz w:val="17"/>
                <w:szCs w:val="17"/>
              </w:rPr>
              <w:t xml:space="preserve">5% en los efectivos </w:t>
            </w:r>
            <w:r>
              <w:rPr>
                <w:sz w:val="17"/>
                <w:szCs w:val="17"/>
              </w:rPr>
              <w:t xml:space="preserve">necesarios </w:t>
            </w:r>
            <w:r w:rsidRPr="00F46CFD">
              <w:rPr>
                <w:sz w:val="17"/>
                <w:szCs w:val="17"/>
              </w:rPr>
              <w:t xml:space="preserve">para </w:t>
            </w:r>
            <w:r w:rsidRPr="002469C1">
              <w:rPr>
                <w:sz w:val="17"/>
                <w:szCs w:val="17"/>
              </w:rPr>
              <w:t>movilizarse en caso de emergencia</w:t>
            </w:r>
            <w:r w:rsidRPr="00F46CFD">
              <w:rPr>
                <w:sz w:val="17"/>
                <w:szCs w:val="17"/>
              </w:rPr>
              <w:t>.</w:t>
            </w:r>
          </w:p>
          <w:p w:rsidR="0010230A" w:rsidRPr="008F0E12" w:rsidRDefault="0010230A" w:rsidP="00DC1333">
            <w:pPr>
              <w:contextualSpacing/>
              <w:rPr>
                <w:sz w:val="17"/>
                <w:szCs w:val="17"/>
              </w:rPr>
            </w:pPr>
          </w:p>
          <w:p w:rsidR="0010230A" w:rsidRPr="008F0E12" w:rsidRDefault="0010230A" w:rsidP="00DC1333">
            <w:pPr>
              <w:contextualSpacing/>
              <w:rPr>
                <w:color w:val="000000"/>
                <w:sz w:val="17"/>
                <w:szCs w:val="17"/>
              </w:rPr>
            </w:pPr>
            <w:r w:rsidRPr="008F0E12">
              <w:rPr>
                <w:sz w:val="17"/>
                <w:szCs w:val="17"/>
              </w:rPr>
              <w:t>2015</w:t>
            </w:r>
            <w:proofErr w:type="gramStart"/>
            <w:r w:rsidRPr="008F0E12">
              <w:rPr>
                <w:sz w:val="17"/>
                <w:szCs w:val="17"/>
              </w:rPr>
              <w:t xml:space="preserve">: </w:t>
            </w:r>
            <w:r>
              <w:rPr>
                <w:sz w:val="17"/>
                <w:szCs w:val="17"/>
              </w:rPr>
              <w:t xml:space="preserve"> Reducción</w:t>
            </w:r>
            <w:proofErr w:type="gramEnd"/>
            <w:r>
              <w:rPr>
                <w:sz w:val="17"/>
                <w:szCs w:val="17"/>
              </w:rPr>
              <w:t xml:space="preserve"> global del </w:t>
            </w:r>
            <w:r w:rsidRPr="008F0E12">
              <w:rPr>
                <w:sz w:val="17"/>
                <w:szCs w:val="17"/>
              </w:rPr>
              <w:t>17</w:t>
            </w:r>
            <w:r>
              <w:rPr>
                <w:sz w:val="17"/>
                <w:szCs w:val="17"/>
              </w:rPr>
              <w:t>,</w:t>
            </w:r>
            <w:r w:rsidRPr="008F0E12">
              <w:rPr>
                <w:sz w:val="17"/>
                <w:szCs w:val="17"/>
              </w:rPr>
              <w:t xml:space="preserve">9% (708.739 CHF) </w:t>
            </w:r>
            <w:r>
              <w:rPr>
                <w:sz w:val="17"/>
                <w:szCs w:val="17"/>
              </w:rPr>
              <w:t xml:space="preserve">de </w:t>
            </w:r>
            <w:r w:rsidRPr="008F0E12">
              <w:rPr>
                <w:sz w:val="17"/>
                <w:szCs w:val="17"/>
              </w:rPr>
              <w:t xml:space="preserve">2013 </w:t>
            </w:r>
            <w:r>
              <w:rPr>
                <w:sz w:val="17"/>
                <w:szCs w:val="17"/>
              </w:rPr>
              <w:t xml:space="preserve">a </w:t>
            </w:r>
            <w:r w:rsidRPr="008F0E12">
              <w:rPr>
                <w:sz w:val="17"/>
                <w:szCs w:val="17"/>
              </w:rPr>
              <w:t xml:space="preserve">2015 (3.235.098 CHF) </w:t>
            </w:r>
            <w:r>
              <w:rPr>
                <w:sz w:val="17"/>
                <w:szCs w:val="17"/>
              </w:rPr>
              <w:t xml:space="preserve">como consecuencia de la redistribución eficaz de los guardias de seguridad de </w:t>
            </w:r>
            <w:r w:rsidRPr="008F0E12">
              <w:rPr>
                <w:sz w:val="17"/>
                <w:szCs w:val="17"/>
              </w:rPr>
              <w:t xml:space="preserve">ARNDT </w:t>
            </w:r>
            <w:r>
              <w:rPr>
                <w:sz w:val="17"/>
                <w:szCs w:val="17"/>
              </w:rPr>
              <w:t xml:space="preserve">tras la instalación de las puertas de acceso rápido, y el Centro de Operaciones de Seguridad </w:t>
            </w:r>
            <w:r>
              <w:rPr>
                <w:sz w:val="17"/>
                <w:szCs w:val="17"/>
              </w:rPr>
              <w:lastRenderedPageBreak/>
              <w:t xml:space="preserve">como parte del </w:t>
            </w:r>
            <w:r w:rsidRPr="00AA03F0">
              <w:rPr>
                <w:sz w:val="17"/>
                <w:szCs w:val="17"/>
              </w:rPr>
              <w:t>proyecto H-MOSS</w:t>
            </w:r>
            <w:r w:rsidRPr="008F0E12">
              <w:rPr>
                <w:sz w:val="17"/>
                <w:szCs w:val="17"/>
              </w:rPr>
              <w:t>,</w:t>
            </w:r>
            <w:r>
              <w:rPr>
                <w:sz w:val="17"/>
                <w:szCs w:val="17"/>
              </w:rPr>
              <w:t xml:space="preserve"> con lo que se ha reducido el número total de horas de trabajo de los guardias de seguridad;  y una reducción del 29% </w:t>
            </w:r>
            <w:r w:rsidRPr="00AA03F0">
              <w:rPr>
                <w:sz w:val="17"/>
                <w:szCs w:val="17"/>
              </w:rPr>
              <w:t xml:space="preserve">en los efectivos necesarios para </w:t>
            </w:r>
            <w:r>
              <w:rPr>
                <w:sz w:val="17"/>
                <w:szCs w:val="17"/>
              </w:rPr>
              <w:t>movilizarse en caso de emergencia</w:t>
            </w:r>
            <w:r w:rsidRPr="00AA03F0">
              <w:rPr>
                <w:sz w:val="17"/>
                <w:szCs w:val="17"/>
              </w:rPr>
              <w:t>.</w:t>
            </w:r>
            <w:r w:rsidRPr="008F0E12">
              <w:rPr>
                <w:color w:val="000000"/>
                <w:sz w:val="17"/>
                <w:szCs w:val="17"/>
              </w:rPr>
              <w:t xml:space="preserve"> </w:t>
            </w:r>
          </w:p>
        </w:tc>
      </w:tr>
      <w:tr w:rsidR="0010230A" w:rsidRPr="00D512B8" w:rsidTr="00DC1333">
        <w:trPr>
          <w:trHeight w:val="2550"/>
        </w:trPr>
        <w:tc>
          <w:tcPr>
            <w:tcW w:w="1012"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lastRenderedPageBreak/>
              <w:t>Menores costos en general con respecto a la tramitación de las solicitudes internacionales en el marco del Sistema de La Haya</w:t>
            </w:r>
          </w:p>
        </w:tc>
        <w:tc>
          <w:tcPr>
            <w:tcW w:w="651"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47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 </w:t>
            </w:r>
          </w:p>
        </w:tc>
        <w:tc>
          <w:tcPr>
            <w:tcW w:w="823" w:type="pct"/>
            <w:tcBorders>
              <w:top w:val="single" w:sz="4" w:space="0" w:color="auto"/>
              <w:left w:val="nil"/>
              <w:bottom w:val="single" w:sz="4" w:space="0" w:color="auto"/>
              <w:right w:val="single" w:sz="4" w:space="0" w:color="auto"/>
            </w:tcBorders>
            <w:shd w:val="clear" w:color="auto" w:fill="auto"/>
            <w:hideMark/>
          </w:tcPr>
          <w:p w:rsidR="0010230A" w:rsidRDefault="0010230A" w:rsidP="00DC1333">
            <w:pPr>
              <w:rPr>
                <w:color w:val="000000"/>
                <w:sz w:val="17"/>
                <w:szCs w:val="17"/>
              </w:rPr>
            </w:pPr>
            <w:r>
              <w:rPr>
                <w:color w:val="000000"/>
                <w:sz w:val="17"/>
                <w:szCs w:val="17"/>
              </w:rPr>
              <w:t>R</w:t>
            </w:r>
            <w:r w:rsidRPr="00A964E1">
              <w:rPr>
                <w:color w:val="000000"/>
                <w:sz w:val="17"/>
                <w:szCs w:val="17"/>
              </w:rPr>
              <w:t>educción del costo unitario por dibujo o modelo nuevo/</w:t>
            </w:r>
            <w:r>
              <w:rPr>
                <w:color w:val="000000"/>
                <w:sz w:val="17"/>
                <w:szCs w:val="17"/>
              </w:rPr>
              <w:t>renovado,</w:t>
            </w:r>
            <w:r w:rsidRPr="00A964E1">
              <w:rPr>
                <w:color w:val="000000"/>
                <w:sz w:val="17"/>
                <w:szCs w:val="17"/>
              </w:rPr>
              <w:t xml:space="preserve"> </w:t>
            </w:r>
            <w:r>
              <w:rPr>
                <w:color w:val="000000"/>
                <w:sz w:val="17"/>
                <w:szCs w:val="17"/>
              </w:rPr>
              <w:t>de 420 CHF e</w:t>
            </w:r>
            <w:r w:rsidRPr="008F0E12">
              <w:rPr>
                <w:color w:val="000000"/>
                <w:sz w:val="17"/>
                <w:szCs w:val="17"/>
              </w:rPr>
              <w:t xml:space="preserve">n 2013 </w:t>
            </w:r>
            <w:r>
              <w:rPr>
                <w:color w:val="000000"/>
                <w:sz w:val="17"/>
                <w:szCs w:val="17"/>
              </w:rPr>
              <w:t>a</w:t>
            </w:r>
            <w:r w:rsidRPr="008F0E12">
              <w:rPr>
                <w:color w:val="000000"/>
                <w:sz w:val="17"/>
                <w:szCs w:val="17"/>
              </w:rPr>
              <w:t xml:space="preserve"> 366 CHF </w:t>
            </w:r>
            <w:r>
              <w:rPr>
                <w:color w:val="000000"/>
                <w:sz w:val="17"/>
                <w:szCs w:val="17"/>
              </w:rPr>
              <w:t>e</w:t>
            </w:r>
            <w:r w:rsidRPr="008F0E12">
              <w:rPr>
                <w:color w:val="000000"/>
                <w:sz w:val="17"/>
                <w:szCs w:val="17"/>
              </w:rPr>
              <w:t>n 2014 (e</w:t>
            </w:r>
            <w:r>
              <w:rPr>
                <w:color w:val="000000"/>
                <w:sz w:val="17"/>
                <w:szCs w:val="17"/>
              </w:rPr>
              <w:t>s decir, 54 CHF o una disminución del</w:t>
            </w:r>
            <w:r w:rsidRPr="008F0E12">
              <w:rPr>
                <w:color w:val="000000"/>
                <w:sz w:val="17"/>
                <w:szCs w:val="17"/>
              </w:rPr>
              <w:t xml:space="preserve"> 13%). </w:t>
            </w:r>
            <w:r w:rsidRPr="008F0E12">
              <w:rPr>
                <w:color w:val="000000"/>
                <w:sz w:val="17"/>
                <w:szCs w:val="17"/>
              </w:rPr>
              <w:br w:type="page"/>
            </w:r>
            <w:r>
              <w:rPr>
                <w:color w:val="000000"/>
                <w:sz w:val="17"/>
                <w:szCs w:val="17"/>
              </w:rPr>
              <w:t xml:space="preserve">Reducción del costo unitario por documento inscrito en el Registro, de </w:t>
            </w:r>
            <w:r w:rsidRPr="008F0E12">
              <w:rPr>
                <w:color w:val="000000"/>
                <w:sz w:val="17"/>
                <w:szCs w:val="17"/>
              </w:rPr>
              <w:t xml:space="preserve">1.570 CHF  </w:t>
            </w:r>
            <w:r>
              <w:rPr>
                <w:color w:val="000000"/>
                <w:sz w:val="17"/>
                <w:szCs w:val="17"/>
              </w:rPr>
              <w:t>e</w:t>
            </w:r>
            <w:r w:rsidRPr="008F0E12">
              <w:rPr>
                <w:color w:val="000000"/>
                <w:sz w:val="17"/>
                <w:szCs w:val="17"/>
              </w:rPr>
              <w:t xml:space="preserve">n 2013 </w:t>
            </w:r>
            <w:r>
              <w:rPr>
                <w:color w:val="000000"/>
                <w:sz w:val="17"/>
                <w:szCs w:val="17"/>
              </w:rPr>
              <w:t>a</w:t>
            </w:r>
            <w:r w:rsidRPr="008F0E12">
              <w:rPr>
                <w:color w:val="000000"/>
                <w:sz w:val="17"/>
                <w:szCs w:val="17"/>
              </w:rPr>
              <w:t xml:space="preserve"> 1.483 CHF  </w:t>
            </w:r>
            <w:r>
              <w:rPr>
                <w:color w:val="000000"/>
                <w:sz w:val="17"/>
                <w:szCs w:val="17"/>
              </w:rPr>
              <w:t>e</w:t>
            </w:r>
            <w:r w:rsidRPr="008F0E12">
              <w:rPr>
                <w:color w:val="000000"/>
                <w:sz w:val="17"/>
                <w:szCs w:val="17"/>
              </w:rPr>
              <w:t>n 2014 (e</w:t>
            </w:r>
            <w:r>
              <w:rPr>
                <w:color w:val="000000"/>
                <w:sz w:val="17"/>
                <w:szCs w:val="17"/>
              </w:rPr>
              <w:t>s decir</w:t>
            </w:r>
            <w:r w:rsidRPr="008F0E12">
              <w:rPr>
                <w:color w:val="000000"/>
                <w:sz w:val="17"/>
                <w:szCs w:val="17"/>
              </w:rPr>
              <w:t>, 87 CHF o</w:t>
            </w:r>
            <w:r>
              <w:rPr>
                <w:color w:val="000000"/>
                <w:sz w:val="17"/>
                <w:szCs w:val="17"/>
              </w:rPr>
              <w:t xml:space="preserve"> una disminución del 5,</w:t>
            </w:r>
            <w:r w:rsidRPr="008F0E12">
              <w:rPr>
                <w:color w:val="000000"/>
                <w:sz w:val="17"/>
                <w:szCs w:val="17"/>
              </w:rPr>
              <w:t>5%)</w:t>
            </w:r>
          </w:p>
          <w:p w:rsidR="0010230A" w:rsidRPr="008F0E12" w:rsidRDefault="0010230A">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hideMark/>
          </w:tcPr>
          <w:p w:rsidR="0010230A" w:rsidRDefault="0010230A">
            <w:pPr>
              <w:rPr>
                <w:color w:val="000000"/>
                <w:sz w:val="17"/>
                <w:szCs w:val="17"/>
              </w:rPr>
            </w:pPr>
            <w:r>
              <w:rPr>
                <w:color w:val="000000"/>
                <w:sz w:val="17"/>
                <w:szCs w:val="17"/>
              </w:rPr>
              <w:t xml:space="preserve">Otra reducción del costo unitario por dibujo o modelo nuevo/renovado, de </w:t>
            </w:r>
            <w:r w:rsidRPr="008F0E12">
              <w:rPr>
                <w:color w:val="000000"/>
                <w:sz w:val="17"/>
                <w:szCs w:val="17"/>
              </w:rPr>
              <w:t xml:space="preserve">366 CHF </w:t>
            </w:r>
            <w:r>
              <w:rPr>
                <w:color w:val="000000"/>
                <w:sz w:val="17"/>
                <w:szCs w:val="17"/>
              </w:rPr>
              <w:t>e</w:t>
            </w:r>
            <w:r w:rsidRPr="008F0E12">
              <w:rPr>
                <w:color w:val="000000"/>
                <w:sz w:val="17"/>
                <w:szCs w:val="17"/>
              </w:rPr>
              <w:t xml:space="preserve">n 2014 </w:t>
            </w:r>
            <w:r>
              <w:rPr>
                <w:color w:val="000000"/>
                <w:sz w:val="17"/>
                <w:szCs w:val="17"/>
              </w:rPr>
              <w:t xml:space="preserve">a </w:t>
            </w:r>
            <w:r w:rsidRPr="008F0E12">
              <w:rPr>
                <w:color w:val="000000"/>
                <w:sz w:val="17"/>
                <w:szCs w:val="17"/>
              </w:rPr>
              <w:t xml:space="preserve">337 CHF </w:t>
            </w:r>
            <w:r>
              <w:rPr>
                <w:color w:val="000000"/>
                <w:sz w:val="17"/>
                <w:szCs w:val="17"/>
              </w:rPr>
              <w:t>e</w:t>
            </w:r>
            <w:r w:rsidRPr="008F0E12">
              <w:rPr>
                <w:color w:val="000000"/>
                <w:sz w:val="17"/>
                <w:szCs w:val="17"/>
              </w:rPr>
              <w:t>n 2015 (</w:t>
            </w:r>
            <w:r>
              <w:rPr>
                <w:color w:val="000000"/>
                <w:sz w:val="17"/>
                <w:szCs w:val="17"/>
              </w:rPr>
              <w:t>es decir</w:t>
            </w:r>
            <w:r w:rsidRPr="008F0E12">
              <w:rPr>
                <w:color w:val="000000"/>
                <w:sz w:val="17"/>
                <w:szCs w:val="17"/>
              </w:rPr>
              <w:t>, 29 CHF o</w:t>
            </w:r>
            <w:r>
              <w:rPr>
                <w:color w:val="000000"/>
                <w:sz w:val="17"/>
                <w:szCs w:val="17"/>
              </w:rPr>
              <w:t xml:space="preserve"> una disminución del 7,</w:t>
            </w:r>
            <w:r w:rsidRPr="008F0E12">
              <w:rPr>
                <w:color w:val="000000"/>
                <w:sz w:val="17"/>
                <w:szCs w:val="17"/>
              </w:rPr>
              <w:t>9%)</w:t>
            </w:r>
            <w:r w:rsidRPr="008F0E12">
              <w:rPr>
                <w:color w:val="000000"/>
                <w:sz w:val="17"/>
                <w:szCs w:val="17"/>
              </w:rPr>
              <w:br w:type="page"/>
              <w:t xml:space="preserve">.  </w:t>
            </w:r>
            <w:r>
              <w:rPr>
                <w:color w:val="000000"/>
                <w:sz w:val="17"/>
                <w:szCs w:val="17"/>
              </w:rPr>
              <w:t xml:space="preserve">Otra reducción del costo unitario por documento inscrito en el Registro, de </w:t>
            </w:r>
            <w:r w:rsidRPr="008F0E12">
              <w:rPr>
                <w:color w:val="000000"/>
                <w:sz w:val="17"/>
                <w:szCs w:val="17"/>
              </w:rPr>
              <w:t xml:space="preserve">1.483 CHF </w:t>
            </w:r>
            <w:r>
              <w:rPr>
                <w:color w:val="000000"/>
                <w:sz w:val="17"/>
                <w:szCs w:val="17"/>
              </w:rPr>
              <w:t>e</w:t>
            </w:r>
            <w:r w:rsidRPr="008F0E12">
              <w:rPr>
                <w:color w:val="000000"/>
                <w:sz w:val="17"/>
                <w:szCs w:val="17"/>
              </w:rPr>
              <w:t xml:space="preserve">n 2014 </w:t>
            </w:r>
            <w:r>
              <w:rPr>
                <w:color w:val="000000"/>
                <w:sz w:val="17"/>
                <w:szCs w:val="17"/>
              </w:rPr>
              <w:t>a</w:t>
            </w:r>
            <w:r w:rsidRPr="008F0E12">
              <w:rPr>
                <w:color w:val="000000"/>
                <w:sz w:val="17"/>
                <w:szCs w:val="17"/>
              </w:rPr>
              <w:t xml:space="preserve"> 1.153 </w:t>
            </w:r>
            <w:r>
              <w:rPr>
                <w:color w:val="000000"/>
                <w:sz w:val="17"/>
                <w:szCs w:val="17"/>
              </w:rPr>
              <w:t>e</w:t>
            </w:r>
            <w:r w:rsidRPr="008F0E12">
              <w:rPr>
                <w:color w:val="000000"/>
                <w:sz w:val="17"/>
                <w:szCs w:val="17"/>
              </w:rPr>
              <w:t>n 2015 (e</w:t>
            </w:r>
            <w:r>
              <w:rPr>
                <w:color w:val="000000"/>
                <w:sz w:val="17"/>
                <w:szCs w:val="17"/>
              </w:rPr>
              <w:t>s decir</w:t>
            </w:r>
            <w:r w:rsidRPr="008F0E12">
              <w:rPr>
                <w:color w:val="000000"/>
                <w:sz w:val="17"/>
                <w:szCs w:val="17"/>
              </w:rPr>
              <w:t xml:space="preserve">, 330 o </w:t>
            </w:r>
            <w:r>
              <w:rPr>
                <w:color w:val="000000"/>
                <w:sz w:val="17"/>
                <w:szCs w:val="17"/>
              </w:rPr>
              <w:t>una disminución del 22,</w:t>
            </w:r>
            <w:r w:rsidRPr="008F0E12">
              <w:rPr>
                <w:color w:val="000000"/>
                <w:sz w:val="17"/>
                <w:szCs w:val="17"/>
              </w:rPr>
              <w:t>3%)</w:t>
            </w:r>
          </w:p>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 xml:space="preserve">Cabe remitirse al documento PPR de 2014/15 para más información sobre los indicadores </w:t>
            </w:r>
            <w:r w:rsidRPr="00A964E1">
              <w:rPr>
                <w:color w:val="000000"/>
                <w:sz w:val="17"/>
                <w:szCs w:val="17"/>
              </w:rPr>
              <w:t>de las operaciones del Sistema de La Haya</w:t>
            </w:r>
            <w:r>
              <w:rPr>
                <w:color w:val="000000"/>
                <w:sz w:val="17"/>
                <w:szCs w:val="17"/>
              </w:rPr>
              <w:t>.</w:t>
            </w:r>
          </w:p>
        </w:tc>
      </w:tr>
      <w:tr w:rsidR="0010230A" w:rsidRPr="00D512B8" w:rsidTr="00DC1333">
        <w:trPr>
          <w:trHeight w:val="1579"/>
        </w:trPr>
        <w:tc>
          <w:tcPr>
            <w:tcW w:w="1012" w:type="pct"/>
            <w:tcBorders>
              <w:top w:val="single" w:sz="4" w:space="0" w:color="auto"/>
              <w:left w:val="single" w:sz="4" w:space="0" w:color="auto"/>
              <w:bottom w:val="single" w:sz="4" w:space="0" w:color="auto"/>
              <w:right w:val="single" w:sz="4" w:space="0" w:color="auto"/>
            </w:tcBorders>
            <w:shd w:val="clear" w:color="auto" w:fill="auto"/>
          </w:tcPr>
          <w:p w:rsidR="0010230A" w:rsidRPr="008F0E12" w:rsidRDefault="0010230A" w:rsidP="00DC1333">
            <w:pPr>
              <w:rPr>
                <w:color w:val="000000"/>
                <w:sz w:val="17"/>
                <w:szCs w:val="17"/>
              </w:rPr>
            </w:pPr>
            <w:r>
              <w:rPr>
                <w:color w:val="000000"/>
                <w:sz w:val="17"/>
                <w:szCs w:val="17"/>
              </w:rPr>
              <w:t xml:space="preserve">Primas más bajas como consecuencia de la renegociación del nuevo contrato de seguro de accidentes profesionales </w:t>
            </w:r>
          </w:p>
        </w:tc>
        <w:tc>
          <w:tcPr>
            <w:tcW w:w="651"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n/a</w:t>
            </w:r>
          </w:p>
        </w:tc>
        <w:tc>
          <w:tcPr>
            <w:tcW w:w="477"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sidRPr="008F0E12">
              <w:rPr>
                <w:color w:val="000000"/>
                <w:sz w:val="17"/>
                <w:szCs w:val="17"/>
              </w:rPr>
              <w:t>200.000</w:t>
            </w:r>
          </w:p>
        </w:tc>
        <w:tc>
          <w:tcPr>
            <w:tcW w:w="823"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869"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p>
        </w:tc>
        <w:tc>
          <w:tcPr>
            <w:tcW w:w="1167" w:type="pct"/>
            <w:tcBorders>
              <w:top w:val="single" w:sz="4" w:space="0" w:color="auto"/>
              <w:left w:val="nil"/>
              <w:bottom w:val="single" w:sz="4" w:space="0" w:color="auto"/>
              <w:right w:val="single" w:sz="4" w:space="0" w:color="auto"/>
            </w:tcBorders>
            <w:shd w:val="clear" w:color="auto" w:fill="auto"/>
          </w:tcPr>
          <w:p w:rsidR="0010230A" w:rsidRPr="008F0E12" w:rsidRDefault="0010230A" w:rsidP="00DC1333">
            <w:pPr>
              <w:rPr>
                <w:color w:val="000000"/>
                <w:sz w:val="17"/>
                <w:szCs w:val="17"/>
              </w:rPr>
            </w:pPr>
            <w:r>
              <w:rPr>
                <w:color w:val="000000"/>
                <w:sz w:val="17"/>
                <w:szCs w:val="17"/>
              </w:rPr>
              <w:t>La renegociación del contrato de seguro de accidentes profesionales ha dado lugar a unos ahorros que se cifran en 200.000 francos suizos en 2015.</w:t>
            </w:r>
          </w:p>
        </w:tc>
      </w:tr>
    </w:tbl>
    <w:p w:rsidR="0010230A" w:rsidRPr="008F0E12" w:rsidRDefault="0010230A" w:rsidP="00DC1333">
      <w:pPr>
        <w:rPr>
          <w:i/>
          <w:sz w:val="18"/>
          <w:szCs w:val="18"/>
        </w:rPr>
      </w:pPr>
    </w:p>
    <w:p w:rsidR="0010230A" w:rsidRPr="008F0E12" w:rsidRDefault="0010230A" w:rsidP="00DC1333">
      <w:pPr>
        <w:rPr>
          <w:i/>
          <w:sz w:val="18"/>
          <w:szCs w:val="18"/>
        </w:rPr>
      </w:pPr>
      <w:r w:rsidRPr="00C959A7">
        <w:rPr>
          <w:i/>
          <w:sz w:val="18"/>
          <w:szCs w:val="18"/>
        </w:rPr>
        <w:t>En caso de que las cifras no correspondan al total se deberá al redondeo de los importes.</w:t>
      </w:r>
    </w:p>
    <w:p w:rsidR="0010230A" w:rsidRPr="008F0E12" w:rsidRDefault="0010230A" w:rsidP="00DC1333">
      <w:pPr>
        <w:rPr>
          <w:i/>
          <w:sz w:val="18"/>
          <w:szCs w:val="18"/>
        </w:rPr>
      </w:pPr>
      <w:r w:rsidRPr="008F0E12">
        <w:rPr>
          <w:i/>
          <w:sz w:val="18"/>
          <w:szCs w:val="18"/>
        </w:rPr>
        <w:t>*</w:t>
      </w:r>
      <w:r>
        <w:rPr>
          <w:i/>
          <w:sz w:val="18"/>
          <w:szCs w:val="18"/>
        </w:rPr>
        <w:t xml:space="preserve">información facilitada según lo expuesto en el </w:t>
      </w:r>
      <w:r w:rsidRPr="008F0E12">
        <w:rPr>
          <w:i/>
          <w:sz w:val="18"/>
          <w:szCs w:val="18"/>
        </w:rPr>
        <w:t>document</w:t>
      </w:r>
      <w:r>
        <w:rPr>
          <w:i/>
          <w:sz w:val="18"/>
          <w:szCs w:val="18"/>
        </w:rPr>
        <w:t>o</w:t>
      </w:r>
      <w:r w:rsidRPr="008F0E12">
        <w:rPr>
          <w:i/>
          <w:sz w:val="18"/>
          <w:szCs w:val="18"/>
        </w:rPr>
        <w:t xml:space="preserve"> WO/PBC/23/COST EFFICIENCIES REALIZED IN 2014, </w:t>
      </w:r>
      <w:r>
        <w:rPr>
          <w:i/>
          <w:sz w:val="18"/>
          <w:szCs w:val="18"/>
        </w:rPr>
        <w:t xml:space="preserve">salvo que se indique lo contrario </w:t>
      </w:r>
    </w:p>
    <w:p w:rsidR="0010230A" w:rsidRPr="008F0E12" w:rsidRDefault="0010230A" w:rsidP="00DC1333">
      <w:pPr>
        <w:rPr>
          <w:i/>
          <w:sz w:val="18"/>
          <w:szCs w:val="18"/>
        </w:rPr>
      </w:pPr>
      <w:r w:rsidRPr="008F0E12">
        <w:rPr>
          <w:i/>
          <w:sz w:val="18"/>
          <w:szCs w:val="18"/>
        </w:rPr>
        <w:t>**</w:t>
      </w:r>
      <w:r>
        <w:rPr>
          <w:i/>
          <w:sz w:val="18"/>
          <w:szCs w:val="18"/>
        </w:rPr>
        <w:t xml:space="preserve">Ahorros anuales en </w:t>
      </w:r>
      <w:r w:rsidRPr="008F0E12">
        <w:rPr>
          <w:i/>
          <w:sz w:val="18"/>
          <w:szCs w:val="18"/>
        </w:rPr>
        <w:t xml:space="preserve">2015 </w:t>
      </w:r>
      <w:r>
        <w:rPr>
          <w:i/>
          <w:sz w:val="18"/>
          <w:szCs w:val="18"/>
        </w:rPr>
        <w:t xml:space="preserve">en comparación con </w:t>
      </w:r>
      <w:r w:rsidRPr="008F0E12">
        <w:rPr>
          <w:i/>
          <w:sz w:val="18"/>
          <w:szCs w:val="18"/>
        </w:rPr>
        <w:t>2013</w:t>
      </w:r>
    </w:p>
    <w:p w:rsidR="0010230A" w:rsidRPr="008F0E12" w:rsidRDefault="0010230A" w:rsidP="00DC1333">
      <w:pPr>
        <w:rPr>
          <w:i/>
          <w:sz w:val="18"/>
          <w:szCs w:val="18"/>
        </w:rPr>
      </w:pPr>
      <w:r w:rsidRPr="008F0E12">
        <w:rPr>
          <w:i/>
          <w:sz w:val="18"/>
          <w:szCs w:val="18"/>
        </w:rPr>
        <w:t>***</w:t>
      </w:r>
      <w:r>
        <w:rPr>
          <w:i/>
          <w:sz w:val="18"/>
          <w:szCs w:val="18"/>
        </w:rPr>
        <w:t xml:space="preserve">Cifras revisadas en abril de </w:t>
      </w:r>
      <w:r w:rsidRPr="008F0E12">
        <w:rPr>
          <w:i/>
          <w:sz w:val="18"/>
          <w:szCs w:val="18"/>
        </w:rPr>
        <w:t>2016</w:t>
      </w:r>
    </w:p>
    <w:p w:rsidR="0010230A" w:rsidRPr="008F0E12" w:rsidRDefault="0010230A" w:rsidP="00DC1333">
      <w:pPr>
        <w:jc w:val="center"/>
        <w:rPr>
          <w:b/>
          <w:sz w:val="18"/>
          <w:szCs w:val="18"/>
        </w:rPr>
      </w:pPr>
    </w:p>
    <w:p w:rsidR="0010230A" w:rsidRPr="008F0E12" w:rsidRDefault="0010230A" w:rsidP="00DC1333">
      <w:pPr>
        <w:jc w:val="center"/>
        <w:rPr>
          <w:b/>
          <w:sz w:val="18"/>
          <w:szCs w:val="18"/>
        </w:rPr>
      </w:pPr>
    </w:p>
    <w:p w:rsidR="0010230A" w:rsidRPr="008F0E12" w:rsidRDefault="0010230A" w:rsidP="00DC1333">
      <w:pPr>
        <w:jc w:val="center"/>
        <w:rPr>
          <w:b/>
          <w:sz w:val="18"/>
          <w:szCs w:val="18"/>
        </w:rPr>
      </w:pPr>
    </w:p>
    <w:p w:rsidR="0010230A" w:rsidRPr="008F0E12" w:rsidRDefault="0010230A" w:rsidP="00DC1333">
      <w:pPr>
        <w:keepNext/>
        <w:keepLines/>
        <w:jc w:val="center"/>
        <w:rPr>
          <w:sz w:val="20"/>
          <w:szCs w:val="18"/>
        </w:rPr>
      </w:pPr>
      <w:r>
        <w:rPr>
          <w:sz w:val="20"/>
          <w:szCs w:val="18"/>
        </w:rPr>
        <w:lastRenderedPageBreak/>
        <w:t>RECUPERACIONES DE COSTOS</w:t>
      </w:r>
      <w:r w:rsidRPr="008F0E12">
        <w:rPr>
          <w:sz w:val="20"/>
          <w:szCs w:val="18"/>
        </w:rPr>
        <w:t xml:space="preserve"> </w:t>
      </w:r>
      <w:r>
        <w:rPr>
          <w:sz w:val="20"/>
          <w:szCs w:val="18"/>
        </w:rPr>
        <w:t>E</w:t>
      </w:r>
      <w:r w:rsidRPr="008F0E12">
        <w:rPr>
          <w:sz w:val="20"/>
          <w:szCs w:val="18"/>
        </w:rPr>
        <w:t>N 2014/15</w:t>
      </w:r>
    </w:p>
    <w:p w:rsidR="0010230A" w:rsidRPr="008F0E12" w:rsidRDefault="0010230A" w:rsidP="00DC1333">
      <w:pPr>
        <w:keepNext/>
        <w:keepLines/>
        <w:jc w:val="center"/>
        <w:rPr>
          <w:sz w:val="18"/>
          <w:szCs w:val="18"/>
        </w:rPr>
      </w:pPr>
    </w:p>
    <w:p w:rsidR="0010230A" w:rsidRPr="008F0E12" w:rsidRDefault="0010230A" w:rsidP="00DC1333">
      <w:pPr>
        <w:keepNext/>
        <w:keepLines/>
        <w:jc w:val="center"/>
        <w:rPr>
          <w:b/>
          <w:sz w:val="18"/>
          <w:szCs w:val="18"/>
        </w:rPr>
      </w:pPr>
    </w:p>
    <w:tbl>
      <w:tblPr>
        <w:tblW w:w="5086" w:type="pct"/>
        <w:tblInd w:w="-176" w:type="dxa"/>
        <w:tblCellMar>
          <w:top w:w="85" w:type="dxa"/>
        </w:tblCellMar>
        <w:tblLook w:val="04A0" w:firstRow="1" w:lastRow="0" w:firstColumn="1" w:lastColumn="0" w:noHBand="0" w:noVBand="1"/>
      </w:tblPr>
      <w:tblGrid>
        <w:gridCol w:w="1674"/>
        <w:gridCol w:w="1058"/>
        <w:gridCol w:w="1116"/>
        <w:gridCol w:w="1395"/>
        <w:gridCol w:w="1397"/>
        <w:gridCol w:w="1759"/>
        <w:gridCol w:w="1337"/>
      </w:tblGrid>
      <w:tr w:rsidR="0010230A" w:rsidRPr="008F0E12" w:rsidTr="00DC1333">
        <w:trPr>
          <w:trHeight w:val="765"/>
        </w:trPr>
        <w:tc>
          <w:tcPr>
            <w:tcW w:w="867" w:type="pct"/>
            <w:tcBorders>
              <w:top w:val="single" w:sz="4" w:space="0" w:color="auto"/>
              <w:left w:val="single" w:sz="4" w:space="0" w:color="auto"/>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Recuperación de costos</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A</w:t>
            </w:r>
          </w:p>
        </w:tc>
        <w:tc>
          <w:tcPr>
            <w:tcW w:w="550" w:type="pct"/>
            <w:tcBorders>
              <w:top w:val="single" w:sz="4" w:space="0" w:color="auto"/>
              <w:left w:val="nil"/>
              <w:bottom w:val="nil"/>
              <w:right w:val="single" w:sz="4" w:space="0" w:color="auto"/>
            </w:tcBorders>
            <w:shd w:val="clear" w:color="000000" w:fill="8DB4E2"/>
            <w:vAlign w:val="center"/>
            <w:hideMark/>
          </w:tcPr>
          <w:p w:rsidR="0010230A" w:rsidRPr="00E01533" w:rsidRDefault="0010230A" w:rsidP="00DC1333">
            <w:pPr>
              <w:keepNext/>
              <w:keepLines/>
              <w:jc w:val="center"/>
              <w:rPr>
                <w:b/>
                <w:bCs/>
                <w:color w:val="000000"/>
                <w:sz w:val="18"/>
                <w:szCs w:val="18"/>
              </w:rPr>
            </w:pPr>
            <w:r w:rsidRPr="00E01533">
              <w:rPr>
                <w:b/>
                <w:bCs/>
                <w:color w:val="000000"/>
                <w:sz w:val="18"/>
                <w:szCs w:val="18"/>
              </w:rPr>
              <w:t xml:space="preserve">2014 </w:t>
            </w:r>
            <w:r w:rsidRPr="00E01533">
              <w:rPr>
                <w:b/>
                <w:bCs/>
                <w:color w:val="000000"/>
                <w:sz w:val="18"/>
                <w:szCs w:val="18"/>
              </w:rPr>
              <w:br/>
              <w:t>Ahorros anuales</w:t>
            </w:r>
          </w:p>
          <w:p w:rsidR="0010230A" w:rsidRPr="00E01533" w:rsidRDefault="0010230A" w:rsidP="00DC1333">
            <w:pPr>
              <w:keepNext/>
              <w:keepLines/>
              <w:jc w:val="center"/>
              <w:rPr>
                <w:b/>
                <w:bCs/>
                <w:color w:val="000000"/>
                <w:sz w:val="18"/>
                <w:szCs w:val="18"/>
              </w:rPr>
            </w:pPr>
            <w:r w:rsidRPr="00E01533">
              <w:rPr>
                <w:b/>
                <w:bCs/>
                <w:color w:val="000000"/>
                <w:sz w:val="18"/>
                <w:szCs w:val="18"/>
              </w:rPr>
              <w:t>(francos suizos)*</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B</w:t>
            </w:r>
          </w:p>
        </w:tc>
        <w:tc>
          <w:tcPr>
            <w:tcW w:w="580" w:type="pct"/>
            <w:tcBorders>
              <w:top w:val="single" w:sz="4" w:space="0" w:color="auto"/>
              <w:left w:val="nil"/>
              <w:bottom w:val="nil"/>
              <w:right w:val="single" w:sz="4" w:space="0" w:color="auto"/>
            </w:tcBorders>
            <w:shd w:val="clear" w:color="000000" w:fill="8DB4E2"/>
            <w:vAlign w:val="center"/>
            <w:hideMark/>
          </w:tcPr>
          <w:p w:rsidR="0010230A" w:rsidRPr="00E01533" w:rsidRDefault="0010230A" w:rsidP="00DC1333">
            <w:pPr>
              <w:keepNext/>
              <w:keepLines/>
              <w:jc w:val="center"/>
              <w:rPr>
                <w:b/>
                <w:bCs/>
                <w:color w:val="000000"/>
                <w:sz w:val="18"/>
                <w:szCs w:val="18"/>
              </w:rPr>
            </w:pPr>
            <w:r>
              <w:rPr>
                <w:b/>
                <w:bCs/>
                <w:color w:val="000000"/>
                <w:sz w:val="18"/>
                <w:szCs w:val="18"/>
              </w:rPr>
              <w:t>2015</w:t>
            </w:r>
            <w:r w:rsidRPr="00E01533">
              <w:rPr>
                <w:b/>
                <w:bCs/>
                <w:color w:val="000000"/>
                <w:sz w:val="18"/>
                <w:szCs w:val="18"/>
              </w:rPr>
              <w:br/>
              <w:t>Ahorros anuales</w:t>
            </w:r>
          </w:p>
          <w:p w:rsidR="0010230A" w:rsidRPr="00E01533" w:rsidRDefault="0010230A" w:rsidP="00DC1333">
            <w:pPr>
              <w:keepNext/>
              <w:keepLines/>
              <w:jc w:val="center"/>
              <w:rPr>
                <w:b/>
                <w:bCs/>
                <w:color w:val="000000"/>
                <w:sz w:val="18"/>
                <w:szCs w:val="18"/>
              </w:rPr>
            </w:pPr>
            <w:r w:rsidRPr="00E01533">
              <w:rPr>
                <w:b/>
                <w:bCs/>
                <w:color w:val="000000"/>
                <w:sz w:val="18"/>
                <w:szCs w:val="18"/>
              </w:rPr>
              <w:t>(francos suizos</w:t>
            </w:r>
            <w:r>
              <w:rPr>
                <w:b/>
                <w:bCs/>
                <w:color w:val="000000"/>
                <w:sz w:val="18"/>
                <w:szCs w:val="18"/>
              </w:rPr>
              <w:t>)</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C</w:t>
            </w:r>
          </w:p>
        </w:tc>
        <w:tc>
          <w:tcPr>
            <w:tcW w:w="723" w:type="pct"/>
            <w:tcBorders>
              <w:top w:val="single" w:sz="4" w:space="0" w:color="auto"/>
              <w:left w:val="nil"/>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 xml:space="preserve">Desglose de costos en </w:t>
            </w:r>
            <w:r w:rsidRPr="008F0E12">
              <w:rPr>
                <w:b/>
                <w:bCs/>
                <w:color w:val="000000"/>
                <w:sz w:val="18"/>
                <w:szCs w:val="18"/>
              </w:rPr>
              <w:t>2014*</w:t>
            </w:r>
            <w:r w:rsidRPr="008F0E12">
              <w:rPr>
                <w:b/>
                <w:bCs/>
                <w:color w:val="000000"/>
                <w:sz w:val="18"/>
                <w:szCs w:val="18"/>
              </w:rPr>
              <w:br/>
              <w:t>(</w:t>
            </w:r>
            <w:r>
              <w:rPr>
                <w:b/>
                <w:bCs/>
                <w:color w:val="000000"/>
                <w:sz w:val="18"/>
                <w:szCs w:val="18"/>
              </w:rPr>
              <w:t>francos suizos</w:t>
            </w:r>
            <w:r w:rsidRPr="008F0E12">
              <w:rPr>
                <w:b/>
                <w:bCs/>
                <w:color w:val="000000"/>
                <w:sz w:val="18"/>
                <w:szCs w:val="18"/>
              </w:rPr>
              <w:t>)</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D</w:t>
            </w:r>
          </w:p>
        </w:tc>
        <w:tc>
          <w:tcPr>
            <w:tcW w:w="724" w:type="pct"/>
            <w:tcBorders>
              <w:top w:val="single" w:sz="4" w:space="0" w:color="auto"/>
              <w:left w:val="nil"/>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 xml:space="preserve">Desglose de costos en </w:t>
            </w:r>
            <w:r w:rsidRPr="008F0E12">
              <w:rPr>
                <w:b/>
                <w:bCs/>
                <w:color w:val="000000"/>
                <w:sz w:val="18"/>
                <w:szCs w:val="18"/>
              </w:rPr>
              <w:t>2015</w:t>
            </w:r>
            <w:r w:rsidRPr="008F0E12">
              <w:rPr>
                <w:b/>
                <w:bCs/>
                <w:color w:val="000000"/>
                <w:sz w:val="18"/>
                <w:szCs w:val="18"/>
              </w:rPr>
              <w:br/>
              <w:t>(</w:t>
            </w:r>
            <w:r>
              <w:rPr>
                <w:b/>
                <w:bCs/>
                <w:color w:val="000000"/>
                <w:sz w:val="18"/>
                <w:szCs w:val="18"/>
              </w:rPr>
              <w:t>francos suizos</w:t>
            </w:r>
            <w:r w:rsidRPr="008F0E12">
              <w:rPr>
                <w:b/>
                <w:bCs/>
                <w:color w:val="000000"/>
                <w:sz w:val="18"/>
                <w:szCs w:val="18"/>
              </w:rPr>
              <w:t>)</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E</w:t>
            </w:r>
          </w:p>
        </w:tc>
        <w:tc>
          <w:tcPr>
            <w:tcW w:w="898" w:type="pct"/>
            <w:tcBorders>
              <w:top w:val="single" w:sz="4" w:space="0" w:color="auto"/>
              <w:left w:val="nil"/>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Nota</w:t>
            </w:r>
            <w:r w:rsidRPr="008F0E12">
              <w:rPr>
                <w:b/>
                <w:bCs/>
                <w:color w:val="000000"/>
                <w:sz w:val="18"/>
                <w:szCs w:val="18"/>
              </w:rPr>
              <w:t>s</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F</w:t>
            </w:r>
          </w:p>
        </w:tc>
        <w:tc>
          <w:tcPr>
            <w:tcW w:w="657" w:type="pct"/>
            <w:tcBorders>
              <w:top w:val="single" w:sz="4" w:space="0" w:color="auto"/>
              <w:left w:val="nil"/>
              <w:bottom w:val="nil"/>
              <w:right w:val="single" w:sz="4" w:space="0" w:color="auto"/>
            </w:tcBorders>
            <w:shd w:val="clear" w:color="000000" w:fill="8DB4E2"/>
            <w:vAlign w:val="center"/>
            <w:hideMark/>
          </w:tcPr>
          <w:p w:rsidR="0010230A" w:rsidRPr="008F0E12" w:rsidRDefault="0010230A" w:rsidP="00DC1333">
            <w:pPr>
              <w:keepNext/>
              <w:keepLines/>
              <w:jc w:val="center"/>
              <w:rPr>
                <w:b/>
                <w:bCs/>
                <w:color w:val="000000"/>
                <w:sz w:val="18"/>
                <w:szCs w:val="18"/>
              </w:rPr>
            </w:pPr>
            <w:r>
              <w:rPr>
                <w:b/>
                <w:bCs/>
                <w:color w:val="000000"/>
                <w:sz w:val="18"/>
                <w:szCs w:val="18"/>
              </w:rPr>
              <w:t>Dependencia a cargo</w:t>
            </w: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p>
          <w:p w:rsidR="0010230A" w:rsidRPr="008F0E12" w:rsidRDefault="0010230A" w:rsidP="00DC1333">
            <w:pPr>
              <w:keepNext/>
              <w:keepLines/>
              <w:jc w:val="center"/>
              <w:rPr>
                <w:b/>
                <w:bCs/>
                <w:color w:val="000000"/>
                <w:sz w:val="18"/>
                <w:szCs w:val="18"/>
              </w:rPr>
            </w:pPr>
            <w:r w:rsidRPr="008F0E12">
              <w:rPr>
                <w:b/>
                <w:bCs/>
                <w:color w:val="000000"/>
                <w:sz w:val="18"/>
                <w:szCs w:val="18"/>
              </w:rPr>
              <w:t>G</w:t>
            </w:r>
          </w:p>
        </w:tc>
      </w:tr>
      <w:tr w:rsidR="0010230A" w:rsidRPr="00D512B8" w:rsidTr="00DC1333">
        <w:trPr>
          <w:trHeight w:val="1785"/>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Pr>
                <w:color w:val="000000"/>
                <w:sz w:val="17"/>
                <w:szCs w:val="17"/>
              </w:rPr>
              <w:t>Ingresos generados por el alquiler de locales de la OMPI a otras entidades</w:t>
            </w:r>
            <w:r w:rsidRPr="008F0E12">
              <w:rPr>
                <w:color w:val="000000"/>
                <w:sz w:val="17"/>
                <w:szCs w:val="17"/>
              </w:rPr>
              <w:t>**</w:t>
            </w:r>
          </w:p>
        </w:tc>
        <w:tc>
          <w:tcPr>
            <w:tcW w:w="550"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sidRPr="008F0E12">
              <w:rPr>
                <w:color w:val="000000"/>
                <w:sz w:val="17"/>
                <w:szCs w:val="17"/>
              </w:rPr>
              <w:t>195.000</w:t>
            </w:r>
          </w:p>
        </w:tc>
        <w:tc>
          <w:tcPr>
            <w:tcW w:w="580"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sz w:val="17"/>
                <w:szCs w:val="17"/>
              </w:rPr>
            </w:pPr>
            <w:r w:rsidRPr="008F0E12">
              <w:rPr>
                <w:color w:val="000000"/>
                <w:sz w:val="17"/>
                <w:szCs w:val="17"/>
              </w:rPr>
              <w:t> 195.000</w:t>
            </w:r>
          </w:p>
          <w:p w:rsidR="0010230A" w:rsidRPr="008F0E12" w:rsidRDefault="0010230A" w:rsidP="00DC1333">
            <w:pPr>
              <w:keepNext/>
              <w:keepLines/>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sidRPr="008F0E12">
              <w:rPr>
                <w:color w:val="000000"/>
                <w:sz w:val="17"/>
                <w:szCs w:val="17"/>
              </w:rPr>
              <w:t>124.</w:t>
            </w:r>
            <w:r>
              <w:rPr>
                <w:color w:val="000000"/>
                <w:sz w:val="17"/>
                <w:szCs w:val="17"/>
              </w:rPr>
              <w:t>766 CI</w:t>
            </w:r>
            <w:r w:rsidRPr="008F0E12">
              <w:rPr>
                <w:color w:val="000000"/>
                <w:sz w:val="17"/>
                <w:szCs w:val="17"/>
              </w:rPr>
              <w:t>C</w:t>
            </w:r>
            <w:r>
              <w:rPr>
                <w:color w:val="000000"/>
                <w:sz w:val="17"/>
                <w:szCs w:val="17"/>
              </w:rPr>
              <w:t>E</w:t>
            </w:r>
            <w:r w:rsidRPr="008F0E12">
              <w:rPr>
                <w:color w:val="000000"/>
                <w:sz w:val="17"/>
                <w:szCs w:val="17"/>
              </w:rPr>
              <w:br/>
              <w:t xml:space="preserve">17.500 </w:t>
            </w:r>
            <w:r>
              <w:rPr>
                <w:color w:val="000000"/>
                <w:sz w:val="17"/>
                <w:szCs w:val="17"/>
              </w:rPr>
              <w:t xml:space="preserve">Antena de </w:t>
            </w:r>
            <w:r w:rsidRPr="008F0E12">
              <w:rPr>
                <w:color w:val="000000"/>
                <w:sz w:val="17"/>
                <w:szCs w:val="17"/>
              </w:rPr>
              <w:t xml:space="preserve">Swisscom </w:t>
            </w:r>
            <w:r w:rsidRPr="008F0E12">
              <w:rPr>
                <w:color w:val="000000"/>
                <w:sz w:val="17"/>
                <w:szCs w:val="17"/>
              </w:rPr>
              <w:br/>
              <w:t xml:space="preserve">32.500 </w:t>
            </w:r>
            <w:r>
              <w:rPr>
                <w:color w:val="000000"/>
                <w:sz w:val="17"/>
                <w:szCs w:val="17"/>
              </w:rPr>
              <w:t xml:space="preserve">Antena de </w:t>
            </w:r>
            <w:r w:rsidRPr="008F0E12">
              <w:rPr>
                <w:color w:val="000000"/>
                <w:sz w:val="17"/>
                <w:szCs w:val="17"/>
              </w:rPr>
              <w:t xml:space="preserve">Orange </w:t>
            </w:r>
            <w:r w:rsidRPr="008F0E12">
              <w:rPr>
                <w:color w:val="000000"/>
                <w:sz w:val="17"/>
                <w:szCs w:val="17"/>
              </w:rPr>
              <w:br/>
              <w:t>9.</w:t>
            </w:r>
            <w:r>
              <w:rPr>
                <w:color w:val="000000"/>
                <w:sz w:val="17"/>
                <w:szCs w:val="17"/>
              </w:rPr>
              <w:t>504 AMFIE (una oficina</w:t>
            </w:r>
            <w:r w:rsidRPr="008F0E12">
              <w:rPr>
                <w:color w:val="000000"/>
                <w:sz w:val="17"/>
                <w:szCs w:val="17"/>
              </w:rPr>
              <w:t xml:space="preserve"> </w:t>
            </w:r>
            <w:r>
              <w:rPr>
                <w:color w:val="000000"/>
                <w:sz w:val="17"/>
                <w:szCs w:val="17"/>
              </w:rPr>
              <w:t xml:space="preserve">estándar en el </w:t>
            </w:r>
            <w:r w:rsidRPr="008F0E12">
              <w:rPr>
                <w:color w:val="000000"/>
                <w:sz w:val="17"/>
                <w:szCs w:val="17"/>
              </w:rPr>
              <w:t>CAM)</w:t>
            </w:r>
            <w:r w:rsidRPr="008F0E12">
              <w:rPr>
                <w:color w:val="000000"/>
                <w:sz w:val="17"/>
                <w:szCs w:val="17"/>
              </w:rPr>
              <w:br/>
              <w:t xml:space="preserve">9.298 </w:t>
            </w:r>
            <w:r>
              <w:rPr>
                <w:color w:val="000000"/>
                <w:sz w:val="17"/>
                <w:szCs w:val="17"/>
              </w:rPr>
              <w:t xml:space="preserve">cajero automático de la </w:t>
            </w:r>
            <w:r w:rsidRPr="008F0E12">
              <w:rPr>
                <w:color w:val="000000"/>
                <w:sz w:val="17"/>
                <w:szCs w:val="17"/>
              </w:rPr>
              <w:t xml:space="preserve">UBS </w:t>
            </w:r>
            <w:r>
              <w:rPr>
                <w:color w:val="000000"/>
                <w:sz w:val="17"/>
                <w:szCs w:val="17"/>
              </w:rPr>
              <w:t xml:space="preserve">en el edificio </w:t>
            </w:r>
            <w:r w:rsidRPr="008F0E12">
              <w:rPr>
                <w:color w:val="000000"/>
                <w:sz w:val="17"/>
                <w:szCs w:val="17"/>
              </w:rPr>
              <w:t>GBI</w:t>
            </w:r>
          </w:p>
        </w:tc>
        <w:tc>
          <w:tcPr>
            <w:tcW w:w="724"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sz w:val="17"/>
                <w:szCs w:val="17"/>
              </w:rPr>
            </w:pPr>
            <w:r w:rsidRPr="008F0E12">
              <w:rPr>
                <w:color w:val="000000"/>
                <w:sz w:val="17"/>
                <w:szCs w:val="17"/>
              </w:rPr>
              <w:t xml:space="preserve">124.766 </w:t>
            </w:r>
            <w:r>
              <w:rPr>
                <w:color w:val="000000"/>
                <w:sz w:val="17"/>
                <w:szCs w:val="17"/>
              </w:rPr>
              <w:t>CICE</w:t>
            </w:r>
            <w:r w:rsidRPr="008F0E12">
              <w:rPr>
                <w:color w:val="000000"/>
                <w:sz w:val="17"/>
                <w:szCs w:val="17"/>
              </w:rPr>
              <w:br/>
              <w:t xml:space="preserve">17.500 </w:t>
            </w:r>
            <w:r>
              <w:rPr>
                <w:color w:val="000000"/>
                <w:sz w:val="17"/>
                <w:szCs w:val="17"/>
              </w:rPr>
              <w:t xml:space="preserve">Antena de </w:t>
            </w:r>
            <w:r w:rsidRPr="008F0E12">
              <w:rPr>
                <w:color w:val="000000"/>
                <w:sz w:val="17"/>
                <w:szCs w:val="17"/>
              </w:rPr>
              <w:t xml:space="preserve">Swisscom </w:t>
            </w:r>
            <w:r w:rsidRPr="008F0E12">
              <w:rPr>
                <w:color w:val="000000"/>
                <w:sz w:val="17"/>
                <w:szCs w:val="17"/>
              </w:rPr>
              <w:br/>
              <w:t xml:space="preserve">32.500 </w:t>
            </w:r>
            <w:r>
              <w:rPr>
                <w:color w:val="000000"/>
                <w:sz w:val="17"/>
                <w:szCs w:val="17"/>
              </w:rPr>
              <w:t xml:space="preserve">Antena de </w:t>
            </w:r>
            <w:r w:rsidRPr="008F0E12">
              <w:rPr>
                <w:color w:val="000000"/>
                <w:sz w:val="17"/>
                <w:szCs w:val="17"/>
              </w:rPr>
              <w:t xml:space="preserve">Orange </w:t>
            </w:r>
            <w:r w:rsidRPr="008F0E12">
              <w:rPr>
                <w:color w:val="000000"/>
                <w:sz w:val="17"/>
                <w:szCs w:val="17"/>
              </w:rPr>
              <w:br/>
              <w:t>9.504 AMFIE (</w:t>
            </w:r>
            <w:r w:rsidRPr="00A90A19">
              <w:rPr>
                <w:color w:val="000000"/>
                <w:sz w:val="17"/>
                <w:szCs w:val="17"/>
              </w:rPr>
              <w:t xml:space="preserve">una oficina estándar en el </w:t>
            </w:r>
            <w:r w:rsidRPr="008F0E12">
              <w:rPr>
                <w:color w:val="000000"/>
                <w:sz w:val="17"/>
                <w:szCs w:val="17"/>
              </w:rPr>
              <w:t>CAM)</w:t>
            </w:r>
            <w:r w:rsidRPr="008F0E12">
              <w:rPr>
                <w:color w:val="000000"/>
                <w:sz w:val="17"/>
                <w:szCs w:val="17"/>
              </w:rPr>
              <w:br/>
              <w:t xml:space="preserve">9.298 </w:t>
            </w:r>
            <w:r w:rsidRPr="00A90A19">
              <w:rPr>
                <w:color w:val="000000"/>
                <w:sz w:val="17"/>
                <w:szCs w:val="17"/>
              </w:rPr>
              <w:t>cajero automático de la UBS en el edificio GBI</w:t>
            </w:r>
          </w:p>
          <w:p w:rsidR="0010230A" w:rsidRPr="008F0E12" w:rsidRDefault="0010230A" w:rsidP="00DC1333">
            <w:pPr>
              <w:keepNext/>
              <w:keepLines/>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sidRPr="008F0E12">
              <w:rPr>
                <w:color w:val="000000"/>
                <w:sz w:val="17"/>
                <w:szCs w:val="17"/>
              </w:rPr>
              <w:t> </w:t>
            </w:r>
          </w:p>
        </w:tc>
        <w:tc>
          <w:tcPr>
            <w:tcW w:w="65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keepNext/>
              <w:keepLines/>
              <w:rPr>
                <w:color w:val="000000"/>
                <w:sz w:val="17"/>
                <w:szCs w:val="17"/>
              </w:rPr>
            </w:pPr>
            <w:r>
              <w:rPr>
                <w:color w:val="000000"/>
                <w:sz w:val="17"/>
                <w:szCs w:val="17"/>
              </w:rPr>
              <w:t>Divisió</w:t>
            </w:r>
            <w:r w:rsidRPr="008F0E12">
              <w:rPr>
                <w:color w:val="000000"/>
                <w:sz w:val="17"/>
                <w:szCs w:val="17"/>
              </w:rPr>
              <w:t>n</w:t>
            </w:r>
            <w:r>
              <w:rPr>
                <w:color w:val="000000"/>
                <w:sz w:val="17"/>
                <w:szCs w:val="17"/>
              </w:rPr>
              <w:t xml:space="preserve"> de Infraestructura de Locales</w:t>
            </w:r>
          </w:p>
        </w:tc>
      </w:tr>
      <w:tr w:rsidR="0010230A" w:rsidRPr="00D512B8" w:rsidTr="00DC1333">
        <w:trPr>
          <w:trHeight w:val="805"/>
        </w:trPr>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10230A" w:rsidRDefault="0010230A" w:rsidP="00DC1333">
            <w:pPr>
              <w:rPr>
                <w:color w:val="000000"/>
                <w:sz w:val="17"/>
                <w:szCs w:val="17"/>
              </w:rPr>
            </w:pPr>
            <w:r>
              <w:rPr>
                <w:color w:val="000000"/>
                <w:sz w:val="17"/>
                <w:szCs w:val="17"/>
              </w:rPr>
              <w:t>Ingresos generados por el reembolso de la diferencia abonada entre 2013 y 2014 por el proveedor de electricidad al haber cumplido el objetivo anual de ahorro de electricidad como consecuencia de las medidas de ahorro aplicadas y como incentivo para seguir reduciendo el consumo de electricidad.</w:t>
            </w:r>
          </w:p>
          <w:p w:rsidR="0010230A" w:rsidRPr="008F0E12" w:rsidRDefault="0010230A" w:rsidP="00DC1333">
            <w:pPr>
              <w:rPr>
                <w:color w:val="000000"/>
                <w:sz w:val="17"/>
                <w:szCs w:val="17"/>
              </w:rPr>
            </w:pPr>
          </w:p>
        </w:tc>
        <w:tc>
          <w:tcPr>
            <w:tcW w:w="550"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8F0E12">
              <w:rPr>
                <w:color w:val="000000"/>
                <w:sz w:val="17"/>
                <w:szCs w:val="17"/>
              </w:rPr>
              <w:t>21.300</w:t>
            </w:r>
          </w:p>
        </w:tc>
        <w:tc>
          <w:tcPr>
            <w:tcW w:w="580"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sz w:val="17"/>
                <w:szCs w:val="17"/>
              </w:rPr>
            </w:pPr>
            <w:r w:rsidRPr="008F0E12">
              <w:rPr>
                <w:color w:val="000000"/>
                <w:sz w:val="17"/>
                <w:szCs w:val="17"/>
              </w:rPr>
              <w:t> n/a</w:t>
            </w:r>
          </w:p>
          <w:p w:rsidR="0010230A" w:rsidRPr="008F0E12" w:rsidRDefault="0010230A" w:rsidP="00DC1333">
            <w:pPr>
              <w:rPr>
                <w:color w:val="000000"/>
                <w:sz w:val="17"/>
                <w:szCs w:val="17"/>
              </w:rPr>
            </w:pPr>
          </w:p>
        </w:tc>
        <w:tc>
          <w:tcPr>
            <w:tcW w:w="723"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Pago único efectuado por el proveedor de electricidad al final del año</w:t>
            </w:r>
          </w:p>
        </w:tc>
        <w:tc>
          <w:tcPr>
            <w:tcW w:w="724"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pPr>
              <w:rPr>
                <w:sz w:val="17"/>
                <w:szCs w:val="17"/>
              </w:rPr>
            </w:pPr>
            <w:r w:rsidRPr="008F0E12">
              <w:rPr>
                <w:color w:val="000000"/>
                <w:sz w:val="17"/>
                <w:szCs w:val="17"/>
              </w:rPr>
              <w:t>n/a</w:t>
            </w:r>
          </w:p>
          <w:p w:rsidR="0010230A" w:rsidRPr="008F0E12" w:rsidRDefault="0010230A" w:rsidP="00DC1333">
            <w:pPr>
              <w:rPr>
                <w:color w:val="000000"/>
                <w:sz w:val="17"/>
                <w:szCs w:val="17"/>
              </w:rPr>
            </w:pPr>
          </w:p>
        </w:tc>
        <w:tc>
          <w:tcPr>
            <w:tcW w:w="898"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Pr>
                <w:color w:val="000000"/>
                <w:sz w:val="17"/>
                <w:szCs w:val="17"/>
              </w:rPr>
              <w:t>No se aplica en 2015 puesto que el nuevo proveedor de electricidad, seleccionado mediante la licitación de  un organismo de NN.UU. en Ginebra, no ofrece ese tipo de incentivo.</w:t>
            </w:r>
          </w:p>
          <w:p w:rsidR="0010230A" w:rsidRPr="008F0E12" w:rsidRDefault="0010230A" w:rsidP="00DC1333">
            <w:pPr>
              <w:tabs>
                <w:tab w:val="left" w:pos="1543"/>
              </w:tabs>
              <w:rPr>
                <w:sz w:val="17"/>
                <w:szCs w:val="17"/>
              </w:rPr>
            </w:pPr>
            <w:r w:rsidRPr="008F0E12">
              <w:rPr>
                <w:sz w:val="17"/>
                <w:szCs w:val="17"/>
              </w:rPr>
              <w:tab/>
            </w:r>
          </w:p>
        </w:tc>
        <w:tc>
          <w:tcPr>
            <w:tcW w:w="657" w:type="pct"/>
            <w:tcBorders>
              <w:top w:val="single" w:sz="4" w:space="0" w:color="auto"/>
              <w:left w:val="nil"/>
              <w:bottom w:val="single" w:sz="4" w:space="0" w:color="auto"/>
              <w:right w:val="single" w:sz="4" w:space="0" w:color="auto"/>
            </w:tcBorders>
            <w:shd w:val="clear" w:color="auto" w:fill="auto"/>
            <w:hideMark/>
          </w:tcPr>
          <w:p w:rsidR="0010230A" w:rsidRPr="008F0E12" w:rsidRDefault="0010230A" w:rsidP="00DC1333">
            <w:pPr>
              <w:rPr>
                <w:color w:val="000000"/>
                <w:sz w:val="17"/>
                <w:szCs w:val="17"/>
              </w:rPr>
            </w:pPr>
            <w:r w:rsidRPr="00E01533">
              <w:rPr>
                <w:color w:val="000000"/>
                <w:sz w:val="17"/>
                <w:szCs w:val="17"/>
              </w:rPr>
              <w:t>División de Infraestructura de Locales</w:t>
            </w:r>
          </w:p>
        </w:tc>
      </w:tr>
    </w:tbl>
    <w:p w:rsidR="0010230A" w:rsidRPr="008F0E12" w:rsidRDefault="0010230A" w:rsidP="00DC1333">
      <w:pPr>
        <w:rPr>
          <w:i/>
          <w:sz w:val="18"/>
          <w:szCs w:val="18"/>
        </w:rPr>
      </w:pPr>
    </w:p>
    <w:p w:rsidR="0010230A" w:rsidRPr="00A90A19" w:rsidRDefault="0010230A" w:rsidP="00DC1333">
      <w:pPr>
        <w:rPr>
          <w:i/>
          <w:sz w:val="18"/>
          <w:szCs w:val="18"/>
        </w:rPr>
      </w:pPr>
      <w:r w:rsidRPr="00A90A19">
        <w:rPr>
          <w:i/>
          <w:sz w:val="18"/>
          <w:szCs w:val="18"/>
        </w:rPr>
        <w:t xml:space="preserve">* </w:t>
      </w:r>
      <w:r w:rsidR="00801E65" w:rsidRPr="00A90A19">
        <w:rPr>
          <w:i/>
          <w:sz w:val="18"/>
          <w:szCs w:val="18"/>
        </w:rPr>
        <w:t>Información</w:t>
      </w:r>
      <w:r w:rsidRPr="00A90A19">
        <w:rPr>
          <w:i/>
          <w:sz w:val="18"/>
          <w:szCs w:val="18"/>
        </w:rPr>
        <w:t xml:space="preserve"> facilitada según lo expuesto en el documento WO/PBC/23/COST EFFICIENCIES REALIZED IN 2014</w:t>
      </w:r>
    </w:p>
    <w:p w:rsidR="0010230A" w:rsidRPr="008F0E12" w:rsidRDefault="0010230A" w:rsidP="00DC1333">
      <w:pPr>
        <w:rPr>
          <w:i/>
          <w:sz w:val="18"/>
          <w:szCs w:val="18"/>
        </w:rPr>
      </w:pPr>
      <w:r w:rsidRPr="00A90A19">
        <w:rPr>
          <w:i/>
          <w:sz w:val="18"/>
          <w:szCs w:val="18"/>
        </w:rPr>
        <w:t>** Las cifras</w:t>
      </w:r>
      <w:r>
        <w:rPr>
          <w:i/>
          <w:sz w:val="18"/>
          <w:szCs w:val="18"/>
        </w:rPr>
        <w:t xml:space="preserve"> anuales de ingresos correspondientes al CICE figuran en cifras brutas sin compensar las reducciones debidas a labores de mejora ejecutadas durante el </w:t>
      </w:r>
      <w:r w:rsidRPr="00A90A19">
        <w:rPr>
          <w:i/>
          <w:sz w:val="18"/>
          <w:szCs w:val="18"/>
        </w:rPr>
        <w:t xml:space="preserve">bienio 2014/15 </w:t>
      </w:r>
    </w:p>
    <w:p w:rsidR="0010230A" w:rsidRPr="008F0E12" w:rsidRDefault="0010230A" w:rsidP="00DC1333">
      <w:pPr>
        <w:rPr>
          <w:b/>
          <w:sz w:val="18"/>
          <w:szCs w:val="18"/>
        </w:rPr>
      </w:pPr>
    </w:p>
    <w:p w:rsidR="0010230A" w:rsidRDefault="0010230A" w:rsidP="00B26D73">
      <w:pPr>
        <w:rPr>
          <w:szCs w:val="22"/>
        </w:rPr>
      </w:pPr>
    </w:p>
    <w:p w:rsidR="002671EB" w:rsidRDefault="002671EB">
      <w:pPr>
        <w:rPr>
          <w:szCs w:val="22"/>
        </w:rPr>
      </w:pPr>
      <w:r>
        <w:rPr>
          <w:szCs w:val="22"/>
        </w:rPr>
        <w:br w:type="page"/>
      </w:r>
    </w:p>
    <w:p w:rsidR="002671EB" w:rsidRDefault="002671EB" w:rsidP="00DC1333">
      <w:bookmarkStart w:id="16" w:name="_Toc327875008"/>
    </w:p>
    <w:p w:rsidR="002671EB" w:rsidRPr="002671EB" w:rsidRDefault="00545F60" w:rsidP="002671EB">
      <w:pPr>
        <w:pStyle w:val="Heading1"/>
        <w:numPr>
          <w:ilvl w:val="0"/>
          <w:numId w:val="0"/>
        </w:numPr>
        <w:tabs>
          <w:tab w:val="left" w:pos="709"/>
        </w:tabs>
        <w:ind w:left="709" w:hanging="709"/>
      </w:pPr>
      <w:bookmarkStart w:id="17" w:name="_Toc421867752"/>
      <w:bookmarkStart w:id="18" w:name="_Toc421868019"/>
      <w:bookmarkStart w:id="19" w:name="_Toc421868069"/>
      <w:bookmarkStart w:id="20" w:name="_Toc422127323"/>
      <w:bookmarkStart w:id="21" w:name="_Toc422134318"/>
      <w:bookmarkStart w:id="22" w:name="_Toc421867753"/>
      <w:bookmarkStart w:id="23" w:name="_Toc421868020"/>
      <w:bookmarkStart w:id="24" w:name="_Toc421868070"/>
      <w:bookmarkStart w:id="25" w:name="_Toc422127324"/>
      <w:bookmarkStart w:id="26" w:name="_Toc422134319"/>
      <w:bookmarkStart w:id="27" w:name="_Toc421867754"/>
      <w:bookmarkStart w:id="28" w:name="_Toc421868021"/>
      <w:bookmarkStart w:id="29" w:name="_Toc421868071"/>
      <w:bookmarkStart w:id="30" w:name="_Toc422127325"/>
      <w:bookmarkStart w:id="31" w:name="_Toc422134320"/>
      <w:bookmarkStart w:id="32" w:name="_Toc421867755"/>
      <w:bookmarkStart w:id="33" w:name="_Toc421868022"/>
      <w:bookmarkStart w:id="34" w:name="_Toc421868072"/>
      <w:bookmarkStart w:id="35" w:name="_Toc422127326"/>
      <w:bookmarkStart w:id="36" w:name="_Toc422134321"/>
      <w:bookmarkStart w:id="37" w:name="_Toc421867756"/>
      <w:bookmarkStart w:id="38" w:name="_Toc421868023"/>
      <w:bookmarkStart w:id="39" w:name="_Toc421868073"/>
      <w:bookmarkStart w:id="40" w:name="_Toc422127327"/>
      <w:bookmarkStart w:id="41" w:name="_Toc422134322"/>
      <w:bookmarkStart w:id="42" w:name="_Toc421867757"/>
      <w:bookmarkStart w:id="43" w:name="_Toc421868024"/>
      <w:bookmarkStart w:id="44" w:name="_Toc421868074"/>
      <w:bookmarkStart w:id="45" w:name="_Toc422127328"/>
      <w:bookmarkStart w:id="46" w:name="_Toc422134323"/>
      <w:bookmarkStart w:id="47" w:name="_Toc294535814"/>
      <w:bookmarkStart w:id="48" w:name="_Toc327875006"/>
      <w:bookmarkStart w:id="49" w:name="_Toc358366918"/>
      <w:bookmarkStart w:id="50" w:name="_Toc422210475"/>
      <w:bookmarkStart w:id="51" w:name="_Toc455159068"/>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caps w:val="0"/>
        </w:rPr>
        <w:t>VI.</w:t>
      </w:r>
      <w:r>
        <w:rPr>
          <w:caps w:val="0"/>
        </w:rPr>
        <w:tab/>
      </w:r>
      <w:r w:rsidRPr="002671EB">
        <w:rPr>
          <w:caps w:val="0"/>
        </w:rPr>
        <w:t>LOGROS DE LOS PROGRAMAS EN 2014/15 POR META ESTRATÉGICA</w:t>
      </w:r>
      <w:bookmarkEnd w:id="47"/>
      <w:bookmarkEnd w:id="48"/>
      <w:bookmarkEnd w:id="49"/>
      <w:bookmarkEnd w:id="50"/>
      <w:bookmarkEnd w:id="51"/>
    </w:p>
    <w:p w:rsidR="002671EB" w:rsidRPr="00B010F4" w:rsidRDefault="002671EB" w:rsidP="00DC1333">
      <w:pPr>
        <w:jc w:val="both"/>
        <w:rPr>
          <w:sz w:val="20"/>
        </w:rPr>
      </w:pPr>
    </w:p>
    <w:p w:rsidR="00FA423E" w:rsidRPr="00B010F4" w:rsidRDefault="00FA423E" w:rsidP="00FA423E">
      <w:pPr>
        <w:pStyle w:val="StyleHeading214ptAuto"/>
        <w:rPr>
          <w:rFonts w:ascii="Arial" w:hAnsi="Arial"/>
          <w:bCs w:val="0"/>
          <w:caps w:val="0"/>
          <w:sz w:val="20"/>
          <w:szCs w:val="20"/>
          <w:lang w:val="es-ES" w:eastAsia="en-US"/>
        </w:rPr>
      </w:pPr>
      <w:bookmarkStart w:id="52" w:name="_Toc455159069"/>
      <w:r w:rsidRPr="00B010F4">
        <w:rPr>
          <w:rFonts w:ascii="Arial" w:hAnsi="Arial"/>
          <w:bCs w:val="0"/>
          <w:caps w:val="0"/>
          <w:sz w:val="20"/>
          <w:szCs w:val="20"/>
          <w:lang w:val="es-ES" w:eastAsia="en-US"/>
        </w:rPr>
        <w:t>META ESTRATÉGICA I</w:t>
      </w:r>
      <w:bookmarkEnd w:id="52"/>
    </w:p>
    <w:p w:rsidR="00FA423E" w:rsidRPr="00B010F4" w:rsidRDefault="00FA423E" w:rsidP="00FA423E">
      <w:pPr>
        <w:jc w:val="center"/>
        <w:rPr>
          <w:sz w:val="20"/>
        </w:rPr>
      </w:pPr>
    </w:p>
    <w:p w:rsidR="00FA423E" w:rsidRPr="00B010F4" w:rsidRDefault="00FA423E" w:rsidP="00FA423E">
      <w:pPr>
        <w:jc w:val="center"/>
        <w:rPr>
          <w:sz w:val="20"/>
        </w:rPr>
      </w:pPr>
      <w:r w:rsidRPr="00B010F4">
        <w:rPr>
          <w:b/>
          <w:sz w:val="20"/>
        </w:rPr>
        <w:t>EVOLUCIÓN EQUILIBRADA DEL MARCO NORMATIVO INTERNACIONAL DE P.I.</w:t>
      </w:r>
    </w:p>
    <w:p w:rsidR="00FA423E" w:rsidRPr="00B010F4" w:rsidRDefault="00FA423E" w:rsidP="00FA423E">
      <w:pPr>
        <w:jc w:val="center"/>
        <w:rPr>
          <w:b/>
          <w:sz w:val="20"/>
        </w:rPr>
      </w:pPr>
    </w:p>
    <w:p w:rsidR="00FA423E" w:rsidRPr="00B010F4" w:rsidRDefault="00FA423E" w:rsidP="00FA423E">
      <w:pPr>
        <w:jc w:val="center"/>
        <w:rPr>
          <w:b/>
          <w:sz w:val="20"/>
        </w:rPr>
      </w:pPr>
      <w:r w:rsidRPr="00B010F4">
        <w:rPr>
          <w:b/>
          <w:sz w:val="20"/>
        </w:rPr>
        <w:t xml:space="preserve">Cuadro sobre el rendimiento bienal </w:t>
      </w:r>
    </w:p>
    <w:p w:rsidR="00FA423E" w:rsidRPr="00B010F4" w:rsidRDefault="00FA423E" w:rsidP="00FA423E">
      <w:pPr>
        <w:jc w:val="both"/>
        <w:rPr>
          <w:sz w:val="20"/>
        </w:rPr>
      </w:pPr>
    </w:p>
    <w:p w:rsidR="00FA423E" w:rsidRPr="00B010F4" w:rsidRDefault="00FA423E" w:rsidP="00FA423E">
      <w:pPr>
        <w:autoSpaceDE w:val="0"/>
        <w:autoSpaceDN w:val="0"/>
        <w:adjustRightInd w:val="0"/>
        <w:jc w:val="both"/>
        <w:rPr>
          <w:sz w:val="20"/>
        </w:rPr>
      </w:pPr>
      <w:r w:rsidRPr="00B010F4">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B010F4">
        <w:rPr>
          <w:sz w:val="20"/>
        </w:rPr>
        <w:t xml:space="preserve">  </w:t>
      </w:r>
    </w:p>
    <w:p w:rsidR="00FA423E" w:rsidRPr="00B010F4" w:rsidRDefault="00FA423E" w:rsidP="00FA423E">
      <w:pPr>
        <w:jc w:val="center"/>
        <w:rPr>
          <w:sz w:val="20"/>
        </w:rPr>
      </w:pPr>
      <w:r w:rsidRPr="00B010F4">
        <w:rPr>
          <w:noProof/>
          <w:sz w:val="20"/>
          <w:lang w:val="en-US" w:eastAsia="en-US"/>
        </w:rPr>
        <w:drawing>
          <wp:inline distT="0" distB="0" distL="0" distR="0" wp14:anchorId="6DD3FEB3" wp14:editId="78DF1CD3">
            <wp:extent cx="5940425" cy="2869905"/>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869905"/>
                    </a:xfrm>
                    <a:prstGeom prst="rect">
                      <a:avLst/>
                    </a:prstGeom>
                    <a:noFill/>
                    <a:ln>
                      <a:noFill/>
                    </a:ln>
                  </pic:spPr>
                </pic:pic>
              </a:graphicData>
            </a:graphic>
          </wp:inline>
        </w:drawing>
      </w:r>
    </w:p>
    <w:p w:rsidR="00FA423E" w:rsidRPr="00B010F4" w:rsidRDefault="00FA423E" w:rsidP="00FA423E">
      <w:pPr>
        <w:jc w:val="center"/>
        <w:rPr>
          <w:sz w:val="20"/>
        </w:rPr>
      </w:pPr>
    </w:p>
    <w:tbl>
      <w:tblPr>
        <w:tblW w:w="5000" w:type="pct"/>
        <w:tblInd w:w="108"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2964"/>
        <w:gridCol w:w="4189"/>
        <w:gridCol w:w="1476"/>
        <w:gridCol w:w="956"/>
      </w:tblGrid>
      <w:tr w:rsidR="00FA423E" w:rsidRPr="00AF5E7C" w:rsidTr="00DC1333">
        <w:trPr>
          <w:cantSplit/>
          <w:trHeight w:val="360"/>
          <w:tblHeader/>
        </w:trPr>
        <w:tc>
          <w:tcPr>
            <w:tcW w:w="1581"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2803A3" w:rsidRDefault="00FA423E" w:rsidP="00DC1333">
            <w:pPr>
              <w:spacing w:after="120"/>
              <w:rPr>
                <w:b/>
                <w:bCs/>
                <w:sz w:val="18"/>
                <w:szCs w:val="18"/>
              </w:rPr>
            </w:pPr>
            <w:r w:rsidRPr="002803A3">
              <w:rPr>
                <w:b/>
                <w:bCs/>
                <w:sz w:val="18"/>
                <w:szCs w:val="18"/>
                <w:lang w:val="es-ES_tradnl"/>
              </w:rPr>
              <w:t>Resultados previstos</w:t>
            </w:r>
          </w:p>
        </w:tc>
        <w:tc>
          <w:tcPr>
            <w:tcW w:w="2220"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2803A3" w:rsidRDefault="00FA423E" w:rsidP="00DC1333">
            <w:pPr>
              <w:spacing w:after="120"/>
              <w:rPr>
                <w:b/>
                <w:sz w:val="18"/>
                <w:szCs w:val="18"/>
              </w:rPr>
            </w:pPr>
            <w:r w:rsidRPr="002803A3">
              <w:rPr>
                <w:b/>
                <w:sz w:val="18"/>
                <w:szCs w:val="18"/>
                <w:lang w:val="es-ES_tradnl"/>
              </w:rPr>
              <w:t>Indicadores de rendimiento</w:t>
            </w:r>
          </w:p>
        </w:tc>
        <w:tc>
          <w:tcPr>
            <w:tcW w:w="765"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2803A3" w:rsidRDefault="00FA423E" w:rsidP="00DC1333">
            <w:pPr>
              <w:spacing w:after="120"/>
              <w:ind w:left="85"/>
              <w:jc w:val="center"/>
              <w:rPr>
                <w:sz w:val="18"/>
                <w:szCs w:val="18"/>
              </w:rPr>
            </w:pPr>
            <w:r w:rsidRPr="002803A3">
              <w:rPr>
                <w:b/>
                <w:sz w:val="18"/>
                <w:szCs w:val="18"/>
                <w:lang w:val="es-ES_tradnl"/>
              </w:rPr>
              <w:t>Programas responsables</w:t>
            </w:r>
          </w:p>
        </w:tc>
        <w:tc>
          <w:tcPr>
            <w:tcW w:w="434" w:type="pct"/>
            <w:tcBorders>
              <w:top w:val="single" w:sz="4" w:space="0" w:color="auto"/>
              <w:bottom w:val="single" w:sz="4" w:space="0" w:color="auto"/>
            </w:tcBorders>
            <w:shd w:val="clear" w:color="auto" w:fill="DAEEF3" w:themeFill="accent5" w:themeFillTint="33"/>
            <w:vAlign w:val="center"/>
          </w:tcPr>
          <w:p w:rsidR="00FA423E" w:rsidRPr="007B07A4" w:rsidRDefault="00FA423E" w:rsidP="00DC1333">
            <w:pPr>
              <w:spacing w:after="120"/>
              <w:ind w:left="85"/>
              <w:jc w:val="center"/>
              <w:rPr>
                <w:b/>
                <w:bCs/>
                <w:sz w:val="18"/>
                <w:szCs w:val="18"/>
              </w:rPr>
            </w:pPr>
            <w:r w:rsidRPr="002803A3">
              <w:rPr>
                <w:b/>
                <w:bCs/>
                <w:sz w:val="18"/>
                <w:szCs w:val="18"/>
                <w:lang w:val="es-ES_tradnl"/>
              </w:rPr>
              <w:t>Clave de colores</w:t>
            </w:r>
          </w:p>
        </w:tc>
      </w:tr>
      <w:tr w:rsidR="00FA423E" w:rsidRPr="00AF5E7C" w:rsidTr="00DC1333">
        <w:trPr>
          <w:cantSplit/>
          <w:trHeight w:val="360"/>
        </w:trPr>
        <w:tc>
          <w:tcPr>
            <w:tcW w:w="1581" w:type="pct"/>
            <w:vMerge w:val="restart"/>
            <w:tcBorders>
              <w:top w:val="single" w:sz="4" w:space="0" w:color="auto"/>
            </w:tcBorders>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I.1 Mejor cooperación entre los Estados miembros en lo que atañe a la elaboración de marcos normativos internacionales equilibrados para la P.I. y fomento de acuerdos sobre las cuestiones específicas respecto de las que se acuerdan instrumentos internacionales</w:t>
            </w:r>
          </w:p>
        </w:tc>
        <w:tc>
          <w:tcPr>
            <w:tcW w:w="2220" w:type="pct"/>
            <w:tcBorders>
              <w:top w:val="single" w:sz="4" w:space="0" w:color="auto"/>
            </w:tcBorders>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Progresos en la puesta en práctica de medidas/planes concertados por el SCP</w:t>
            </w:r>
          </w:p>
        </w:tc>
        <w:tc>
          <w:tcPr>
            <w:tcW w:w="765" w:type="pct"/>
            <w:tcBorders>
              <w:top w:val="single" w:sz="4" w:space="0" w:color="auto"/>
            </w:tcBorders>
            <w:shd w:val="clear" w:color="auto" w:fill="FFFFFF"/>
            <w:tcMar>
              <w:top w:w="113" w:type="dxa"/>
              <w:bottom w:w="113" w:type="dxa"/>
            </w:tcMar>
          </w:tcPr>
          <w:p w:rsidR="00FA423E" w:rsidRPr="002803A3" w:rsidRDefault="00FA423E" w:rsidP="00DC1333">
            <w:pPr>
              <w:jc w:val="center"/>
              <w:rPr>
                <w:sz w:val="16"/>
                <w:szCs w:val="16"/>
              </w:rPr>
            </w:pPr>
            <w:r w:rsidRPr="002803A3">
              <w:rPr>
                <w:sz w:val="16"/>
                <w:szCs w:val="16"/>
                <w:lang w:val="es-ES_tradnl"/>
              </w:rPr>
              <w:t>Programa 1</w:t>
            </w:r>
          </w:p>
        </w:tc>
        <w:tc>
          <w:tcPr>
            <w:tcW w:w="434" w:type="pct"/>
            <w:tcBorders>
              <w:top w:val="single" w:sz="4" w:space="0" w:color="auto"/>
            </w:tcBorders>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vMerge/>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Porcentaje de participantes en talleres/seminarios/conferencias sobre cuestiones específicas relacionadas con las patentes que expresaron satisfacción al respecto</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w:t>
            </w: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Acuerdo sobre un marco normativo para los procedimientos de registro y mantenimiento de los diseños industriales</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CC3F44" w:rsidRDefault="00FA423E" w:rsidP="00DC1333">
            <w:pPr>
              <w:jc w:val="center"/>
            </w:pPr>
            <w:r w:rsidRPr="00CC3F44">
              <w:rPr>
                <w:bCs/>
                <w:color w:val="FF0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lang w:bidi="th-TH"/>
              </w:rPr>
            </w:pPr>
            <w:r w:rsidRPr="002803A3">
              <w:rPr>
                <w:sz w:val="16"/>
                <w:szCs w:val="16"/>
                <w:lang w:val="es-ES_tradnl" w:bidi="th-TH"/>
              </w:rPr>
              <w:t>Progresos en pos de un acuerdo relativo a las cuestiones que están en el orden del día del SCT</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ratificaciones/adhesiones al Tratado de Singapur</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Progresos en pos de un acuerdo relativo a las cuestiones que están en el orden del día del SCCR</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tc>
        <w:tc>
          <w:tcPr>
            <w:tcW w:w="434" w:type="pct"/>
            <w:shd w:val="clear" w:color="auto" w:fill="FFFFFF"/>
          </w:tcPr>
          <w:p w:rsidR="00FA423E" w:rsidRPr="00CC3F44" w:rsidRDefault="00FA423E" w:rsidP="00DC1333">
            <w:pPr>
              <w:jc w:val="center"/>
            </w:pPr>
            <w:r w:rsidRPr="00CC3F44">
              <w:rPr>
                <w:bCs/>
                <w:color w:val="FF0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Acuerdo en las negociaciones del CIG en torno a uno o varios instrumentos jurídicos internacionales sobre CC.TT., ECT y RR.GG.</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4</w:t>
            </w:r>
          </w:p>
        </w:tc>
        <w:tc>
          <w:tcPr>
            <w:tcW w:w="434"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r w:rsidRPr="002803A3">
              <w:rPr>
                <w:sz w:val="16"/>
                <w:szCs w:val="16"/>
              </w:rPr>
              <w:lastRenderedPageBreak/>
              <w:t xml:space="preserve">I.2 </w:t>
            </w:r>
            <w:r w:rsidRPr="002803A3">
              <w:rPr>
                <w:sz w:val="16"/>
                <w:szCs w:val="16"/>
                <w:lang w:val="es-ES_tradnl"/>
              </w:rPr>
              <w:t>Marcos de P.I. adaptados y equilibrados en el ámbito legislativo, reglamentario y de política</w:t>
            </w: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y porcentaje de Estados miembros que consideran útil la información proporcionada en relación con los principios y prácticas jurídicos del sistema de patentes, como, por ejemplo, las flexibilidades que ofrece el sistema y los desafíos que se plantean en la materia</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w:t>
            </w: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vMerge w:val="restart"/>
            <w:shd w:val="clear" w:color="auto" w:fill="auto"/>
            <w:tcMar>
              <w:top w:w="113" w:type="dxa"/>
              <w:bottom w:w="113" w:type="dxa"/>
            </w:tcMar>
          </w:tcPr>
          <w:p w:rsidR="00FA423E" w:rsidRPr="002803A3" w:rsidRDefault="00FA423E" w:rsidP="00DC1333">
            <w:pPr>
              <w:keepNext/>
              <w:rPr>
                <w:sz w:val="16"/>
                <w:szCs w:val="16"/>
              </w:rPr>
            </w:pPr>
          </w:p>
        </w:tc>
        <w:tc>
          <w:tcPr>
            <w:tcW w:w="2220" w:type="pct"/>
            <w:vMerge w:val="restart"/>
            <w:shd w:val="clear" w:color="auto" w:fill="auto"/>
            <w:tcMar>
              <w:top w:w="113" w:type="dxa"/>
              <w:bottom w:w="113" w:type="dxa"/>
            </w:tcMar>
          </w:tcPr>
          <w:p w:rsidR="00FA423E" w:rsidRPr="002803A3" w:rsidRDefault="00FA423E" w:rsidP="00DC1333">
            <w:pPr>
              <w:keepNext/>
              <w:rPr>
                <w:sz w:val="16"/>
                <w:szCs w:val="16"/>
              </w:rPr>
            </w:pPr>
            <w:r w:rsidRPr="002803A3">
              <w:rPr>
                <w:sz w:val="16"/>
                <w:szCs w:val="16"/>
                <w:lang w:val="es-ES_tradnl"/>
              </w:rPr>
              <w:t>Número y porcentaje de Estados miembros satisfechos con la calidad del asesoramiento jurídico sobre patentes, modelos de utilidad, secretos comerciales y circuitos integrados</w:t>
            </w:r>
          </w:p>
        </w:tc>
        <w:tc>
          <w:tcPr>
            <w:tcW w:w="765" w:type="pct"/>
            <w:shd w:val="clear" w:color="auto" w:fill="FFFFFF"/>
            <w:tcMar>
              <w:top w:w="113" w:type="dxa"/>
              <w:bottom w:w="113" w:type="dxa"/>
            </w:tcMar>
          </w:tcPr>
          <w:p w:rsidR="00FA423E" w:rsidRPr="002803A3" w:rsidRDefault="00FA423E" w:rsidP="00DC1333">
            <w:pPr>
              <w:keepNext/>
              <w:jc w:val="center"/>
              <w:rPr>
                <w:sz w:val="16"/>
                <w:szCs w:val="16"/>
                <w:lang w:bidi="th-TH"/>
              </w:rPr>
            </w:pPr>
            <w:r w:rsidRPr="002803A3">
              <w:rPr>
                <w:sz w:val="16"/>
                <w:szCs w:val="16"/>
                <w:lang w:val="es-ES_tradnl" w:bidi="th-TH"/>
              </w:rPr>
              <w:t>Programa 1</w:t>
            </w:r>
          </w:p>
        </w:tc>
        <w:tc>
          <w:tcPr>
            <w:tcW w:w="434" w:type="pct"/>
            <w:shd w:val="clear" w:color="auto" w:fill="FFFFFF"/>
          </w:tcPr>
          <w:p w:rsidR="00FA423E" w:rsidRPr="00CC3F44" w:rsidRDefault="00FA423E" w:rsidP="00DC1333">
            <w:pPr>
              <w:keepNext/>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vMerge/>
            <w:shd w:val="clear" w:color="auto" w:fill="auto"/>
            <w:tcMar>
              <w:top w:w="113" w:type="dxa"/>
              <w:bottom w:w="113" w:type="dxa"/>
            </w:tcMar>
          </w:tcPr>
          <w:p w:rsidR="00FA423E" w:rsidRPr="002803A3" w:rsidRDefault="00FA423E" w:rsidP="00DC1333">
            <w:pPr>
              <w:rPr>
                <w:sz w:val="16"/>
                <w:szCs w:val="16"/>
              </w:rPr>
            </w:pPr>
          </w:p>
        </w:tc>
        <w:tc>
          <w:tcPr>
            <w:tcW w:w="2220" w:type="pct"/>
            <w:vMerge/>
            <w:shd w:val="clear" w:color="auto" w:fill="auto"/>
            <w:tcMar>
              <w:top w:w="113" w:type="dxa"/>
              <w:bottom w:w="113" w:type="dxa"/>
            </w:tcMar>
          </w:tcPr>
          <w:p w:rsidR="00FA423E" w:rsidRPr="002803A3" w:rsidRDefault="00FA423E" w:rsidP="00DC1333">
            <w:pPr>
              <w:rPr>
                <w:sz w:val="16"/>
                <w:szCs w:val="16"/>
              </w:rPr>
            </w:pP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9</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Con sujeción a la aprobación de los Estados miembros, avance en la revisión de la ley tipo sobre patentes para los países en desarrollo y los PMA</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w:t>
            </w:r>
          </w:p>
        </w:tc>
        <w:tc>
          <w:tcPr>
            <w:tcW w:w="434" w:type="pct"/>
            <w:shd w:val="clear" w:color="auto" w:fill="FFFFFF"/>
          </w:tcPr>
          <w:p w:rsidR="00FA423E" w:rsidRPr="00CC3F44" w:rsidRDefault="00FA423E" w:rsidP="00DC1333">
            <w:pPr>
              <w:jc w:val="center"/>
              <w:rPr>
                <w:szCs w:val="22"/>
              </w:rPr>
            </w:pPr>
            <w:r w:rsidRPr="00CC3F44">
              <w:rPr>
                <w:bCs/>
                <w:color w:val="FF0000"/>
                <w:szCs w:val="22"/>
              </w:rPr>
              <w:sym w:font="Wingdings" w:char="F06C"/>
            </w:r>
          </w:p>
        </w:tc>
      </w:tr>
      <w:tr w:rsidR="00FA423E" w:rsidRPr="00AF5E7C" w:rsidTr="00DC1333">
        <w:trPr>
          <w:cantSplit/>
          <w:trHeight w:val="360"/>
        </w:trPr>
        <w:tc>
          <w:tcPr>
            <w:tcW w:w="1581" w:type="pct"/>
            <w:vMerge w:val="restart"/>
            <w:shd w:val="clear" w:color="auto" w:fill="auto"/>
            <w:tcMar>
              <w:top w:w="113" w:type="dxa"/>
              <w:bottom w:w="113" w:type="dxa"/>
            </w:tcMar>
          </w:tcPr>
          <w:p w:rsidR="00FA423E" w:rsidRPr="002803A3" w:rsidRDefault="00FA423E" w:rsidP="00DC1333">
            <w:pPr>
              <w:rPr>
                <w:sz w:val="16"/>
                <w:szCs w:val="16"/>
              </w:rPr>
            </w:pPr>
          </w:p>
        </w:tc>
        <w:tc>
          <w:tcPr>
            <w:tcW w:w="2220" w:type="pct"/>
            <w:vMerge w:val="restar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y porcentaje de Estados miembros/organizaciones regionales que han presentado comentarios positivos sobre el asesoramiento legislativo proporcionado en la esfera de las marcas, los diseños industriales y las indicaciones geográficas</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60"/>
        </w:trPr>
        <w:tc>
          <w:tcPr>
            <w:tcW w:w="1581" w:type="pct"/>
            <w:vMerge/>
            <w:shd w:val="clear" w:color="auto" w:fill="auto"/>
            <w:tcMar>
              <w:top w:w="113" w:type="dxa"/>
              <w:bottom w:w="113" w:type="dxa"/>
            </w:tcMar>
          </w:tcPr>
          <w:p w:rsidR="00FA423E" w:rsidRPr="002803A3" w:rsidRDefault="00FA423E" w:rsidP="00DC1333">
            <w:pPr>
              <w:rPr>
                <w:sz w:val="16"/>
                <w:szCs w:val="16"/>
              </w:rPr>
            </w:pPr>
          </w:p>
        </w:tc>
        <w:tc>
          <w:tcPr>
            <w:tcW w:w="2220" w:type="pct"/>
            <w:vMerge/>
            <w:shd w:val="clear" w:color="auto" w:fill="auto"/>
            <w:tcMar>
              <w:top w:w="113" w:type="dxa"/>
              <w:bottom w:w="113" w:type="dxa"/>
            </w:tcMar>
          </w:tcPr>
          <w:p w:rsidR="00FA423E" w:rsidRPr="002803A3" w:rsidRDefault="00FA423E" w:rsidP="00DC1333">
            <w:pPr>
              <w:rPr>
                <w:sz w:val="16"/>
                <w:szCs w:val="16"/>
              </w:rPr>
            </w:pP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9</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países que han ratificado el Tratado de Beijing</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p w:rsidR="00FA423E" w:rsidRPr="002803A3" w:rsidRDefault="00FA423E" w:rsidP="00DC1333">
            <w:pPr>
              <w:jc w:val="center"/>
              <w:rPr>
                <w:sz w:val="16"/>
                <w:szCs w:val="16"/>
                <w:lang w:bidi="th-TH"/>
              </w:rPr>
            </w:pPr>
          </w:p>
        </w:tc>
        <w:tc>
          <w:tcPr>
            <w:tcW w:w="434" w:type="pct"/>
            <w:shd w:val="clear" w:color="auto" w:fill="FFFFFF"/>
          </w:tcPr>
          <w:p w:rsidR="00FA423E" w:rsidRPr="00CC3F44" w:rsidRDefault="00FA423E" w:rsidP="00DC1333">
            <w:pPr>
              <w:jc w:val="center"/>
              <w:rPr>
                <w:color w:val="E26B0A"/>
              </w:rPr>
            </w:pPr>
            <w:r w:rsidRPr="00CC3F44">
              <w:rPr>
                <w:bCs/>
                <w:color w:val="FF0000"/>
                <w:szCs w:val="22"/>
              </w:rPr>
              <w:sym w:font="Wingdings" w:char="F06C"/>
            </w:r>
          </w:p>
        </w:tc>
      </w:tr>
      <w:tr w:rsidR="00FA423E" w:rsidRPr="00AF5E7C" w:rsidTr="00DC1333">
        <w:trPr>
          <w:cantSplit/>
          <w:trHeight w:val="360"/>
        </w:trPr>
        <w:tc>
          <w:tcPr>
            <w:tcW w:w="1581" w:type="pct"/>
            <w:vMerge w:val="restart"/>
            <w:shd w:val="clear" w:color="auto" w:fill="auto"/>
            <w:tcMar>
              <w:top w:w="113" w:type="dxa"/>
              <w:bottom w:w="113" w:type="dxa"/>
            </w:tcMar>
          </w:tcPr>
          <w:p w:rsidR="00FA423E" w:rsidRPr="002803A3" w:rsidRDefault="00FA423E" w:rsidP="00DC1333">
            <w:pPr>
              <w:rPr>
                <w:sz w:val="16"/>
                <w:szCs w:val="16"/>
              </w:rPr>
            </w:pPr>
          </w:p>
        </w:tc>
        <w:tc>
          <w:tcPr>
            <w:tcW w:w="2220" w:type="pct"/>
            <w:vMerge w:val="restar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y porcentaje de países que han presentado comentarios positivos sobre el asesoramiento legislativo de la OMPI</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vMerge/>
            <w:shd w:val="clear" w:color="auto" w:fill="auto"/>
            <w:tcMar>
              <w:top w:w="113" w:type="dxa"/>
              <w:bottom w:w="113" w:type="dxa"/>
            </w:tcMar>
          </w:tcPr>
          <w:p w:rsidR="00FA423E" w:rsidRPr="002803A3" w:rsidRDefault="00FA423E" w:rsidP="00DC1333">
            <w:pPr>
              <w:rPr>
                <w:sz w:val="16"/>
                <w:szCs w:val="16"/>
              </w:rPr>
            </w:pPr>
          </w:p>
        </w:tc>
        <w:tc>
          <w:tcPr>
            <w:tcW w:w="2220" w:type="pct"/>
            <w:vMerge/>
            <w:shd w:val="clear" w:color="auto" w:fill="auto"/>
            <w:tcMar>
              <w:top w:w="113" w:type="dxa"/>
              <w:bottom w:w="113" w:type="dxa"/>
            </w:tcMar>
          </w:tcPr>
          <w:p w:rsidR="00FA423E" w:rsidRPr="002803A3" w:rsidRDefault="00FA423E" w:rsidP="00DC1333">
            <w:pPr>
              <w:jc w:val="center"/>
              <w:rPr>
                <w:sz w:val="16"/>
                <w:szCs w:val="16"/>
              </w:rPr>
            </w:pP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9</w:t>
            </w:r>
          </w:p>
        </w:tc>
        <w:tc>
          <w:tcPr>
            <w:tcW w:w="434"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ratificaciones de los Tratados Internet de la OMPI</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p w:rsidR="00FA423E" w:rsidRPr="002803A3" w:rsidRDefault="00FA423E" w:rsidP="00DC1333">
            <w:pPr>
              <w:jc w:val="center"/>
              <w:rPr>
                <w:sz w:val="16"/>
                <w:szCs w:val="16"/>
                <w:lang w:bidi="th-TH"/>
              </w:rPr>
            </w:pPr>
          </w:p>
        </w:tc>
        <w:tc>
          <w:tcPr>
            <w:tcW w:w="434"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países que han ratificado el Tratado de Marrakech sobre las personas con discapacidad visual</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3</w:t>
            </w:r>
          </w:p>
          <w:p w:rsidR="00FA423E" w:rsidRPr="002803A3" w:rsidRDefault="00FA423E" w:rsidP="00DC1333">
            <w:pPr>
              <w:jc w:val="center"/>
              <w:rPr>
                <w:sz w:val="16"/>
                <w:szCs w:val="16"/>
                <w:lang w:bidi="th-TH"/>
              </w:rPr>
            </w:pPr>
          </w:p>
        </w:tc>
        <w:tc>
          <w:tcPr>
            <w:tcW w:w="434" w:type="pct"/>
            <w:shd w:val="clear" w:color="auto" w:fill="FFFFFF"/>
          </w:tcPr>
          <w:p w:rsidR="00FA423E" w:rsidRPr="00001FF8" w:rsidRDefault="00FA423E" w:rsidP="00DC1333">
            <w:pPr>
              <w:jc w:val="center"/>
              <w:rPr>
                <w:color w:val="E26B0A"/>
              </w:rPr>
            </w:pPr>
            <w:r w:rsidRPr="00001FF8">
              <w:rPr>
                <w:color w:val="E26B0A"/>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países que han actualizado su legislación o sus reglamentos</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10</w:t>
            </w:r>
          </w:p>
        </w:tc>
        <w:tc>
          <w:tcPr>
            <w:tcW w:w="434"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países que han aprobado o modificado los marcos pertinentes (o lo están haciendo actualmente) tras recibir asistencia de la OMPI</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17</w:t>
            </w:r>
          </w:p>
        </w:tc>
        <w:tc>
          <w:tcPr>
            <w:tcW w:w="434"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60"/>
        </w:trPr>
        <w:tc>
          <w:tcPr>
            <w:tcW w:w="1581"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I.3 Aumento de la protección de los emblemas de Estado y de los nombres y emblemas de organizaciones intergubernamentales internacionales</w:t>
            </w:r>
          </w:p>
        </w:tc>
        <w:tc>
          <w:tcPr>
            <w:tcW w:w="2220" w:type="pct"/>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peticiones tramitadas de comunicación en virtud del artículo 6</w:t>
            </w:r>
            <w:r w:rsidRPr="002803A3">
              <w:rPr>
                <w:i/>
                <w:sz w:val="16"/>
                <w:szCs w:val="16"/>
                <w:lang w:val="es-ES_tradnl"/>
              </w:rPr>
              <w:t>ter</w:t>
            </w:r>
          </w:p>
        </w:tc>
        <w:tc>
          <w:tcPr>
            <w:tcW w:w="765" w:type="pct"/>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shd w:val="clear" w:color="auto" w:fill="FFFFFF"/>
          </w:tcPr>
          <w:p w:rsidR="00FA423E" w:rsidRPr="00001FF8" w:rsidRDefault="00FA423E" w:rsidP="00DC1333">
            <w:pPr>
              <w:jc w:val="center"/>
              <w:rPr>
                <w:color w:val="E26B0A"/>
              </w:rPr>
            </w:pPr>
            <w:r w:rsidRPr="00001FF8">
              <w:rPr>
                <w:color w:val="E26B0A"/>
                <w:szCs w:val="22"/>
              </w:rPr>
              <w:sym w:font="Wingdings" w:char="F06C"/>
            </w:r>
          </w:p>
        </w:tc>
      </w:tr>
      <w:tr w:rsidR="00FA423E" w:rsidRPr="00AF5E7C" w:rsidTr="00DC1333">
        <w:trPr>
          <w:cantSplit/>
          <w:trHeight w:val="360"/>
        </w:trPr>
        <w:tc>
          <w:tcPr>
            <w:tcW w:w="1581" w:type="pct"/>
            <w:tcBorders>
              <w:bottom w:val="single" w:sz="4" w:space="0" w:color="auto"/>
            </w:tcBorders>
            <w:shd w:val="clear" w:color="auto" w:fill="auto"/>
            <w:tcMar>
              <w:top w:w="113" w:type="dxa"/>
              <w:bottom w:w="113" w:type="dxa"/>
            </w:tcMar>
          </w:tcPr>
          <w:p w:rsidR="00FA423E" w:rsidRPr="002803A3" w:rsidRDefault="00FA423E" w:rsidP="00DC1333">
            <w:pPr>
              <w:rPr>
                <w:sz w:val="16"/>
                <w:szCs w:val="16"/>
              </w:rPr>
            </w:pPr>
          </w:p>
        </w:tc>
        <w:tc>
          <w:tcPr>
            <w:tcW w:w="2220" w:type="pct"/>
            <w:tcBorders>
              <w:bottom w:val="single" w:sz="4" w:space="0" w:color="auto"/>
            </w:tcBorders>
            <w:shd w:val="clear" w:color="auto" w:fill="auto"/>
            <w:tcMar>
              <w:top w:w="113" w:type="dxa"/>
              <w:bottom w:w="113" w:type="dxa"/>
            </w:tcMar>
          </w:tcPr>
          <w:p w:rsidR="00FA423E" w:rsidRPr="002803A3" w:rsidRDefault="00FA423E" w:rsidP="00DC1333">
            <w:pPr>
              <w:rPr>
                <w:sz w:val="16"/>
                <w:szCs w:val="16"/>
              </w:rPr>
            </w:pPr>
            <w:r w:rsidRPr="002803A3">
              <w:rPr>
                <w:sz w:val="16"/>
                <w:szCs w:val="16"/>
                <w:lang w:val="es-ES_tradnl"/>
              </w:rPr>
              <w:t>Número de signos publicados en la base de datos sobre el artículo 6</w:t>
            </w:r>
            <w:r w:rsidRPr="002803A3">
              <w:rPr>
                <w:i/>
                <w:sz w:val="16"/>
                <w:szCs w:val="16"/>
                <w:lang w:val="es-ES_tradnl"/>
              </w:rPr>
              <w:t>ter</w:t>
            </w:r>
          </w:p>
        </w:tc>
        <w:tc>
          <w:tcPr>
            <w:tcW w:w="765" w:type="pct"/>
            <w:tcBorders>
              <w:bottom w:val="single" w:sz="4" w:space="0" w:color="auto"/>
            </w:tcBorders>
            <w:shd w:val="clear" w:color="auto" w:fill="FFFFFF"/>
            <w:tcMar>
              <w:top w:w="113" w:type="dxa"/>
              <w:bottom w:w="113" w:type="dxa"/>
            </w:tcMar>
          </w:tcPr>
          <w:p w:rsidR="00FA423E" w:rsidRPr="002803A3" w:rsidRDefault="00FA423E" w:rsidP="00DC1333">
            <w:pPr>
              <w:jc w:val="center"/>
              <w:rPr>
                <w:sz w:val="16"/>
                <w:szCs w:val="16"/>
                <w:lang w:bidi="th-TH"/>
              </w:rPr>
            </w:pPr>
            <w:r w:rsidRPr="002803A3">
              <w:rPr>
                <w:sz w:val="16"/>
                <w:szCs w:val="16"/>
                <w:lang w:val="es-ES_tradnl" w:bidi="th-TH"/>
              </w:rPr>
              <w:t>Programa 2</w:t>
            </w:r>
          </w:p>
        </w:tc>
        <w:tc>
          <w:tcPr>
            <w:tcW w:w="434" w:type="pct"/>
            <w:tcBorders>
              <w:bottom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p>
        </w:tc>
      </w:tr>
    </w:tbl>
    <w:p w:rsidR="00FA423E" w:rsidRDefault="00FA423E" w:rsidP="00FA423E">
      <w:pPr>
        <w:jc w:val="both"/>
      </w:pPr>
    </w:p>
    <w:p w:rsidR="00FA423E" w:rsidRDefault="00FA423E" w:rsidP="00FA423E"/>
    <w:p w:rsidR="00FA423E" w:rsidRDefault="00FA423E" w:rsidP="00FA423E"/>
    <w:p w:rsidR="00FA423E" w:rsidRDefault="00FA423E" w:rsidP="00FA423E"/>
    <w:p w:rsidR="00FA423E" w:rsidRDefault="00FA423E" w:rsidP="00FA423E"/>
    <w:p w:rsidR="00FA423E" w:rsidRDefault="00FA423E">
      <w:r>
        <w:br w:type="page"/>
      </w:r>
    </w:p>
    <w:p w:rsidR="00FA423E" w:rsidRPr="00526311" w:rsidRDefault="00FA423E" w:rsidP="00FA423E">
      <w:pPr>
        <w:pStyle w:val="Heading2"/>
        <w:tabs>
          <w:tab w:val="left" w:pos="2410"/>
        </w:tabs>
        <w:rPr>
          <w:b/>
        </w:rPr>
      </w:pPr>
      <w:bookmarkStart w:id="53" w:name="_Toc422927402"/>
      <w:bookmarkStart w:id="54" w:name="_Toc455159070"/>
      <w:r w:rsidRPr="00526311">
        <w:rPr>
          <w:b/>
        </w:rPr>
        <w:lastRenderedPageBreak/>
        <w:t>PROGRAMA 1</w:t>
      </w:r>
      <w:r w:rsidRPr="00526311">
        <w:rPr>
          <w:b/>
        </w:rPr>
        <w:tab/>
        <w:t>DERECHO DE PATENTES</w:t>
      </w:r>
      <w:bookmarkEnd w:id="53"/>
      <w:bookmarkEnd w:id="54"/>
    </w:p>
    <w:p w:rsidR="00FA423E" w:rsidRPr="00526311" w:rsidRDefault="00FA423E" w:rsidP="00FA423E">
      <w:pPr>
        <w:rPr>
          <w:sz w:val="20"/>
        </w:rPr>
      </w:pPr>
    </w:p>
    <w:p w:rsidR="00FA423E" w:rsidRPr="00013B5C" w:rsidRDefault="00FA423E" w:rsidP="00FA423E">
      <w:pPr>
        <w:tabs>
          <w:tab w:val="left" w:pos="2410"/>
        </w:tabs>
        <w:rPr>
          <w:b/>
          <w:sz w:val="20"/>
        </w:rPr>
      </w:pPr>
      <w:r w:rsidRPr="00013B5C">
        <w:rPr>
          <w:b/>
          <w:sz w:val="20"/>
        </w:rPr>
        <w:t>Director de programa</w:t>
      </w:r>
      <w:r w:rsidRPr="00013B5C">
        <w:rPr>
          <w:sz w:val="20"/>
        </w:rPr>
        <w:tab/>
      </w:r>
      <w:r w:rsidRPr="00013B5C">
        <w:rPr>
          <w:b/>
          <w:sz w:val="20"/>
        </w:rPr>
        <w:t>Sr. J. Sandage</w:t>
      </w:r>
    </w:p>
    <w:p w:rsidR="00FA423E" w:rsidRPr="00526311" w:rsidRDefault="00FA423E" w:rsidP="00FA423E">
      <w:pPr>
        <w:rPr>
          <w:sz w:val="20"/>
        </w:rPr>
      </w:pPr>
    </w:p>
    <w:p w:rsidR="00FA423E" w:rsidRPr="00526311" w:rsidRDefault="00FA423E" w:rsidP="00FA423E">
      <w:pPr>
        <w:rPr>
          <w:sz w:val="20"/>
        </w:rPr>
      </w:pPr>
    </w:p>
    <w:p w:rsidR="00FA423E" w:rsidRPr="00526311" w:rsidRDefault="008F7CBE" w:rsidP="00FA423E">
      <w:pPr>
        <w:rPr>
          <w:bCs/>
          <w:szCs w:val="22"/>
        </w:rPr>
      </w:pPr>
      <w:r w:rsidRPr="008F7CBE">
        <w:rPr>
          <w:bCs/>
          <w:sz w:val="20"/>
          <w:szCs w:val="22"/>
        </w:rPr>
        <w:t>LOGROS ALCANZADOS EN EL BIENIO 2014/15</w:t>
      </w:r>
    </w:p>
    <w:p w:rsidR="00FA423E" w:rsidRPr="00526311" w:rsidRDefault="00FA423E" w:rsidP="00FA423E">
      <w:pPr>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Con el fin de mejorar la cooperación entre los Estados miembros en lo que atañe a seguir elaborando marcos normativos y de política equilibrados para el sistema internacional de patentes, en enero y noviembre de 2014</w:t>
      </w:r>
      <w:r>
        <w:rPr>
          <w:rFonts w:cs="Arial"/>
          <w:lang w:val="es-ES" w:eastAsia="zh-CN"/>
        </w:rPr>
        <w:t xml:space="preserve"> se celebraron las </w:t>
      </w:r>
      <w:r w:rsidRPr="00526311">
        <w:rPr>
          <w:rFonts w:cs="Arial"/>
          <w:lang w:val="es-ES" w:eastAsia="zh-CN"/>
        </w:rPr>
        <w:t>sesiones</w:t>
      </w:r>
      <w:r>
        <w:rPr>
          <w:rFonts w:cs="Arial"/>
          <w:lang w:val="es-ES" w:eastAsia="zh-CN"/>
        </w:rPr>
        <w:t xml:space="preserve"> vigésima y </w:t>
      </w:r>
      <w:r w:rsidRPr="00526311">
        <w:rPr>
          <w:rFonts w:cs="Arial"/>
          <w:lang w:val="es-ES" w:eastAsia="zh-CN"/>
        </w:rPr>
        <w:t>vigesimoprimera del Comité Permanente so</w:t>
      </w:r>
      <w:r>
        <w:rPr>
          <w:rFonts w:cs="Arial"/>
          <w:lang w:val="es-ES" w:eastAsia="zh-CN"/>
        </w:rPr>
        <w:t>bre el Derecho de Patentes (SCP</w:t>
      </w:r>
      <w:r w:rsidRPr="00526311">
        <w:rPr>
          <w:rFonts w:cs="Arial"/>
          <w:lang w:val="es-ES" w:eastAsia="zh-CN"/>
        </w:rPr>
        <w:t>)</w:t>
      </w:r>
      <w:r>
        <w:rPr>
          <w:rFonts w:cs="Arial"/>
          <w:lang w:val="es-ES" w:eastAsia="zh-CN"/>
        </w:rPr>
        <w:t>, y en julio y diciembre de 2015 se celebraron las sesiones vigesimosegunda y vigesimotercera</w:t>
      </w:r>
      <w:r w:rsidRPr="00526311">
        <w:rPr>
          <w:rFonts w:cs="Arial"/>
          <w:lang w:val="es-ES" w:eastAsia="zh-CN"/>
        </w:rPr>
        <w:t>.  El SCP continuó prestando atención a cinco cuestiones en su orden del día, a saber</w:t>
      </w:r>
      <w:proofErr w:type="gramStart"/>
      <w:r w:rsidRPr="00526311">
        <w:rPr>
          <w:rFonts w:cs="Arial"/>
          <w:lang w:val="es-ES" w:eastAsia="zh-CN"/>
        </w:rPr>
        <w:t>:  i</w:t>
      </w:r>
      <w:proofErr w:type="gramEnd"/>
      <w:r w:rsidRPr="00526311">
        <w:rPr>
          <w:rFonts w:cs="Arial"/>
          <w:lang w:val="es-ES" w:eastAsia="zh-CN"/>
        </w:rPr>
        <w:t>) excepciones y limitaciones a los derechos de patente;  ii) calidad de las patentes, incluidos los procedimientos de oposición;  iii) patentes y salud;  iv) confidencialidad de las comunicaciones entre aseso</w:t>
      </w:r>
      <w:r>
        <w:rPr>
          <w:rFonts w:cs="Arial"/>
          <w:lang w:val="es-ES" w:eastAsia="zh-CN"/>
        </w:rPr>
        <w:t>res de patentes y sus clientes,</w:t>
      </w:r>
      <w:r w:rsidRPr="00526311">
        <w:rPr>
          <w:rFonts w:cs="Arial"/>
          <w:lang w:val="es-ES" w:eastAsia="zh-CN"/>
        </w:rPr>
        <w:t xml:space="preserve"> y v) transferencia de tecnología.</w:t>
      </w:r>
    </w:p>
    <w:p w:rsidR="00FA423E" w:rsidRPr="00526311" w:rsidRDefault="00FA423E" w:rsidP="00FA423E">
      <w:pPr>
        <w:autoSpaceDE w:val="0"/>
        <w:autoSpaceDN w:val="0"/>
        <w:jc w:val="both"/>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 xml:space="preserve">El examen de estudios sustantivos permitió al SCP pasar revista al actual sistema internacional de patentes de manera integral, teniendo en cuenta las necesidades y los intereses de los Estados miembros y los sectores interesados.  El empleo de un enfoque por etapas amplió la base común desde la que el Comité podría desarrollar sus debates. Además, gracias a los distintos métodos empleados por el Comité, como la preparación de estudios de contexto, seminarios y sesiones de información sobre la aplicación nacional del Derecho de patentes y </w:t>
      </w:r>
      <w:r>
        <w:rPr>
          <w:rFonts w:cs="Arial"/>
          <w:lang w:val="es-ES" w:eastAsia="zh-CN"/>
        </w:rPr>
        <w:t xml:space="preserve">el intercambio de </w:t>
      </w:r>
      <w:r w:rsidRPr="00526311">
        <w:rPr>
          <w:rFonts w:cs="Arial"/>
          <w:lang w:val="es-ES" w:eastAsia="zh-CN"/>
        </w:rPr>
        <w:t xml:space="preserve">los desafíos y experiencias en ese plano, pudo avanzarse en los debates sobre cuestiones de interés común en el SCP.  Durante </w:t>
      </w:r>
      <w:r w:rsidR="008F7CBE">
        <w:rPr>
          <w:rFonts w:cs="Arial"/>
          <w:lang w:val="es-ES" w:eastAsia="zh-CN"/>
        </w:rPr>
        <w:t>el bienio </w:t>
      </w:r>
      <w:r w:rsidRPr="00526311">
        <w:rPr>
          <w:rFonts w:cs="Arial"/>
          <w:lang w:val="es-ES" w:eastAsia="zh-CN"/>
        </w:rPr>
        <w:t>2014</w:t>
      </w:r>
      <w:r>
        <w:rPr>
          <w:rFonts w:cs="Arial"/>
          <w:lang w:val="es-ES" w:eastAsia="zh-CN"/>
        </w:rPr>
        <w:t>/15</w:t>
      </w:r>
      <w:r w:rsidRPr="00526311">
        <w:rPr>
          <w:rFonts w:cs="Arial"/>
          <w:lang w:val="es-ES" w:eastAsia="zh-CN"/>
        </w:rPr>
        <w:t>, los Estados miembros formularon varias propuestas acerca de las cuestiones mencionadas, prueba de su determinación de progresar en el ámbito de actividad del SCP.</w:t>
      </w:r>
    </w:p>
    <w:p w:rsidR="00FA423E" w:rsidRPr="00526311" w:rsidRDefault="00FA423E" w:rsidP="00FA423E">
      <w:pPr>
        <w:autoSpaceDE w:val="0"/>
        <w:autoSpaceDN w:val="0"/>
        <w:jc w:val="both"/>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En lo que respecta a los tratados administrados por la OMPI en el</w:t>
      </w:r>
      <w:r>
        <w:rPr>
          <w:rFonts w:cs="Arial"/>
          <w:lang w:val="es-ES" w:eastAsia="zh-CN"/>
        </w:rPr>
        <w:t xml:space="preserve"> ámbito de las patentes</w:t>
      </w:r>
      <w:r w:rsidRPr="00526311">
        <w:rPr>
          <w:rFonts w:cs="Arial"/>
          <w:lang w:val="es-ES" w:eastAsia="zh-CN"/>
        </w:rPr>
        <w:t>, un Estado (Kuwait) se adhirió al Convenio de París</w:t>
      </w:r>
      <w:r>
        <w:rPr>
          <w:rFonts w:cs="Arial"/>
          <w:lang w:val="es-ES" w:eastAsia="zh-CN"/>
        </w:rPr>
        <w:t xml:space="preserve"> durante el bienio</w:t>
      </w:r>
      <w:r w:rsidRPr="00526311">
        <w:rPr>
          <w:rFonts w:cs="Arial"/>
          <w:lang w:val="es-ES" w:eastAsia="zh-CN"/>
        </w:rPr>
        <w:t>.</w:t>
      </w:r>
    </w:p>
    <w:p w:rsidR="00FA423E" w:rsidRPr="00526311" w:rsidRDefault="00FA423E" w:rsidP="00FA423E">
      <w:pPr>
        <w:autoSpaceDE w:val="0"/>
        <w:autoSpaceDN w:val="0"/>
        <w:jc w:val="both"/>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La asistencia legislativa y política que presta la OMPI se ha basado siempre en el marco jurídico multilateral.  La actividad legislativa de los Estados miembros se ha intensificado, en particular debido a su participación en los procesos regionales de integración económica y en los acuerdos comerciales preferenciales.  Además, varios Estados miembros están revisando su legislación de patentes para incorporar políticas públicas propias o reflejar su adhesión a tratados multilaterale</w:t>
      </w:r>
      <w:r>
        <w:rPr>
          <w:rFonts w:cs="Arial"/>
          <w:lang w:val="es-ES" w:eastAsia="zh-CN"/>
        </w:rPr>
        <w:t>s sobre patentes, en particular</w:t>
      </w:r>
      <w:r w:rsidRPr="00526311">
        <w:rPr>
          <w:rFonts w:cs="Arial"/>
          <w:lang w:val="es-ES" w:eastAsia="zh-CN"/>
        </w:rPr>
        <w:t xml:space="preserve"> el </w:t>
      </w:r>
      <w:r w:rsidRPr="00526311">
        <w:rPr>
          <w:lang w:val="es-ES"/>
        </w:rPr>
        <w:t>Tratado de Cooperación en materia de Patentes</w:t>
      </w:r>
      <w:r w:rsidRPr="00526311">
        <w:rPr>
          <w:rFonts w:cs="Arial"/>
          <w:lang w:val="es-ES" w:eastAsia="zh-CN"/>
        </w:rPr>
        <w:t xml:space="preserve"> </w:t>
      </w:r>
      <w:r>
        <w:rPr>
          <w:rFonts w:cs="Arial"/>
          <w:lang w:val="es-ES" w:eastAsia="zh-CN"/>
        </w:rPr>
        <w:t>(</w:t>
      </w:r>
      <w:r w:rsidRPr="00526311">
        <w:rPr>
          <w:rFonts w:cs="Arial"/>
          <w:lang w:val="es-ES" w:eastAsia="zh-CN"/>
        </w:rPr>
        <w:t>PCT</w:t>
      </w:r>
      <w:r>
        <w:rPr>
          <w:rFonts w:cs="Arial"/>
          <w:lang w:val="es-ES" w:eastAsia="zh-CN"/>
        </w:rPr>
        <w:t>)</w:t>
      </w:r>
      <w:r w:rsidRPr="00526311">
        <w:rPr>
          <w:rFonts w:cs="Arial"/>
          <w:lang w:val="es-ES" w:eastAsia="zh-CN"/>
        </w:rPr>
        <w:t xml:space="preserve">, el Tratado de Budapest y el </w:t>
      </w:r>
      <w:r w:rsidRPr="007D0C10">
        <w:rPr>
          <w:lang w:val="es-ES"/>
        </w:rPr>
        <w:t>Tratado sobre el Derecho de Patentes</w:t>
      </w:r>
      <w:r w:rsidRPr="00526311">
        <w:rPr>
          <w:rFonts w:cs="Arial"/>
          <w:lang w:val="es-ES" w:eastAsia="zh-CN"/>
        </w:rPr>
        <w:t xml:space="preserve"> </w:t>
      </w:r>
      <w:r>
        <w:rPr>
          <w:rFonts w:cs="Arial"/>
          <w:lang w:val="es-ES" w:eastAsia="zh-CN"/>
        </w:rPr>
        <w:t>(</w:t>
      </w:r>
      <w:r w:rsidRPr="00526311">
        <w:rPr>
          <w:rFonts w:cs="Arial"/>
          <w:lang w:val="es-ES" w:eastAsia="zh-CN"/>
        </w:rPr>
        <w:t>PLT</w:t>
      </w:r>
      <w:r>
        <w:rPr>
          <w:rFonts w:cs="Arial"/>
          <w:lang w:val="es-ES" w:eastAsia="zh-CN"/>
        </w:rPr>
        <w:t>), o la están aplicando por primera vez mediante la adopción de reglamentos</w:t>
      </w:r>
      <w:r w:rsidRPr="00526311">
        <w:rPr>
          <w:rFonts w:cs="Arial"/>
          <w:lang w:val="es-ES" w:eastAsia="zh-CN"/>
        </w:rPr>
        <w:t xml:space="preserve">.  Asimismo, los países que pasan a ser miembros de la </w:t>
      </w:r>
      <w:r w:rsidRPr="007D0C10">
        <w:rPr>
          <w:rFonts w:cs="Arial"/>
          <w:lang w:val="es-ES" w:eastAsia="zh-CN"/>
        </w:rPr>
        <w:t xml:space="preserve">Organización Mundial del Comercio </w:t>
      </w:r>
      <w:r>
        <w:rPr>
          <w:rFonts w:cs="Arial"/>
          <w:lang w:val="es-ES" w:eastAsia="zh-CN"/>
        </w:rPr>
        <w:t>(</w:t>
      </w:r>
      <w:r w:rsidRPr="00526311">
        <w:rPr>
          <w:rFonts w:cs="Arial"/>
          <w:lang w:val="es-ES" w:eastAsia="zh-CN"/>
        </w:rPr>
        <w:t>OMC</w:t>
      </w:r>
      <w:r>
        <w:rPr>
          <w:rFonts w:cs="Arial"/>
          <w:lang w:val="es-ES" w:eastAsia="zh-CN"/>
        </w:rPr>
        <w:t>)</w:t>
      </w:r>
      <w:r w:rsidRPr="00526311">
        <w:rPr>
          <w:rFonts w:cs="Arial"/>
          <w:lang w:val="es-ES" w:eastAsia="zh-CN"/>
        </w:rPr>
        <w:t xml:space="preserve"> revisan de forma sistemática su</w:t>
      </w:r>
      <w:r>
        <w:rPr>
          <w:rFonts w:cs="Arial"/>
          <w:lang w:val="es-ES" w:eastAsia="zh-CN"/>
        </w:rPr>
        <w:t>s</w:t>
      </w:r>
      <w:r w:rsidRPr="00526311">
        <w:rPr>
          <w:rFonts w:cs="Arial"/>
          <w:lang w:val="es-ES" w:eastAsia="zh-CN"/>
        </w:rPr>
        <w:t xml:space="preserve"> marco</w:t>
      </w:r>
      <w:r>
        <w:rPr>
          <w:rFonts w:cs="Arial"/>
          <w:lang w:val="es-ES" w:eastAsia="zh-CN"/>
        </w:rPr>
        <w:t>s</w:t>
      </w:r>
      <w:r w:rsidRPr="00526311">
        <w:rPr>
          <w:rFonts w:cs="Arial"/>
          <w:lang w:val="es-ES" w:eastAsia="zh-CN"/>
        </w:rPr>
        <w:t xml:space="preserve"> jurídico</w:t>
      </w:r>
      <w:r>
        <w:rPr>
          <w:rFonts w:cs="Arial"/>
          <w:lang w:val="es-ES" w:eastAsia="zh-CN"/>
        </w:rPr>
        <w:t>s</w:t>
      </w:r>
      <w:r w:rsidRPr="00526311">
        <w:rPr>
          <w:rFonts w:cs="Arial"/>
          <w:lang w:val="es-ES" w:eastAsia="zh-CN"/>
        </w:rPr>
        <w:t>.  Por lo tanto, las solicitudes de asesoramiento en el ámbito legislativo siguen la misma tendencia.</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 xml:space="preserve">Además, durante </w:t>
      </w:r>
      <w:r>
        <w:rPr>
          <w:rFonts w:cs="Arial"/>
          <w:lang w:val="es-ES" w:eastAsia="zh-CN"/>
        </w:rPr>
        <w:t xml:space="preserve">el bienio </w:t>
      </w:r>
      <w:r w:rsidRPr="00526311">
        <w:rPr>
          <w:rFonts w:cs="Arial"/>
          <w:lang w:val="es-ES" w:eastAsia="zh-CN"/>
        </w:rPr>
        <w:t>2014</w:t>
      </w:r>
      <w:r>
        <w:rPr>
          <w:rFonts w:cs="Arial"/>
          <w:lang w:val="es-ES" w:eastAsia="zh-CN"/>
        </w:rPr>
        <w:t>/15</w:t>
      </w:r>
      <w:r w:rsidRPr="00526311">
        <w:rPr>
          <w:rFonts w:cs="Arial"/>
          <w:lang w:val="es-ES" w:eastAsia="zh-CN"/>
        </w:rPr>
        <w:t>, la Secretaría continuó contribuyendo a generar una mayor conciencia de los principios jurídicos y las prácticas del sistema de patentes mediante el suministro a organizaciones intergubernamentales, organismos de las Naciones Unidas, organizaciones no</w:t>
      </w:r>
      <w:r>
        <w:rPr>
          <w:rFonts w:cs="Arial"/>
          <w:lang w:val="es-ES" w:eastAsia="zh-CN"/>
        </w:rPr>
        <w:t xml:space="preserve"> gubernamentales y otras partes</w:t>
      </w:r>
      <w:r w:rsidRPr="00526311">
        <w:rPr>
          <w:rFonts w:cs="Arial"/>
          <w:lang w:val="es-ES" w:eastAsia="zh-CN"/>
        </w:rPr>
        <w:t xml:space="preserve"> de información relevante en relación con cuestiones relativas a este programa.</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rPr>
      </w:pPr>
      <w:r w:rsidRPr="00526311">
        <w:rPr>
          <w:rFonts w:cs="Arial"/>
          <w:lang w:val="es-ES"/>
        </w:rPr>
        <w:t>El diseño, la planificación y la ejecución de</w:t>
      </w:r>
      <w:r>
        <w:rPr>
          <w:rFonts w:cs="Arial"/>
          <w:lang w:val="es-ES"/>
        </w:rPr>
        <w:t xml:space="preserve"> las actividades </w:t>
      </w:r>
      <w:r w:rsidRPr="00526311">
        <w:rPr>
          <w:rFonts w:cs="Arial"/>
          <w:lang w:val="es-ES"/>
        </w:rPr>
        <w:t>se basaron en las recomendaciones pertinentes de la A.D. y se guiaron por ellas.  Los debates acerca del desarrollo progresivo del sistema internacional de patentes dentro del SCP se siguieron caracterizando por ser inclusivos y estar orientados hacia los miembros, por tener en cuenta los distintos niveles de desarrollo, por constituir un proceso participativo y por estar en consonancia con el principio de neutralidad de la Secretaría de la OMPI (recomendación 15).  Asimismo, se tuvieron en cuenta las flexibilidades existentes en los acuerdos internacionales sobre P.I. (recomendación 17).  Las actividades del SCP se basaron en consultas abiertas y equilibradas (recomendaciones 21 y 42) y contribuyeron a los objetivos de desarrollo de las Naciones Unidas (recomendación 22).  En particular, de conformidad con la recomendación 22, los documentos de trabajo del SCP abordaron cuestiones como</w:t>
      </w:r>
      <w:proofErr w:type="gramStart"/>
      <w:r w:rsidRPr="00526311">
        <w:rPr>
          <w:rFonts w:cs="Arial"/>
          <w:lang w:val="es-ES"/>
        </w:rPr>
        <w:t>:  i</w:t>
      </w:r>
      <w:proofErr w:type="gramEnd"/>
      <w:r w:rsidRPr="00526311">
        <w:rPr>
          <w:rFonts w:cs="Arial"/>
          <w:lang w:val="es-ES"/>
        </w:rPr>
        <w:t>) la transferencia de tecnología</w:t>
      </w:r>
      <w:r>
        <w:rPr>
          <w:rFonts w:cs="Arial"/>
          <w:lang w:val="es-ES"/>
        </w:rPr>
        <w:t xml:space="preserve"> relacionada con las patentes, </w:t>
      </w:r>
      <w:r w:rsidRPr="00526311">
        <w:rPr>
          <w:rFonts w:cs="Arial"/>
          <w:lang w:val="es-ES"/>
        </w:rPr>
        <w:t>y ii) las potenciales flexibilidades, excepciones y limitaciones para los Estados miembros.</w:t>
      </w:r>
    </w:p>
    <w:p w:rsidR="00FA423E" w:rsidRPr="00526311" w:rsidRDefault="00FA423E" w:rsidP="00FA423E">
      <w:pPr>
        <w:autoSpaceDE w:val="0"/>
        <w:autoSpaceDN w:val="0"/>
        <w:jc w:val="both"/>
        <w:rPr>
          <w:sz w:val="20"/>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Las actividades del programa relativas al fortalecimiento de las capacidades y la asistencia legislativa y política estuvieron orientadas a potenciar el desarrollo, obedecieron a la demanda y se llevaron a cabo conforme al calendario previsto (recomendaciones 1, 13 y 14).</w:t>
      </w:r>
      <w:r>
        <w:rPr>
          <w:rFonts w:cs="Arial"/>
          <w:lang w:val="es-ES" w:eastAsia="zh-CN"/>
        </w:rPr>
        <w:t xml:space="preserve"> Desde marzo de 2015 se </w:t>
      </w:r>
      <w:r>
        <w:rPr>
          <w:rFonts w:cs="Arial"/>
          <w:lang w:val="es-ES" w:eastAsia="zh-CN"/>
        </w:rPr>
        <w:lastRenderedPageBreak/>
        <w:t>han llevado a cabo actividades de fortalecimiento de las capacidades en el ámbito de la redacción de solicitudes de patente mediante la elaboración de programas de formación eficientes y eficaces que generen sinergia entre las distintas partes interesadas.</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 xml:space="preserve">Por otro lado, y conforme a las recomendaciones 16 y 20, se participó en una evaluación final de los resultados concretos del proyecto de la A.D. sobre patentes y dominio público, que fue presentada y examinada en la decimotercera sesión del Comité de Desarrollo y Propiedad Intelectual (CDIP), </w:t>
      </w:r>
      <w:r>
        <w:rPr>
          <w:rFonts w:cs="Arial"/>
          <w:lang w:val="es-ES" w:eastAsia="zh-CN"/>
        </w:rPr>
        <w:t>celebrada</w:t>
      </w:r>
      <w:r w:rsidRPr="00526311">
        <w:rPr>
          <w:rFonts w:cs="Arial"/>
          <w:lang w:val="es-ES" w:eastAsia="zh-CN"/>
        </w:rPr>
        <w:t xml:space="preserve"> </w:t>
      </w:r>
      <w:r>
        <w:rPr>
          <w:rFonts w:cs="Arial"/>
          <w:lang w:val="es-ES" w:eastAsia="zh-CN"/>
        </w:rPr>
        <w:t>en</w:t>
      </w:r>
      <w:r w:rsidRPr="00526311">
        <w:rPr>
          <w:rFonts w:cs="Arial"/>
          <w:lang w:val="es-ES" w:eastAsia="zh-CN"/>
        </w:rPr>
        <w:t xml:space="preserve"> mayo de 2014.</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zh-CN"/>
        </w:rPr>
      </w:pPr>
      <w:r w:rsidRPr="00526311">
        <w:rPr>
          <w:rFonts w:cs="Arial"/>
          <w:lang w:val="es-ES" w:eastAsia="zh-CN"/>
        </w:rPr>
        <w:t>En el marco del programa se pre</w:t>
      </w:r>
      <w:r>
        <w:rPr>
          <w:rFonts w:cs="Arial"/>
          <w:lang w:val="es-ES" w:eastAsia="zh-CN"/>
        </w:rPr>
        <w:t xml:space="preserve">pararon </w:t>
      </w:r>
      <w:r w:rsidRPr="00526311">
        <w:rPr>
          <w:rFonts w:cs="Arial"/>
          <w:lang w:val="es-ES" w:eastAsia="zh-CN"/>
        </w:rPr>
        <w:t>l</w:t>
      </w:r>
      <w:r>
        <w:rPr>
          <w:rFonts w:cs="Arial"/>
          <w:lang w:val="es-ES" w:eastAsia="zh-CN"/>
        </w:rPr>
        <w:t>os</w:t>
      </w:r>
      <w:r w:rsidRPr="00526311">
        <w:rPr>
          <w:rFonts w:cs="Arial"/>
          <w:lang w:val="es-ES" w:eastAsia="zh-CN"/>
        </w:rPr>
        <w:t xml:space="preserve"> documento</w:t>
      </w:r>
      <w:r>
        <w:rPr>
          <w:rFonts w:cs="Arial"/>
          <w:lang w:val="es-ES" w:eastAsia="zh-CN"/>
        </w:rPr>
        <w:t>s</w:t>
      </w:r>
      <w:r w:rsidRPr="00526311">
        <w:rPr>
          <w:rFonts w:cs="Arial"/>
          <w:lang w:val="es-ES" w:eastAsia="zh-CN"/>
        </w:rPr>
        <w:t xml:space="preserve"> CDIP/13/10</w:t>
      </w:r>
      <w:r>
        <w:rPr>
          <w:rFonts w:cs="Arial"/>
          <w:lang w:val="es-ES" w:eastAsia="zh-CN"/>
        </w:rPr>
        <w:t xml:space="preserve"> y </w:t>
      </w:r>
      <w:r w:rsidRPr="00D528DA">
        <w:rPr>
          <w:color w:val="000000"/>
          <w:lang w:val="es-ES" w:eastAsia="zh-CN"/>
        </w:rPr>
        <w:t>CDIP/15/6</w:t>
      </w:r>
      <w:r>
        <w:rPr>
          <w:rFonts w:cs="Arial"/>
          <w:lang w:val="es-ES" w:eastAsia="zh-CN"/>
        </w:rPr>
        <w:t xml:space="preserve">, en </w:t>
      </w:r>
      <w:r w:rsidRPr="00526311">
        <w:rPr>
          <w:rFonts w:cs="Arial"/>
          <w:lang w:val="es-ES" w:eastAsia="zh-CN"/>
        </w:rPr>
        <w:t>l</w:t>
      </w:r>
      <w:r>
        <w:rPr>
          <w:rFonts w:cs="Arial"/>
          <w:lang w:val="es-ES" w:eastAsia="zh-CN"/>
        </w:rPr>
        <w:t>os</w:t>
      </w:r>
      <w:r w:rsidRPr="00526311">
        <w:rPr>
          <w:rFonts w:cs="Arial"/>
          <w:lang w:val="es-ES" w:eastAsia="zh-CN"/>
        </w:rPr>
        <w:t xml:space="preserve"> que se abordan </w:t>
      </w:r>
      <w:r>
        <w:rPr>
          <w:rFonts w:cs="Arial"/>
          <w:lang w:val="es-ES" w:eastAsia="zh-CN"/>
        </w:rPr>
        <w:t>cuatro</w:t>
      </w:r>
      <w:r w:rsidRPr="00526311">
        <w:rPr>
          <w:rFonts w:cs="Arial"/>
          <w:lang w:val="es-ES" w:eastAsia="zh-CN"/>
        </w:rPr>
        <w:t xml:space="preserve"> nuevas flexib</w:t>
      </w:r>
      <w:r>
        <w:rPr>
          <w:rFonts w:cs="Arial"/>
          <w:lang w:val="es-ES" w:eastAsia="zh-CN"/>
        </w:rPr>
        <w:t>ilidades en materia de patentes</w:t>
      </w:r>
      <w:r w:rsidRPr="00526311">
        <w:rPr>
          <w:rFonts w:cs="Arial"/>
          <w:lang w:val="es-ES" w:eastAsia="zh-CN"/>
        </w:rPr>
        <w:t xml:space="preserve"> y que fue</w:t>
      </w:r>
      <w:r>
        <w:rPr>
          <w:rFonts w:cs="Arial"/>
          <w:lang w:val="es-ES" w:eastAsia="zh-CN"/>
        </w:rPr>
        <w:t>ron</w:t>
      </w:r>
      <w:r w:rsidRPr="00526311">
        <w:rPr>
          <w:rFonts w:cs="Arial"/>
          <w:lang w:val="es-ES" w:eastAsia="zh-CN"/>
        </w:rPr>
        <w:t xml:space="preserve"> examinado</w:t>
      </w:r>
      <w:r>
        <w:rPr>
          <w:rFonts w:cs="Arial"/>
          <w:lang w:val="es-ES" w:eastAsia="zh-CN"/>
        </w:rPr>
        <w:t>s</w:t>
      </w:r>
      <w:r w:rsidRPr="00526311">
        <w:rPr>
          <w:rFonts w:cs="Arial"/>
          <w:lang w:val="es-ES" w:eastAsia="zh-CN"/>
        </w:rPr>
        <w:t xml:space="preserve"> </w:t>
      </w:r>
      <w:r>
        <w:rPr>
          <w:rFonts w:cs="Arial"/>
          <w:lang w:val="es-ES" w:eastAsia="zh-CN"/>
        </w:rPr>
        <w:t>en las sesiones</w:t>
      </w:r>
      <w:r w:rsidRPr="00526311">
        <w:rPr>
          <w:rFonts w:cs="Arial"/>
          <w:lang w:val="es-ES" w:eastAsia="zh-CN"/>
        </w:rPr>
        <w:t xml:space="preserve"> </w:t>
      </w:r>
      <w:r>
        <w:rPr>
          <w:rFonts w:cs="Arial"/>
          <w:lang w:val="es-ES" w:eastAsia="zh-CN"/>
        </w:rPr>
        <w:t xml:space="preserve">decimotercera y decimocuarta </w:t>
      </w:r>
      <w:r w:rsidRPr="00526311">
        <w:rPr>
          <w:rFonts w:cs="Arial"/>
          <w:lang w:val="es-ES" w:eastAsia="zh-CN"/>
        </w:rPr>
        <w:t>del CDIP</w:t>
      </w:r>
      <w:r>
        <w:rPr>
          <w:rFonts w:cs="Arial"/>
          <w:lang w:val="es-ES" w:eastAsia="zh-CN"/>
        </w:rPr>
        <w:t xml:space="preserve"> respectivamente.  Además,</w:t>
      </w:r>
      <w:r w:rsidRPr="00526311">
        <w:rPr>
          <w:rFonts w:cs="Arial"/>
          <w:lang w:val="es-ES" w:eastAsia="zh-CN"/>
        </w:rPr>
        <w:t xml:space="preserve"> se realizaron actividades orientadas a fomentar la sensibilización acerca de la aplicación práctica de las flexibilidades en el plano nacional</w:t>
      </w:r>
      <w:r>
        <w:rPr>
          <w:rFonts w:cs="Arial"/>
          <w:lang w:val="es-ES" w:eastAsia="zh-CN"/>
        </w:rPr>
        <w:t xml:space="preserve">, entre ellas 14 </w:t>
      </w:r>
      <w:r w:rsidRPr="00526311">
        <w:rPr>
          <w:rFonts w:cs="Arial"/>
          <w:lang w:val="es-ES" w:eastAsia="zh-CN"/>
        </w:rPr>
        <w:t>seminario</w:t>
      </w:r>
      <w:r>
        <w:rPr>
          <w:rFonts w:cs="Arial"/>
          <w:lang w:val="es-ES" w:eastAsia="zh-CN"/>
        </w:rPr>
        <w:t>s</w:t>
      </w:r>
      <w:r w:rsidRPr="00526311">
        <w:rPr>
          <w:rFonts w:cs="Arial"/>
          <w:lang w:val="es-ES" w:eastAsia="zh-CN"/>
        </w:rPr>
        <w:t xml:space="preserve"> </w:t>
      </w:r>
      <w:r>
        <w:rPr>
          <w:rFonts w:cs="Arial"/>
          <w:lang w:val="es-ES" w:eastAsia="zh-CN"/>
        </w:rPr>
        <w:t xml:space="preserve">o talleres nacionales y </w:t>
      </w:r>
      <w:r w:rsidRPr="00526311">
        <w:rPr>
          <w:rFonts w:cs="Arial"/>
          <w:lang w:val="es-ES" w:eastAsia="zh-CN"/>
        </w:rPr>
        <w:t>regional</w:t>
      </w:r>
      <w:r>
        <w:rPr>
          <w:rFonts w:cs="Arial"/>
          <w:lang w:val="es-ES" w:eastAsia="zh-CN"/>
        </w:rPr>
        <w:t>es</w:t>
      </w:r>
      <w:r w:rsidRPr="00526311">
        <w:rPr>
          <w:rFonts w:cs="Arial"/>
          <w:lang w:val="es-ES" w:eastAsia="zh-CN"/>
        </w:rPr>
        <w:t xml:space="preserve"> sobre el marco jurídico </w:t>
      </w:r>
      <w:r>
        <w:rPr>
          <w:rFonts w:cs="Arial"/>
          <w:lang w:val="es-ES" w:eastAsia="zh-CN"/>
        </w:rPr>
        <w:t xml:space="preserve">multilateral de las patentes </w:t>
      </w:r>
      <w:r w:rsidRPr="00526311">
        <w:rPr>
          <w:rFonts w:cs="Arial"/>
          <w:lang w:val="es-ES" w:eastAsia="zh-CN"/>
        </w:rPr>
        <w:t xml:space="preserve">y </w:t>
      </w:r>
      <w:r>
        <w:rPr>
          <w:rFonts w:cs="Arial"/>
          <w:lang w:val="es-ES" w:eastAsia="zh-CN"/>
        </w:rPr>
        <w:t xml:space="preserve">cuestiones relacionadas con </w:t>
      </w:r>
      <w:r w:rsidRPr="00526311">
        <w:rPr>
          <w:rFonts w:cs="Arial"/>
          <w:lang w:val="es-ES" w:eastAsia="zh-CN"/>
        </w:rPr>
        <w:t>la</w:t>
      </w:r>
      <w:r>
        <w:rPr>
          <w:rFonts w:cs="Arial"/>
          <w:lang w:val="es-ES" w:eastAsia="zh-CN"/>
        </w:rPr>
        <w:t>s políticas públicas, incluidas las flexibilidades contempladas en dicho marco</w:t>
      </w:r>
      <w:r w:rsidRPr="00526311">
        <w:rPr>
          <w:rFonts w:cs="Arial"/>
          <w:lang w:val="es-ES" w:eastAsia="zh-CN"/>
        </w:rPr>
        <w:t>.</w:t>
      </w:r>
    </w:p>
    <w:p w:rsidR="00FA423E" w:rsidRPr="00526311" w:rsidRDefault="00FA423E" w:rsidP="00FA423E">
      <w:pPr>
        <w:rPr>
          <w:sz w:val="20"/>
        </w:rPr>
      </w:pPr>
    </w:p>
    <w:p w:rsidR="00FA423E" w:rsidRPr="00526311" w:rsidRDefault="00FA423E" w:rsidP="00FA423E">
      <w:pPr>
        <w:rPr>
          <w:sz w:val="20"/>
        </w:rPr>
      </w:pPr>
    </w:p>
    <w:p w:rsidR="00FA423E" w:rsidRPr="00526311" w:rsidRDefault="008F7CBE" w:rsidP="00FA423E">
      <w:pPr>
        <w:jc w:val="both"/>
        <w:rPr>
          <w:szCs w:val="22"/>
        </w:rPr>
      </w:pPr>
      <w:r w:rsidRPr="008F7CBE">
        <w:rPr>
          <w:sz w:val="20"/>
          <w:szCs w:val="22"/>
        </w:rPr>
        <w:t>DATOS SOBRE EL RENDIMIENTO</w:t>
      </w:r>
    </w:p>
    <w:p w:rsidR="00FA423E" w:rsidRPr="00526311" w:rsidRDefault="00FA423E" w:rsidP="00FA423E">
      <w:pPr>
        <w:rPr>
          <w:b/>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1"/>
        <w:gridCol w:w="2268"/>
        <w:gridCol w:w="1274"/>
        <w:gridCol w:w="2128"/>
        <w:gridCol w:w="1276"/>
      </w:tblGrid>
      <w:tr w:rsidR="00FA423E" w:rsidRPr="00526311" w:rsidTr="00DC1333">
        <w:trPr>
          <w:trHeight w:val="810"/>
        </w:trPr>
        <w:tc>
          <w:tcPr>
            <w:tcW w:w="5000" w:type="pct"/>
            <w:gridSpan w:val="5"/>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ind w:left="2019" w:hanging="2019"/>
              <w:rPr>
                <w:b/>
                <w:bCs/>
                <w:sz w:val="16"/>
                <w:szCs w:val="16"/>
              </w:rPr>
            </w:pPr>
            <w:r w:rsidRPr="00526311">
              <w:rPr>
                <w:b/>
                <w:bCs/>
                <w:sz w:val="16"/>
                <w:szCs w:val="16"/>
              </w:rPr>
              <w:t>Resultado previsto:</w:t>
            </w:r>
            <w:r w:rsidRPr="00526311">
              <w:tab/>
            </w:r>
            <w:r w:rsidRPr="00526311">
              <w:rPr>
                <w:bCs/>
                <w:sz w:val="16"/>
                <w:szCs w:val="16"/>
              </w:rPr>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A423E" w:rsidRPr="00526311" w:rsidTr="00DC1333">
        <w:tc>
          <w:tcPr>
            <w:tcW w:w="1288" w:type="pct"/>
            <w:tcBorders>
              <w:top w:val="single" w:sz="4" w:space="0" w:color="auto"/>
              <w:left w:val="single" w:sz="4" w:space="0" w:color="auto"/>
              <w:bottom w:val="nil"/>
              <w:right w:val="nil"/>
            </w:tcBorders>
            <w:shd w:val="clear" w:color="auto" w:fill="auto"/>
            <w:vAlign w:val="center"/>
          </w:tcPr>
          <w:p w:rsidR="00FA423E" w:rsidRPr="00526311" w:rsidRDefault="00FA423E" w:rsidP="00DC1333">
            <w:pPr>
              <w:rPr>
                <w:sz w:val="16"/>
                <w:szCs w:val="16"/>
              </w:rPr>
            </w:pPr>
            <w:r w:rsidRPr="00526311">
              <w:rPr>
                <w:b/>
                <w:sz w:val="16"/>
                <w:szCs w:val="16"/>
              </w:rPr>
              <w:t>Indicadores de rendimiento</w:t>
            </w:r>
          </w:p>
        </w:tc>
        <w:tc>
          <w:tcPr>
            <w:tcW w:w="1212" w:type="pct"/>
            <w:tcBorders>
              <w:top w:val="single" w:sz="4" w:space="0" w:color="auto"/>
              <w:left w:val="nil"/>
              <w:bottom w:val="nil"/>
              <w:right w:val="nil"/>
            </w:tcBorders>
            <w:shd w:val="clear" w:color="auto" w:fill="auto"/>
            <w:vAlign w:val="center"/>
          </w:tcPr>
          <w:p w:rsidR="00FA423E" w:rsidRPr="00526311" w:rsidRDefault="00FA423E" w:rsidP="00DC1333">
            <w:pPr>
              <w:rPr>
                <w:b/>
                <w:bCs/>
                <w:sz w:val="16"/>
                <w:szCs w:val="16"/>
              </w:rPr>
            </w:pPr>
            <w:r w:rsidRPr="00526311">
              <w:rPr>
                <w:b/>
                <w:bCs/>
                <w:sz w:val="16"/>
                <w:szCs w:val="16"/>
              </w:rPr>
              <w:t>Referencia</w:t>
            </w:r>
          </w:p>
        </w:tc>
        <w:tc>
          <w:tcPr>
            <w:tcW w:w="681" w:type="pct"/>
            <w:tcBorders>
              <w:top w:val="single" w:sz="4" w:space="0" w:color="auto"/>
              <w:left w:val="nil"/>
              <w:bottom w:val="nil"/>
              <w:right w:val="nil"/>
            </w:tcBorders>
            <w:shd w:val="clear" w:color="auto" w:fill="auto"/>
            <w:tcMar>
              <w:top w:w="110" w:type="dxa"/>
            </w:tcMar>
            <w:vAlign w:val="center"/>
          </w:tcPr>
          <w:p w:rsidR="00FA423E" w:rsidRPr="00526311" w:rsidRDefault="00FA423E" w:rsidP="00DC1333">
            <w:pPr>
              <w:rPr>
                <w:b/>
                <w:sz w:val="16"/>
                <w:szCs w:val="16"/>
              </w:rPr>
            </w:pPr>
            <w:r w:rsidRPr="00526311">
              <w:rPr>
                <w:b/>
                <w:sz w:val="16"/>
                <w:szCs w:val="16"/>
              </w:rPr>
              <w:t>Objetivos</w:t>
            </w:r>
          </w:p>
        </w:tc>
        <w:tc>
          <w:tcPr>
            <w:tcW w:w="1137" w:type="pct"/>
            <w:tcBorders>
              <w:top w:val="single" w:sz="4" w:space="0" w:color="auto"/>
              <w:left w:val="nil"/>
              <w:bottom w:val="nil"/>
              <w:right w:val="nil"/>
            </w:tcBorders>
            <w:shd w:val="clear" w:color="auto" w:fill="FFFFFF"/>
            <w:tcMar>
              <w:top w:w="110" w:type="dxa"/>
            </w:tcMar>
            <w:vAlign w:val="center"/>
          </w:tcPr>
          <w:p w:rsidR="00FA423E" w:rsidRPr="00526311" w:rsidRDefault="00FA423E" w:rsidP="00DC1333">
            <w:pPr>
              <w:rPr>
                <w:sz w:val="16"/>
                <w:szCs w:val="16"/>
              </w:rPr>
            </w:pPr>
            <w:r w:rsidRPr="00526311">
              <w:rPr>
                <w:b/>
                <w:sz w:val="16"/>
                <w:szCs w:val="16"/>
              </w:rPr>
              <w:t>Datos sobre el rendimiento</w:t>
            </w:r>
          </w:p>
        </w:tc>
        <w:tc>
          <w:tcPr>
            <w:tcW w:w="682" w:type="pct"/>
            <w:tcBorders>
              <w:top w:val="single" w:sz="4" w:space="0" w:color="auto"/>
              <w:left w:val="nil"/>
              <w:bottom w:val="nil"/>
              <w:right w:val="single" w:sz="4" w:space="0" w:color="auto"/>
            </w:tcBorders>
            <w:shd w:val="clear" w:color="auto" w:fill="auto"/>
            <w:tcMar>
              <w:top w:w="110" w:type="dxa"/>
            </w:tcMar>
            <w:vAlign w:val="center"/>
          </w:tcPr>
          <w:p w:rsidR="00FA423E" w:rsidRPr="00526311" w:rsidRDefault="00FA423E" w:rsidP="00DC1333">
            <w:pPr>
              <w:keepNext/>
              <w:keepLines/>
              <w:jc w:val="center"/>
              <w:rPr>
                <w:b/>
                <w:sz w:val="16"/>
                <w:szCs w:val="16"/>
              </w:rPr>
            </w:pPr>
            <w:r w:rsidRPr="00526311">
              <w:rPr>
                <w:b/>
                <w:sz w:val="16"/>
                <w:szCs w:val="16"/>
              </w:rPr>
              <w:t>Clave de colores</w:t>
            </w:r>
          </w:p>
        </w:tc>
      </w:tr>
      <w:tr w:rsidR="00FA423E" w:rsidRPr="00526311" w:rsidTr="00DC1333">
        <w:tc>
          <w:tcPr>
            <w:tcW w:w="1288" w:type="pct"/>
            <w:tcBorders>
              <w:top w:val="nil"/>
              <w:left w:val="single" w:sz="4" w:space="0" w:color="auto"/>
              <w:bottom w:val="nil"/>
              <w:right w:val="nil"/>
            </w:tcBorders>
            <w:shd w:val="clear" w:color="auto" w:fill="auto"/>
          </w:tcPr>
          <w:p w:rsidR="00FA423E" w:rsidRPr="00526311" w:rsidRDefault="00FA423E" w:rsidP="00DC1333">
            <w:pPr>
              <w:rPr>
                <w:sz w:val="16"/>
                <w:szCs w:val="16"/>
              </w:rPr>
            </w:pPr>
            <w:r w:rsidRPr="00526311">
              <w:rPr>
                <w:sz w:val="16"/>
                <w:szCs w:val="16"/>
              </w:rPr>
              <w:t>Progresos en la puesta en práctica de medidas/planes concertados por el SCP</w:t>
            </w:r>
          </w:p>
        </w:tc>
        <w:tc>
          <w:tcPr>
            <w:tcW w:w="1212" w:type="pct"/>
            <w:tcBorders>
              <w:top w:val="nil"/>
              <w:left w:val="nil"/>
              <w:bottom w:val="nil"/>
              <w:right w:val="nil"/>
            </w:tcBorders>
            <w:shd w:val="clear" w:color="auto" w:fill="auto"/>
          </w:tcPr>
          <w:p w:rsidR="00FA423E" w:rsidRPr="00526311" w:rsidRDefault="00FA423E" w:rsidP="00DC1333">
            <w:pPr>
              <w:rPr>
                <w:i/>
                <w:color w:val="002060"/>
                <w:sz w:val="16"/>
                <w:szCs w:val="16"/>
              </w:rPr>
            </w:pPr>
            <w:r w:rsidRPr="00526311">
              <w:rPr>
                <w:i/>
                <w:color w:val="002060"/>
                <w:sz w:val="16"/>
                <w:szCs w:val="16"/>
              </w:rPr>
              <w:t xml:space="preserve">Referencia actualizada a fines de 2013:  </w:t>
            </w:r>
            <w:r w:rsidRPr="00526311">
              <w:rPr>
                <w:color w:val="002060"/>
                <w:sz w:val="16"/>
                <w:szCs w:val="16"/>
              </w:rPr>
              <w:t>El SCP ha concentrado sus esfuerzos en avanzar en cinco cuestiones de su orden del día y ha conseguido progresar en sus debates, por ejemplo, gracias a la recopilación de información a través de un cuestionario, la elaboración de estudios y el intercambio de experiencias y prácticas nacionales entre los Estados miembros.</w:t>
            </w:r>
          </w:p>
          <w:p w:rsidR="00FA423E" w:rsidRPr="00526311" w:rsidRDefault="00FA423E" w:rsidP="00DC1333">
            <w:pPr>
              <w:rPr>
                <w:i/>
                <w:sz w:val="8"/>
                <w:szCs w:val="8"/>
              </w:rPr>
            </w:pPr>
          </w:p>
          <w:p w:rsidR="00FA423E" w:rsidRPr="00526311" w:rsidRDefault="00FA423E" w:rsidP="00DC1333">
            <w:pPr>
              <w:rPr>
                <w:i/>
                <w:sz w:val="16"/>
                <w:szCs w:val="16"/>
                <w:lang w:bidi="th-TH"/>
              </w:rPr>
            </w:pPr>
            <w:r w:rsidRPr="00526311">
              <w:rPr>
                <w:i/>
                <w:sz w:val="16"/>
                <w:szCs w:val="16"/>
                <w:lang w:bidi="th-TH"/>
              </w:rPr>
              <w:t xml:space="preserve">Referencia original en el presupuesto de 2014/15:  </w:t>
            </w:r>
            <w:r w:rsidRPr="00526311">
              <w:rPr>
                <w:sz w:val="16"/>
                <w:szCs w:val="16"/>
                <w:lang w:bidi="th-TH"/>
              </w:rPr>
              <w:t>por determinar</w:t>
            </w:r>
          </w:p>
          <w:p w:rsidR="00FA423E" w:rsidRPr="00526311" w:rsidRDefault="00FA423E" w:rsidP="00DC1333">
            <w:pPr>
              <w:rPr>
                <w:sz w:val="16"/>
                <w:szCs w:val="16"/>
              </w:rPr>
            </w:pPr>
          </w:p>
        </w:tc>
        <w:tc>
          <w:tcPr>
            <w:tcW w:w="681" w:type="pct"/>
            <w:tcBorders>
              <w:top w:val="nil"/>
              <w:left w:val="nil"/>
              <w:bottom w:val="nil"/>
              <w:right w:val="nil"/>
            </w:tcBorders>
            <w:shd w:val="clear" w:color="auto" w:fill="auto"/>
            <w:tcMar>
              <w:top w:w="110" w:type="dxa"/>
            </w:tcMar>
          </w:tcPr>
          <w:p w:rsidR="00FA423E" w:rsidRPr="00526311" w:rsidRDefault="00FA423E" w:rsidP="00DC1333">
            <w:pPr>
              <w:rPr>
                <w:sz w:val="16"/>
                <w:szCs w:val="16"/>
              </w:rPr>
            </w:pPr>
            <w:r w:rsidRPr="00526311">
              <w:rPr>
                <w:sz w:val="16"/>
                <w:szCs w:val="16"/>
              </w:rPr>
              <w:t>Progresos en cuestiones de interés común en el marco del SCP.</w:t>
            </w:r>
          </w:p>
        </w:tc>
        <w:tc>
          <w:tcPr>
            <w:tcW w:w="1137" w:type="pct"/>
            <w:tcBorders>
              <w:top w:val="nil"/>
              <w:left w:val="nil"/>
              <w:bottom w:val="nil"/>
              <w:right w:val="nil"/>
            </w:tcBorders>
            <w:shd w:val="clear" w:color="auto" w:fill="FFFFFF"/>
            <w:tcMar>
              <w:top w:w="110" w:type="dxa"/>
            </w:tcMar>
          </w:tcPr>
          <w:p w:rsidR="00FA423E" w:rsidRPr="00526311" w:rsidRDefault="00FA423E" w:rsidP="00DC1333">
            <w:pPr>
              <w:rPr>
                <w:sz w:val="16"/>
                <w:szCs w:val="16"/>
              </w:rPr>
            </w:pPr>
            <w:r>
              <w:rPr>
                <w:sz w:val="16"/>
                <w:szCs w:val="16"/>
              </w:rPr>
              <w:t>El SCP ha concentrado sus esfuerzos en avanzar en las cinco</w:t>
            </w:r>
            <w:r w:rsidRPr="00526311">
              <w:rPr>
                <w:sz w:val="16"/>
                <w:szCs w:val="16"/>
              </w:rPr>
              <w:t xml:space="preserve"> cuestiones</w:t>
            </w:r>
            <w:r>
              <w:rPr>
                <w:sz w:val="16"/>
                <w:szCs w:val="16"/>
              </w:rPr>
              <w:t xml:space="preserve"> de su orden del día</w:t>
            </w:r>
            <w:r>
              <w:t xml:space="preserve"> </w:t>
            </w:r>
            <w:r w:rsidRPr="00BF09FA">
              <w:rPr>
                <w:sz w:val="16"/>
                <w:szCs w:val="16"/>
              </w:rPr>
              <w:t>y ha conseguido progresar en sus debates, por ejemplo, gracias a</w:t>
            </w:r>
            <w:r>
              <w:rPr>
                <w:sz w:val="16"/>
                <w:szCs w:val="16"/>
              </w:rPr>
              <w:t xml:space="preserve"> la elaboración de estudios</w:t>
            </w:r>
            <w:r w:rsidRPr="00526311">
              <w:rPr>
                <w:sz w:val="16"/>
                <w:szCs w:val="16"/>
              </w:rPr>
              <w:t xml:space="preserve">, </w:t>
            </w:r>
            <w:r>
              <w:rPr>
                <w:sz w:val="16"/>
                <w:szCs w:val="16"/>
              </w:rPr>
              <w:t xml:space="preserve">la recopilación de información sobre las legislaciones y prácticas nacionales y el intercambio de experiencias nacionales entre los Estados miembros. </w:t>
            </w:r>
            <w:r w:rsidRPr="00526311">
              <w:rPr>
                <w:sz w:val="16"/>
                <w:szCs w:val="16"/>
              </w:rPr>
              <w:t>Los debates se basaron en las pr</w:t>
            </w:r>
            <w:r>
              <w:rPr>
                <w:sz w:val="16"/>
                <w:szCs w:val="16"/>
              </w:rPr>
              <w:t>opuestas de las delegaciones (12</w:t>
            </w:r>
            <w:r w:rsidRPr="00526311">
              <w:rPr>
                <w:sz w:val="16"/>
                <w:szCs w:val="16"/>
              </w:rPr>
              <w:t xml:space="preserve">) y en documentos </w:t>
            </w:r>
            <w:r>
              <w:rPr>
                <w:sz w:val="16"/>
                <w:szCs w:val="16"/>
              </w:rPr>
              <w:t>preparados por la Secretaría (27</w:t>
            </w:r>
            <w:r w:rsidRPr="00526311">
              <w:rPr>
                <w:sz w:val="16"/>
                <w:szCs w:val="16"/>
              </w:rPr>
              <w:t xml:space="preserve">) </w:t>
            </w:r>
            <w:r>
              <w:rPr>
                <w:sz w:val="16"/>
                <w:szCs w:val="16"/>
              </w:rPr>
              <w:t>durante el bienio</w:t>
            </w:r>
          </w:p>
        </w:tc>
        <w:tc>
          <w:tcPr>
            <w:tcW w:w="682" w:type="pct"/>
            <w:tcBorders>
              <w:top w:val="nil"/>
              <w:left w:val="nil"/>
              <w:bottom w:val="nil"/>
              <w:right w:val="single" w:sz="4" w:space="0" w:color="auto"/>
            </w:tcBorders>
            <w:shd w:val="clear" w:color="auto" w:fill="auto"/>
            <w:tcMar>
              <w:top w:w="110" w:type="dxa"/>
            </w:tcMar>
          </w:tcPr>
          <w:p w:rsidR="00FA423E" w:rsidRPr="00526311" w:rsidRDefault="00FA423E" w:rsidP="00DC1333">
            <w:pPr>
              <w:keepNext/>
              <w:keepLines/>
              <w:ind w:left="-108"/>
              <w:jc w:val="center"/>
              <w:rPr>
                <w:b/>
                <w:bCs/>
                <w:color w:val="00B050"/>
                <w:sz w:val="16"/>
                <w:szCs w:val="16"/>
              </w:rPr>
            </w:pPr>
            <w:r>
              <w:rPr>
                <w:b/>
                <w:bCs/>
                <w:color w:val="00B050"/>
                <w:sz w:val="16"/>
                <w:szCs w:val="16"/>
              </w:rPr>
              <w:t>Plenamente logrado</w:t>
            </w:r>
          </w:p>
          <w:p w:rsidR="00FA423E" w:rsidRPr="00526311" w:rsidRDefault="00FA423E" w:rsidP="00DC1333">
            <w:pPr>
              <w:keepNext/>
              <w:keepLines/>
              <w:jc w:val="center"/>
              <w:rPr>
                <w:b/>
                <w:color w:val="00B050"/>
                <w:sz w:val="16"/>
                <w:szCs w:val="16"/>
              </w:rPr>
            </w:pPr>
          </w:p>
        </w:tc>
      </w:tr>
      <w:tr w:rsidR="00FA423E" w:rsidRPr="00526311" w:rsidTr="00DC1333">
        <w:tc>
          <w:tcPr>
            <w:tcW w:w="1288" w:type="pct"/>
            <w:tcBorders>
              <w:top w:val="nil"/>
              <w:left w:val="single" w:sz="4" w:space="0" w:color="auto"/>
              <w:bottom w:val="single" w:sz="4" w:space="0" w:color="auto"/>
              <w:right w:val="nil"/>
            </w:tcBorders>
            <w:shd w:val="clear" w:color="auto" w:fill="auto"/>
          </w:tcPr>
          <w:p w:rsidR="00FA423E" w:rsidRPr="00526311" w:rsidRDefault="00FA423E" w:rsidP="00DC1333">
            <w:pPr>
              <w:rPr>
                <w:sz w:val="16"/>
                <w:szCs w:val="16"/>
              </w:rPr>
            </w:pPr>
            <w:r w:rsidRPr="00526311">
              <w:rPr>
                <w:sz w:val="16"/>
                <w:szCs w:val="16"/>
              </w:rPr>
              <w:t>Porcentaje de participantes en talleres/seminarios/conferencias sobre cuestiones específicas relacionadas con las patentes que expresaron satisfacción al respecto</w:t>
            </w:r>
          </w:p>
        </w:tc>
        <w:tc>
          <w:tcPr>
            <w:tcW w:w="1212" w:type="pct"/>
            <w:tcBorders>
              <w:top w:val="nil"/>
              <w:left w:val="nil"/>
              <w:bottom w:val="single" w:sz="4" w:space="0" w:color="auto"/>
              <w:right w:val="nil"/>
            </w:tcBorders>
            <w:shd w:val="clear" w:color="auto" w:fill="auto"/>
          </w:tcPr>
          <w:p w:rsidR="00FA423E" w:rsidRPr="00526311" w:rsidRDefault="00FA423E" w:rsidP="00DC1333">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92,5%, sobre la base de una encuesta de 2012/13</w:t>
            </w:r>
          </w:p>
          <w:p w:rsidR="00FA423E" w:rsidRPr="00526311" w:rsidRDefault="00FA423E" w:rsidP="00DC1333">
            <w:pPr>
              <w:rPr>
                <w:i/>
                <w:sz w:val="8"/>
                <w:szCs w:val="8"/>
              </w:rPr>
            </w:pPr>
          </w:p>
          <w:p w:rsidR="00FA423E" w:rsidRPr="00526311" w:rsidRDefault="00FA423E" w:rsidP="00DC1333">
            <w:pPr>
              <w:rPr>
                <w:i/>
                <w:sz w:val="16"/>
                <w:szCs w:val="16"/>
                <w:lang w:bidi="th-TH"/>
              </w:rPr>
            </w:pPr>
            <w:r w:rsidRPr="00526311">
              <w:rPr>
                <w:i/>
                <w:sz w:val="16"/>
                <w:szCs w:val="16"/>
                <w:lang w:bidi="th-TH"/>
              </w:rPr>
              <w:t xml:space="preserve">Referencia original en el presupuesto de 2014/15:  </w:t>
            </w:r>
            <w:r w:rsidRPr="00526311">
              <w:rPr>
                <w:sz w:val="16"/>
                <w:szCs w:val="16"/>
                <w:lang w:bidi="th-TH"/>
              </w:rPr>
              <w:t>encuestas</w:t>
            </w:r>
            <w:r w:rsidRPr="00526311">
              <w:rPr>
                <w:i/>
                <w:sz w:val="16"/>
                <w:szCs w:val="16"/>
                <w:lang w:bidi="th-TH"/>
              </w:rPr>
              <w:t xml:space="preserve"> </w:t>
            </w:r>
            <w:r w:rsidRPr="00526311">
              <w:rPr>
                <w:sz w:val="16"/>
                <w:szCs w:val="16"/>
                <w:lang w:bidi="th-TH"/>
              </w:rPr>
              <w:t>2012</w:t>
            </w:r>
          </w:p>
          <w:p w:rsidR="00FA423E" w:rsidRPr="00526311" w:rsidRDefault="00FA423E" w:rsidP="00DC1333">
            <w:pPr>
              <w:rPr>
                <w:sz w:val="16"/>
                <w:szCs w:val="16"/>
              </w:rPr>
            </w:pPr>
          </w:p>
        </w:tc>
        <w:tc>
          <w:tcPr>
            <w:tcW w:w="681" w:type="pct"/>
            <w:tcBorders>
              <w:top w:val="nil"/>
              <w:left w:val="nil"/>
              <w:bottom w:val="single" w:sz="4" w:space="0" w:color="auto"/>
              <w:right w:val="nil"/>
            </w:tcBorders>
            <w:shd w:val="clear" w:color="auto" w:fill="auto"/>
            <w:tcMar>
              <w:top w:w="110" w:type="dxa"/>
            </w:tcMar>
          </w:tcPr>
          <w:p w:rsidR="00FA423E" w:rsidRPr="00526311" w:rsidRDefault="00FA423E" w:rsidP="00DC1333">
            <w:pPr>
              <w:rPr>
                <w:sz w:val="16"/>
                <w:szCs w:val="16"/>
              </w:rPr>
            </w:pPr>
            <w:r w:rsidRPr="00526311">
              <w:rPr>
                <w:sz w:val="16"/>
                <w:szCs w:val="16"/>
              </w:rPr>
              <w:t>90%</w:t>
            </w:r>
          </w:p>
        </w:tc>
        <w:tc>
          <w:tcPr>
            <w:tcW w:w="1137" w:type="pct"/>
            <w:tcBorders>
              <w:top w:val="nil"/>
              <w:left w:val="nil"/>
              <w:bottom w:val="single" w:sz="4" w:space="0" w:color="auto"/>
              <w:right w:val="nil"/>
            </w:tcBorders>
            <w:shd w:val="clear" w:color="auto" w:fill="FFFFFF"/>
            <w:tcMar>
              <w:top w:w="110" w:type="dxa"/>
            </w:tcMar>
          </w:tcPr>
          <w:p w:rsidR="00FA423E" w:rsidRPr="00526311" w:rsidRDefault="00FA423E" w:rsidP="00DC1333">
            <w:pPr>
              <w:rPr>
                <w:sz w:val="16"/>
                <w:szCs w:val="16"/>
              </w:rPr>
            </w:pPr>
            <w:r>
              <w:rPr>
                <w:sz w:val="16"/>
                <w:szCs w:val="16"/>
              </w:rPr>
              <w:t>96,8</w:t>
            </w:r>
            <w:r w:rsidRPr="00526311">
              <w:rPr>
                <w:sz w:val="16"/>
                <w:szCs w:val="16"/>
              </w:rPr>
              <w:t xml:space="preserve">5% sobre la base de </w:t>
            </w:r>
            <w:r>
              <w:rPr>
                <w:sz w:val="16"/>
                <w:szCs w:val="16"/>
              </w:rPr>
              <w:t>los cuestionarios rellenados por los participantes</w:t>
            </w:r>
          </w:p>
        </w:tc>
        <w:tc>
          <w:tcPr>
            <w:tcW w:w="682" w:type="pct"/>
            <w:tcBorders>
              <w:top w:val="nil"/>
              <w:left w:val="nil"/>
              <w:bottom w:val="single" w:sz="4" w:space="0" w:color="auto"/>
              <w:right w:val="single" w:sz="4" w:space="0" w:color="auto"/>
            </w:tcBorders>
            <w:shd w:val="clear" w:color="auto" w:fill="auto"/>
            <w:tcMar>
              <w:top w:w="110" w:type="dxa"/>
            </w:tcMar>
          </w:tcPr>
          <w:p w:rsidR="00FA423E" w:rsidRPr="00526311" w:rsidRDefault="00FA423E" w:rsidP="00DC1333">
            <w:pPr>
              <w:keepNext/>
              <w:keepLines/>
              <w:ind w:left="-108"/>
              <w:jc w:val="center"/>
              <w:rPr>
                <w:b/>
                <w:bCs/>
                <w:color w:val="00B050"/>
                <w:sz w:val="16"/>
                <w:szCs w:val="16"/>
              </w:rPr>
            </w:pPr>
            <w:r>
              <w:rPr>
                <w:b/>
                <w:bCs/>
                <w:color w:val="00B050"/>
                <w:sz w:val="16"/>
                <w:szCs w:val="16"/>
              </w:rPr>
              <w:t>Plenamente logrado</w:t>
            </w:r>
          </w:p>
          <w:p w:rsidR="00FA423E" w:rsidRPr="00526311" w:rsidRDefault="00FA423E" w:rsidP="00DC1333">
            <w:pPr>
              <w:keepNext/>
              <w:keepLines/>
              <w:jc w:val="center"/>
              <w:rPr>
                <w:b/>
                <w:color w:val="00B050"/>
                <w:sz w:val="16"/>
                <w:szCs w:val="16"/>
              </w:rPr>
            </w:pPr>
          </w:p>
        </w:tc>
      </w:tr>
      <w:tr w:rsidR="00FA423E" w:rsidRPr="00526311" w:rsidTr="00DC1333">
        <w:trPr>
          <w:trHeight w:val="431"/>
        </w:trPr>
        <w:tc>
          <w:tcPr>
            <w:tcW w:w="5000" w:type="pct"/>
            <w:gridSpan w:val="5"/>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ind w:left="2019" w:hanging="2019"/>
              <w:rPr>
                <w:b/>
                <w:bCs/>
                <w:sz w:val="16"/>
                <w:szCs w:val="16"/>
              </w:rPr>
            </w:pPr>
            <w:r w:rsidRPr="00526311">
              <w:rPr>
                <w:b/>
                <w:bCs/>
                <w:sz w:val="16"/>
                <w:szCs w:val="16"/>
              </w:rPr>
              <w:lastRenderedPageBreak/>
              <w:t>Resultado previsto:</w:t>
            </w:r>
            <w:r w:rsidRPr="00526311">
              <w:rPr>
                <w:bCs/>
                <w:sz w:val="16"/>
                <w:szCs w:val="16"/>
              </w:rPr>
              <w:tab/>
              <w:t>I.2 Marcos de P.I. adaptados y equilibrados en el ámbito legislativo, reglamentario y de política</w:t>
            </w:r>
          </w:p>
        </w:tc>
      </w:tr>
      <w:tr w:rsidR="00FA423E" w:rsidRPr="00526311" w:rsidTr="00DC1333">
        <w:tc>
          <w:tcPr>
            <w:tcW w:w="1288" w:type="pct"/>
            <w:tcBorders>
              <w:top w:val="single" w:sz="4" w:space="0" w:color="auto"/>
              <w:bottom w:val="nil"/>
            </w:tcBorders>
            <w:shd w:val="clear" w:color="auto" w:fill="auto"/>
            <w:vAlign w:val="center"/>
          </w:tcPr>
          <w:p w:rsidR="00FA423E" w:rsidRPr="00526311" w:rsidRDefault="00FA423E" w:rsidP="00DC1333">
            <w:pPr>
              <w:keepNext/>
              <w:rPr>
                <w:sz w:val="16"/>
                <w:szCs w:val="16"/>
              </w:rPr>
            </w:pPr>
            <w:r w:rsidRPr="00526311">
              <w:rPr>
                <w:b/>
                <w:sz w:val="16"/>
                <w:szCs w:val="16"/>
              </w:rPr>
              <w:t>Indicadores de rendimiento</w:t>
            </w:r>
          </w:p>
        </w:tc>
        <w:tc>
          <w:tcPr>
            <w:tcW w:w="1212" w:type="pct"/>
            <w:tcBorders>
              <w:top w:val="single" w:sz="4" w:space="0" w:color="auto"/>
              <w:bottom w:val="nil"/>
            </w:tcBorders>
            <w:shd w:val="clear" w:color="auto" w:fill="auto"/>
            <w:vAlign w:val="center"/>
          </w:tcPr>
          <w:p w:rsidR="00FA423E" w:rsidRPr="00526311" w:rsidRDefault="00FA423E" w:rsidP="00DC1333">
            <w:pPr>
              <w:keepNext/>
              <w:rPr>
                <w:b/>
                <w:bCs/>
                <w:sz w:val="16"/>
                <w:szCs w:val="16"/>
              </w:rPr>
            </w:pPr>
            <w:r w:rsidRPr="00526311">
              <w:rPr>
                <w:b/>
                <w:bCs/>
                <w:sz w:val="16"/>
                <w:szCs w:val="16"/>
              </w:rPr>
              <w:t>Referencia</w:t>
            </w:r>
          </w:p>
        </w:tc>
        <w:tc>
          <w:tcPr>
            <w:tcW w:w="681" w:type="pct"/>
            <w:tcBorders>
              <w:top w:val="single" w:sz="4" w:space="0" w:color="auto"/>
              <w:bottom w:val="nil"/>
            </w:tcBorders>
            <w:shd w:val="clear" w:color="auto" w:fill="auto"/>
            <w:tcMar>
              <w:top w:w="110" w:type="dxa"/>
            </w:tcMar>
            <w:vAlign w:val="center"/>
          </w:tcPr>
          <w:p w:rsidR="00FA423E" w:rsidRPr="00526311" w:rsidRDefault="00FA423E" w:rsidP="00DC1333">
            <w:pPr>
              <w:keepNext/>
              <w:rPr>
                <w:b/>
                <w:sz w:val="16"/>
                <w:szCs w:val="16"/>
              </w:rPr>
            </w:pPr>
            <w:r w:rsidRPr="00526311">
              <w:rPr>
                <w:b/>
                <w:sz w:val="16"/>
                <w:szCs w:val="16"/>
              </w:rPr>
              <w:t>Objetivos</w:t>
            </w:r>
          </w:p>
        </w:tc>
        <w:tc>
          <w:tcPr>
            <w:tcW w:w="1137" w:type="pct"/>
            <w:tcBorders>
              <w:top w:val="single" w:sz="4" w:space="0" w:color="auto"/>
              <w:bottom w:val="nil"/>
            </w:tcBorders>
            <w:shd w:val="clear" w:color="auto" w:fill="auto"/>
            <w:tcMar>
              <w:top w:w="110" w:type="dxa"/>
            </w:tcMar>
            <w:vAlign w:val="center"/>
          </w:tcPr>
          <w:p w:rsidR="00FA423E" w:rsidRPr="00526311" w:rsidRDefault="00FA423E" w:rsidP="00DC1333">
            <w:pPr>
              <w:keepNext/>
              <w:rPr>
                <w:sz w:val="16"/>
                <w:szCs w:val="16"/>
              </w:rPr>
            </w:pPr>
            <w:r w:rsidRPr="00526311">
              <w:rPr>
                <w:b/>
                <w:sz w:val="16"/>
                <w:szCs w:val="16"/>
              </w:rPr>
              <w:t>Datos sobre el rendimiento</w:t>
            </w:r>
          </w:p>
        </w:tc>
        <w:tc>
          <w:tcPr>
            <w:tcW w:w="682" w:type="pct"/>
            <w:tcBorders>
              <w:top w:val="single" w:sz="4" w:space="0" w:color="auto"/>
              <w:bottom w:val="nil"/>
            </w:tcBorders>
            <w:shd w:val="clear" w:color="auto" w:fill="auto"/>
            <w:tcMar>
              <w:top w:w="110" w:type="dxa"/>
            </w:tcMar>
            <w:vAlign w:val="center"/>
          </w:tcPr>
          <w:p w:rsidR="00FA423E" w:rsidRPr="00526311" w:rsidRDefault="00FA423E" w:rsidP="00DC1333">
            <w:pPr>
              <w:keepNext/>
              <w:keepLines/>
              <w:jc w:val="center"/>
              <w:rPr>
                <w:b/>
                <w:sz w:val="16"/>
                <w:szCs w:val="16"/>
              </w:rPr>
            </w:pPr>
            <w:r w:rsidRPr="00526311">
              <w:rPr>
                <w:b/>
                <w:sz w:val="16"/>
                <w:szCs w:val="16"/>
              </w:rPr>
              <w:t>Clave de colores</w:t>
            </w:r>
          </w:p>
        </w:tc>
      </w:tr>
      <w:tr w:rsidR="00FA423E" w:rsidRPr="00526311" w:rsidTr="00DC1333">
        <w:tc>
          <w:tcPr>
            <w:tcW w:w="1288" w:type="pct"/>
            <w:tcBorders>
              <w:top w:val="nil"/>
              <w:bottom w:val="nil"/>
            </w:tcBorders>
            <w:shd w:val="clear" w:color="auto" w:fill="auto"/>
          </w:tcPr>
          <w:p w:rsidR="00FA423E" w:rsidRPr="00526311" w:rsidRDefault="00FA423E" w:rsidP="00DC1333">
            <w:pPr>
              <w:keepNext/>
              <w:rPr>
                <w:sz w:val="16"/>
                <w:szCs w:val="16"/>
                <w:lang w:bidi="th-TH"/>
              </w:rPr>
            </w:pPr>
            <w:r w:rsidRPr="00526311">
              <w:rPr>
                <w:sz w:val="16"/>
                <w:szCs w:val="16"/>
                <w:lang w:bidi="th-TH"/>
              </w:rPr>
              <w:t>Número y porcentaje de Estados miembros que consideran útil la información proporcionada en relación con los principios y prácticas jurídico</w:t>
            </w:r>
            <w:r>
              <w:rPr>
                <w:sz w:val="16"/>
                <w:szCs w:val="16"/>
                <w:lang w:bidi="th-TH"/>
              </w:rPr>
              <w:t>s del sistema de patentes, como por ejemplo</w:t>
            </w:r>
            <w:r w:rsidRPr="00526311">
              <w:rPr>
                <w:sz w:val="16"/>
                <w:szCs w:val="16"/>
                <w:lang w:bidi="th-TH"/>
              </w:rPr>
              <w:t xml:space="preserve"> las flexibilidades que ofrece el sistema y los desafíos que se plantean en la materia.</w:t>
            </w:r>
          </w:p>
        </w:tc>
        <w:tc>
          <w:tcPr>
            <w:tcW w:w="1212" w:type="pct"/>
            <w:tcBorders>
              <w:top w:val="nil"/>
              <w:bottom w:val="nil"/>
            </w:tcBorders>
            <w:shd w:val="clear" w:color="auto" w:fill="auto"/>
          </w:tcPr>
          <w:p w:rsidR="00FA423E" w:rsidRPr="00526311" w:rsidRDefault="00FA423E" w:rsidP="00DC1333">
            <w:pPr>
              <w:keepNext/>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90%, sobre la base de una encuesta realizada por la DSI en 2013 entre 47 Estados miembros</w:t>
            </w:r>
          </w:p>
          <w:p w:rsidR="00FA423E" w:rsidRPr="00526311" w:rsidRDefault="00FA423E" w:rsidP="00DC1333">
            <w:pPr>
              <w:keepNext/>
              <w:rPr>
                <w:i/>
                <w:sz w:val="8"/>
                <w:szCs w:val="8"/>
                <w:lang w:bidi="th-TH"/>
              </w:rPr>
            </w:pPr>
          </w:p>
          <w:p w:rsidR="00FA423E" w:rsidRPr="00526311" w:rsidRDefault="00FA423E" w:rsidP="00DC1333">
            <w:pPr>
              <w:keepNext/>
              <w:rPr>
                <w:i/>
                <w:sz w:val="16"/>
                <w:szCs w:val="16"/>
              </w:rPr>
            </w:pPr>
            <w:r w:rsidRPr="00526311">
              <w:rPr>
                <w:i/>
                <w:sz w:val="16"/>
                <w:szCs w:val="16"/>
                <w:lang w:bidi="th-TH"/>
              </w:rPr>
              <w:t xml:space="preserve">Referencia original en el presupuesto de 2014/15:  </w:t>
            </w:r>
            <w:r w:rsidRPr="00526311">
              <w:rPr>
                <w:sz w:val="16"/>
                <w:szCs w:val="16"/>
                <w:lang w:bidi="th-TH"/>
              </w:rPr>
              <w:t>por determinar</w:t>
            </w:r>
          </w:p>
          <w:p w:rsidR="00FA423E" w:rsidRPr="00526311" w:rsidRDefault="00FA423E" w:rsidP="00DC1333">
            <w:pPr>
              <w:keepNext/>
              <w:rPr>
                <w:i/>
                <w:sz w:val="16"/>
                <w:szCs w:val="16"/>
              </w:rPr>
            </w:pPr>
          </w:p>
        </w:tc>
        <w:tc>
          <w:tcPr>
            <w:tcW w:w="681" w:type="pct"/>
            <w:tcBorders>
              <w:top w:val="nil"/>
              <w:bottom w:val="nil"/>
            </w:tcBorders>
            <w:shd w:val="clear" w:color="auto" w:fill="auto"/>
            <w:tcMar>
              <w:top w:w="110" w:type="dxa"/>
            </w:tcMar>
          </w:tcPr>
          <w:p w:rsidR="00FA423E" w:rsidRPr="00526311" w:rsidRDefault="00FA423E" w:rsidP="00DC1333">
            <w:pPr>
              <w:keepNext/>
              <w:autoSpaceDE w:val="0"/>
              <w:autoSpaceDN w:val="0"/>
              <w:adjustRightInd w:val="0"/>
              <w:rPr>
                <w:sz w:val="16"/>
                <w:szCs w:val="16"/>
              </w:rPr>
            </w:pPr>
            <w:r w:rsidRPr="00526311">
              <w:rPr>
                <w:sz w:val="16"/>
                <w:szCs w:val="16"/>
              </w:rPr>
              <w:t>90%</w:t>
            </w:r>
          </w:p>
        </w:tc>
        <w:tc>
          <w:tcPr>
            <w:tcW w:w="1137" w:type="pct"/>
            <w:tcBorders>
              <w:top w:val="nil"/>
              <w:bottom w:val="nil"/>
            </w:tcBorders>
            <w:shd w:val="clear" w:color="auto" w:fill="auto"/>
            <w:tcMar>
              <w:top w:w="110" w:type="dxa"/>
            </w:tcMar>
          </w:tcPr>
          <w:p w:rsidR="00FA423E" w:rsidRPr="00526311" w:rsidRDefault="00FA423E" w:rsidP="00DC1333">
            <w:pPr>
              <w:keepNext/>
              <w:rPr>
                <w:sz w:val="16"/>
                <w:szCs w:val="16"/>
                <w:lang w:bidi="th-TH"/>
              </w:rPr>
            </w:pPr>
            <w:r>
              <w:rPr>
                <w:sz w:val="16"/>
                <w:szCs w:val="16"/>
                <w:lang w:bidi="th-TH"/>
              </w:rPr>
              <w:t>95,24% sobre la base de las respuestas a una encuesta</w:t>
            </w:r>
          </w:p>
        </w:tc>
        <w:tc>
          <w:tcPr>
            <w:tcW w:w="682" w:type="pct"/>
            <w:tcBorders>
              <w:top w:val="nil"/>
              <w:bottom w:val="nil"/>
            </w:tcBorders>
            <w:shd w:val="clear" w:color="auto" w:fill="auto"/>
            <w:tcMar>
              <w:top w:w="110" w:type="dxa"/>
            </w:tcMar>
          </w:tcPr>
          <w:p w:rsidR="00FA423E" w:rsidRPr="00526311" w:rsidRDefault="00FA423E" w:rsidP="00DC1333">
            <w:pPr>
              <w:keepNext/>
              <w:keepLines/>
              <w:ind w:left="-108"/>
              <w:jc w:val="center"/>
              <w:rPr>
                <w:b/>
                <w:bCs/>
                <w:color w:val="00B050"/>
                <w:sz w:val="16"/>
                <w:szCs w:val="16"/>
              </w:rPr>
            </w:pPr>
            <w:r>
              <w:rPr>
                <w:b/>
                <w:bCs/>
                <w:color w:val="00B050"/>
                <w:sz w:val="16"/>
                <w:szCs w:val="16"/>
              </w:rPr>
              <w:t>Plenamente logrado</w:t>
            </w:r>
          </w:p>
          <w:p w:rsidR="00FA423E" w:rsidRPr="00526311" w:rsidRDefault="00FA423E" w:rsidP="00DC1333">
            <w:pPr>
              <w:keepNext/>
              <w:keepLines/>
              <w:jc w:val="center"/>
              <w:rPr>
                <w:b/>
                <w:bCs/>
                <w:color w:val="00B050"/>
                <w:sz w:val="16"/>
                <w:szCs w:val="16"/>
              </w:rPr>
            </w:pPr>
          </w:p>
        </w:tc>
      </w:tr>
      <w:tr w:rsidR="00FA423E" w:rsidRPr="00526311" w:rsidTr="00DC1333">
        <w:tc>
          <w:tcPr>
            <w:tcW w:w="1288" w:type="pct"/>
            <w:shd w:val="clear" w:color="auto" w:fill="FFFFFF"/>
          </w:tcPr>
          <w:p w:rsidR="00FA423E" w:rsidRPr="00526311" w:rsidRDefault="00FA423E" w:rsidP="00DC1333">
            <w:pPr>
              <w:keepNext/>
              <w:keepLines/>
              <w:rPr>
                <w:sz w:val="16"/>
                <w:szCs w:val="16"/>
                <w:lang w:bidi="th-TH"/>
              </w:rPr>
            </w:pPr>
            <w:r w:rsidRPr="00526311">
              <w:rPr>
                <w:sz w:val="16"/>
                <w:szCs w:val="16"/>
                <w:lang w:bidi="th-TH"/>
              </w:rPr>
              <w:t>Número y porcentaje de Estados miembros satisfechos con la calidad del asesoramiento jurídico sobre patentes, modelos de utilidad, secretos comerciales y circuitos integrados.</w:t>
            </w:r>
          </w:p>
        </w:tc>
        <w:tc>
          <w:tcPr>
            <w:tcW w:w="1212" w:type="pct"/>
            <w:shd w:val="clear" w:color="auto" w:fill="auto"/>
          </w:tcPr>
          <w:p w:rsidR="00FA423E" w:rsidRPr="00526311" w:rsidRDefault="00FA423E" w:rsidP="00DC1333">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lang w:bidi="th-TH"/>
              </w:rPr>
              <w:t>9 encuestados (90%), sobre la base de una encuesta realizada por la DSI en 2013</w:t>
            </w:r>
          </w:p>
          <w:p w:rsidR="00FA423E" w:rsidRPr="00526311" w:rsidRDefault="00FA423E" w:rsidP="00DC1333">
            <w:pPr>
              <w:rPr>
                <w:i/>
                <w:sz w:val="8"/>
                <w:szCs w:val="8"/>
                <w:lang w:bidi="th-TH"/>
              </w:rPr>
            </w:pPr>
          </w:p>
          <w:p w:rsidR="00FA423E" w:rsidRPr="00526311" w:rsidRDefault="00FA423E" w:rsidP="00DC1333">
            <w:pPr>
              <w:rPr>
                <w:i/>
                <w:sz w:val="16"/>
                <w:szCs w:val="16"/>
                <w:lang w:bidi="th-TH"/>
              </w:rPr>
            </w:pPr>
            <w:r w:rsidRPr="00526311">
              <w:rPr>
                <w:i/>
                <w:sz w:val="16"/>
                <w:szCs w:val="16"/>
                <w:lang w:bidi="th-TH"/>
              </w:rPr>
              <w:t xml:space="preserve">Referencia original en el presupuesto de 2014/15:  </w:t>
            </w:r>
            <w:r w:rsidRPr="00526311">
              <w:rPr>
                <w:sz w:val="16"/>
                <w:szCs w:val="16"/>
                <w:lang w:bidi="th-TH"/>
              </w:rPr>
              <w:t>encuestas de  2012</w:t>
            </w:r>
          </w:p>
          <w:p w:rsidR="00FA423E" w:rsidRPr="00526311" w:rsidRDefault="00FA423E" w:rsidP="00DC1333">
            <w:pPr>
              <w:keepNext/>
              <w:keepLines/>
              <w:rPr>
                <w:sz w:val="16"/>
                <w:szCs w:val="16"/>
                <w:lang w:bidi="th-TH"/>
              </w:rPr>
            </w:pPr>
          </w:p>
        </w:tc>
        <w:tc>
          <w:tcPr>
            <w:tcW w:w="681" w:type="pct"/>
            <w:shd w:val="clear" w:color="auto" w:fill="auto"/>
            <w:tcMar>
              <w:top w:w="110" w:type="dxa"/>
            </w:tcMar>
          </w:tcPr>
          <w:p w:rsidR="00FA423E" w:rsidRPr="00526311" w:rsidRDefault="00FA423E" w:rsidP="00DC1333">
            <w:pPr>
              <w:autoSpaceDE w:val="0"/>
              <w:autoSpaceDN w:val="0"/>
              <w:adjustRightInd w:val="0"/>
              <w:rPr>
                <w:sz w:val="16"/>
                <w:szCs w:val="16"/>
              </w:rPr>
            </w:pPr>
            <w:r w:rsidRPr="00526311">
              <w:rPr>
                <w:sz w:val="16"/>
                <w:szCs w:val="16"/>
              </w:rPr>
              <w:t>90%</w:t>
            </w:r>
          </w:p>
        </w:tc>
        <w:tc>
          <w:tcPr>
            <w:tcW w:w="1137" w:type="pct"/>
            <w:shd w:val="clear" w:color="auto" w:fill="FFFFFF"/>
            <w:tcMar>
              <w:top w:w="110" w:type="dxa"/>
            </w:tcMar>
          </w:tcPr>
          <w:p w:rsidR="00FA423E" w:rsidRPr="00526311" w:rsidRDefault="00801E65" w:rsidP="00801E65">
            <w:pPr>
              <w:rPr>
                <w:sz w:val="16"/>
                <w:szCs w:val="16"/>
                <w:lang w:bidi="th-TH"/>
              </w:rPr>
            </w:pPr>
            <w:r>
              <w:rPr>
                <w:sz w:val="16"/>
                <w:szCs w:val="16"/>
                <w:lang w:bidi="th-TH"/>
              </w:rPr>
              <w:t xml:space="preserve">En 2014/15 9 </w:t>
            </w:r>
            <w:r w:rsidR="00FA423E" w:rsidRPr="00526311">
              <w:rPr>
                <w:sz w:val="16"/>
                <w:szCs w:val="16"/>
                <w:lang w:bidi="th-TH"/>
              </w:rPr>
              <w:t>encuestados se manifestaron satisfechos</w:t>
            </w:r>
            <w:r w:rsidR="00FA423E">
              <w:rPr>
                <w:sz w:val="16"/>
                <w:szCs w:val="16"/>
                <w:lang w:bidi="th-TH"/>
              </w:rPr>
              <w:t xml:space="preserve"> en una media del 9</w:t>
            </w:r>
            <w:r>
              <w:rPr>
                <w:sz w:val="16"/>
                <w:szCs w:val="16"/>
                <w:lang w:bidi="th-TH"/>
              </w:rPr>
              <w:t>4</w:t>
            </w:r>
            <w:r w:rsidR="00FA423E">
              <w:rPr>
                <w:sz w:val="16"/>
                <w:szCs w:val="16"/>
                <w:lang w:bidi="th-TH"/>
              </w:rPr>
              <w:t>% (África-</w:t>
            </w:r>
            <w:r>
              <w:rPr>
                <w:sz w:val="16"/>
                <w:szCs w:val="16"/>
                <w:lang w:bidi="th-TH"/>
              </w:rPr>
              <w:t>3</w:t>
            </w:r>
            <w:r w:rsidR="00FA423E">
              <w:rPr>
                <w:sz w:val="16"/>
                <w:szCs w:val="16"/>
                <w:lang w:bidi="th-TH"/>
              </w:rPr>
              <w:t>;  P</w:t>
            </w:r>
            <w:r w:rsidR="00FA423E" w:rsidRPr="00526311">
              <w:rPr>
                <w:sz w:val="16"/>
                <w:szCs w:val="16"/>
                <w:lang w:bidi="th-TH"/>
              </w:rPr>
              <w:t>aíses árabes</w:t>
            </w:r>
            <w:r w:rsidR="00FA423E" w:rsidRPr="00526311">
              <w:rPr>
                <w:sz w:val="16"/>
                <w:szCs w:val="16"/>
                <w:lang w:bidi="th-TH"/>
              </w:rPr>
              <w:noBreakHyphen/>
            </w:r>
            <w:r>
              <w:rPr>
                <w:sz w:val="16"/>
                <w:szCs w:val="16"/>
                <w:lang w:bidi="th-TH"/>
              </w:rPr>
              <w:t>1</w:t>
            </w:r>
            <w:r w:rsidR="00FA423E">
              <w:rPr>
                <w:sz w:val="16"/>
                <w:szCs w:val="16"/>
                <w:lang w:bidi="th-TH"/>
              </w:rPr>
              <w:t>;  Asia y el Pacífico-</w:t>
            </w:r>
            <w:r>
              <w:rPr>
                <w:sz w:val="16"/>
                <w:szCs w:val="16"/>
                <w:lang w:bidi="th-TH"/>
              </w:rPr>
              <w:t>2</w:t>
            </w:r>
            <w:r w:rsidR="00FA423E" w:rsidRPr="00526311">
              <w:rPr>
                <w:sz w:val="16"/>
                <w:szCs w:val="16"/>
                <w:lang w:bidi="th-TH"/>
              </w:rPr>
              <w:t>;  Determinados países de Europa y Asia</w:t>
            </w:r>
            <w:r w:rsidR="00FA423E" w:rsidRPr="00526311">
              <w:rPr>
                <w:sz w:val="16"/>
                <w:szCs w:val="16"/>
                <w:lang w:bidi="th-TH"/>
              </w:rPr>
              <w:noBreakHyphen/>
            </w:r>
            <w:r w:rsidR="00FA423E">
              <w:rPr>
                <w:sz w:val="16"/>
                <w:szCs w:val="16"/>
                <w:lang w:bidi="th-TH"/>
              </w:rPr>
              <w:t>4</w:t>
            </w:r>
            <w:r w:rsidR="00FA423E" w:rsidRPr="00526311">
              <w:rPr>
                <w:sz w:val="16"/>
                <w:szCs w:val="16"/>
                <w:lang w:bidi="th-TH"/>
              </w:rPr>
              <w:t xml:space="preserve">;  América </w:t>
            </w:r>
            <w:r w:rsidR="00FA423E">
              <w:rPr>
                <w:sz w:val="16"/>
                <w:szCs w:val="16"/>
                <w:lang w:bidi="th-TH"/>
              </w:rPr>
              <w:t>Latina y el Caribe-1)</w:t>
            </w:r>
            <w:r w:rsidR="00FA423E" w:rsidRPr="00854B75">
              <w:rPr>
                <w:rStyle w:val="FootnoteReference"/>
                <w:sz w:val="16"/>
                <w:szCs w:val="16"/>
                <w:lang w:bidi="th-TH"/>
              </w:rPr>
              <w:t xml:space="preserve"> </w:t>
            </w:r>
            <w:r w:rsidR="00FA423E" w:rsidRPr="00854B75">
              <w:rPr>
                <w:rStyle w:val="FootnoteReference"/>
                <w:sz w:val="16"/>
                <w:szCs w:val="16"/>
                <w:lang w:bidi="th-TH"/>
              </w:rPr>
              <w:footnoteReference w:id="9"/>
            </w:r>
            <w:r w:rsidR="00FA423E" w:rsidRPr="00526311">
              <w:rPr>
                <w:sz w:val="16"/>
                <w:szCs w:val="16"/>
                <w:lang w:bidi="th-TH"/>
              </w:rPr>
              <w:t xml:space="preserve"> </w:t>
            </w:r>
          </w:p>
        </w:tc>
        <w:tc>
          <w:tcPr>
            <w:tcW w:w="682" w:type="pct"/>
            <w:shd w:val="clear" w:color="auto" w:fill="auto"/>
            <w:tcMar>
              <w:top w:w="110" w:type="dxa"/>
            </w:tcMar>
          </w:tcPr>
          <w:p w:rsidR="00FA423E" w:rsidRPr="00526311" w:rsidRDefault="00FA423E" w:rsidP="00DC1333">
            <w:pPr>
              <w:keepNext/>
              <w:keepLines/>
              <w:ind w:left="-108"/>
              <w:jc w:val="center"/>
              <w:rPr>
                <w:b/>
                <w:bCs/>
                <w:color w:val="00B050"/>
                <w:sz w:val="16"/>
                <w:szCs w:val="16"/>
              </w:rPr>
            </w:pPr>
            <w:r>
              <w:rPr>
                <w:b/>
                <w:bCs/>
                <w:color w:val="00B050"/>
                <w:sz w:val="16"/>
                <w:szCs w:val="16"/>
              </w:rPr>
              <w:t>Plenamente logrado</w:t>
            </w:r>
          </w:p>
          <w:p w:rsidR="00FA423E" w:rsidRPr="00526311" w:rsidRDefault="00FA423E" w:rsidP="00DC1333">
            <w:pPr>
              <w:keepNext/>
              <w:keepLines/>
              <w:jc w:val="center"/>
              <w:rPr>
                <w:b/>
                <w:bCs/>
                <w:color w:val="00B050"/>
                <w:sz w:val="16"/>
                <w:szCs w:val="16"/>
              </w:rPr>
            </w:pPr>
          </w:p>
        </w:tc>
      </w:tr>
      <w:tr w:rsidR="00FA423E" w:rsidRPr="00526311" w:rsidTr="00DC1333">
        <w:tc>
          <w:tcPr>
            <w:tcW w:w="1288" w:type="pct"/>
            <w:shd w:val="clear" w:color="auto" w:fill="FFFFFF"/>
          </w:tcPr>
          <w:p w:rsidR="00FA423E" w:rsidRPr="00526311" w:rsidRDefault="00FA423E" w:rsidP="00DC1333">
            <w:pPr>
              <w:rPr>
                <w:sz w:val="16"/>
                <w:szCs w:val="16"/>
                <w:lang w:bidi="th-TH"/>
              </w:rPr>
            </w:pPr>
            <w:r w:rsidRPr="00526311">
              <w:rPr>
                <w:sz w:val="16"/>
                <w:szCs w:val="16"/>
                <w:lang w:bidi="th-TH"/>
              </w:rPr>
              <w:t>Con sujeción a la aprobación de los Estados miembros, avance en la revisión de la ley tipo sobre patentes para los países en desarrollo y los PMA.</w:t>
            </w:r>
          </w:p>
        </w:tc>
        <w:tc>
          <w:tcPr>
            <w:tcW w:w="1212" w:type="pct"/>
            <w:shd w:val="clear" w:color="auto" w:fill="auto"/>
          </w:tcPr>
          <w:p w:rsidR="00FA423E" w:rsidRPr="00526311" w:rsidRDefault="00FA423E" w:rsidP="00DC1333">
            <w:pPr>
              <w:rPr>
                <w:color w:val="002060"/>
                <w:sz w:val="16"/>
                <w:szCs w:val="16"/>
                <w:lang w:bidi="th-TH"/>
              </w:rPr>
            </w:pPr>
            <w:r w:rsidRPr="00526311">
              <w:rPr>
                <w:i/>
                <w:color w:val="002060"/>
                <w:sz w:val="16"/>
                <w:szCs w:val="16"/>
              </w:rPr>
              <w:t xml:space="preserve">Referencia actualizada a fines de 2013:  </w:t>
            </w:r>
            <w:r w:rsidRPr="00526311">
              <w:rPr>
                <w:color w:val="002060"/>
                <w:sz w:val="16"/>
                <w:szCs w:val="16"/>
              </w:rPr>
              <w:t>una reunión de expertos</w:t>
            </w:r>
          </w:p>
          <w:p w:rsidR="00FA423E" w:rsidRPr="00526311" w:rsidRDefault="00FA423E" w:rsidP="00DC1333">
            <w:pPr>
              <w:rPr>
                <w:i/>
                <w:sz w:val="8"/>
                <w:szCs w:val="8"/>
                <w:lang w:bidi="th-TH"/>
              </w:rPr>
            </w:pPr>
          </w:p>
          <w:p w:rsidR="00FA423E" w:rsidRPr="00526311" w:rsidRDefault="00FA423E" w:rsidP="00DC1333">
            <w:pPr>
              <w:rPr>
                <w:sz w:val="16"/>
                <w:szCs w:val="16"/>
                <w:lang w:bidi="th-TH"/>
              </w:rPr>
            </w:pPr>
            <w:r w:rsidRPr="00526311">
              <w:rPr>
                <w:i/>
                <w:sz w:val="16"/>
                <w:szCs w:val="16"/>
                <w:lang w:bidi="th-TH"/>
              </w:rPr>
              <w:t xml:space="preserve">Referencia original en el presupuesto de 2014/15:  </w:t>
            </w:r>
            <w:r w:rsidRPr="00526311">
              <w:rPr>
                <w:sz w:val="16"/>
                <w:szCs w:val="16"/>
                <w:lang w:bidi="th-TH"/>
              </w:rPr>
              <w:t>por determinar</w:t>
            </w:r>
          </w:p>
          <w:p w:rsidR="00FA423E" w:rsidRPr="00526311" w:rsidRDefault="00FA423E" w:rsidP="00DC1333">
            <w:pPr>
              <w:rPr>
                <w:i/>
                <w:sz w:val="16"/>
                <w:szCs w:val="16"/>
                <w:lang w:bidi="th-TH"/>
              </w:rPr>
            </w:pPr>
          </w:p>
        </w:tc>
        <w:tc>
          <w:tcPr>
            <w:tcW w:w="681" w:type="pct"/>
            <w:shd w:val="clear" w:color="auto" w:fill="auto"/>
            <w:tcMar>
              <w:top w:w="110" w:type="dxa"/>
            </w:tcMar>
          </w:tcPr>
          <w:p w:rsidR="00FA423E" w:rsidRDefault="00FA423E" w:rsidP="00DC1333">
            <w:pPr>
              <w:autoSpaceDE w:val="0"/>
              <w:autoSpaceDN w:val="0"/>
              <w:adjustRightInd w:val="0"/>
              <w:rPr>
                <w:sz w:val="16"/>
                <w:szCs w:val="16"/>
              </w:rPr>
            </w:pPr>
            <w:r w:rsidRPr="00526311">
              <w:rPr>
                <w:sz w:val="16"/>
                <w:szCs w:val="16"/>
              </w:rPr>
              <w:t>Avances en la labor preparatoria de la actualización de la ley tipo de la OMPI sobre patentes</w:t>
            </w:r>
          </w:p>
          <w:p w:rsidR="00FA423E" w:rsidRPr="00526311" w:rsidRDefault="00FA423E" w:rsidP="00DC1333">
            <w:pPr>
              <w:autoSpaceDE w:val="0"/>
              <w:autoSpaceDN w:val="0"/>
              <w:adjustRightInd w:val="0"/>
              <w:rPr>
                <w:sz w:val="16"/>
                <w:szCs w:val="16"/>
              </w:rPr>
            </w:pPr>
          </w:p>
        </w:tc>
        <w:tc>
          <w:tcPr>
            <w:tcW w:w="1137" w:type="pct"/>
            <w:shd w:val="clear" w:color="auto" w:fill="FFFFFF"/>
            <w:tcMar>
              <w:top w:w="110" w:type="dxa"/>
            </w:tcMar>
          </w:tcPr>
          <w:p w:rsidR="00FA423E" w:rsidRPr="00526311" w:rsidRDefault="00FA423E" w:rsidP="00DC1333">
            <w:pPr>
              <w:rPr>
                <w:sz w:val="16"/>
                <w:szCs w:val="16"/>
                <w:lang w:bidi="th-TH"/>
              </w:rPr>
            </w:pPr>
            <w:r>
              <w:rPr>
                <w:sz w:val="16"/>
                <w:szCs w:val="16"/>
                <w:lang w:bidi="th-TH"/>
              </w:rPr>
              <w:t>El SCP siguió debatiendo una propuesta del GRULAC.</w:t>
            </w:r>
          </w:p>
        </w:tc>
        <w:tc>
          <w:tcPr>
            <w:tcW w:w="682" w:type="pct"/>
            <w:shd w:val="clear" w:color="auto" w:fill="auto"/>
            <w:tcMar>
              <w:top w:w="110" w:type="dxa"/>
            </w:tcMar>
          </w:tcPr>
          <w:p w:rsidR="00FA423E" w:rsidRPr="00526311" w:rsidRDefault="00FA423E" w:rsidP="00DC1333">
            <w:pPr>
              <w:keepNext/>
              <w:keepLines/>
              <w:jc w:val="center"/>
              <w:rPr>
                <w:b/>
                <w:color w:val="FF0000"/>
                <w:sz w:val="16"/>
                <w:szCs w:val="16"/>
              </w:rPr>
            </w:pPr>
            <w:r>
              <w:rPr>
                <w:b/>
                <w:color w:val="FF0000"/>
                <w:sz w:val="16"/>
                <w:szCs w:val="16"/>
              </w:rPr>
              <w:t>No logrado</w:t>
            </w:r>
          </w:p>
        </w:tc>
      </w:tr>
    </w:tbl>
    <w:p w:rsidR="00FA423E" w:rsidRPr="00526311" w:rsidRDefault="00FA423E" w:rsidP="00FA423E">
      <w:pPr>
        <w:rPr>
          <w:sz w:val="20"/>
        </w:rPr>
      </w:pPr>
    </w:p>
    <w:p w:rsidR="00FA423E" w:rsidRDefault="00FA423E" w:rsidP="00FA423E">
      <w:pPr>
        <w:rPr>
          <w:sz w:val="20"/>
        </w:rPr>
      </w:pPr>
    </w:p>
    <w:p w:rsidR="00FA423E" w:rsidRDefault="008F7CBE" w:rsidP="00FA423E">
      <w:pPr>
        <w:rPr>
          <w:sz w:val="20"/>
        </w:rPr>
      </w:pPr>
      <w:r w:rsidRPr="008F7CBE">
        <w:rPr>
          <w:sz w:val="20"/>
        </w:rPr>
        <w:t>INFORMACIÓN SOBRE LOS RIESGOS PLANTEADOS EN EL BIENIO</w:t>
      </w:r>
    </w:p>
    <w:p w:rsidR="00FA423E" w:rsidRDefault="00FA423E" w:rsidP="00FA423E">
      <w:pPr>
        <w:rPr>
          <w:sz w:val="20"/>
        </w:rPr>
      </w:pPr>
    </w:p>
    <w:tbl>
      <w:tblPr>
        <w:tblW w:w="0" w:type="auto"/>
        <w:tblInd w:w="108" w:type="dxa"/>
        <w:tblLook w:val="01E0" w:firstRow="1" w:lastRow="1" w:firstColumn="1" w:lastColumn="1" w:noHBand="0" w:noVBand="0"/>
      </w:tblPr>
      <w:tblGrid>
        <w:gridCol w:w="2420"/>
        <w:gridCol w:w="2200"/>
        <w:gridCol w:w="2310"/>
        <w:gridCol w:w="2306"/>
      </w:tblGrid>
      <w:tr w:rsidR="00FA423E" w:rsidRPr="003454A6" w:rsidTr="00DC1333">
        <w:trPr>
          <w:trHeight w:val="1007"/>
        </w:trPr>
        <w:tc>
          <w:tcPr>
            <w:tcW w:w="2420" w:type="dxa"/>
            <w:tcBorders>
              <w:top w:val="single" w:sz="4" w:space="0" w:color="auto"/>
              <w:left w:val="single" w:sz="4" w:space="0" w:color="auto"/>
              <w:bottom w:val="single" w:sz="4" w:space="0" w:color="auto"/>
            </w:tcBorders>
            <w:shd w:val="clear" w:color="auto" w:fill="C6D9F1" w:themeFill="text2" w:themeFillTint="33"/>
            <w:vAlign w:val="center"/>
          </w:tcPr>
          <w:p w:rsidR="00FA423E" w:rsidRPr="003454A6" w:rsidRDefault="00FA423E" w:rsidP="00DC1333">
            <w:pPr>
              <w:autoSpaceDE w:val="0"/>
              <w:autoSpaceDN w:val="0"/>
              <w:adjustRightInd w:val="0"/>
              <w:ind w:right="-59"/>
              <w:jc w:val="center"/>
              <w:rPr>
                <w:b/>
                <w:bCs/>
                <w:iCs/>
                <w:sz w:val="18"/>
                <w:szCs w:val="18"/>
              </w:rPr>
            </w:pPr>
            <w:r w:rsidRPr="003454A6">
              <w:rPr>
                <w:b/>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FA423E" w:rsidRPr="003454A6" w:rsidRDefault="00FA423E" w:rsidP="00DC1333">
            <w:pPr>
              <w:autoSpaceDE w:val="0"/>
              <w:autoSpaceDN w:val="0"/>
              <w:adjustRightInd w:val="0"/>
              <w:ind w:right="-59"/>
              <w:jc w:val="center"/>
              <w:rPr>
                <w:b/>
                <w:bCs/>
                <w:iCs/>
                <w:sz w:val="18"/>
                <w:szCs w:val="18"/>
              </w:rPr>
            </w:pPr>
            <w:r w:rsidRPr="003454A6">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vAlign w:val="center"/>
          </w:tcPr>
          <w:p w:rsidR="00FA423E" w:rsidRPr="003454A6" w:rsidRDefault="00FA423E" w:rsidP="00DC1333">
            <w:pPr>
              <w:autoSpaceDE w:val="0"/>
              <w:autoSpaceDN w:val="0"/>
              <w:adjustRightInd w:val="0"/>
              <w:ind w:right="-59"/>
              <w:jc w:val="center"/>
              <w:rPr>
                <w:b/>
                <w:bCs/>
                <w:iCs/>
                <w:sz w:val="18"/>
                <w:szCs w:val="18"/>
              </w:rPr>
            </w:pPr>
            <w:r w:rsidRPr="003454A6">
              <w:rPr>
                <w:b/>
                <w:bCs/>
                <w:iCs/>
                <w:sz w:val="18"/>
                <w:szCs w:val="18"/>
              </w:rPr>
              <w:t>Evolución de los riesgos y estrategias de mitigaci</w:t>
            </w:r>
            <w:r>
              <w:rPr>
                <w:b/>
                <w:bCs/>
                <w:iCs/>
                <w:sz w:val="18"/>
                <w:szCs w:val="18"/>
              </w:rPr>
              <w:t>ón durante el bienio</w:t>
            </w:r>
          </w:p>
        </w:tc>
        <w:tc>
          <w:tcPr>
            <w:tcW w:w="2306" w:type="dxa"/>
            <w:tcBorders>
              <w:top w:val="single" w:sz="4" w:space="0" w:color="auto"/>
              <w:bottom w:val="single" w:sz="4" w:space="0" w:color="auto"/>
              <w:right w:val="single" w:sz="4" w:space="0" w:color="auto"/>
            </w:tcBorders>
            <w:shd w:val="clear" w:color="auto" w:fill="C6D9F1" w:themeFill="text2" w:themeFillTint="33"/>
            <w:vAlign w:val="center"/>
          </w:tcPr>
          <w:p w:rsidR="00FA423E" w:rsidRPr="003454A6" w:rsidRDefault="00FA423E" w:rsidP="00DC1333">
            <w:pPr>
              <w:autoSpaceDE w:val="0"/>
              <w:autoSpaceDN w:val="0"/>
              <w:adjustRightInd w:val="0"/>
              <w:ind w:right="-59"/>
              <w:jc w:val="center"/>
              <w:rPr>
                <w:b/>
                <w:bCs/>
                <w:iCs/>
                <w:sz w:val="18"/>
                <w:szCs w:val="18"/>
              </w:rPr>
            </w:pPr>
            <w:r w:rsidRPr="003454A6">
              <w:rPr>
                <w:b/>
                <w:bCs/>
                <w:iCs/>
                <w:sz w:val="18"/>
                <w:szCs w:val="18"/>
              </w:rPr>
              <w:t>Incidencia en el rendimiento del programa</w:t>
            </w:r>
          </w:p>
        </w:tc>
      </w:tr>
      <w:tr w:rsidR="00FA423E" w:rsidRPr="001E6875" w:rsidTr="00DC1333">
        <w:trPr>
          <w:trHeight w:val="1332"/>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FA423E" w:rsidRPr="00292ED4" w:rsidRDefault="00FA423E" w:rsidP="00DC1333">
            <w:pPr>
              <w:rPr>
                <w:sz w:val="16"/>
                <w:szCs w:val="16"/>
              </w:rPr>
            </w:pPr>
            <w:r w:rsidRPr="00292ED4">
              <w:rPr>
                <w:sz w:val="16"/>
                <w:szCs w:val="16"/>
              </w:rPr>
              <w:t>Menor pertinencia del Comité Permanente sobre el Derecho de Patentes como foro multilateral.</w:t>
            </w:r>
          </w:p>
          <w:p w:rsidR="00FA423E" w:rsidRPr="00292ED4" w:rsidRDefault="00FA423E" w:rsidP="00DC1333">
            <w:pPr>
              <w:autoSpaceDE w:val="0"/>
              <w:autoSpaceDN w:val="0"/>
              <w:adjustRightInd w:val="0"/>
              <w:ind w:right="-59"/>
              <w:jc w:val="both"/>
              <w:rPr>
                <w:sz w:val="16"/>
                <w:szCs w:val="16"/>
              </w:rPr>
            </w:pPr>
          </w:p>
        </w:tc>
        <w:tc>
          <w:tcPr>
            <w:tcW w:w="2200" w:type="dxa"/>
            <w:tcBorders>
              <w:top w:val="single" w:sz="4" w:space="0" w:color="auto"/>
              <w:bottom w:val="single" w:sz="4" w:space="0" w:color="auto"/>
            </w:tcBorders>
            <w:shd w:val="clear" w:color="auto" w:fill="auto"/>
            <w:tcMar>
              <w:top w:w="113" w:type="dxa"/>
              <w:bottom w:w="113" w:type="dxa"/>
            </w:tcMar>
          </w:tcPr>
          <w:p w:rsidR="00FA423E" w:rsidRPr="00327D44" w:rsidRDefault="00FA423E" w:rsidP="00DC1333">
            <w:pPr>
              <w:rPr>
                <w:sz w:val="16"/>
                <w:szCs w:val="16"/>
              </w:rPr>
            </w:pPr>
            <w:r w:rsidRPr="00327D44">
              <w:rPr>
                <w:sz w:val="16"/>
                <w:szCs w:val="16"/>
              </w:rPr>
              <w:t>Prestación de asesoramiento imparcial y profesional.</w:t>
            </w:r>
          </w:p>
          <w:p w:rsidR="00FA423E" w:rsidRPr="00327D44" w:rsidRDefault="00FA423E" w:rsidP="00DC1333">
            <w:pPr>
              <w:rPr>
                <w:sz w:val="16"/>
                <w:szCs w:val="16"/>
              </w:rPr>
            </w:pPr>
          </w:p>
          <w:p w:rsidR="00FA423E" w:rsidRPr="00E05BEC" w:rsidRDefault="00FA423E" w:rsidP="00DC1333">
            <w:pPr>
              <w:rPr>
                <w:sz w:val="16"/>
                <w:szCs w:val="16"/>
              </w:rPr>
            </w:pPr>
            <w:r w:rsidRPr="00E05BEC">
              <w:rPr>
                <w:sz w:val="16"/>
                <w:szCs w:val="16"/>
              </w:rPr>
              <w:t>Creación de un clima de diálogo integrador y neutral entre los Estados miembros.</w:t>
            </w:r>
          </w:p>
          <w:p w:rsidR="00FA423E" w:rsidRPr="00E05BEC" w:rsidRDefault="00FA423E" w:rsidP="00DC1333">
            <w:pPr>
              <w:rPr>
                <w:sz w:val="16"/>
                <w:szCs w:val="16"/>
              </w:rPr>
            </w:pPr>
          </w:p>
          <w:p w:rsidR="00FA423E" w:rsidRPr="00E05BEC" w:rsidRDefault="00FA423E" w:rsidP="00DC1333">
            <w:pPr>
              <w:autoSpaceDE w:val="0"/>
              <w:autoSpaceDN w:val="0"/>
              <w:adjustRightInd w:val="0"/>
              <w:ind w:right="-59"/>
              <w:rPr>
                <w:sz w:val="16"/>
                <w:szCs w:val="16"/>
              </w:rPr>
            </w:pPr>
            <w:r w:rsidRPr="00E05BEC">
              <w:rPr>
                <w:sz w:val="16"/>
                <w:szCs w:val="16"/>
              </w:rPr>
              <w:t>Facilitación de información oportuna, precisa y pertinente de interés para los Estados miembros.</w:t>
            </w:r>
          </w:p>
        </w:tc>
        <w:tc>
          <w:tcPr>
            <w:tcW w:w="2310" w:type="dxa"/>
            <w:tcBorders>
              <w:top w:val="single" w:sz="4" w:space="0" w:color="auto"/>
              <w:bottom w:val="single" w:sz="4" w:space="0" w:color="auto"/>
            </w:tcBorders>
          </w:tcPr>
          <w:p w:rsidR="00FA423E" w:rsidRPr="00E05BEC" w:rsidRDefault="00FA423E" w:rsidP="00DC1333">
            <w:pPr>
              <w:rPr>
                <w:sz w:val="16"/>
                <w:szCs w:val="16"/>
              </w:rPr>
            </w:pPr>
            <w:r w:rsidRPr="00E05BEC">
              <w:rPr>
                <w:sz w:val="16"/>
                <w:szCs w:val="16"/>
              </w:rPr>
              <w:t xml:space="preserve">Este es un riesgo </w:t>
            </w:r>
            <w:r>
              <w:rPr>
                <w:sz w:val="16"/>
                <w:szCs w:val="16"/>
              </w:rPr>
              <w:t>permanente</w:t>
            </w:r>
            <w:r w:rsidRPr="00E05BEC">
              <w:rPr>
                <w:sz w:val="16"/>
                <w:szCs w:val="16"/>
              </w:rPr>
              <w:t xml:space="preserve"> para el programa que se mantuvo presente durante el bienio y ha tenido reflejo también como riesgo fundamental </w:t>
            </w:r>
            <w:r>
              <w:rPr>
                <w:sz w:val="16"/>
                <w:szCs w:val="16"/>
              </w:rPr>
              <w:t>respecto de</w:t>
            </w:r>
            <w:r w:rsidRPr="00E05BEC">
              <w:rPr>
                <w:sz w:val="16"/>
                <w:szCs w:val="16"/>
              </w:rPr>
              <w:t xml:space="preserve"> los resultados </w:t>
            </w:r>
            <w:r>
              <w:rPr>
                <w:sz w:val="16"/>
                <w:szCs w:val="16"/>
              </w:rPr>
              <w:t>previstos del programa para el bienio próximo.</w:t>
            </w:r>
          </w:p>
          <w:p w:rsidR="00FA423E" w:rsidRPr="00E05BEC" w:rsidRDefault="00FA423E" w:rsidP="00DC1333">
            <w:pPr>
              <w:rPr>
                <w:sz w:val="16"/>
                <w:szCs w:val="16"/>
              </w:rPr>
            </w:pPr>
          </w:p>
        </w:tc>
        <w:tc>
          <w:tcPr>
            <w:tcW w:w="2306" w:type="dxa"/>
            <w:tcBorders>
              <w:top w:val="single" w:sz="4" w:space="0" w:color="auto"/>
              <w:bottom w:val="single" w:sz="4" w:space="0" w:color="auto"/>
              <w:right w:val="single" w:sz="4" w:space="0" w:color="auto"/>
            </w:tcBorders>
          </w:tcPr>
          <w:p w:rsidR="00FA423E" w:rsidRPr="001E6875" w:rsidRDefault="00FA423E" w:rsidP="00DC1333">
            <w:pPr>
              <w:rPr>
                <w:sz w:val="16"/>
                <w:szCs w:val="16"/>
              </w:rPr>
            </w:pPr>
            <w:r>
              <w:rPr>
                <w:sz w:val="16"/>
                <w:szCs w:val="16"/>
              </w:rPr>
              <w:t xml:space="preserve">Se considera que el riesgo </w:t>
            </w:r>
            <w:r w:rsidRPr="001E6875">
              <w:rPr>
                <w:sz w:val="16"/>
                <w:szCs w:val="16"/>
              </w:rPr>
              <w:t>p</w:t>
            </w:r>
            <w:r>
              <w:rPr>
                <w:sz w:val="16"/>
                <w:szCs w:val="16"/>
              </w:rPr>
              <w:t>ro</w:t>
            </w:r>
            <w:r w:rsidRPr="001E6875">
              <w:rPr>
                <w:sz w:val="16"/>
                <w:szCs w:val="16"/>
              </w:rPr>
              <w:t>viene principalmente de las diferencia</w:t>
            </w:r>
            <w:r>
              <w:rPr>
                <w:sz w:val="16"/>
                <w:szCs w:val="16"/>
              </w:rPr>
              <w:t>s</w:t>
            </w:r>
            <w:r w:rsidRPr="001E6875">
              <w:rPr>
                <w:sz w:val="16"/>
                <w:szCs w:val="16"/>
              </w:rPr>
              <w:t xml:space="preserve"> de </w:t>
            </w:r>
            <w:r>
              <w:rPr>
                <w:sz w:val="16"/>
                <w:szCs w:val="16"/>
              </w:rPr>
              <w:t>opinió</w:t>
            </w:r>
            <w:r w:rsidRPr="001E6875">
              <w:rPr>
                <w:sz w:val="16"/>
                <w:szCs w:val="16"/>
              </w:rPr>
              <w:t xml:space="preserve">n entre los Estados miembros en relación con la forma </w:t>
            </w:r>
            <w:r>
              <w:rPr>
                <w:sz w:val="16"/>
                <w:szCs w:val="16"/>
              </w:rPr>
              <w:t xml:space="preserve">de </w:t>
            </w:r>
            <w:r w:rsidRPr="001E6875">
              <w:rPr>
                <w:sz w:val="16"/>
                <w:szCs w:val="16"/>
              </w:rPr>
              <w:t>avanzar</w:t>
            </w:r>
            <w:r>
              <w:rPr>
                <w:sz w:val="16"/>
                <w:szCs w:val="16"/>
              </w:rPr>
              <w:t xml:space="preserve"> en los</w:t>
            </w:r>
            <w:r w:rsidRPr="001E6875">
              <w:rPr>
                <w:sz w:val="16"/>
                <w:szCs w:val="16"/>
              </w:rPr>
              <w:t xml:space="preserve"> </w:t>
            </w:r>
            <w:r>
              <w:rPr>
                <w:sz w:val="16"/>
                <w:szCs w:val="16"/>
              </w:rPr>
              <w:t>debates del SCP, lo que ha ralentizado el avance.</w:t>
            </w:r>
          </w:p>
        </w:tc>
      </w:tr>
    </w:tbl>
    <w:p w:rsidR="00FA423E" w:rsidRDefault="00FA423E" w:rsidP="00FA423E">
      <w:pPr>
        <w:rPr>
          <w:sz w:val="20"/>
        </w:rPr>
      </w:pPr>
    </w:p>
    <w:p w:rsidR="00FA423E" w:rsidRPr="001E6875" w:rsidRDefault="00FA423E" w:rsidP="00FA423E">
      <w:pPr>
        <w:rPr>
          <w:sz w:val="20"/>
        </w:rPr>
      </w:pPr>
    </w:p>
    <w:p w:rsidR="00FA423E" w:rsidRPr="00526311" w:rsidRDefault="00403D2C" w:rsidP="00FA423E">
      <w:pPr>
        <w:keepNext/>
        <w:rPr>
          <w:b/>
          <w:sz w:val="18"/>
          <w:szCs w:val="18"/>
        </w:rPr>
      </w:pPr>
      <w:r w:rsidRPr="00403D2C">
        <w:rPr>
          <w:sz w:val="20"/>
          <w:szCs w:val="22"/>
        </w:rPr>
        <w:lastRenderedPageBreak/>
        <w:t>UTILIZACIÓN DE LOS RECURSOS</w:t>
      </w:r>
    </w:p>
    <w:p w:rsidR="00FA423E" w:rsidRPr="00526311" w:rsidRDefault="00FA423E" w:rsidP="00FA423E">
      <w:pPr>
        <w:keepNext/>
        <w:rPr>
          <w:sz w:val="20"/>
        </w:rPr>
      </w:pPr>
    </w:p>
    <w:p w:rsidR="00FA423E" w:rsidRPr="00526311" w:rsidRDefault="00FA423E" w:rsidP="00FA423E">
      <w:pPr>
        <w:pStyle w:val="NormalWeb"/>
        <w:keepNext/>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A423E" w:rsidRPr="00526311" w:rsidRDefault="00FA423E" w:rsidP="00FA423E">
      <w:pPr>
        <w:pStyle w:val="NormalWeb"/>
        <w:keepNext/>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423E" w:rsidRPr="00526311" w:rsidRDefault="00FA423E" w:rsidP="00FA423E">
      <w:pPr>
        <w:pStyle w:val="NormalWeb"/>
        <w:keepNext/>
        <w:spacing w:before="0" w:beforeAutospacing="0" w:after="0" w:afterAutospacing="0"/>
        <w:jc w:val="center"/>
        <w:rPr>
          <w:sz w:val="20"/>
          <w:szCs w:val="20"/>
          <w:lang w:val="es-ES"/>
        </w:rPr>
      </w:pPr>
    </w:p>
    <w:p w:rsidR="00FA423E" w:rsidRPr="00526311" w:rsidRDefault="00FA423E" w:rsidP="00FA423E">
      <w:pPr>
        <w:keepNext/>
        <w:jc w:val="center"/>
        <w:rPr>
          <w:sz w:val="20"/>
        </w:rPr>
      </w:pPr>
      <w:r>
        <w:rPr>
          <w:noProof/>
          <w:sz w:val="20"/>
          <w:lang w:val="en-US" w:eastAsia="en-US"/>
        </w:rPr>
        <w:drawing>
          <wp:inline distT="0" distB="0" distL="0" distR="0" wp14:anchorId="2F405664" wp14:editId="523F0435">
            <wp:extent cx="5677535" cy="19564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7535" cy="1956435"/>
                    </a:xfrm>
                    <a:prstGeom prst="rect">
                      <a:avLst/>
                    </a:prstGeom>
                    <a:noFill/>
                    <a:ln>
                      <a:noFill/>
                    </a:ln>
                  </pic:spPr>
                </pic:pic>
              </a:graphicData>
            </a:graphic>
          </wp:inline>
        </w:drawing>
      </w:r>
    </w:p>
    <w:p w:rsidR="00FA423E" w:rsidRPr="00526311" w:rsidRDefault="00FA423E" w:rsidP="00FA423E">
      <w:pPr>
        <w:rPr>
          <w:sz w:val="20"/>
        </w:rPr>
      </w:pPr>
    </w:p>
    <w:p w:rsidR="00FA423E" w:rsidRPr="00526311" w:rsidRDefault="00FA423E" w:rsidP="00FA423E">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A423E" w:rsidRPr="00526311" w:rsidRDefault="00FA423E" w:rsidP="00FA423E">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423E" w:rsidRPr="00526311" w:rsidRDefault="00FA423E" w:rsidP="00FA423E">
      <w:pPr>
        <w:pStyle w:val="NormalWeb"/>
        <w:keepNext/>
        <w:keepLines/>
        <w:spacing w:before="0" w:beforeAutospacing="0" w:after="0" w:afterAutospacing="0"/>
        <w:jc w:val="center"/>
        <w:rPr>
          <w:lang w:val="es-ES"/>
        </w:rPr>
      </w:pPr>
    </w:p>
    <w:p w:rsidR="00FA423E" w:rsidRPr="00526311" w:rsidRDefault="00FA423E" w:rsidP="00FA423E">
      <w:pPr>
        <w:jc w:val="center"/>
        <w:rPr>
          <w:sz w:val="20"/>
        </w:rPr>
      </w:pPr>
      <w:bookmarkStart w:id="55" w:name="Bm1"/>
      <w:bookmarkStart w:id="56" w:name="Point1"/>
      <w:r>
        <w:rPr>
          <w:noProof/>
          <w:lang w:val="en-US" w:eastAsia="en-US"/>
        </w:rPr>
        <w:drawing>
          <wp:inline distT="0" distB="0" distL="0" distR="0" wp14:anchorId="569142D7" wp14:editId="1DBE06ED">
            <wp:extent cx="5940425" cy="1065595"/>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1065595"/>
                    </a:xfrm>
                    <a:prstGeom prst="rect">
                      <a:avLst/>
                    </a:prstGeom>
                    <a:noFill/>
                    <a:ln>
                      <a:noFill/>
                    </a:ln>
                  </pic:spPr>
                </pic:pic>
              </a:graphicData>
            </a:graphic>
          </wp:inline>
        </w:drawing>
      </w:r>
      <w:bookmarkEnd w:id="55"/>
      <w:bookmarkEnd w:id="56"/>
    </w:p>
    <w:p w:rsidR="00FA423E" w:rsidRDefault="00FA423E" w:rsidP="00FA423E">
      <w:pPr>
        <w:widowControl w:val="0"/>
        <w:autoSpaceDE w:val="0"/>
        <w:autoSpaceDN w:val="0"/>
        <w:adjustRightInd w:val="0"/>
        <w:rPr>
          <w:sz w:val="20"/>
        </w:rPr>
      </w:pPr>
    </w:p>
    <w:p w:rsidR="00FA423E" w:rsidRPr="00526311" w:rsidRDefault="00FA423E" w:rsidP="00FA423E">
      <w:pPr>
        <w:widowControl w:val="0"/>
        <w:autoSpaceDE w:val="0"/>
        <w:autoSpaceDN w:val="0"/>
        <w:adjustRightInd w:val="0"/>
        <w:rPr>
          <w:sz w:val="20"/>
        </w:rPr>
      </w:pPr>
    </w:p>
    <w:p w:rsidR="00FA423E" w:rsidRPr="00526311" w:rsidRDefault="00403D2C" w:rsidP="00FA423E">
      <w:pPr>
        <w:rPr>
          <w:sz w:val="20"/>
          <w:u w:val="single"/>
        </w:rPr>
      </w:pPr>
      <w:r w:rsidRPr="00403D2C">
        <w:rPr>
          <w:sz w:val="20"/>
        </w:rPr>
        <w:t>A.</w:t>
      </w:r>
      <w:r w:rsidRPr="00403D2C">
        <w:rPr>
          <w:sz w:val="20"/>
        </w:rPr>
        <w:tab/>
      </w:r>
      <w:r w:rsidRPr="00403D2C">
        <w:rPr>
          <w:sz w:val="20"/>
          <w:u w:val="single"/>
        </w:rPr>
        <w:t>Presupuesto final de 2014/15 tras las transferencias</w:t>
      </w:r>
    </w:p>
    <w:p w:rsidR="00FA423E" w:rsidRPr="00526311" w:rsidRDefault="00FA423E" w:rsidP="00FA423E">
      <w:pPr>
        <w:autoSpaceDE w:val="0"/>
        <w:autoSpaceDN w:val="0"/>
        <w:jc w:val="both"/>
        <w:rPr>
          <w:sz w:val="20"/>
          <w:lang w:eastAsia="ko-KR"/>
        </w:rPr>
      </w:pPr>
    </w:p>
    <w:p w:rsidR="00FA423E" w:rsidRPr="00526311" w:rsidRDefault="00FA423E" w:rsidP="00FA423E">
      <w:pPr>
        <w:pStyle w:val="ListParagraph"/>
        <w:numPr>
          <w:ilvl w:val="0"/>
          <w:numId w:val="9"/>
        </w:numPr>
        <w:tabs>
          <w:tab w:val="left" w:pos="709"/>
        </w:tabs>
        <w:autoSpaceDE w:val="0"/>
        <w:autoSpaceDN w:val="0"/>
        <w:ind w:left="0" w:firstLine="0"/>
        <w:jc w:val="both"/>
        <w:rPr>
          <w:rFonts w:cs="Arial"/>
          <w:lang w:val="es-ES" w:eastAsia="ko-KR"/>
        </w:rPr>
      </w:pPr>
      <w:r w:rsidRPr="00526311">
        <w:rPr>
          <w:rFonts w:cs="Arial"/>
          <w:lang w:val="es-ES" w:eastAsia="zh-CN"/>
        </w:rPr>
        <w:t xml:space="preserve">El aumento general del presupuesto </w:t>
      </w:r>
      <w:r>
        <w:rPr>
          <w:rFonts w:cs="Arial"/>
          <w:lang w:val="es-ES" w:eastAsia="zh-CN"/>
        </w:rPr>
        <w:t xml:space="preserve">final </w:t>
      </w:r>
      <w:r w:rsidRPr="00526311">
        <w:rPr>
          <w:rFonts w:cs="Arial"/>
          <w:lang w:val="es-ES" w:eastAsia="zh-CN"/>
        </w:rPr>
        <w:t xml:space="preserve">de </w:t>
      </w:r>
      <w:r w:rsidRPr="00526311">
        <w:rPr>
          <w:rFonts w:cs="Arial"/>
          <w:lang w:val="es-ES" w:eastAsia="ko-KR"/>
        </w:rPr>
        <w:t xml:space="preserve">2014/15 </w:t>
      </w:r>
      <w:r>
        <w:rPr>
          <w:rFonts w:cs="Arial"/>
          <w:lang w:val="es-ES" w:eastAsia="ko-KR"/>
        </w:rPr>
        <w:t xml:space="preserve">tras las transferencias se debió a: i) </w:t>
      </w:r>
      <w:r w:rsidRPr="00526311">
        <w:rPr>
          <w:rFonts w:cs="Arial"/>
          <w:lang w:val="es-ES" w:eastAsia="ko-KR"/>
        </w:rPr>
        <w:t>la asignación de recursos de personal adicionales al resultado I.2 (Asesoramiento en el ámbito legislativo) a fin de responder con mayor eficacia a un aumento de solicitudes</w:t>
      </w:r>
      <w:r>
        <w:rPr>
          <w:rFonts w:cs="Arial"/>
          <w:lang w:val="es-ES" w:eastAsia="ko-KR"/>
        </w:rPr>
        <w:t xml:space="preserve"> de asesoramiento en ese ámbito;  y ii) el traslado de las actividades de </w:t>
      </w:r>
      <w:r>
        <w:rPr>
          <w:rFonts w:cs="Arial"/>
          <w:lang w:val="es-ES" w:eastAsia="zh-CN"/>
        </w:rPr>
        <w:t>redacción de solicitudes de patente del Programa 30 al Programa 1.</w:t>
      </w:r>
    </w:p>
    <w:p w:rsidR="00FA423E" w:rsidRPr="00526311" w:rsidRDefault="00FA423E" w:rsidP="00FA423E">
      <w:pPr>
        <w:autoSpaceDE w:val="0"/>
        <w:autoSpaceDN w:val="0"/>
        <w:jc w:val="both"/>
        <w:rPr>
          <w:sz w:val="20"/>
          <w:lang w:eastAsia="ko-KR"/>
        </w:rPr>
      </w:pPr>
    </w:p>
    <w:p w:rsidR="00FA423E" w:rsidRPr="00526311" w:rsidRDefault="00403D2C" w:rsidP="00FA423E">
      <w:pPr>
        <w:keepNext/>
        <w:keepLine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423E" w:rsidRPr="00526311" w:rsidRDefault="00FA423E" w:rsidP="00FA423E">
      <w:pPr>
        <w:keepNext/>
        <w:keepLines/>
        <w:autoSpaceDE w:val="0"/>
        <w:autoSpaceDN w:val="0"/>
        <w:jc w:val="both"/>
        <w:rPr>
          <w:sz w:val="20"/>
        </w:rPr>
      </w:pPr>
    </w:p>
    <w:p w:rsidR="00FA423E" w:rsidRPr="00526311" w:rsidRDefault="00FA423E" w:rsidP="00FA423E">
      <w:pPr>
        <w:pStyle w:val="ListParagraph"/>
        <w:keepNext/>
        <w:keepLines/>
        <w:numPr>
          <w:ilvl w:val="0"/>
          <w:numId w:val="9"/>
        </w:numPr>
        <w:tabs>
          <w:tab w:val="left" w:pos="709"/>
        </w:tabs>
        <w:autoSpaceDE w:val="0"/>
        <w:autoSpaceDN w:val="0"/>
        <w:ind w:left="0" w:firstLine="0"/>
        <w:jc w:val="both"/>
        <w:rPr>
          <w:lang w:val="es-ES"/>
        </w:rPr>
      </w:pPr>
      <w:r w:rsidRPr="00526311">
        <w:rPr>
          <w:rFonts w:cs="Arial"/>
          <w:lang w:val="es-ES" w:eastAsia="zh-CN"/>
        </w:rPr>
        <w:t xml:space="preserve">La utilización </w:t>
      </w:r>
      <w:r>
        <w:rPr>
          <w:rFonts w:cs="Arial"/>
          <w:lang w:val="es-ES" w:eastAsia="zh-CN"/>
        </w:rPr>
        <w:t xml:space="preserve">general </w:t>
      </w:r>
      <w:r w:rsidRPr="00526311">
        <w:rPr>
          <w:rFonts w:cs="Arial"/>
          <w:lang w:val="es-ES" w:eastAsia="zh-CN"/>
        </w:rPr>
        <w:t xml:space="preserve">del presupuesto </w:t>
      </w:r>
      <w:r>
        <w:rPr>
          <w:rFonts w:cs="Arial"/>
          <w:lang w:val="es-ES" w:eastAsia="zh-CN"/>
        </w:rPr>
        <w:t>para el bienio 2014/15 alcanzó el 97%, pero algunas actividades relacionadas con la revisión de la ley tipo sobre patentes de invención para los países en desarrollo no se han ejecutado debido a la falta de acuerdo entre los Estados miembros en el SCP.</w:t>
      </w:r>
    </w:p>
    <w:p w:rsidR="00FA423E" w:rsidRPr="00526311" w:rsidRDefault="00FA423E" w:rsidP="00FA423E">
      <w:pPr>
        <w:tabs>
          <w:tab w:val="left" w:pos="709"/>
        </w:tabs>
        <w:autoSpaceDE w:val="0"/>
        <w:autoSpaceDN w:val="0"/>
        <w:jc w:val="both"/>
        <w:rPr>
          <w:sz w:val="20"/>
        </w:rPr>
      </w:pPr>
    </w:p>
    <w:p w:rsidR="00FA423E" w:rsidRDefault="00FA423E" w:rsidP="00FA423E">
      <w:r>
        <w:br w:type="page"/>
      </w:r>
    </w:p>
    <w:p w:rsidR="00FA423E" w:rsidRPr="00526311" w:rsidRDefault="00FA423E" w:rsidP="00FA423E">
      <w:pPr>
        <w:pStyle w:val="Heading2"/>
        <w:tabs>
          <w:tab w:val="left" w:pos="2410"/>
        </w:tabs>
        <w:ind w:left="2410" w:hanging="2410"/>
        <w:rPr>
          <w:b/>
          <w:szCs w:val="22"/>
        </w:rPr>
      </w:pPr>
      <w:bookmarkStart w:id="57" w:name="_Toc422927403"/>
      <w:bookmarkStart w:id="58" w:name="_Toc455159071"/>
      <w:r w:rsidRPr="00526311">
        <w:rPr>
          <w:b/>
          <w:szCs w:val="22"/>
        </w:rPr>
        <w:lastRenderedPageBreak/>
        <w:t>PROGRAMA 2</w:t>
      </w:r>
      <w:r w:rsidRPr="00526311">
        <w:rPr>
          <w:b/>
          <w:szCs w:val="22"/>
        </w:rPr>
        <w:tab/>
        <w:t>MARCAS, DISEÑOS INDUSTRIALES E INDICACIONES GEOGRÁFICAS</w:t>
      </w:r>
      <w:bookmarkEnd w:id="57"/>
      <w:bookmarkEnd w:id="58"/>
    </w:p>
    <w:p w:rsidR="00FA423E" w:rsidRPr="00526311" w:rsidRDefault="00FA423E" w:rsidP="00FA423E">
      <w:pPr>
        <w:rPr>
          <w:sz w:val="20"/>
        </w:rPr>
      </w:pPr>
    </w:p>
    <w:p w:rsidR="00FA423E" w:rsidRPr="00013B5C" w:rsidRDefault="00FA423E" w:rsidP="00FA423E">
      <w:pPr>
        <w:tabs>
          <w:tab w:val="left" w:pos="2410"/>
        </w:tabs>
        <w:rPr>
          <w:b/>
          <w:sz w:val="20"/>
        </w:rPr>
      </w:pPr>
      <w:r w:rsidRPr="00013B5C">
        <w:rPr>
          <w:b/>
          <w:sz w:val="20"/>
        </w:rPr>
        <w:t>Directora de programa</w:t>
      </w:r>
      <w:r w:rsidRPr="00013B5C">
        <w:rPr>
          <w:b/>
          <w:sz w:val="20"/>
        </w:rPr>
        <w:tab/>
        <w:t>Sra. B. Wang</w:t>
      </w:r>
    </w:p>
    <w:p w:rsidR="00FA423E" w:rsidRPr="00526311" w:rsidRDefault="00FA423E" w:rsidP="00FA423E">
      <w:pPr>
        <w:tabs>
          <w:tab w:val="left" w:pos="2268"/>
        </w:tabs>
        <w:rPr>
          <w:sz w:val="20"/>
        </w:rPr>
      </w:pPr>
    </w:p>
    <w:p w:rsidR="00FA423E" w:rsidRPr="00526311" w:rsidRDefault="00FA423E" w:rsidP="00FA423E">
      <w:pPr>
        <w:tabs>
          <w:tab w:val="left" w:pos="2268"/>
        </w:tabs>
        <w:rPr>
          <w:bCs/>
          <w:sz w:val="20"/>
        </w:rPr>
      </w:pPr>
    </w:p>
    <w:p w:rsidR="00FA423E" w:rsidRPr="00526311" w:rsidRDefault="008F7CBE" w:rsidP="00FA423E">
      <w:pPr>
        <w:rPr>
          <w:bCs/>
          <w:szCs w:val="22"/>
        </w:rPr>
      </w:pPr>
      <w:r w:rsidRPr="008F7CBE">
        <w:rPr>
          <w:bCs/>
          <w:sz w:val="20"/>
          <w:szCs w:val="22"/>
        </w:rPr>
        <w:t>LOGROS ALCANZADOS EN EL BIENIO 2014/15</w:t>
      </w:r>
    </w:p>
    <w:p w:rsidR="00FA423E" w:rsidRPr="00526311" w:rsidRDefault="00FA423E" w:rsidP="00FA423E">
      <w:pPr>
        <w:tabs>
          <w:tab w:val="left" w:pos="2268"/>
        </w:tabs>
        <w:jc w:val="both"/>
        <w:rPr>
          <w:sz w:val="20"/>
        </w:rPr>
      </w:pPr>
    </w:p>
    <w:p w:rsidR="00FA423E" w:rsidRPr="00526311" w:rsidRDefault="00FA423E" w:rsidP="00FA423E">
      <w:pPr>
        <w:pStyle w:val="ListParagraph"/>
        <w:numPr>
          <w:ilvl w:val="0"/>
          <w:numId w:val="11"/>
        </w:numPr>
        <w:tabs>
          <w:tab w:val="left" w:pos="709"/>
        </w:tabs>
        <w:autoSpaceDE w:val="0"/>
        <w:autoSpaceDN w:val="0"/>
        <w:ind w:left="0" w:firstLine="0"/>
        <w:jc w:val="both"/>
        <w:rPr>
          <w:rFonts w:cs="Arial"/>
          <w:lang w:val="es-ES" w:eastAsia="zh-CN"/>
        </w:rPr>
      </w:pPr>
      <w:r>
        <w:rPr>
          <w:rFonts w:cs="Arial"/>
          <w:lang w:val="es-ES" w:eastAsia="zh-CN"/>
        </w:rPr>
        <w:t>Durante el bienio</w:t>
      </w:r>
      <w:r w:rsidRPr="00526311">
        <w:rPr>
          <w:rFonts w:cs="Arial"/>
          <w:lang w:val="es-ES" w:eastAsia="zh-CN"/>
        </w:rPr>
        <w:t>, el Comité Permanente sobre el Derecho de Marcas, Diseños Industriales e Indicaciones Geográficas (SCT) prosiguió en</w:t>
      </w:r>
      <w:r>
        <w:rPr>
          <w:rFonts w:cs="Arial"/>
          <w:lang w:val="es-ES" w:eastAsia="zh-CN"/>
        </w:rPr>
        <w:t>tre</w:t>
      </w:r>
      <w:r w:rsidRPr="00526311">
        <w:rPr>
          <w:rFonts w:cs="Arial"/>
          <w:lang w:val="es-ES" w:eastAsia="zh-CN"/>
        </w:rPr>
        <w:t xml:space="preserve"> sus sesiones trig</w:t>
      </w:r>
      <w:r>
        <w:rPr>
          <w:rFonts w:cs="Arial"/>
          <w:lang w:val="es-ES" w:eastAsia="zh-CN"/>
        </w:rPr>
        <w:t>ésima primera y trigésima cuart</w:t>
      </w:r>
      <w:r w:rsidRPr="00526311">
        <w:rPr>
          <w:rFonts w:cs="Arial"/>
          <w:lang w:val="es-ES" w:eastAsia="zh-CN"/>
        </w:rPr>
        <w:t>a el trabajo relativo a un proyecto de tratado sobre el Derecho de los diseños que habría de adoptarse en una conferencia diplomática.  La cuestión de convocar esa conferencia diplomática fue tratada por la Asamblea General de</w:t>
      </w:r>
      <w:r>
        <w:rPr>
          <w:rFonts w:cs="Arial"/>
          <w:lang w:val="es-ES" w:eastAsia="zh-CN"/>
        </w:rPr>
        <w:t xml:space="preserve"> la OMPI en su cuadragésimo sép</w:t>
      </w:r>
      <w:r w:rsidRPr="00526311">
        <w:rPr>
          <w:rFonts w:cs="Arial"/>
          <w:lang w:val="es-ES" w:eastAsia="zh-CN"/>
        </w:rPr>
        <w:t>t</w:t>
      </w:r>
      <w:r>
        <w:rPr>
          <w:rFonts w:cs="Arial"/>
          <w:lang w:val="es-ES" w:eastAsia="zh-CN"/>
        </w:rPr>
        <w:t>im</w:t>
      </w:r>
      <w:r w:rsidRPr="00526311">
        <w:rPr>
          <w:rFonts w:cs="Arial"/>
          <w:lang w:val="es-ES" w:eastAsia="zh-CN"/>
        </w:rPr>
        <w:t>o período de sesiones</w:t>
      </w:r>
      <w:r>
        <w:rPr>
          <w:rFonts w:cs="Arial"/>
          <w:lang w:val="es-ES" w:eastAsia="zh-CN"/>
        </w:rPr>
        <w:t xml:space="preserve"> (22º </w:t>
      </w:r>
      <w:r w:rsidRPr="00526311">
        <w:rPr>
          <w:rFonts w:cs="Arial"/>
          <w:lang w:val="es-ES" w:eastAsia="zh-CN"/>
        </w:rPr>
        <w:t>ordinario)</w:t>
      </w:r>
      <w:r>
        <w:rPr>
          <w:rFonts w:cs="Arial"/>
          <w:lang w:val="es-ES" w:eastAsia="zh-CN"/>
        </w:rPr>
        <w:t>, en octubre de 2015, en el que la Asamblea General acordó “</w:t>
      </w:r>
      <w:r w:rsidRPr="00925CEA">
        <w:rPr>
          <w:rFonts w:cs="Arial"/>
          <w:lang w:val="es-ES" w:eastAsia="zh-CN"/>
        </w:rPr>
        <w:t>convocar una conferencia diplomática para la adopción de un tratado sobre el Derecho de los diseños hacia fines del primer semestre de 2017, únicamente si se dan por concluidos los debates en el SCT sobre asistencia técnica y divulgación en su trigésima cuarta y trigésima quinta sesiones</w:t>
      </w:r>
      <w:r>
        <w:rPr>
          <w:rFonts w:cs="Arial"/>
          <w:lang w:val="es-ES" w:eastAsia="zh-CN"/>
        </w:rPr>
        <w:t>”</w:t>
      </w:r>
      <w:r w:rsidRPr="00526311">
        <w:rPr>
          <w:rFonts w:cs="Arial"/>
          <w:lang w:val="es-ES" w:eastAsia="zh-CN"/>
        </w:rPr>
        <w:t xml:space="preserve">.  Igualmente, el SCT continuó con su labor en torno a la protección de los nombres de países y </w:t>
      </w:r>
      <w:r>
        <w:rPr>
          <w:rFonts w:cs="Arial"/>
          <w:lang w:val="es-ES" w:eastAsia="zh-CN"/>
        </w:rPr>
        <w:t>aprobó un D</w:t>
      </w:r>
      <w:r w:rsidRPr="00925CEA">
        <w:rPr>
          <w:rFonts w:cs="Arial"/>
          <w:lang w:val="es-ES" w:eastAsia="zh-CN"/>
        </w:rPr>
        <w:t xml:space="preserve">ocumento de referencia sobre la protección de los nombres de países contra su registro y uso como marcas </w:t>
      </w:r>
      <w:r w:rsidRPr="00925CEA">
        <w:rPr>
          <w:bCs/>
          <w:lang w:val="es-ES"/>
        </w:rPr>
        <w:t>(documento WIPO/Strad/INF/7)</w:t>
      </w:r>
      <w:r w:rsidRPr="00526311">
        <w:rPr>
          <w:rFonts w:cs="Arial"/>
          <w:lang w:val="es-ES" w:eastAsia="zh-CN"/>
        </w:rPr>
        <w:t>.  Además, varias delegaciones presentaron propuestas en relación con el trabajo del SCT en materia de indicaciones geográficas.  Las actividades normativas del programa dentro del SCT se siguieron caracterizando por ser inclusivas y estar orientadas hacia los miembros, en sintonía con la recomendación 15 de la Agenda para el Desarrollo (A.D.), y las negociaciones del SCT se basaron en consultas abiertas y equilibradas, en sintonía con las recomendaciones 21 y 42 de la A.D.</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11"/>
        </w:numPr>
        <w:tabs>
          <w:tab w:val="left" w:pos="709"/>
        </w:tabs>
        <w:autoSpaceDE w:val="0"/>
        <w:autoSpaceDN w:val="0"/>
        <w:ind w:left="0" w:firstLine="0"/>
        <w:jc w:val="both"/>
        <w:rPr>
          <w:rFonts w:cs="Arial"/>
          <w:lang w:val="es-ES" w:eastAsia="zh-CN"/>
        </w:rPr>
      </w:pPr>
      <w:r w:rsidRPr="00526311">
        <w:rPr>
          <w:rFonts w:cs="Arial"/>
          <w:lang w:val="es-ES" w:eastAsia="zh-CN"/>
        </w:rPr>
        <w:t xml:space="preserve">En </w:t>
      </w:r>
      <w:r>
        <w:rPr>
          <w:rFonts w:cs="Arial"/>
          <w:lang w:val="es-ES" w:eastAsia="zh-CN"/>
        </w:rPr>
        <w:t xml:space="preserve">el bienio </w:t>
      </w:r>
      <w:r w:rsidRPr="00526311">
        <w:rPr>
          <w:rFonts w:cs="Arial"/>
          <w:lang w:val="es-ES" w:eastAsia="zh-CN"/>
        </w:rPr>
        <w:t>2014</w:t>
      </w:r>
      <w:r>
        <w:rPr>
          <w:rFonts w:cs="Arial"/>
          <w:lang w:val="es-ES" w:eastAsia="zh-CN"/>
        </w:rPr>
        <w:t>/15</w:t>
      </w:r>
      <w:r w:rsidRPr="00526311">
        <w:rPr>
          <w:rFonts w:cs="Arial"/>
          <w:lang w:val="es-ES" w:eastAsia="zh-CN"/>
        </w:rPr>
        <w:t xml:space="preserve"> también se produjo la ratificación del Tratado de Singapur sobre el Derecho de Marcas, o la adhesión a él, por siete nuevas Partes Contratantes (Belarús, Bélgica, Iraq, Luxemburgo, la Organización de Propiedad Intelectual del Benelux (BOIP), los Países Bajos y Tayikistán), elevando a 38 el número total de Partes</w:t>
      </w:r>
      <w:r>
        <w:rPr>
          <w:rFonts w:cs="Arial"/>
          <w:lang w:val="es-ES" w:eastAsia="zh-CN"/>
        </w:rPr>
        <w:t xml:space="preserve"> Contratantes a finales de 2015</w:t>
      </w:r>
      <w:r w:rsidRPr="00526311">
        <w:rPr>
          <w:rFonts w:cs="Arial"/>
          <w:lang w:val="es-ES" w:eastAsia="zh-CN"/>
        </w:rPr>
        <w:t>.</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11"/>
        </w:numPr>
        <w:autoSpaceDE w:val="0"/>
        <w:autoSpaceDN w:val="0"/>
        <w:ind w:left="0" w:firstLine="0"/>
        <w:jc w:val="both"/>
        <w:rPr>
          <w:rFonts w:cs="Arial"/>
          <w:lang w:val="es-ES" w:eastAsia="zh-CN"/>
        </w:rPr>
      </w:pPr>
      <w:r w:rsidRPr="00526311">
        <w:rPr>
          <w:rFonts w:cs="Arial"/>
          <w:lang w:val="es-ES" w:eastAsia="zh-CN"/>
        </w:rPr>
        <w:t>Por lo que atañe al aumento de la protección de los emblemas de Estado y de los nombres y emblemas de organizaciones intergubernamentales internacionales en virtud del Artículo 6</w:t>
      </w:r>
      <w:r w:rsidRPr="00526311">
        <w:rPr>
          <w:rFonts w:cs="Arial"/>
          <w:i/>
          <w:lang w:val="es-ES" w:eastAsia="zh-CN"/>
        </w:rPr>
        <w:t>ter</w:t>
      </w:r>
      <w:r w:rsidRPr="00526311">
        <w:rPr>
          <w:rFonts w:cs="Arial"/>
          <w:lang w:val="es-ES" w:eastAsia="zh-CN"/>
        </w:rPr>
        <w:t xml:space="preserve"> del Convenio de París, las comunicaciones y las respuestas a peticiones se trataron con puntualidad y eficiencia durante el período objeto de examen.  Las discrepancias entre el objetivo de peticiones que se deben tramitar y el número de peticiones tramitadas en realidad se deben a la fluctuación en el número de peticiones y al hecho de que el objetivo estimado está basado en una media bienal.  A finales de </w:t>
      </w:r>
      <w:r>
        <w:rPr>
          <w:rFonts w:cs="Arial"/>
          <w:lang w:val="es-ES" w:eastAsia="zh-CN"/>
        </w:rPr>
        <w:t>2015 la</w:t>
      </w:r>
      <w:r w:rsidRPr="00526311">
        <w:rPr>
          <w:rFonts w:cs="Arial"/>
          <w:lang w:val="es-ES" w:eastAsia="zh-CN"/>
        </w:rPr>
        <w:t xml:space="preserve"> base de datos sobre el Artículo 6</w:t>
      </w:r>
      <w:r w:rsidRPr="00526311">
        <w:rPr>
          <w:rFonts w:cs="Arial"/>
          <w:i/>
          <w:lang w:val="es-ES" w:eastAsia="zh-CN"/>
        </w:rPr>
        <w:t>ter</w:t>
      </w:r>
      <w:r>
        <w:rPr>
          <w:rFonts w:cs="Arial"/>
          <w:lang w:val="es-ES" w:eastAsia="zh-CN"/>
        </w:rPr>
        <w:t xml:space="preserve"> contenía un total de 3.1</w:t>
      </w:r>
      <w:r w:rsidRPr="00526311">
        <w:rPr>
          <w:rFonts w:cs="Arial"/>
          <w:lang w:val="es-ES" w:eastAsia="zh-CN"/>
        </w:rPr>
        <w:t>57 signos.</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11"/>
        </w:numPr>
        <w:tabs>
          <w:tab w:val="left" w:pos="709"/>
        </w:tabs>
        <w:autoSpaceDE w:val="0"/>
        <w:autoSpaceDN w:val="0"/>
        <w:ind w:left="0" w:firstLine="0"/>
        <w:jc w:val="both"/>
        <w:rPr>
          <w:rFonts w:cs="Arial"/>
          <w:lang w:val="es-ES" w:eastAsia="zh-CN"/>
        </w:rPr>
      </w:pPr>
      <w:r w:rsidRPr="00526311">
        <w:rPr>
          <w:rFonts w:cs="Arial"/>
          <w:lang w:val="es-ES" w:eastAsia="zh-CN"/>
        </w:rPr>
        <w:t>En cuanto al trabajo relativo a marcos de P.I. adaptados y equilibrados en el ámbito legislativo, reglamentario y de pol</w:t>
      </w:r>
      <w:r>
        <w:rPr>
          <w:rFonts w:cs="Arial"/>
          <w:lang w:val="es-ES" w:eastAsia="zh-CN"/>
        </w:rPr>
        <w:t>ítica, se dio asesoramiento a 31</w:t>
      </w:r>
      <w:r w:rsidRPr="00526311">
        <w:rPr>
          <w:rFonts w:cs="Arial"/>
          <w:lang w:val="es-ES" w:eastAsia="zh-CN"/>
        </w:rPr>
        <w:t xml:space="preserve"> Estados miembros/organizaciones intergubernamentales en la esfera del Derecho de marcas, </w:t>
      </w:r>
      <w:r>
        <w:rPr>
          <w:rFonts w:cs="Arial"/>
          <w:lang w:val="es-ES" w:eastAsia="zh-CN"/>
        </w:rPr>
        <w:t>diseños</w:t>
      </w:r>
      <w:r w:rsidRPr="00526311">
        <w:rPr>
          <w:rFonts w:cs="Arial"/>
          <w:lang w:val="es-ES" w:eastAsia="zh-CN"/>
        </w:rPr>
        <w:t xml:space="preserve"> industriales e indicaciones geográficas.  Las actividades del programa en las esferas de la asistencia técnica, el fortalecimiento de capacidades y la asistencia en materia legislativa estuvieron orientadas a potenciar el desarrollo, obedecieron a la demanda y fueron objeto de informes durante el año, en sintonía con las re</w:t>
      </w:r>
      <w:r>
        <w:rPr>
          <w:rFonts w:cs="Arial"/>
          <w:lang w:val="es-ES" w:eastAsia="zh-CN"/>
        </w:rPr>
        <w:t>comendaciones 1 y 13 de la A.D.</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numPr>
          <w:ilvl w:val="0"/>
          <w:numId w:val="11"/>
        </w:numPr>
        <w:tabs>
          <w:tab w:val="left" w:pos="0"/>
        </w:tabs>
        <w:autoSpaceDE w:val="0"/>
        <w:autoSpaceDN w:val="0"/>
        <w:ind w:left="0" w:firstLine="0"/>
        <w:jc w:val="both"/>
        <w:rPr>
          <w:rFonts w:cs="Arial"/>
          <w:lang w:val="es-ES" w:eastAsia="zh-CN"/>
        </w:rPr>
      </w:pPr>
      <w:r w:rsidRPr="00526311">
        <w:rPr>
          <w:rFonts w:cs="Arial"/>
          <w:lang w:val="es-ES" w:eastAsia="zh-CN"/>
        </w:rPr>
        <w:t>Además, en el marco del pro</w:t>
      </w:r>
      <w:r>
        <w:rPr>
          <w:rFonts w:cs="Arial"/>
          <w:lang w:val="es-ES" w:eastAsia="zh-CN"/>
        </w:rPr>
        <w:t xml:space="preserve">grama, se ejecutó </w:t>
      </w:r>
      <w:r w:rsidRPr="00526311">
        <w:rPr>
          <w:rFonts w:cs="Arial"/>
          <w:lang w:val="es-ES" w:eastAsia="zh-CN"/>
        </w:rPr>
        <w:t xml:space="preserve">el Proyecto piloto sobre la P.I. y la gestión de diseños para fomentar las actividades comerciales </w:t>
      </w:r>
      <w:r>
        <w:rPr>
          <w:rFonts w:cs="Arial"/>
          <w:lang w:val="es-ES" w:eastAsia="zh-CN"/>
        </w:rPr>
        <w:t xml:space="preserve">en los países en desarrollo y los países menos adelantados </w:t>
      </w:r>
      <w:r w:rsidRPr="00526311">
        <w:rPr>
          <w:rFonts w:cs="Arial"/>
          <w:lang w:val="es-ES" w:eastAsia="zh-CN"/>
        </w:rPr>
        <w:t>(DA_4_10_02), de la A.D</w:t>
      </w:r>
      <w:r>
        <w:rPr>
          <w:rFonts w:cs="Arial"/>
          <w:lang w:val="es-ES" w:eastAsia="zh-CN"/>
        </w:rPr>
        <w:t xml:space="preserve"> en la Argentina y Marruecos</w:t>
      </w:r>
      <w:r w:rsidRPr="00526311">
        <w:rPr>
          <w:rFonts w:cs="Arial"/>
          <w:lang w:val="es-ES" w:eastAsia="zh-CN"/>
        </w:rPr>
        <w:t>.  Tras un</w:t>
      </w:r>
      <w:r>
        <w:rPr>
          <w:rFonts w:cs="Arial"/>
          <w:lang w:val="es-ES" w:eastAsia="zh-CN"/>
        </w:rPr>
        <w:t xml:space="preserve"> acuerdo formal acerca </w:t>
      </w:r>
      <w:r w:rsidRPr="00526311">
        <w:rPr>
          <w:rFonts w:cs="Arial"/>
          <w:lang w:val="es-ES" w:eastAsia="zh-CN"/>
        </w:rPr>
        <w:t>de</w:t>
      </w:r>
      <w:r>
        <w:rPr>
          <w:rFonts w:cs="Arial"/>
          <w:lang w:val="es-ES" w:eastAsia="zh-CN"/>
        </w:rPr>
        <w:t>l</w:t>
      </w:r>
      <w:r w:rsidRPr="00526311">
        <w:rPr>
          <w:rFonts w:cs="Arial"/>
          <w:lang w:val="es-ES" w:eastAsia="zh-CN"/>
        </w:rPr>
        <w:t xml:space="preserve"> alcance del proyecto, se redactaron las estrategias nacionales de protección de los diseños</w:t>
      </w:r>
      <w:r>
        <w:rPr>
          <w:rFonts w:cs="Arial"/>
          <w:lang w:val="es-ES" w:eastAsia="zh-CN"/>
        </w:rPr>
        <w:t xml:space="preserve"> en 2014</w:t>
      </w:r>
      <w:r w:rsidRPr="00526311">
        <w:rPr>
          <w:rFonts w:cs="Arial"/>
          <w:lang w:val="es-ES" w:eastAsia="zh-CN"/>
        </w:rPr>
        <w:t>, los planes de divulgación y las estrategias de salida</w:t>
      </w:r>
      <w:r>
        <w:rPr>
          <w:rFonts w:cs="Arial"/>
          <w:lang w:val="es-ES" w:eastAsia="zh-CN"/>
        </w:rPr>
        <w:t xml:space="preserve"> para ambos países piloto y se creó un programa nacional específico </w:t>
      </w:r>
      <w:r>
        <w:rPr>
          <w:bCs/>
          <w:lang w:val="es-ES"/>
        </w:rPr>
        <w:t>(a saber,</w:t>
      </w:r>
      <w:r w:rsidRPr="00B9089B">
        <w:rPr>
          <w:bCs/>
          <w:lang w:val="es-ES"/>
        </w:rPr>
        <w:t xml:space="preserve"> </w:t>
      </w:r>
      <w:r w:rsidRPr="00B9089B">
        <w:rPr>
          <w:bCs/>
          <w:i/>
          <w:lang w:val="es-ES"/>
        </w:rPr>
        <w:t>Diseñar</w:t>
      </w:r>
      <w:r>
        <w:rPr>
          <w:bCs/>
          <w:lang w:val="es-ES"/>
        </w:rPr>
        <w:t xml:space="preserve"> e</w:t>
      </w:r>
      <w:r w:rsidRPr="00B9089B">
        <w:rPr>
          <w:bCs/>
          <w:lang w:val="es-ES"/>
        </w:rPr>
        <w:t xml:space="preserve">n </w:t>
      </w:r>
      <w:r>
        <w:rPr>
          <w:bCs/>
          <w:lang w:val="es-ES"/>
        </w:rPr>
        <w:t>la Argentina y</w:t>
      </w:r>
      <w:r w:rsidRPr="00B9089B">
        <w:rPr>
          <w:bCs/>
          <w:lang w:val="es-ES"/>
        </w:rPr>
        <w:t xml:space="preserve"> </w:t>
      </w:r>
      <w:r w:rsidRPr="00B9089B">
        <w:rPr>
          <w:bCs/>
          <w:i/>
          <w:lang w:val="es-ES"/>
        </w:rPr>
        <w:t>Nama</w:t>
      </w:r>
      <w:r>
        <w:rPr>
          <w:bCs/>
          <w:lang w:val="es-ES"/>
        </w:rPr>
        <w:t>dij en Ma</w:t>
      </w:r>
      <w:r w:rsidRPr="00B9089B">
        <w:rPr>
          <w:bCs/>
          <w:lang w:val="es-ES"/>
        </w:rPr>
        <w:t>r</w:t>
      </w:r>
      <w:r>
        <w:rPr>
          <w:bCs/>
          <w:lang w:val="es-ES"/>
        </w:rPr>
        <w:t>ruec</w:t>
      </w:r>
      <w:r w:rsidRPr="00B9089B">
        <w:rPr>
          <w:bCs/>
          <w:lang w:val="es-ES"/>
        </w:rPr>
        <w:t>o</w:t>
      </w:r>
      <w:r>
        <w:rPr>
          <w:bCs/>
          <w:lang w:val="es-ES"/>
        </w:rPr>
        <w:t>s</w:t>
      </w:r>
      <w:r w:rsidRPr="00B9089B">
        <w:rPr>
          <w:bCs/>
          <w:lang w:val="es-ES"/>
        </w:rPr>
        <w:t>)</w:t>
      </w:r>
      <w:r w:rsidRPr="00526311">
        <w:rPr>
          <w:rFonts w:cs="Arial"/>
          <w:lang w:val="es-ES" w:eastAsia="zh-CN"/>
        </w:rPr>
        <w:t>.  En ambos países se real</w:t>
      </w:r>
      <w:r>
        <w:rPr>
          <w:rFonts w:cs="Arial"/>
          <w:lang w:val="es-ES" w:eastAsia="zh-CN"/>
        </w:rPr>
        <w:t xml:space="preserve">izaron estudios de viabilidad, que permitieron seleccionar inicialmente a </w:t>
      </w:r>
      <w:r w:rsidRPr="00526311">
        <w:rPr>
          <w:rFonts w:cs="Arial"/>
          <w:lang w:val="es-ES" w:eastAsia="zh-CN"/>
        </w:rPr>
        <w:t>70 pymes beneficiarias</w:t>
      </w:r>
      <w:r>
        <w:rPr>
          <w:rFonts w:cs="Arial"/>
          <w:lang w:val="es-ES" w:eastAsia="zh-CN"/>
        </w:rPr>
        <w:t>, 68 de las cuales se mantuvieron hasta el final (42 de la Argentina y 26 de Marruecos).  S</w:t>
      </w:r>
      <w:r w:rsidRPr="00526311">
        <w:rPr>
          <w:rFonts w:cs="Arial"/>
          <w:lang w:val="es-ES" w:eastAsia="zh-CN"/>
        </w:rPr>
        <w:t xml:space="preserve">e </w:t>
      </w:r>
      <w:r>
        <w:rPr>
          <w:rFonts w:cs="Arial"/>
          <w:lang w:val="es-ES" w:eastAsia="zh-CN"/>
        </w:rPr>
        <w:t>crearon equipos de proyectos nacionales compuestos por comités directivos, coordinadores nacionales de los proyectos y ocho expertos (cinco para la Argentina y tres para Marruecos), a fin de ayudar a las pymes beneficiarias a elaborar estrategias adaptadas de protección de diseños y prestarles asistencia en relación con las solicitudes de P.I.</w:t>
      </w:r>
    </w:p>
    <w:p w:rsidR="00FA423E" w:rsidRPr="00526311" w:rsidRDefault="00FA423E" w:rsidP="00FA423E">
      <w:pPr>
        <w:pStyle w:val="ListParagraph"/>
        <w:tabs>
          <w:tab w:val="left" w:pos="709"/>
        </w:tabs>
        <w:autoSpaceDE w:val="0"/>
        <w:autoSpaceDN w:val="0"/>
        <w:ind w:left="0"/>
        <w:jc w:val="both"/>
        <w:rPr>
          <w:rFonts w:cs="Arial"/>
          <w:lang w:val="es-ES" w:eastAsia="zh-CN"/>
        </w:rPr>
      </w:pPr>
    </w:p>
    <w:p w:rsidR="00FA423E" w:rsidRPr="00526311" w:rsidRDefault="00FA423E" w:rsidP="00FA423E">
      <w:pPr>
        <w:pStyle w:val="ListParagraph"/>
        <w:tabs>
          <w:tab w:val="left" w:pos="709"/>
        </w:tabs>
        <w:autoSpaceDE w:val="0"/>
        <w:autoSpaceDN w:val="0"/>
        <w:ind w:left="0"/>
        <w:jc w:val="both"/>
        <w:rPr>
          <w:rFonts w:cs="Arial"/>
          <w:lang w:val="es-ES" w:eastAsia="zh-CN"/>
        </w:rPr>
      </w:pPr>
      <w:r>
        <w:rPr>
          <w:rFonts w:cs="Arial"/>
          <w:lang w:val="es-ES" w:eastAsia="zh-CN"/>
        </w:rPr>
        <w:t>2.6.</w:t>
      </w:r>
      <w:r>
        <w:rPr>
          <w:rFonts w:cs="Arial"/>
          <w:lang w:val="es-ES" w:eastAsia="zh-CN"/>
        </w:rPr>
        <w:tab/>
        <w:t xml:space="preserve">En 2015 se siguió avanzando en la elaboración de material promocional y el desarrollo de una serie de herramientas para brindar aún más apoyo a las pymes beneficiarias en relación con la </w:t>
      </w:r>
      <w:r>
        <w:rPr>
          <w:rFonts w:cs="Arial"/>
          <w:lang w:val="es-ES" w:eastAsia="zh-CN"/>
        </w:rPr>
        <w:lastRenderedPageBreak/>
        <w:t>protección estratégica de sus diseños en favor de su desarrollo comercial, tanto en el mercado local como el internacional.  En noviembre de 2015 las pymes participantes ya habían presentado o estaban en el proceso de presentar solicitudes para un total de 32 diseños industriales y 29 marcas en la Argentina y 77 diseños industriales en Marruecos.  El Proyecto ha arrojado otros resultados principales durante el bienio, como por ejemplo el establecimiento de un comité directivo nacional en cada país, en el que participan ministerios, asociaciones, cámaras de comercio, escuelas y universidades.  Además, con el objetivo de consolidar aún más el compromiso de los asociados institucionales de contribuir a los objetivos de cada país en relación con el programa, se firmaron las cartas de los proyectos el 7 de abril de 2015 en la Argentina, en presencia del Ministro de Producción, y entre el 1 de abril y el 27 de octubre de 2015 en Marruecos, por los asociados principales del proyecto en el país.  La Secretaría y las delegaciones de ambos países presentaron los resultados del proyecto a los Estados miembros en un acto paralelo a la trigésima cuarta sesión del SCT.  Las encuestas efectuadas hasta la fecha indican que, a nivel general, los organismos de coordinación y las pymes se encuentran muy satisfechos con la asistencia técnica recibida y el valor añadido que aporta el Proyecto al desarrollo local de las pymes en cuya actividad los diseños revisten mucha importancia, gracias a la utilización estratégica de la P.I.  Se están examinando las estrategias de salida con miras a aplicarlas en cada país en 2016, y se llevará a cabo asimismo una evaluación final del proyecto.</w:t>
      </w:r>
    </w:p>
    <w:p w:rsidR="00FA423E" w:rsidRDefault="00FA423E" w:rsidP="00FA423E">
      <w:pPr>
        <w:rPr>
          <w:sz w:val="20"/>
          <w:szCs w:val="22"/>
        </w:rPr>
      </w:pPr>
    </w:p>
    <w:p w:rsidR="00FA423E" w:rsidRPr="00526311" w:rsidRDefault="00FA423E" w:rsidP="00FA423E">
      <w:pPr>
        <w:rPr>
          <w:sz w:val="20"/>
          <w:szCs w:val="22"/>
        </w:rPr>
      </w:pPr>
    </w:p>
    <w:p w:rsidR="00FA423E" w:rsidRPr="00526311" w:rsidRDefault="008F7CBE" w:rsidP="00FA423E">
      <w:pPr>
        <w:tabs>
          <w:tab w:val="left" w:pos="2268"/>
        </w:tabs>
        <w:rPr>
          <w:szCs w:val="22"/>
        </w:rPr>
      </w:pPr>
      <w:r w:rsidRPr="008F7CBE">
        <w:rPr>
          <w:sz w:val="20"/>
          <w:szCs w:val="22"/>
        </w:rPr>
        <w:t>DATOS SOBRE EL RENDIMIENTO</w:t>
      </w:r>
    </w:p>
    <w:p w:rsidR="00FA423E" w:rsidRPr="005E6E76" w:rsidRDefault="00FA423E" w:rsidP="00FA423E">
      <w:pPr>
        <w:tabs>
          <w:tab w:val="left" w:pos="2268"/>
        </w:tabs>
        <w:rPr>
          <w:b/>
          <w:sz w:val="20"/>
        </w:rPr>
      </w:pPr>
    </w:p>
    <w:tbl>
      <w:tblPr>
        <w:tblW w:w="520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92"/>
        <w:gridCol w:w="2744"/>
        <w:gridCol w:w="30"/>
        <w:gridCol w:w="1316"/>
        <w:gridCol w:w="18"/>
        <w:gridCol w:w="86"/>
        <w:gridCol w:w="2039"/>
        <w:gridCol w:w="58"/>
        <w:gridCol w:w="133"/>
        <w:gridCol w:w="1342"/>
      </w:tblGrid>
      <w:tr w:rsidR="00FA423E" w:rsidRPr="00526311" w:rsidTr="00DC1333">
        <w:trPr>
          <w:cantSplit/>
          <w:trHeight w:val="634"/>
        </w:trPr>
        <w:tc>
          <w:tcPr>
            <w:tcW w:w="5000" w:type="pct"/>
            <w:gridSpan w:val="10"/>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ind w:left="2019" w:hanging="2019"/>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A423E" w:rsidRPr="00526311" w:rsidTr="00DC1333">
        <w:trPr>
          <w:cantSplit/>
        </w:trPr>
        <w:tc>
          <w:tcPr>
            <w:tcW w:w="1100" w:type="pct"/>
            <w:tcBorders>
              <w:top w:val="single" w:sz="4" w:space="0" w:color="auto"/>
            </w:tcBorders>
            <w:shd w:val="clear" w:color="auto" w:fill="auto"/>
            <w:vAlign w:val="center"/>
          </w:tcPr>
          <w:p w:rsidR="00FA423E" w:rsidRPr="00526311" w:rsidRDefault="00FA423E" w:rsidP="00DC1333">
            <w:pPr>
              <w:rPr>
                <w:b/>
                <w:sz w:val="16"/>
                <w:szCs w:val="16"/>
              </w:rPr>
            </w:pPr>
            <w:r w:rsidRPr="00526311">
              <w:rPr>
                <w:b/>
                <w:sz w:val="16"/>
                <w:szCs w:val="16"/>
              </w:rPr>
              <w:t>Indicadores de rendimiento</w:t>
            </w:r>
          </w:p>
        </w:tc>
        <w:tc>
          <w:tcPr>
            <w:tcW w:w="1393" w:type="pct"/>
            <w:gridSpan w:val="2"/>
            <w:tcBorders>
              <w:top w:val="single" w:sz="4" w:space="0" w:color="auto"/>
            </w:tcBorders>
            <w:shd w:val="clear" w:color="auto" w:fill="auto"/>
            <w:vAlign w:val="center"/>
          </w:tcPr>
          <w:p w:rsidR="00FA423E" w:rsidRPr="00526311" w:rsidRDefault="00FA423E" w:rsidP="00DC1333">
            <w:pPr>
              <w:rPr>
                <w:b/>
                <w:bCs/>
                <w:sz w:val="16"/>
                <w:szCs w:val="16"/>
              </w:rPr>
            </w:pPr>
            <w:r w:rsidRPr="00526311">
              <w:rPr>
                <w:b/>
                <w:bCs/>
                <w:sz w:val="16"/>
                <w:szCs w:val="16"/>
              </w:rPr>
              <w:t>Referencia</w:t>
            </w:r>
          </w:p>
        </w:tc>
        <w:tc>
          <w:tcPr>
            <w:tcW w:w="670" w:type="pct"/>
            <w:gridSpan w:val="2"/>
            <w:tcBorders>
              <w:top w:val="single" w:sz="4" w:space="0" w:color="auto"/>
            </w:tcBorders>
            <w:shd w:val="clear" w:color="auto" w:fill="auto"/>
            <w:tcMar>
              <w:top w:w="110" w:type="dxa"/>
            </w:tcMar>
            <w:vAlign w:val="center"/>
          </w:tcPr>
          <w:p w:rsidR="00FA423E" w:rsidRPr="00526311" w:rsidRDefault="00FA423E" w:rsidP="00DC1333">
            <w:pPr>
              <w:rPr>
                <w:b/>
                <w:sz w:val="16"/>
                <w:szCs w:val="16"/>
              </w:rPr>
            </w:pPr>
            <w:r w:rsidRPr="00526311">
              <w:rPr>
                <w:b/>
                <w:sz w:val="16"/>
                <w:szCs w:val="16"/>
              </w:rPr>
              <w:t>Objetivos</w:t>
            </w:r>
          </w:p>
        </w:tc>
        <w:tc>
          <w:tcPr>
            <w:tcW w:w="1096" w:type="pct"/>
            <w:gridSpan w:val="3"/>
            <w:tcBorders>
              <w:top w:val="single" w:sz="4" w:space="0" w:color="auto"/>
            </w:tcBorders>
            <w:shd w:val="clear" w:color="auto" w:fill="auto"/>
            <w:tcMar>
              <w:top w:w="110" w:type="dxa"/>
            </w:tcMar>
            <w:vAlign w:val="center"/>
          </w:tcPr>
          <w:p w:rsidR="00FA423E" w:rsidRPr="00526311" w:rsidRDefault="00FA423E" w:rsidP="00DC1333">
            <w:pPr>
              <w:rPr>
                <w:b/>
                <w:sz w:val="16"/>
                <w:szCs w:val="16"/>
              </w:rPr>
            </w:pPr>
            <w:r w:rsidRPr="00526311">
              <w:rPr>
                <w:b/>
                <w:sz w:val="16"/>
                <w:szCs w:val="16"/>
              </w:rPr>
              <w:t>Datos sobre el rendimiento</w:t>
            </w:r>
          </w:p>
        </w:tc>
        <w:tc>
          <w:tcPr>
            <w:tcW w:w="741" w:type="pct"/>
            <w:gridSpan w:val="2"/>
            <w:tcBorders>
              <w:top w:val="single" w:sz="4" w:space="0" w:color="auto"/>
            </w:tcBorders>
            <w:shd w:val="clear" w:color="auto" w:fill="auto"/>
            <w:tcMar>
              <w:top w:w="110" w:type="dxa"/>
            </w:tcMar>
            <w:vAlign w:val="center"/>
          </w:tcPr>
          <w:p w:rsidR="00FA423E" w:rsidRPr="00526311" w:rsidRDefault="00FA423E" w:rsidP="00DC1333">
            <w:pPr>
              <w:rPr>
                <w:b/>
                <w:sz w:val="16"/>
                <w:szCs w:val="16"/>
              </w:rPr>
            </w:pPr>
            <w:r w:rsidRPr="00526311">
              <w:rPr>
                <w:b/>
                <w:sz w:val="16"/>
                <w:szCs w:val="16"/>
              </w:rPr>
              <w:t>Clave de colores</w:t>
            </w:r>
          </w:p>
        </w:tc>
      </w:tr>
      <w:tr w:rsidR="00FA423E" w:rsidRPr="00526311" w:rsidTr="00DC1333">
        <w:trPr>
          <w:cantSplit/>
        </w:trPr>
        <w:tc>
          <w:tcPr>
            <w:tcW w:w="1100" w:type="pct"/>
            <w:shd w:val="clear" w:color="auto" w:fill="auto"/>
          </w:tcPr>
          <w:p w:rsidR="00FA423E" w:rsidRPr="00526311" w:rsidRDefault="00FA423E" w:rsidP="00DC1333">
            <w:pPr>
              <w:autoSpaceDE w:val="0"/>
              <w:autoSpaceDN w:val="0"/>
              <w:adjustRightInd w:val="0"/>
              <w:rPr>
                <w:sz w:val="16"/>
                <w:szCs w:val="16"/>
              </w:rPr>
            </w:pPr>
            <w:r w:rsidRPr="00526311">
              <w:rPr>
                <w:rFonts w:eastAsiaTheme="minorHAnsi"/>
                <w:sz w:val="16"/>
                <w:szCs w:val="16"/>
              </w:rPr>
              <w:t>Acuerdo sobre un marco normativo para los procedimientos de registro y mantenimiento de los diseños industriales.</w:t>
            </w:r>
          </w:p>
        </w:tc>
        <w:tc>
          <w:tcPr>
            <w:tcW w:w="1393" w:type="pct"/>
            <w:gridSpan w:val="2"/>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w:t>
            </w:r>
            <w:r w:rsidRPr="00526311">
              <w:rPr>
                <w:color w:val="002060"/>
                <w:sz w:val="16"/>
                <w:szCs w:val="16"/>
                <w:lang w:bidi="th-TH"/>
              </w:rPr>
              <w:t xml:space="preserve">  No</w:t>
            </w:r>
            <w:proofErr w:type="gramEnd"/>
            <w:r w:rsidRPr="00526311">
              <w:rPr>
                <w:color w:val="002060"/>
                <w:sz w:val="16"/>
                <w:szCs w:val="16"/>
                <w:lang w:bidi="th-TH"/>
              </w:rPr>
              <w:t xml:space="preserve"> existe un marco normativo para los procedimientos de registro de los diseños industriales.</w:t>
            </w:r>
          </w:p>
          <w:p w:rsidR="00FA423E" w:rsidRPr="00526311" w:rsidRDefault="00FA423E" w:rsidP="00DC1333">
            <w:pPr>
              <w:rPr>
                <w:i/>
                <w:sz w:val="8"/>
                <w:szCs w:val="8"/>
              </w:rPr>
            </w:pPr>
          </w:p>
          <w:p w:rsidR="00FA423E" w:rsidRPr="00526311" w:rsidRDefault="00FA423E" w:rsidP="00DC1333">
            <w:pPr>
              <w:rPr>
                <w:sz w:val="16"/>
                <w:szCs w:val="16"/>
              </w:rPr>
            </w:pPr>
            <w:r w:rsidRPr="00526311">
              <w:rPr>
                <w:i/>
                <w:sz w:val="16"/>
                <w:szCs w:val="16"/>
              </w:rPr>
              <w:t>Referencia original en el presupuesto de 2014/15</w:t>
            </w:r>
            <w:proofErr w:type="gramStart"/>
            <w:r w:rsidRPr="00526311">
              <w:rPr>
                <w:i/>
                <w:sz w:val="16"/>
                <w:szCs w:val="16"/>
              </w:rPr>
              <w:t xml:space="preserve">:  </w:t>
            </w:r>
            <w:r w:rsidRPr="00526311">
              <w:rPr>
                <w:rFonts w:eastAsiaTheme="minorHAnsi"/>
                <w:sz w:val="16"/>
                <w:szCs w:val="16"/>
              </w:rPr>
              <w:t>No</w:t>
            </w:r>
            <w:proofErr w:type="gramEnd"/>
            <w:r w:rsidRPr="00526311">
              <w:rPr>
                <w:rFonts w:eastAsiaTheme="minorHAnsi"/>
                <w:sz w:val="16"/>
                <w:szCs w:val="16"/>
              </w:rPr>
              <w:t xml:space="preserve"> existe un marco normativo para los procedimientos de registro y mantenimiento de los diseños industriales.</w:t>
            </w:r>
          </w:p>
        </w:tc>
        <w:tc>
          <w:tcPr>
            <w:tcW w:w="670" w:type="pct"/>
            <w:gridSpan w:val="2"/>
            <w:shd w:val="clear" w:color="auto" w:fill="auto"/>
            <w:tcMar>
              <w:top w:w="110" w:type="dxa"/>
            </w:tcMar>
          </w:tcPr>
          <w:p w:rsidR="00FA423E" w:rsidRPr="00526311" w:rsidRDefault="00FA423E" w:rsidP="00DC1333">
            <w:pPr>
              <w:autoSpaceDE w:val="0"/>
              <w:autoSpaceDN w:val="0"/>
              <w:adjustRightInd w:val="0"/>
              <w:rPr>
                <w:sz w:val="16"/>
                <w:szCs w:val="16"/>
              </w:rPr>
            </w:pPr>
            <w:r w:rsidRPr="00526311">
              <w:rPr>
                <w:sz w:val="16"/>
                <w:szCs w:val="16"/>
              </w:rPr>
              <w:t>Adopción en una posible conferencia diplomática de un tratado sobre el Derecho de los diseños industriales.</w:t>
            </w:r>
          </w:p>
        </w:tc>
        <w:tc>
          <w:tcPr>
            <w:tcW w:w="1096" w:type="pct"/>
            <w:gridSpan w:val="3"/>
            <w:shd w:val="clear" w:color="auto" w:fill="auto"/>
            <w:tcMar>
              <w:top w:w="110" w:type="dxa"/>
            </w:tcMar>
          </w:tcPr>
          <w:p w:rsidR="00FA423E" w:rsidRPr="00526311" w:rsidRDefault="00FA423E" w:rsidP="00DC1333">
            <w:pPr>
              <w:rPr>
                <w:sz w:val="16"/>
                <w:szCs w:val="16"/>
              </w:rPr>
            </w:pPr>
            <w:r>
              <w:rPr>
                <w:sz w:val="16"/>
                <w:szCs w:val="16"/>
              </w:rPr>
              <w:t>La Asamblea General de la OMPI adoptó</w:t>
            </w:r>
            <w:r w:rsidRPr="00526311">
              <w:rPr>
                <w:sz w:val="16"/>
                <w:szCs w:val="16"/>
              </w:rPr>
              <w:t xml:space="preserve"> la decisión de convocar una conferencia diplomática para la adopción de un tratado sobre el Derecho de los diseños</w:t>
            </w:r>
            <w:r w:rsidRPr="005279F1">
              <w:rPr>
                <w:sz w:val="16"/>
                <w:szCs w:val="16"/>
              </w:rPr>
              <w:t xml:space="preserve"> hacia fines del primer semestre de 2017, únicamente si se dan por concluidos los debates en el SCT sobre asistencia técnica y divulgación en su trigésima cuarta y trigésima quinta sesiones</w:t>
            </w:r>
            <w:r>
              <w:rPr>
                <w:rStyle w:val="FootnoteReference"/>
                <w:sz w:val="16"/>
                <w:szCs w:val="16"/>
              </w:rPr>
              <w:footnoteReference w:id="10"/>
            </w:r>
            <w:r w:rsidRPr="00526311">
              <w:rPr>
                <w:sz w:val="16"/>
                <w:szCs w:val="16"/>
              </w:rPr>
              <w:t>.</w:t>
            </w:r>
          </w:p>
        </w:tc>
        <w:tc>
          <w:tcPr>
            <w:tcW w:w="741" w:type="pct"/>
            <w:gridSpan w:val="2"/>
            <w:shd w:val="clear" w:color="auto" w:fill="auto"/>
            <w:tcMar>
              <w:top w:w="110" w:type="dxa"/>
            </w:tcMar>
          </w:tcPr>
          <w:p w:rsidR="00FA423E" w:rsidRPr="00526311" w:rsidRDefault="00FA423E" w:rsidP="00DC1333">
            <w:pPr>
              <w:rPr>
                <w:b/>
                <w:color w:val="FF0000"/>
                <w:sz w:val="16"/>
                <w:szCs w:val="16"/>
              </w:rPr>
            </w:pPr>
            <w:r>
              <w:rPr>
                <w:b/>
                <w:color w:val="FF0000"/>
                <w:sz w:val="16"/>
                <w:szCs w:val="16"/>
              </w:rPr>
              <w:t>No logrado</w:t>
            </w:r>
          </w:p>
        </w:tc>
      </w:tr>
      <w:tr w:rsidR="00FA423E" w:rsidRPr="00526311" w:rsidTr="00DC1333">
        <w:trPr>
          <w:cantSplit/>
        </w:trPr>
        <w:tc>
          <w:tcPr>
            <w:tcW w:w="1100" w:type="pct"/>
            <w:shd w:val="clear" w:color="auto" w:fill="auto"/>
          </w:tcPr>
          <w:p w:rsidR="00FA423E" w:rsidRPr="00526311" w:rsidRDefault="00FA423E" w:rsidP="00DC1333">
            <w:pPr>
              <w:autoSpaceDE w:val="0"/>
              <w:autoSpaceDN w:val="0"/>
              <w:adjustRightInd w:val="0"/>
              <w:rPr>
                <w:sz w:val="16"/>
                <w:szCs w:val="16"/>
              </w:rPr>
            </w:pPr>
            <w:r w:rsidRPr="00526311">
              <w:rPr>
                <w:rFonts w:eastAsiaTheme="minorHAnsi"/>
                <w:sz w:val="16"/>
                <w:szCs w:val="16"/>
              </w:rPr>
              <w:t>Avances para llegar a un acuerdo sobre las cuestiones que figuran en el orden del día del SCT.</w:t>
            </w:r>
          </w:p>
        </w:tc>
        <w:tc>
          <w:tcPr>
            <w:tcW w:w="1393" w:type="pct"/>
            <w:gridSpan w:val="2"/>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w:t>
            </w:r>
            <w:r w:rsidRPr="00526311">
              <w:rPr>
                <w:color w:val="002060"/>
                <w:sz w:val="16"/>
                <w:szCs w:val="16"/>
                <w:lang w:bidi="th-TH"/>
              </w:rPr>
              <w:t xml:space="preserve">  Acuerdo</w:t>
            </w:r>
            <w:proofErr w:type="gramEnd"/>
            <w:r w:rsidRPr="00526311">
              <w:rPr>
                <w:color w:val="002060"/>
                <w:sz w:val="16"/>
                <w:szCs w:val="16"/>
                <w:lang w:bidi="th-TH"/>
              </w:rPr>
              <w:t xml:space="preserve"> del SCT con respecto a un número significativo de proyectos de artículos y normas para un tratado sobre el Derecho de los diseños industriales.</w:t>
            </w:r>
          </w:p>
          <w:p w:rsidR="00FA423E" w:rsidRPr="00526311" w:rsidRDefault="00FA423E" w:rsidP="00DC1333">
            <w:pPr>
              <w:rPr>
                <w:color w:val="002060"/>
                <w:sz w:val="16"/>
                <w:szCs w:val="16"/>
                <w:lang w:bidi="th-TH"/>
              </w:rPr>
            </w:pPr>
          </w:p>
          <w:p w:rsidR="00FA423E" w:rsidRPr="00526311" w:rsidRDefault="00FA423E" w:rsidP="00DC1333">
            <w:pPr>
              <w:rPr>
                <w:i/>
                <w:sz w:val="16"/>
                <w:szCs w:val="16"/>
              </w:rPr>
            </w:pPr>
            <w:r w:rsidRPr="00526311">
              <w:rPr>
                <w:color w:val="002060"/>
                <w:sz w:val="16"/>
                <w:szCs w:val="16"/>
                <w:lang w:bidi="th-TH"/>
              </w:rPr>
              <w:t>Acuerdo del SCT sobre la continuación del trabajo en materia de protección de los nombres de país.</w:t>
            </w:r>
          </w:p>
          <w:p w:rsidR="00FA423E" w:rsidRPr="00526311" w:rsidRDefault="00FA423E" w:rsidP="00DC1333">
            <w:pPr>
              <w:rPr>
                <w:i/>
                <w:sz w:val="8"/>
                <w:szCs w:val="8"/>
              </w:rPr>
            </w:pPr>
          </w:p>
          <w:p w:rsidR="00FA423E" w:rsidRPr="00526311" w:rsidRDefault="00FA423E" w:rsidP="00DC1333">
            <w:pPr>
              <w:rPr>
                <w:sz w:val="16"/>
                <w:szCs w:val="16"/>
              </w:rPr>
            </w:pPr>
            <w:r w:rsidRPr="00526311">
              <w:rPr>
                <w:i/>
                <w:sz w:val="16"/>
                <w:szCs w:val="16"/>
              </w:rPr>
              <w:t>Referencia original en el presupuesto de 2014/15:</w:t>
            </w:r>
          </w:p>
          <w:p w:rsidR="00FA423E" w:rsidRPr="00526311" w:rsidRDefault="00FA423E" w:rsidP="00DC1333">
            <w:pPr>
              <w:rPr>
                <w:sz w:val="16"/>
                <w:szCs w:val="16"/>
              </w:rPr>
            </w:pPr>
            <w:r w:rsidRPr="00526311">
              <w:rPr>
                <w:sz w:val="16"/>
                <w:szCs w:val="16"/>
              </w:rPr>
              <w:t>Proyecto de documento de referencia sobre la protección de los nombres de países contra su registro y uso como marcas.</w:t>
            </w:r>
          </w:p>
        </w:tc>
        <w:tc>
          <w:tcPr>
            <w:tcW w:w="670" w:type="pct"/>
            <w:gridSpan w:val="2"/>
            <w:shd w:val="clear" w:color="auto" w:fill="auto"/>
            <w:tcMar>
              <w:top w:w="110" w:type="dxa"/>
            </w:tcMar>
          </w:tcPr>
          <w:p w:rsidR="00FA423E" w:rsidRPr="00526311" w:rsidRDefault="00FA423E" w:rsidP="00DC1333">
            <w:pPr>
              <w:autoSpaceDE w:val="0"/>
              <w:autoSpaceDN w:val="0"/>
              <w:adjustRightInd w:val="0"/>
              <w:rPr>
                <w:sz w:val="16"/>
                <w:szCs w:val="16"/>
              </w:rPr>
            </w:pPr>
            <w:r w:rsidRPr="00526311">
              <w:rPr>
                <w:sz w:val="16"/>
                <w:szCs w:val="16"/>
              </w:rPr>
              <w:t>Resultados acordados en el SCT.</w:t>
            </w:r>
          </w:p>
        </w:tc>
        <w:tc>
          <w:tcPr>
            <w:tcW w:w="1096" w:type="pct"/>
            <w:gridSpan w:val="3"/>
            <w:shd w:val="clear" w:color="auto" w:fill="auto"/>
            <w:tcMar>
              <w:top w:w="110" w:type="dxa"/>
            </w:tcMar>
          </w:tcPr>
          <w:p w:rsidR="00FA423E" w:rsidRPr="00526311" w:rsidRDefault="00FA423E" w:rsidP="00DC1333">
            <w:pPr>
              <w:rPr>
                <w:sz w:val="16"/>
                <w:szCs w:val="16"/>
              </w:rPr>
            </w:pPr>
            <w:r>
              <w:rPr>
                <w:sz w:val="16"/>
                <w:szCs w:val="16"/>
              </w:rPr>
              <w:t xml:space="preserve">En la trigésima cuarta sesión del SCT se </w:t>
            </w:r>
            <w:r w:rsidRPr="00CE649C">
              <w:rPr>
                <w:sz w:val="16"/>
                <w:szCs w:val="16"/>
              </w:rPr>
              <w:t xml:space="preserve">aprobó un Documento de referencia sobre la protección de los nombres de países contra su registro y uso como marcas </w:t>
            </w:r>
            <w:r>
              <w:rPr>
                <w:bCs/>
                <w:sz w:val="16"/>
                <w:szCs w:val="16"/>
              </w:rPr>
              <w:t xml:space="preserve">(publicado en el </w:t>
            </w:r>
            <w:r w:rsidRPr="00CE649C">
              <w:rPr>
                <w:bCs/>
                <w:sz w:val="16"/>
                <w:szCs w:val="16"/>
              </w:rPr>
              <w:t>documento WIPO/Strad/INF/7)</w:t>
            </w:r>
          </w:p>
        </w:tc>
        <w:tc>
          <w:tcPr>
            <w:tcW w:w="741" w:type="pct"/>
            <w:gridSpan w:val="2"/>
            <w:shd w:val="clear" w:color="auto" w:fill="auto"/>
            <w:tcMar>
              <w:top w:w="110" w:type="dxa"/>
            </w:tcMar>
          </w:tcPr>
          <w:p w:rsidR="00FA423E" w:rsidRPr="00526311" w:rsidRDefault="00FA423E" w:rsidP="00DC1333">
            <w:pPr>
              <w:rPr>
                <w:b/>
                <w:color w:val="00B050"/>
                <w:sz w:val="16"/>
                <w:szCs w:val="16"/>
              </w:rPr>
            </w:pPr>
            <w:r>
              <w:rPr>
                <w:b/>
                <w:color w:val="00B050"/>
                <w:sz w:val="16"/>
                <w:szCs w:val="16"/>
              </w:rPr>
              <w:t>Plenamente logrado</w:t>
            </w:r>
          </w:p>
        </w:tc>
      </w:tr>
      <w:tr w:rsidR="00FA423E" w:rsidRPr="00526311" w:rsidTr="00DC1333">
        <w:trPr>
          <w:cantSplit/>
        </w:trPr>
        <w:tc>
          <w:tcPr>
            <w:tcW w:w="1100" w:type="pct"/>
            <w:shd w:val="clear" w:color="auto" w:fill="auto"/>
          </w:tcPr>
          <w:p w:rsidR="00FA423E" w:rsidRPr="00526311" w:rsidRDefault="00FA423E" w:rsidP="00DC1333">
            <w:pPr>
              <w:rPr>
                <w:sz w:val="16"/>
                <w:szCs w:val="16"/>
              </w:rPr>
            </w:pPr>
            <w:r w:rsidRPr="00526311">
              <w:rPr>
                <w:sz w:val="16"/>
                <w:szCs w:val="16"/>
              </w:rPr>
              <w:lastRenderedPageBreak/>
              <w:t>Número de ratificaciones y adhesiones al Tratado de Singapur.</w:t>
            </w:r>
          </w:p>
        </w:tc>
        <w:tc>
          <w:tcPr>
            <w:tcW w:w="1393" w:type="pct"/>
            <w:gridSpan w:val="2"/>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r w:rsidRPr="00526311">
              <w:rPr>
                <w:color w:val="002060"/>
                <w:sz w:val="16"/>
                <w:szCs w:val="16"/>
                <w:lang w:bidi="th-TH"/>
              </w:rPr>
              <w:t xml:space="preserve">  31 Partes Contratantes (finales de 2013)</w:t>
            </w:r>
          </w:p>
          <w:p w:rsidR="00FA423E" w:rsidRPr="00526311" w:rsidRDefault="00FA423E" w:rsidP="00DC1333">
            <w:pPr>
              <w:rPr>
                <w:i/>
                <w:sz w:val="8"/>
                <w:szCs w:val="8"/>
              </w:rPr>
            </w:pPr>
          </w:p>
          <w:p w:rsidR="00FA423E" w:rsidRPr="00526311" w:rsidRDefault="00FA423E" w:rsidP="00DC1333">
            <w:pPr>
              <w:rPr>
                <w:sz w:val="16"/>
                <w:szCs w:val="16"/>
              </w:rPr>
            </w:pPr>
            <w:r w:rsidRPr="00526311">
              <w:rPr>
                <w:i/>
                <w:sz w:val="16"/>
                <w:szCs w:val="16"/>
              </w:rPr>
              <w:t>Referencia original en el presupuesto de 2014/15:</w:t>
            </w:r>
          </w:p>
          <w:p w:rsidR="00FA423E" w:rsidRPr="00526311" w:rsidRDefault="00FA423E" w:rsidP="00DC1333">
            <w:pPr>
              <w:rPr>
                <w:sz w:val="16"/>
                <w:szCs w:val="16"/>
              </w:rPr>
            </w:pPr>
            <w:r w:rsidRPr="00526311">
              <w:rPr>
                <w:sz w:val="16"/>
                <w:szCs w:val="16"/>
              </w:rPr>
              <w:t>29 Partes Contratantes (finales de 2012).</w:t>
            </w:r>
          </w:p>
        </w:tc>
        <w:tc>
          <w:tcPr>
            <w:tcW w:w="670" w:type="pct"/>
            <w:gridSpan w:val="2"/>
            <w:shd w:val="clear" w:color="auto" w:fill="auto"/>
            <w:tcMar>
              <w:top w:w="110" w:type="dxa"/>
            </w:tcMar>
          </w:tcPr>
          <w:p w:rsidR="00FA423E" w:rsidRPr="00526311" w:rsidRDefault="00FA423E" w:rsidP="00DC1333">
            <w:pPr>
              <w:autoSpaceDE w:val="0"/>
              <w:autoSpaceDN w:val="0"/>
              <w:adjustRightInd w:val="0"/>
              <w:rPr>
                <w:sz w:val="16"/>
                <w:szCs w:val="16"/>
              </w:rPr>
            </w:pPr>
            <w:r w:rsidRPr="00526311">
              <w:rPr>
                <w:sz w:val="16"/>
                <w:szCs w:val="16"/>
              </w:rPr>
              <w:t>Ocho nuevas ratificaciones/ adhesiones.</w:t>
            </w:r>
          </w:p>
        </w:tc>
        <w:tc>
          <w:tcPr>
            <w:tcW w:w="1096" w:type="pct"/>
            <w:gridSpan w:val="3"/>
            <w:shd w:val="clear" w:color="auto" w:fill="auto"/>
            <w:tcMar>
              <w:top w:w="110" w:type="dxa"/>
            </w:tcMar>
          </w:tcPr>
          <w:p w:rsidR="00FA423E" w:rsidRPr="00526311" w:rsidRDefault="00FA423E" w:rsidP="00DC1333">
            <w:pPr>
              <w:rPr>
                <w:sz w:val="16"/>
                <w:szCs w:val="16"/>
              </w:rPr>
            </w:pPr>
            <w:r w:rsidRPr="00526311">
              <w:rPr>
                <w:sz w:val="16"/>
                <w:szCs w:val="16"/>
              </w:rPr>
              <w:t xml:space="preserve">Siete nuevas Partes Contratantes </w:t>
            </w:r>
            <w:r>
              <w:rPr>
                <w:sz w:val="16"/>
                <w:szCs w:val="16"/>
              </w:rPr>
              <w:t>durante el bienio</w:t>
            </w:r>
            <w:r w:rsidRPr="00526311">
              <w:rPr>
                <w:sz w:val="16"/>
                <w:szCs w:val="16"/>
              </w:rPr>
              <w:t>:  Belarús, Bélgica, Iraq, Luxemburgo, Organización de Propiedad Intelectual del Benelux (BOIP), Países Bajos y Tayikistán, elevando a 38 el número total de Par</w:t>
            </w:r>
            <w:r>
              <w:rPr>
                <w:sz w:val="16"/>
                <w:szCs w:val="16"/>
              </w:rPr>
              <w:t>tes Contratantes a fines de 2015</w:t>
            </w:r>
            <w:r w:rsidRPr="00526311">
              <w:rPr>
                <w:sz w:val="16"/>
                <w:szCs w:val="16"/>
              </w:rPr>
              <w:t>.</w:t>
            </w:r>
            <w:r w:rsidRPr="00526311">
              <w:rPr>
                <w:sz w:val="16"/>
                <w:szCs w:val="16"/>
              </w:rPr>
              <w:br/>
            </w:r>
          </w:p>
        </w:tc>
        <w:tc>
          <w:tcPr>
            <w:tcW w:w="741" w:type="pct"/>
            <w:gridSpan w:val="2"/>
            <w:shd w:val="clear" w:color="auto" w:fill="auto"/>
            <w:tcMar>
              <w:top w:w="110" w:type="dxa"/>
            </w:tcMar>
          </w:tcPr>
          <w:p w:rsidR="00FA423E" w:rsidRPr="00526311" w:rsidRDefault="00FA423E" w:rsidP="00DC1333">
            <w:pPr>
              <w:rPr>
                <w:b/>
                <w:color w:val="00B050"/>
                <w:sz w:val="16"/>
                <w:szCs w:val="16"/>
              </w:rPr>
            </w:pPr>
            <w:r>
              <w:rPr>
                <w:b/>
                <w:color w:val="00B050"/>
                <w:sz w:val="16"/>
                <w:szCs w:val="16"/>
              </w:rPr>
              <w:t>Plenamente logrado</w:t>
            </w:r>
          </w:p>
        </w:tc>
      </w:tr>
      <w:tr w:rsidR="00FA423E" w:rsidRPr="00526311" w:rsidTr="00DC1333">
        <w:trPr>
          <w:cantSplit/>
          <w:trHeight w:val="423"/>
        </w:trPr>
        <w:tc>
          <w:tcPr>
            <w:tcW w:w="5000" w:type="pct"/>
            <w:gridSpan w:val="10"/>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tabs>
                <w:tab w:val="left" w:pos="1452"/>
                <w:tab w:val="left" w:pos="1962"/>
              </w:tabs>
              <w:ind w:left="1452" w:hanging="1452"/>
              <w:rPr>
                <w:b/>
                <w:bCs/>
                <w:sz w:val="16"/>
                <w:szCs w:val="16"/>
              </w:rPr>
            </w:pPr>
            <w:r w:rsidRPr="00526311">
              <w:rPr>
                <w:b/>
                <w:bCs/>
                <w:sz w:val="16"/>
                <w:szCs w:val="16"/>
              </w:rPr>
              <w:t>Resultado previsto:</w:t>
            </w:r>
            <w:r w:rsidRPr="00526311">
              <w:rPr>
                <w:bCs/>
                <w:sz w:val="16"/>
                <w:szCs w:val="16"/>
              </w:rPr>
              <w:tab/>
              <w:t>I.2 Marcos de P.I. adaptados y equilibrados en el ámbito legislativo, reglamentario y de política</w:t>
            </w:r>
          </w:p>
        </w:tc>
      </w:tr>
      <w:tr w:rsidR="00FA423E" w:rsidRPr="00526311" w:rsidTr="00DC1333">
        <w:trPr>
          <w:cantSplit/>
        </w:trPr>
        <w:tc>
          <w:tcPr>
            <w:tcW w:w="1100" w:type="pct"/>
            <w:tcBorders>
              <w:top w:val="single" w:sz="4" w:space="0" w:color="auto"/>
            </w:tcBorders>
            <w:shd w:val="clear" w:color="auto" w:fill="auto"/>
            <w:vAlign w:val="center"/>
          </w:tcPr>
          <w:p w:rsidR="00FA423E" w:rsidRPr="00526311" w:rsidRDefault="00FA423E" w:rsidP="00DC1333">
            <w:pPr>
              <w:keepNext/>
              <w:rPr>
                <w:b/>
                <w:sz w:val="16"/>
                <w:szCs w:val="16"/>
              </w:rPr>
            </w:pPr>
            <w:r w:rsidRPr="00526311">
              <w:rPr>
                <w:b/>
                <w:sz w:val="16"/>
                <w:szCs w:val="16"/>
              </w:rPr>
              <w:t>Indicadores de rendimiento</w:t>
            </w:r>
          </w:p>
        </w:tc>
        <w:tc>
          <w:tcPr>
            <w:tcW w:w="1393" w:type="pct"/>
            <w:gridSpan w:val="2"/>
            <w:tcBorders>
              <w:top w:val="single" w:sz="4" w:space="0" w:color="auto"/>
            </w:tcBorders>
            <w:shd w:val="clear" w:color="auto" w:fill="auto"/>
            <w:vAlign w:val="center"/>
          </w:tcPr>
          <w:p w:rsidR="00FA423E" w:rsidRPr="00526311" w:rsidRDefault="00FA423E" w:rsidP="00DC1333">
            <w:pPr>
              <w:keepNext/>
              <w:rPr>
                <w:b/>
                <w:bCs/>
                <w:sz w:val="16"/>
                <w:szCs w:val="16"/>
              </w:rPr>
            </w:pPr>
            <w:r w:rsidRPr="00526311">
              <w:rPr>
                <w:b/>
                <w:bCs/>
                <w:sz w:val="16"/>
                <w:szCs w:val="16"/>
              </w:rPr>
              <w:t>Referencia</w:t>
            </w:r>
          </w:p>
        </w:tc>
        <w:tc>
          <w:tcPr>
            <w:tcW w:w="713" w:type="pct"/>
            <w:gridSpan w:val="3"/>
            <w:tcBorders>
              <w:top w:val="single" w:sz="4" w:space="0" w:color="auto"/>
            </w:tcBorders>
            <w:shd w:val="clear" w:color="auto" w:fill="auto"/>
            <w:tcMar>
              <w:top w:w="110" w:type="dxa"/>
            </w:tcMar>
            <w:vAlign w:val="center"/>
          </w:tcPr>
          <w:p w:rsidR="00FA423E" w:rsidRPr="00526311" w:rsidRDefault="00FA423E" w:rsidP="00DC1333">
            <w:pPr>
              <w:keepNext/>
              <w:rPr>
                <w:b/>
                <w:sz w:val="16"/>
                <w:szCs w:val="16"/>
              </w:rPr>
            </w:pPr>
            <w:r w:rsidRPr="00526311">
              <w:rPr>
                <w:b/>
                <w:sz w:val="16"/>
                <w:szCs w:val="16"/>
              </w:rPr>
              <w:t>Objetivos</w:t>
            </w:r>
          </w:p>
        </w:tc>
        <w:tc>
          <w:tcPr>
            <w:tcW w:w="1120" w:type="pct"/>
            <w:gridSpan w:val="3"/>
            <w:tcBorders>
              <w:top w:val="single" w:sz="4" w:space="0" w:color="auto"/>
            </w:tcBorders>
            <w:shd w:val="clear" w:color="auto" w:fill="auto"/>
            <w:tcMar>
              <w:top w:w="110" w:type="dxa"/>
            </w:tcMar>
            <w:vAlign w:val="center"/>
          </w:tcPr>
          <w:p w:rsidR="00FA423E" w:rsidRPr="00526311" w:rsidRDefault="00FA423E" w:rsidP="00DC1333">
            <w:pPr>
              <w:keepNext/>
              <w:rPr>
                <w:b/>
                <w:sz w:val="16"/>
                <w:szCs w:val="16"/>
              </w:rPr>
            </w:pPr>
            <w:r w:rsidRPr="00526311">
              <w:rPr>
                <w:b/>
                <w:sz w:val="16"/>
                <w:szCs w:val="16"/>
              </w:rPr>
              <w:t>Datos sobre el rendimiento</w:t>
            </w:r>
          </w:p>
        </w:tc>
        <w:tc>
          <w:tcPr>
            <w:tcW w:w="674" w:type="pct"/>
            <w:tcBorders>
              <w:top w:val="single" w:sz="4" w:space="0" w:color="auto"/>
            </w:tcBorders>
            <w:shd w:val="clear" w:color="auto" w:fill="auto"/>
            <w:tcMar>
              <w:top w:w="110" w:type="dxa"/>
            </w:tcMar>
            <w:vAlign w:val="center"/>
          </w:tcPr>
          <w:p w:rsidR="00FA423E" w:rsidRPr="00526311" w:rsidRDefault="00FA423E" w:rsidP="00DC1333">
            <w:pPr>
              <w:keepNext/>
              <w:jc w:val="center"/>
              <w:rPr>
                <w:b/>
                <w:bCs/>
                <w:sz w:val="16"/>
                <w:szCs w:val="16"/>
              </w:rPr>
            </w:pPr>
            <w:r w:rsidRPr="00526311">
              <w:rPr>
                <w:b/>
                <w:bCs/>
                <w:sz w:val="16"/>
                <w:szCs w:val="16"/>
              </w:rPr>
              <w:t>Clave de colores</w:t>
            </w:r>
          </w:p>
        </w:tc>
      </w:tr>
      <w:tr w:rsidR="00FA423E" w:rsidRPr="00526311" w:rsidTr="00DC1333">
        <w:trPr>
          <w:cantSplit/>
        </w:trPr>
        <w:tc>
          <w:tcPr>
            <w:tcW w:w="1100" w:type="pct"/>
            <w:shd w:val="clear" w:color="auto" w:fill="auto"/>
          </w:tcPr>
          <w:p w:rsidR="00FA423E" w:rsidRPr="00526311" w:rsidRDefault="00FA423E" w:rsidP="00DC1333">
            <w:pPr>
              <w:keepNext/>
              <w:autoSpaceDE w:val="0"/>
              <w:autoSpaceDN w:val="0"/>
              <w:adjustRightInd w:val="0"/>
              <w:rPr>
                <w:sz w:val="16"/>
                <w:szCs w:val="16"/>
                <w:lang w:bidi="th-TH"/>
              </w:rPr>
            </w:pPr>
            <w:r w:rsidRPr="00526311">
              <w:rPr>
                <w:rFonts w:eastAsiaTheme="minorHAnsi"/>
                <w:sz w:val="16"/>
                <w:szCs w:val="16"/>
              </w:rPr>
              <w:t>Número y porcentaje de Estados miembros/organizaciones regionales que han presentado comentarios positivos sobre el asesoramiento legislativo proporcionado en la esfera de las marcas, los diseños industriales y las indicaciones geográficas.</w:t>
            </w:r>
          </w:p>
        </w:tc>
        <w:tc>
          <w:tcPr>
            <w:tcW w:w="1393" w:type="pct"/>
            <w:gridSpan w:val="2"/>
            <w:shd w:val="clear" w:color="auto" w:fill="auto"/>
          </w:tcPr>
          <w:p w:rsidR="00FA423E" w:rsidRPr="00526311" w:rsidRDefault="00FA423E" w:rsidP="00DC1333">
            <w:pPr>
              <w:keepNext/>
              <w:rPr>
                <w:i/>
                <w:color w:val="002060"/>
                <w:sz w:val="16"/>
                <w:szCs w:val="16"/>
                <w:lang w:bidi="th-TH"/>
              </w:rPr>
            </w:pPr>
            <w:r w:rsidRPr="00526311">
              <w:rPr>
                <w:i/>
                <w:color w:val="002060"/>
                <w:sz w:val="16"/>
                <w:szCs w:val="16"/>
                <w:lang w:bidi="th-TH"/>
              </w:rPr>
              <w:t>Referencia actualizada a fines de 2013:</w:t>
            </w:r>
          </w:p>
          <w:p w:rsidR="00FA423E" w:rsidRPr="00526311" w:rsidRDefault="00FA423E" w:rsidP="00DC1333">
            <w:pPr>
              <w:keepNext/>
              <w:rPr>
                <w:i/>
                <w:color w:val="002060"/>
                <w:sz w:val="16"/>
                <w:szCs w:val="16"/>
                <w:lang w:bidi="th-TH"/>
              </w:rPr>
            </w:pPr>
          </w:p>
          <w:p w:rsidR="00FA423E" w:rsidRPr="00526311" w:rsidRDefault="00FA423E" w:rsidP="00DC1333">
            <w:pPr>
              <w:keepNext/>
              <w:rPr>
                <w:color w:val="002060"/>
                <w:sz w:val="16"/>
                <w:szCs w:val="16"/>
                <w:lang w:bidi="th-TH"/>
              </w:rPr>
            </w:pPr>
            <w:r w:rsidRPr="00526311">
              <w:rPr>
                <w:color w:val="002060"/>
                <w:sz w:val="16"/>
                <w:szCs w:val="16"/>
                <w:lang w:bidi="th-TH"/>
              </w:rPr>
              <w:t>2013</w:t>
            </w:r>
            <w:proofErr w:type="gramStart"/>
            <w:r w:rsidRPr="00526311">
              <w:rPr>
                <w:color w:val="002060"/>
                <w:sz w:val="16"/>
                <w:szCs w:val="16"/>
                <w:lang w:bidi="th-TH"/>
              </w:rPr>
              <w:t>:  Se</w:t>
            </w:r>
            <w:proofErr w:type="gramEnd"/>
            <w:r w:rsidRPr="00526311">
              <w:rPr>
                <w:color w:val="002060"/>
                <w:sz w:val="16"/>
                <w:szCs w:val="16"/>
                <w:lang w:bidi="th-TH"/>
              </w:rPr>
              <w:t xml:space="preserve"> proporcionó asesoramiento a 13 Estados miembros sobre 18 proyectos de legislación específicos.</w:t>
            </w:r>
          </w:p>
          <w:p w:rsidR="00FA423E" w:rsidRPr="00526311" w:rsidRDefault="00FA423E" w:rsidP="00DC1333">
            <w:pPr>
              <w:keepNext/>
              <w:rPr>
                <w:color w:val="002060"/>
                <w:sz w:val="16"/>
                <w:szCs w:val="16"/>
                <w:lang w:bidi="th-TH"/>
              </w:rPr>
            </w:pPr>
          </w:p>
          <w:p w:rsidR="00FA423E" w:rsidRPr="00526311" w:rsidRDefault="00FA423E" w:rsidP="00DC1333">
            <w:pPr>
              <w:keepNext/>
              <w:rPr>
                <w:color w:val="002060"/>
                <w:sz w:val="16"/>
                <w:szCs w:val="16"/>
                <w:lang w:bidi="th-TH"/>
              </w:rPr>
            </w:pPr>
            <w:r>
              <w:rPr>
                <w:color w:val="002060"/>
                <w:sz w:val="16"/>
                <w:szCs w:val="16"/>
                <w:lang w:bidi="th-TH"/>
              </w:rPr>
              <w:t>9</w:t>
            </w:r>
            <w:r w:rsidRPr="00526311">
              <w:rPr>
                <w:color w:val="002060"/>
                <w:sz w:val="16"/>
                <w:szCs w:val="16"/>
                <w:lang w:bidi="th-TH"/>
              </w:rPr>
              <w:t xml:space="preserve"> de 13 países formularo</w:t>
            </w:r>
            <w:r>
              <w:rPr>
                <w:color w:val="002060"/>
                <w:sz w:val="16"/>
                <w:szCs w:val="16"/>
                <w:lang w:bidi="th-TH"/>
              </w:rPr>
              <w:t>n comentarios positivos.  4</w:t>
            </w:r>
            <w:r w:rsidRPr="00526311">
              <w:rPr>
                <w:color w:val="002060"/>
                <w:sz w:val="16"/>
                <w:szCs w:val="16"/>
                <w:lang w:bidi="th-TH"/>
              </w:rPr>
              <w:t xml:space="preserve"> países no respondieron.</w:t>
            </w:r>
          </w:p>
          <w:p w:rsidR="00FA423E" w:rsidRPr="00526311" w:rsidRDefault="00FA423E" w:rsidP="00DC1333">
            <w:pPr>
              <w:keepNext/>
              <w:rPr>
                <w:i/>
                <w:sz w:val="8"/>
                <w:szCs w:val="8"/>
              </w:rPr>
            </w:pPr>
          </w:p>
          <w:p w:rsidR="00FA423E" w:rsidRPr="00526311" w:rsidRDefault="00FA423E" w:rsidP="00DC1333">
            <w:pPr>
              <w:keepNext/>
              <w:rPr>
                <w:sz w:val="16"/>
                <w:szCs w:val="16"/>
              </w:rPr>
            </w:pPr>
            <w:r w:rsidRPr="00526311">
              <w:rPr>
                <w:i/>
                <w:sz w:val="16"/>
                <w:szCs w:val="16"/>
              </w:rPr>
              <w:t>Referencia original en el presupuesto de 2014/15</w:t>
            </w:r>
            <w:proofErr w:type="gramStart"/>
            <w:r w:rsidRPr="00526311">
              <w:rPr>
                <w:i/>
                <w:sz w:val="16"/>
                <w:szCs w:val="16"/>
              </w:rPr>
              <w:t xml:space="preserve">:  </w:t>
            </w:r>
            <w:r w:rsidRPr="00526311">
              <w:rPr>
                <w:sz w:val="16"/>
                <w:szCs w:val="16"/>
              </w:rPr>
              <w:t>11</w:t>
            </w:r>
            <w:proofErr w:type="gramEnd"/>
            <w:r w:rsidRPr="00526311">
              <w:rPr>
                <w:sz w:val="16"/>
                <w:szCs w:val="16"/>
              </w:rPr>
              <w:t xml:space="preserve"> Estados miembros/organizaciones regionales han recibido asesoramient</w:t>
            </w:r>
            <w:r>
              <w:rPr>
                <w:sz w:val="16"/>
                <w:szCs w:val="16"/>
              </w:rPr>
              <w:t>o legislativo y 3</w:t>
            </w:r>
            <w:r w:rsidRPr="00526311">
              <w:rPr>
                <w:sz w:val="16"/>
                <w:szCs w:val="16"/>
              </w:rPr>
              <w:t xml:space="preserve"> de ellos han formulado comentarios positivos sobre el asesoramiento legislativo recibido en 2012.</w:t>
            </w:r>
          </w:p>
          <w:p w:rsidR="00FA423E" w:rsidRPr="00526311" w:rsidRDefault="00FA423E" w:rsidP="00DC1333">
            <w:pPr>
              <w:keepNext/>
              <w:rPr>
                <w:sz w:val="16"/>
                <w:szCs w:val="16"/>
              </w:rPr>
            </w:pPr>
          </w:p>
        </w:tc>
        <w:tc>
          <w:tcPr>
            <w:tcW w:w="713" w:type="pct"/>
            <w:gridSpan w:val="3"/>
            <w:shd w:val="clear" w:color="auto" w:fill="auto"/>
            <w:tcMar>
              <w:top w:w="110" w:type="dxa"/>
            </w:tcMar>
          </w:tcPr>
          <w:p w:rsidR="00FA423E" w:rsidRPr="00526311" w:rsidRDefault="00FA423E" w:rsidP="00DC1333">
            <w:pPr>
              <w:keepNext/>
              <w:autoSpaceDE w:val="0"/>
              <w:autoSpaceDN w:val="0"/>
              <w:adjustRightInd w:val="0"/>
              <w:rPr>
                <w:sz w:val="16"/>
                <w:szCs w:val="16"/>
              </w:rPr>
            </w:pPr>
            <w:r w:rsidRPr="00526311">
              <w:rPr>
                <w:sz w:val="16"/>
                <w:szCs w:val="16"/>
              </w:rPr>
              <w:t>Se proporciona asesoramiento le</w:t>
            </w:r>
            <w:r>
              <w:rPr>
                <w:sz w:val="16"/>
                <w:szCs w:val="16"/>
              </w:rPr>
              <w:t>gislativo a 10 Estados miembros/</w:t>
            </w:r>
            <w:r w:rsidRPr="00526311">
              <w:rPr>
                <w:sz w:val="16"/>
                <w:szCs w:val="16"/>
              </w:rPr>
              <w:t>organizaciones regionales.  El 90% de los encuestados expresa satisfacción con el asesoramiento brindado.</w:t>
            </w:r>
          </w:p>
        </w:tc>
        <w:tc>
          <w:tcPr>
            <w:tcW w:w="1120" w:type="pct"/>
            <w:gridSpan w:val="3"/>
            <w:shd w:val="clear" w:color="auto" w:fill="auto"/>
            <w:tcMar>
              <w:top w:w="110" w:type="dxa"/>
            </w:tcMar>
          </w:tcPr>
          <w:p w:rsidR="00FA423E" w:rsidRPr="00526311" w:rsidRDefault="00FA423E" w:rsidP="00DC1333">
            <w:pPr>
              <w:keepNext/>
              <w:rPr>
                <w:sz w:val="16"/>
                <w:szCs w:val="16"/>
                <w:lang w:bidi="th-TH"/>
              </w:rPr>
            </w:pPr>
            <w:r w:rsidRPr="00526311">
              <w:rPr>
                <w:sz w:val="16"/>
                <w:szCs w:val="16"/>
                <w:lang w:bidi="th-TH"/>
              </w:rPr>
              <w:t>S</w:t>
            </w:r>
            <w:r>
              <w:rPr>
                <w:sz w:val="16"/>
                <w:szCs w:val="16"/>
                <w:lang w:bidi="th-TH"/>
              </w:rPr>
              <w:t>e proporcionó asesoramiento a 31 Estados miembros/</w:t>
            </w:r>
            <w:r w:rsidRPr="00526311">
              <w:rPr>
                <w:sz w:val="16"/>
                <w:szCs w:val="16"/>
                <w:lang w:bidi="th-TH"/>
              </w:rPr>
              <w:t>org</w:t>
            </w:r>
            <w:r>
              <w:rPr>
                <w:sz w:val="16"/>
                <w:szCs w:val="16"/>
                <w:lang w:bidi="th-TH"/>
              </w:rPr>
              <w:t>anizaciones regionales (África 8</w:t>
            </w:r>
            <w:r w:rsidRPr="00526311">
              <w:rPr>
                <w:sz w:val="16"/>
                <w:szCs w:val="16"/>
                <w:lang w:bidi="th-TH"/>
              </w:rPr>
              <w:t xml:space="preserve">;  Países </w:t>
            </w:r>
            <w:r>
              <w:rPr>
                <w:sz w:val="16"/>
                <w:szCs w:val="16"/>
                <w:lang w:bidi="th-TH"/>
              </w:rPr>
              <w:t>árabes 1;  Asia y el Pacífico 14</w:t>
            </w:r>
            <w:r w:rsidRPr="00526311">
              <w:rPr>
                <w:sz w:val="16"/>
                <w:szCs w:val="16"/>
                <w:lang w:bidi="th-TH"/>
              </w:rPr>
              <w:t>;  América Latina y el Caribe </w:t>
            </w:r>
            <w:r>
              <w:rPr>
                <w:sz w:val="16"/>
                <w:szCs w:val="16"/>
                <w:lang w:bidi="th-TH"/>
              </w:rPr>
              <w:t xml:space="preserve">6;  </w:t>
            </w:r>
            <w:r w:rsidRPr="00526311">
              <w:rPr>
                <w:sz w:val="16"/>
                <w:szCs w:val="16"/>
                <w:lang w:bidi="th-TH"/>
              </w:rPr>
              <w:t>Determinados países de Europa y Asia</w:t>
            </w:r>
            <w:r>
              <w:rPr>
                <w:sz w:val="16"/>
                <w:szCs w:val="16"/>
                <w:lang w:bidi="th-TH"/>
              </w:rPr>
              <w:t xml:space="preserve"> 1</w:t>
            </w:r>
            <w:r w:rsidRPr="00526311">
              <w:rPr>
                <w:sz w:val="16"/>
                <w:szCs w:val="16"/>
                <w:lang w:bidi="th-TH"/>
              </w:rPr>
              <w:t>).</w:t>
            </w:r>
          </w:p>
          <w:p w:rsidR="00FA423E" w:rsidRPr="00526311" w:rsidRDefault="00FA423E" w:rsidP="00DC1333">
            <w:pPr>
              <w:keepNext/>
              <w:rPr>
                <w:sz w:val="16"/>
                <w:szCs w:val="16"/>
                <w:lang w:bidi="th-TH"/>
              </w:rPr>
            </w:pPr>
          </w:p>
          <w:p w:rsidR="00FA423E" w:rsidRPr="00526311" w:rsidRDefault="00FA423E" w:rsidP="00DC1333">
            <w:pPr>
              <w:keepNext/>
              <w:rPr>
                <w:sz w:val="16"/>
                <w:szCs w:val="16"/>
                <w:lang w:bidi="th-TH"/>
              </w:rPr>
            </w:pPr>
            <w:r w:rsidRPr="00526311">
              <w:rPr>
                <w:sz w:val="16"/>
                <w:szCs w:val="16"/>
                <w:lang w:bidi="th-TH"/>
              </w:rPr>
              <w:t xml:space="preserve">Se recibieron comentarios de </w:t>
            </w:r>
            <w:r>
              <w:rPr>
                <w:sz w:val="16"/>
                <w:szCs w:val="16"/>
                <w:lang w:bidi="th-TH"/>
              </w:rPr>
              <w:t>10</w:t>
            </w:r>
            <w:r w:rsidRPr="00526311">
              <w:rPr>
                <w:sz w:val="16"/>
                <w:szCs w:val="16"/>
                <w:lang w:bidi="th-TH"/>
              </w:rPr>
              <w:t xml:space="preserve"> encuestados, y todos ellos (100%) manifestaron estar satisfechos con el asesoramiento brindado.</w:t>
            </w:r>
          </w:p>
        </w:tc>
        <w:tc>
          <w:tcPr>
            <w:tcW w:w="674" w:type="pct"/>
            <w:shd w:val="clear" w:color="auto" w:fill="auto"/>
            <w:tcMar>
              <w:top w:w="110" w:type="dxa"/>
            </w:tcMar>
          </w:tcPr>
          <w:p w:rsidR="00FA423E" w:rsidRDefault="00FA423E" w:rsidP="00DC1333">
            <w:pPr>
              <w:keepNext/>
              <w:rPr>
                <w:b/>
                <w:sz w:val="16"/>
                <w:szCs w:val="16"/>
              </w:rPr>
            </w:pPr>
            <w:r>
              <w:rPr>
                <w:b/>
                <w:color w:val="00B050"/>
                <w:sz w:val="16"/>
                <w:szCs w:val="16"/>
              </w:rPr>
              <w:t>Plenamente logrado</w:t>
            </w: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Pr="0093726D" w:rsidRDefault="00FA423E" w:rsidP="00DC1333">
            <w:pPr>
              <w:keepNext/>
              <w:rPr>
                <w:sz w:val="16"/>
                <w:szCs w:val="16"/>
              </w:rPr>
            </w:pPr>
          </w:p>
          <w:p w:rsidR="00FA423E" w:rsidRDefault="00FA423E" w:rsidP="00DC1333">
            <w:pPr>
              <w:keepNext/>
              <w:rPr>
                <w:sz w:val="16"/>
                <w:szCs w:val="16"/>
              </w:rPr>
            </w:pPr>
          </w:p>
          <w:p w:rsidR="00FA423E" w:rsidRDefault="00FA423E" w:rsidP="00DC1333">
            <w:pPr>
              <w:keepNext/>
              <w:rPr>
                <w:b/>
                <w:sz w:val="16"/>
                <w:szCs w:val="16"/>
              </w:rPr>
            </w:pPr>
            <w:r>
              <w:rPr>
                <w:b/>
                <w:color w:val="00B050"/>
                <w:sz w:val="16"/>
                <w:szCs w:val="16"/>
              </w:rPr>
              <w:t>Plenamente logrado</w:t>
            </w:r>
          </w:p>
          <w:p w:rsidR="00FA423E" w:rsidRPr="0093726D" w:rsidRDefault="00FA423E" w:rsidP="00DC1333">
            <w:pPr>
              <w:keepNext/>
              <w:rPr>
                <w:sz w:val="16"/>
                <w:szCs w:val="16"/>
              </w:rPr>
            </w:pPr>
          </w:p>
        </w:tc>
      </w:tr>
      <w:tr w:rsidR="00FA423E" w:rsidRPr="00526311" w:rsidTr="00DC1333">
        <w:trPr>
          <w:cantSplit/>
          <w:trHeight w:val="485"/>
        </w:trPr>
        <w:tc>
          <w:tcPr>
            <w:tcW w:w="5000" w:type="pct"/>
            <w:gridSpan w:val="10"/>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tabs>
                <w:tab w:val="left" w:pos="2007"/>
              </w:tabs>
              <w:ind w:left="2019" w:hanging="2019"/>
              <w:rPr>
                <w:b/>
                <w:bCs/>
                <w:sz w:val="16"/>
                <w:szCs w:val="16"/>
              </w:rPr>
            </w:pPr>
            <w:r w:rsidRPr="00526311">
              <w:rPr>
                <w:b/>
                <w:bCs/>
                <w:sz w:val="16"/>
                <w:szCs w:val="16"/>
              </w:rPr>
              <w:t>Resultado previsto:</w:t>
            </w:r>
            <w:r w:rsidRPr="00526311">
              <w:rPr>
                <w:bCs/>
                <w:sz w:val="16"/>
                <w:szCs w:val="16"/>
              </w:rPr>
              <w:tab/>
              <w:t>I.3 Aumento de la protección de los emblemas de Estado y de los nombres y emblemas de organizaciones intergubernamentales internacionales</w:t>
            </w:r>
          </w:p>
        </w:tc>
      </w:tr>
      <w:tr w:rsidR="00FA423E" w:rsidRPr="00526311" w:rsidTr="00DC1333">
        <w:trPr>
          <w:cantSplit/>
        </w:trPr>
        <w:tc>
          <w:tcPr>
            <w:tcW w:w="1100" w:type="pct"/>
            <w:tcBorders>
              <w:top w:val="single" w:sz="4" w:space="0" w:color="auto"/>
              <w:bottom w:val="nil"/>
            </w:tcBorders>
            <w:shd w:val="clear" w:color="auto" w:fill="auto"/>
            <w:vAlign w:val="center"/>
          </w:tcPr>
          <w:p w:rsidR="00FA423E" w:rsidRPr="00526311" w:rsidRDefault="00FA423E" w:rsidP="00DC1333">
            <w:pPr>
              <w:keepNext/>
              <w:keepLines/>
              <w:rPr>
                <w:b/>
                <w:sz w:val="16"/>
                <w:szCs w:val="16"/>
              </w:rPr>
            </w:pPr>
            <w:r w:rsidRPr="00526311">
              <w:rPr>
                <w:b/>
                <w:sz w:val="16"/>
                <w:szCs w:val="16"/>
              </w:rPr>
              <w:t>Indicadores de rendimiento</w:t>
            </w:r>
          </w:p>
        </w:tc>
        <w:tc>
          <w:tcPr>
            <w:tcW w:w="1378" w:type="pct"/>
            <w:tcBorders>
              <w:top w:val="single" w:sz="4" w:space="0" w:color="auto"/>
              <w:bottom w:val="nil"/>
            </w:tcBorders>
            <w:shd w:val="clear" w:color="auto" w:fill="auto"/>
            <w:vAlign w:val="center"/>
          </w:tcPr>
          <w:p w:rsidR="00FA423E" w:rsidRPr="00526311" w:rsidRDefault="00FA423E" w:rsidP="00DC1333">
            <w:pPr>
              <w:keepNext/>
              <w:keepLines/>
              <w:rPr>
                <w:b/>
                <w:bCs/>
                <w:sz w:val="16"/>
                <w:szCs w:val="16"/>
              </w:rPr>
            </w:pPr>
            <w:r w:rsidRPr="00526311">
              <w:rPr>
                <w:b/>
                <w:bCs/>
                <w:sz w:val="16"/>
                <w:szCs w:val="16"/>
              </w:rPr>
              <w:t>Referencia</w:t>
            </w:r>
          </w:p>
        </w:tc>
        <w:tc>
          <w:tcPr>
            <w:tcW w:w="676" w:type="pct"/>
            <w:gridSpan w:val="2"/>
            <w:tcBorders>
              <w:top w:val="single" w:sz="4" w:space="0" w:color="auto"/>
              <w:bottom w:val="nil"/>
            </w:tcBorders>
            <w:shd w:val="clear" w:color="auto" w:fill="auto"/>
            <w:tcMar>
              <w:top w:w="110" w:type="dxa"/>
            </w:tcMar>
            <w:vAlign w:val="center"/>
          </w:tcPr>
          <w:p w:rsidR="00FA423E" w:rsidRPr="00526311" w:rsidRDefault="00FA423E" w:rsidP="00DC1333">
            <w:pPr>
              <w:keepNext/>
              <w:keepLines/>
              <w:rPr>
                <w:b/>
                <w:sz w:val="16"/>
                <w:szCs w:val="16"/>
              </w:rPr>
            </w:pPr>
            <w:r w:rsidRPr="00526311">
              <w:rPr>
                <w:b/>
                <w:sz w:val="16"/>
                <w:szCs w:val="16"/>
              </w:rPr>
              <w:t>Objetivos</w:t>
            </w:r>
          </w:p>
        </w:tc>
        <w:tc>
          <w:tcPr>
            <w:tcW w:w="1076" w:type="pct"/>
            <w:gridSpan w:val="3"/>
            <w:tcBorders>
              <w:top w:val="single" w:sz="4" w:space="0" w:color="auto"/>
              <w:bottom w:val="nil"/>
            </w:tcBorders>
            <w:shd w:val="clear" w:color="auto" w:fill="auto"/>
            <w:tcMar>
              <w:top w:w="110" w:type="dxa"/>
            </w:tcMar>
            <w:vAlign w:val="center"/>
          </w:tcPr>
          <w:p w:rsidR="00FA423E" w:rsidRPr="00526311" w:rsidRDefault="00FA423E" w:rsidP="00DC1333">
            <w:pPr>
              <w:keepNext/>
              <w:keepLines/>
              <w:rPr>
                <w:b/>
                <w:sz w:val="16"/>
                <w:szCs w:val="16"/>
              </w:rPr>
            </w:pPr>
            <w:r w:rsidRPr="00526311">
              <w:rPr>
                <w:b/>
                <w:sz w:val="16"/>
                <w:szCs w:val="16"/>
              </w:rPr>
              <w:t>Datos sobre el rendimiento</w:t>
            </w:r>
          </w:p>
        </w:tc>
        <w:tc>
          <w:tcPr>
            <w:tcW w:w="769" w:type="pct"/>
            <w:gridSpan w:val="3"/>
            <w:tcBorders>
              <w:top w:val="single" w:sz="4" w:space="0" w:color="auto"/>
              <w:bottom w:val="nil"/>
            </w:tcBorders>
            <w:shd w:val="clear" w:color="auto" w:fill="auto"/>
            <w:tcMar>
              <w:top w:w="110" w:type="dxa"/>
            </w:tcMar>
            <w:vAlign w:val="center"/>
          </w:tcPr>
          <w:p w:rsidR="00FA423E" w:rsidRPr="00526311" w:rsidRDefault="00FA423E" w:rsidP="00DC1333">
            <w:pPr>
              <w:keepNext/>
              <w:keepLines/>
              <w:rPr>
                <w:b/>
                <w:sz w:val="16"/>
                <w:szCs w:val="16"/>
              </w:rPr>
            </w:pPr>
            <w:r w:rsidRPr="00526311">
              <w:rPr>
                <w:b/>
                <w:sz w:val="16"/>
                <w:szCs w:val="16"/>
              </w:rPr>
              <w:t>Clave de colores</w:t>
            </w:r>
          </w:p>
        </w:tc>
      </w:tr>
      <w:tr w:rsidR="00FA423E" w:rsidRPr="00526311" w:rsidTr="00DC1333">
        <w:trPr>
          <w:cantSplit/>
        </w:trPr>
        <w:tc>
          <w:tcPr>
            <w:tcW w:w="1100" w:type="pct"/>
            <w:tcBorders>
              <w:top w:val="nil"/>
              <w:bottom w:val="nil"/>
            </w:tcBorders>
            <w:shd w:val="clear" w:color="auto" w:fill="auto"/>
          </w:tcPr>
          <w:p w:rsidR="00FA423E" w:rsidRPr="00526311" w:rsidRDefault="00FA423E" w:rsidP="00DC1333">
            <w:pPr>
              <w:keepNext/>
              <w:keepLines/>
              <w:rPr>
                <w:sz w:val="16"/>
                <w:szCs w:val="16"/>
                <w:lang w:bidi="th-TH"/>
              </w:rPr>
            </w:pPr>
            <w:r w:rsidRPr="00526311">
              <w:rPr>
                <w:sz w:val="16"/>
                <w:szCs w:val="16"/>
                <w:lang w:bidi="th-TH"/>
              </w:rPr>
              <w:t>Número de peticiones de comunicación en virtud del artículo 6</w:t>
            </w:r>
            <w:r w:rsidRPr="00526311">
              <w:rPr>
                <w:i/>
                <w:sz w:val="16"/>
                <w:szCs w:val="16"/>
                <w:lang w:bidi="th-TH"/>
              </w:rPr>
              <w:t>ter</w:t>
            </w:r>
            <w:r w:rsidRPr="00526311">
              <w:rPr>
                <w:sz w:val="16"/>
                <w:szCs w:val="16"/>
                <w:lang w:bidi="th-TH"/>
              </w:rPr>
              <w:t xml:space="preserve"> que han sido tramitadas</w:t>
            </w:r>
            <w:r w:rsidRPr="00526311">
              <w:rPr>
                <w:i/>
                <w:sz w:val="16"/>
                <w:szCs w:val="16"/>
                <w:lang w:bidi="th-TH"/>
              </w:rPr>
              <w:t>.</w:t>
            </w:r>
          </w:p>
        </w:tc>
        <w:tc>
          <w:tcPr>
            <w:tcW w:w="1378" w:type="pct"/>
            <w:tcBorders>
              <w:top w:val="nil"/>
              <w:bottom w:val="nil"/>
            </w:tcBorders>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w:t>
            </w:r>
            <w:r w:rsidRPr="00526311">
              <w:rPr>
                <w:color w:val="002060"/>
                <w:sz w:val="16"/>
                <w:szCs w:val="16"/>
                <w:lang w:bidi="th-TH"/>
              </w:rPr>
              <w:t xml:space="preserve">  126</w:t>
            </w:r>
            <w:proofErr w:type="gramEnd"/>
            <w:r w:rsidRPr="00526311">
              <w:rPr>
                <w:color w:val="002060"/>
                <w:sz w:val="16"/>
                <w:szCs w:val="16"/>
                <w:lang w:bidi="th-TH"/>
              </w:rPr>
              <w:t xml:space="preserve"> peticiones de publicación en virtud del Artículo 6</w:t>
            </w:r>
            <w:r w:rsidRPr="00526311">
              <w:rPr>
                <w:i/>
                <w:color w:val="002060"/>
                <w:sz w:val="16"/>
                <w:szCs w:val="16"/>
                <w:lang w:bidi="th-TH"/>
              </w:rPr>
              <w:t>ter</w:t>
            </w:r>
            <w:r w:rsidRPr="00526311">
              <w:rPr>
                <w:color w:val="002060"/>
                <w:sz w:val="16"/>
                <w:szCs w:val="16"/>
                <w:lang w:bidi="th-TH"/>
              </w:rPr>
              <w:t xml:space="preserve"> tramitadas a fines de 2013.</w:t>
            </w:r>
          </w:p>
          <w:p w:rsidR="00FA423E" w:rsidRPr="00526311" w:rsidRDefault="00FA423E" w:rsidP="00DC1333">
            <w:pPr>
              <w:keepNext/>
              <w:keepLines/>
              <w:rPr>
                <w:i/>
                <w:sz w:val="8"/>
                <w:szCs w:val="8"/>
              </w:rPr>
            </w:pPr>
          </w:p>
          <w:p w:rsidR="00FA423E" w:rsidRPr="00526311" w:rsidRDefault="00FA423E" w:rsidP="00DC1333">
            <w:pPr>
              <w:keepNext/>
              <w:keepLines/>
              <w:rPr>
                <w:sz w:val="16"/>
                <w:szCs w:val="16"/>
                <w:lang w:bidi="th-TH"/>
              </w:rPr>
            </w:pPr>
            <w:r w:rsidRPr="00526311">
              <w:rPr>
                <w:i/>
                <w:sz w:val="16"/>
                <w:szCs w:val="16"/>
              </w:rPr>
              <w:t>Referencia original en el presupuesto de 2014/15</w:t>
            </w:r>
            <w:proofErr w:type="gramStart"/>
            <w:r w:rsidRPr="00526311">
              <w:rPr>
                <w:i/>
                <w:sz w:val="16"/>
                <w:szCs w:val="16"/>
              </w:rPr>
              <w:t xml:space="preserve">:  </w:t>
            </w:r>
            <w:r w:rsidRPr="00526311">
              <w:rPr>
                <w:sz w:val="16"/>
                <w:szCs w:val="16"/>
                <w:lang w:bidi="th-TH"/>
              </w:rPr>
              <w:t>70</w:t>
            </w:r>
            <w:proofErr w:type="gramEnd"/>
            <w:r w:rsidRPr="00526311">
              <w:rPr>
                <w:sz w:val="16"/>
                <w:szCs w:val="16"/>
                <w:lang w:bidi="th-TH"/>
              </w:rPr>
              <w:t xml:space="preserve"> peticiones</w:t>
            </w:r>
            <w:r w:rsidRPr="00526311">
              <w:rPr>
                <w:sz w:val="16"/>
                <w:szCs w:val="16"/>
                <w:vertAlign w:val="superscript"/>
                <w:lang w:bidi="th-TH"/>
              </w:rPr>
              <w:footnoteReference w:id="11"/>
            </w:r>
            <w:r w:rsidRPr="00526311">
              <w:rPr>
                <w:sz w:val="16"/>
                <w:szCs w:val="16"/>
                <w:lang w:bidi="th-TH"/>
              </w:rPr>
              <w:t xml:space="preserve"> de comunicación tramitadas en 2012 en virtud del Artículo 6</w:t>
            </w:r>
            <w:r w:rsidRPr="00526311">
              <w:rPr>
                <w:i/>
                <w:sz w:val="16"/>
                <w:szCs w:val="16"/>
                <w:lang w:bidi="th-TH"/>
              </w:rPr>
              <w:t>ter</w:t>
            </w:r>
            <w:r w:rsidRPr="00526311">
              <w:rPr>
                <w:sz w:val="16"/>
                <w:szCs w:val="16"/>
                <w:lang w:bidi="th-TH"/>
              </w:rPr>
              <w:t>.</w:t>
            </w:r>
          </w:p>
        </w:tc>
        <w:tc>
          <w:tcPr>
            <w:tcW w:w="676" w:type="pct"/>
            <w:gridSpan w:val="2"/>
            <w:tcBorders>
              <w:top w:val="nil"/>
              <w:bottom w:val="nil"/>
            </w:tcBorders>
            <w:shd w:val="clear" w:color="auto" w:fill="auto"/>
            <w:tcMar>
              <w:top w:w="110" w:type="dxa"/>
            </w:tcMar>
          </w:tcPr>
          <w:p w:rsidR="00FA423E" w:rsidRPr="00526311" w:rsidRDefault="00FA423E" w:rsidP="00DC1333">
            <w:pPr>
              <w:keepNext/>
              <w:keepLines/>
              <w:rPr>
                <w:sz w:val="16"/>
                <w:szCs w:val="16"/>
                <w:lang w:bidi="th-TH"/>
              </w:rPr>
            </w:pPr>
            <w:r w:rsidRPr="00526311">
              <w:rPr>
                <w:sz w:val="16"/>
                <w:szCs w:val="16"/>
                <w:lang w:bidi="th-TH"/>
              </w:rPr>
              <w:t>140 peticiones de comunicación tramitadas en virtud del Artículo 6</w:t>
            </w:r>
            <w:r w:rsidRPr="00526311">
              <w:rPr>
                <w:i/>
                <w:sz w:val="16"/>
                <w:szCs w:val="16"/>
                <w:lang w:bidi="th-TH"/>
              </w:rPr>
              <w:t>ter.</w:t>
            </w:r>
          </w:p>
        </w:tc>
        <w:tc>
          <w:tcPr>
            <w:tcW w:w="1076" w:type="pct"/>
            <w:gridSpan w:val="3"/>
            <w:tcBorders>
              <w:top w:val="nil"/>
              <w:bottom w:val="nil"/>
            </w:tcBorders>
            <w:shd w:val="clear" w:color="auto" w:fill="auto"/>
            <w:tcMar>
              <w:top w:w="110" w:type="dxa"/>
            </w:tcMar>
          </w:tcPr>
          <w:p w:rsidR="00FA423E" w:rsidRPr="00526311" w:rsidRDefault="00FA423E" w:rsidP="00DC1333">
            <w:pPr>
              <w:keepNext/>
              <w:keepLines/>
              <w:rPr>
                <w:sz w:val="16"/>
                <w:szCs w:val="16"/>
                <w:lang w:bidi="th-TH"/>
              </w:rPr>
            </w:pPr>
            <w:r w:rsidRPr="00526311">
              <w:rPr>
                <w:sz w:val="16"/>
                <w:szCs w:val="16"/>
                <w:lang w:bidi="th-TH"/>
              </w:rPr>
              <w:t>1</w:t>
            </w:r>
            <w:r>
              <w:rPr>
                <w:sz w:val="16"/>
                <w:szCs w:val="16"/>
                <w:lang w:bidi="th-TH"/>
              </w:rPr>
              <w:t>09</w:t>
            </w:r>
            <w:r w:rsidRPr="00526311">
              <w:rPr>
                <w:sz w:val="16"/>
                <w:szCs w:val="16"/>
                <w:lang w:bidi="th-TH"/>
              </w:rPr>
              <w:t xml:space="preserve"> peticiones de comunicación recibidas y tramitada</w:t>
            </w:r>
            <w:r>
              <w:rPr>
                <w:sz w:val="16"/>
                <w:szCs w:val="16"/>
                <w:lang w:bidi="th-TH"/>
              </w:rPr>
              <w:t>s, de las cuales se publicaron 4</w:t>
            </w:r>
            <w:r w:rsidRPr="00526311">
              <w:rPr>
                <w:sz w:val="16"/>
                <w:szCs w:val="16"/>
                <w:lang w:bidi="th-TH"/>
              </w:rPr>
              <w:t>1.</w:t>
            </w:r>
          </w:p>
        </w:tc>
        <w:tc>
          <w:tcPr>
            <w:tcW w:w="769" w:type="pct"/>
            <w:gridSpan w:val="3"/>
            <w:tcBorders>
              <w:top w:val="nil"/>
              <w:bottom w:val="nil"/>
            </w:tcBorders>
            <w:shd w:val="clear" w:color="auto" w:fill="auto"/>
            <w:tcMar>
              <w:top w:w="110" w:type="dxa"/>
            </w:tcMar>
          </w:tcPr>
          <w:p w:rsidR="00FA423E" w:rsidRPr="00526311" w:rsidRDefault="00FA423E" w:rsidP="00DC1333">
            <w:pPr>
              <w:rPr>
                <w:b/>
                <w:bCs/>
                <w:color w:val="FF0000"/>
                <w:sz w:val="16"/>
                <w:szCs w:val="16"/>
              </w:rPr>
            </w:pPr>
            <w:r>
              <w:rPr>
                <w:rFonts w:eastAsia="Times New Roman"/>
                <w:b/>
                <w:bCs/>
                <w:color w:val="E26B0A"/>
                <w:sz w:val="16"/>
                <w:szCs w:val="16"/>
                <w:lang w:val="en-US" w:eastAsia="en-US"/>
              </w:rPr>
              <w:t>Parcialmente logra</w:t>
            </w:r>
            <w:r w:rsidRPr="00472E7C">
              <w:rPr>
                <w:rFonts w:eastAsia="Times New Roman"/>
                <w:b/>
                <w:bCs/>
                <w:color w:val="E26B0A"/>
                <w:sz w:val="16"/>
                <w:szCs w:val="16"/>
                <w:lang w:val="en-US" w:eastAsia="en-US"/>
              </w:rPr>
              <w:t>d</w:t>
            </w:r>
            <w:r>
              <w:rPr>
                <w:rFonts w:eastAsia="Times New Roman"/>
                <w:b/>
                <w:bCs/>
                <w:color w:val="E26B0A"/>
                <w:sz w:val="16"/>
                <w:szCs w:val="16"/>
                <w:lang w:val="en-US" w:eastAsia="en-US"/>
              </w:rPr>
              <w:t>o</w:t>
            </w:r>
          </w:p>
        </w:tc>
      </w:tr>
      <w:tr w:rsidR="00FA423E" w:rsidRPr="00526311" w:rsidTr="00DC1333">
        <w:trPr>
          <w:cantSplit/>
        </w:trPr>
        <w:tc>
          <w:tcPr>
            <w:tcW w:w="1100" w:type="pct"/>
            <w:tcBorders>
              <w:top w:val="nil"/>
              <w:left w:val="single" w:sz="4" w:space="0" w:color="auto"/>
              <w:bottom w:val="single" w:sz="4" w:space="0" w:color="auto"/>
              <w:right w:val="nil"/>
            </w:tcBorders>
            <w:shd w:val="clear" w:color="auto" w:fill="auto"/>
          </w:tcPr>
          <w:p w:rsidR="00FA423E" w:rsidRPr="00526311" w:rsidRDefault="00FA423E" w:rsidP="00DC1333">
            <w:pPr>
              <w:rPr>
                <w:sz w:val="16"/>
                <w:szCs w:val="16"/>
                <w:lang w:bidi="th-TH"/>
              </w:rPr>
            </w:pPr>
            <w:r w:rsidRPr="00526311">
              <w:rPr>
                <w:sz w:val="16"/>
                <w:szCs w:val="16"/>
                <w:lang w:bidi="th-TH"/>
              </w:rPr>
              <w:t>Número de signos publicados en la base de datos sobre el Artículo 6</w:t>
            </w:r>
            <w:r w:rsidRPr="00526311">
              <w:rPr>
                <w:i/>
                <w:sz w:val="16"/>
                <w:szCs w:val="16"/>
                <w:lang w:bidi="th-TH"/>
              </w:rPr>
              <w:t>ter</w:t>
            </w:r>
            <w:r w:rsidRPr="00526311">
              <w:rPr>
                <w:sz w:val="16"/>
                <w:szCs w:val="16"/>
                <w:lang w:bidi="th-TH"/>
              </w:rPr>
              <w:t>.</w:t>
            </w:r>
          </w:p>
        </w:tc>
        <w:tc>
          <w:tcPr>
            <w:tcW w:w="1378" w:type="pct"/>
            <w:tcBorders>
              <w:top w:val="nil"/>
              <w:left w:val="nil"/>
              <w:bottom w:val="single" w:sz="4" w:space="0" w:color="auto"/>
              <w:right w:val="nil"/>
            </w:tcBorders>
            <w:shd w:val="clear" w:color="auto" w:fill="auto"/>
          </w:tcPr>
          <w:p w:rsidR="00FA423E" w:rsidRPr="00526311" w:rsidRDefault="00FA423E" w:rsidP="00DC1333">
            <w:pPr>
              <w:rPr>
                <w:color w:val="002060"/>
                <w:sz w:val="16"/>
                <w:szCs w:val="16"/>
                <w:lang w:bidi="th-TH"/>
              </w:rPr>
            </w:pPr>
            <w:r w:rsidRPr="00526311">
              <w:rPr>
                <w:i/>
                <w:color w:val="002060"/>
                <w:sz w:val="16"/>
                <w:szCs w:val="16"/>
                <w:lang w:bidi="th-TH"/>
              </w:rPr>
              <w:t>Referencia actualizada a fines de 2013</w:t>
            </w:r>
            <w:proofErr w:type="gramStart"/>
            <w:r w:rsidRPr="00526311">
              <w:rPr>
                <w:i/>
                <w:color w:val="002060"/>
                <w:sz w:val="16"/>
                <w:szCs w:val="16"/>
                <w:lang w:bidi="th-TH"/>
              </w:rPr>
              <w:t xml:space="preserve">: </w:t>
            </w:r>
            <w:r w:rsidRPr="00526311">
              <w:rPr>
                <w:color w:val="002060"/>
                <w:sz w:val="16"/>
                <w:szCs w:val="16"/>
                <w:lang w:bidi="th-TH"/>
              </w:rPr>
              <w:t xml:space="preserve"> 132</w:t>
            </w:r>
            <w:proofErr w:type="gramEnd"/>
            <w:r w:rsidRPr="00526311">
              <w:rPr>
                <w:color w:val="002060"/>
                <w:sz w:val="16"/>
                <w:szCs w:val="16"/>
                <w:lang w:bidi="th-TH"/>
              </w:rPr>
              <w:t xml:space="preserve"> signos publicados </w:t>
            </w:r>
            <w:r w:rsidRPr="00526311">
              <w:rPr>
                <w:sz w:val="16"/>
                <w:szCs w:val="16"/>
                <w:lang w:bidi="th-TH"/>
              </w:rPr>
              <w:t>en la base de datos sobre el Artículo 6</w:t>
            </w:r>
            <w:r w:rsidRPr="00526311">
              <w:rPr>
                <w:i/>
                <w:sz w:val="16"/>
                <w:szCs w:val="16"/>
                <w:lang w:bidi="th-TH"/>
              </w:rPr>
              <w:t>ter</w:t>
            </w:r>
            <w:r w:rsidRPr="00526311">
              <w:rPr>
                <w:sz w:val="16"/>
                <w:szCs w:val="16"/>
                <w:lang w:bidi="th-TH"/>
              </w:rPr>
              <w:t xml:space="preserve"> </w:t>
            </w:r>
            <w:r w:rsidRPr="00526311">
              <w:rPr>
                <w:color w:val="002060"/>
                <w:sz w:val="16"/>
                <w:szCs w:val="16"/>
                <w:lang w:bidi="th-TH"/>
              </w:rPr>
              <w:t>en 2012/13.</w:t>
            </w:r>
          </w:p>
          <w:p w:rsidR="00FA423E" w:rsidRPr="00526311" w:rsidRDefault="00FA423E" w:rsidP="00DC1333">
            <w:pPr>
              <w:rPr>
                <w:i/>
                <w:sz w:val="8"/>
                <w:szCs w:val="8"/>
              </w:rPr>
            </w:pPr>
          </w:p>
          <w:p w:rsidR="00FA423E" w:rsidRPr="00526311" w:rsidRDefault="00FA423E" w:rsidP="00DC1333">
            <w:pPr>
              <w:rPr>
                <w:i/>
                <w:sz w:val="16"/>
                <w:szCs w:val="16"/>
              </w:rPr>
            </w:pPr>
            <w:r w:rsidRPr="00526311">
              <w:rPr>
                <w:i/>
                <w:sz w:val="16"/>
                <w:szCs w:val="16"/>
              </w:rPr>
              <w:t>Referencia original en el presupuesto de 2014/15</w:t>
            </w:r>
            <w:proofErr w:type="gramStart"/>
            <w:r w:rsidRPr="00526311">
              <w:rPr>
                <w:i/>
                <w:sz w:val="16"/>
                <w:szCs w:val="16"/>
              </w:rPr>
              <w:t xml:space="preserve">:  </w:t>
            </w:r>
            <w:r w:rsidRPr="00526311">
              <w:rPr>
                <w:sz w:val="16"/>
                <w:szCs w:val="16"/>
              </w:rPr>
              <w:t>75</w:t>
            </w:r>
            <w:proofErr w:type="gramEnd"/>
            <w:r w:rsidRPr="00526311">
              <w:rPr>
                <w:sz w:val="16"/>
                <w:szCs w:val="16"/>
              </w:rPr>
              <w:t xml:space="preserve"> signos</w:t>
            </w:r>
            <w:r w:rsidRPr="00526311">
              <w:rPr>
                <w:i/>
                <w:sz w:val="16"/>
                <w:szCs w:val="16"/>
                <w:vertAlign w:val="superscript"/>
              </w:rPr>
              <w:footnoteReference w:id="12"/>
            </w:r>
            <w:r w:rsidRPr="00526311">
              <w:rPr>
                <w:sz w:val="16"/>
                <w:szCs w:val="16"/>
              </w:rPr>
              <w:t xml:space="preserve"> publicados en 2012 en la base de datos sobre el Artículo 6</w:t>
            </w:r>
            <w:r w:rsidRPr="00526311">
              <w:rPr>
                <w:i/>
                <w:sz w:val="16"/>
                <w:szCs w:val="16"/>
              </w:rPr>
              <w:t>ter</w:t>
            </w:r>
            <w:r w:rsidRPr="00526311">
              <w:rPr>
                <w:sz w:val="16"/>
                <w:szCs w:val="16"/>
              </w:rPr>
              <w:t>.</w:t>
            </w:r>
            <w:r w:rsidRPr="00526311">
              <w:rPr>
                <w:sz w:val="16"/>
                <w:szCs w:val="16"/>
              </w:rPr>
              <w:br/>
            </w:r>
          </w:p>
        </w:tc>
        <w:tc>
          <w:tcPr>
            <w:tcW w:w="676" w:type="pct"/>
            <w:gridSpan w:val="2"/>
            <w:tcBorders>
              <w:top w:val="nil"/>
              <w:left w:val="nil"/>
              <w:bottom w:val="single" w:sz="4" w:space="0" w:color="auto"/>
              <w:right w:val="nil"/>
            </w:tcBorders>
            <w:shd w:val="clear" w:color="auto" w:fill="auto"/>
            <w:tcMar>
              <w:top w:w="110" w:type="dxa"/>
            </w:tcMar>
          </w:tcPr>
          <w:p w:rsidR="00FA423E" w:rsidRPr="00526311" w:rsidRDefault="00FA423E" w:rsidP="00DC1333">
            <w:pPr>
              <w:rPr>
                <w:sz w:val="16"/>
                <w:szCs w:val="16"/>
                <w:lang w:bidi="th-TH"/>
              </w:rPr>
            </w:pPr>
            <w:r w:rsidRPr="00526311">
              <w:rPr>
                <w:sz w:val="16"/>
                <w:szCs w:val="16"/>
                <w:lang w:bidi="th-TH"/>
              </w:rPr>
              <w:t>150 signos publicados en la base de datos sobre el Artículo 6</w:t>
            </w:r>
            <w:r w:rsidRPr="00526311">
              <w:rPr>
                <w:i/>
                <w:sz w:val="16"/>
                <w:szCs w:val="16"/>
                <w:lang w:bidi="th-TH"/>
              </w:rPr>
              <w:t>ter</w:t>
            </w:r>
            <w:r w:rsidRPr="00526311">
              <w:rPr>
                <w:rStyle w:val="FootnoteReference"/>
                <w:sz w:val="16"/>
                <w:szCs w:val="16"/>
                <w:lang w:bidi="th-TH"/>
              </w:rPr>
              <w:footnoteReference w:id="13"/>
            </w:r>
            <w:r w:rsidRPr="00526311">
              <w:rPr>
                <w:i/>
                <w:sz w:val="16"/>
                <w:szCs w:val="16"/>
                <w:lang w:bidi="th-TH"/>
              </w:rPr>
              <w:t>.</w:t>
            </w:r>
          </w:p>
        </w:tc>
        <w:tc>
          <w:tcPr>
            <w:tcW w:w="1076" w:type="pct"/>
            <w:gridSpan w:val="3"/>
            <w:tcBorders>
              <w:top w:val="nil"/>
              <w:left w:val="nil"/>
              <w:bottom w:val="single" w:sz="4" w:space="0" w:color="auto"/>
              <w:right w:val="nil"/>
            </w:tcBorders>
            <w:shd w:val="clear" w:color="auto" w:fill="auto"/>
            <w:tcMar>
              <w:top w:w="110" w:type="dxa"/>
            </w:tcMar>
          </w:tcPr>
          <w:p w:rsidR="00FA423E" w:rsidRPr="00526311" w:rsidRDefault="00FA423E" w:rsidP="00DC1333">
            <w:pPr>
              <w:rPr>
                <w:sz w:val="16"/>
                <w:szCs w:val="16"/>
                <w:lang w:bidi="th-TH"/>
              </w:rPr>
            </w:pPr>
            <w:r>
              <w:rPr>
                <w:sz w:val="16"/>
                <w:szCs w:val="16"/>
                <w:lang w:bidi="th-TH"/>
              </w:rPr>
              <w:t>1</w:t>
            </w:r>
            <w:r w:rsidRPr="00526311">
              <w:rPr>
                <w:sz w:val="16"/>
                <w:szCs w:val="16"/>
                <w:lang w:bidi="th-TH"/>
              </w:rPr>
              <w:t>49</w:t>
            </w:r>
            <w:r>
              <w:rPr>
                <w:sz w:val="16"/>
                <w:szCs w:val="16"/>
                <w:lang w:bidi="th-TH"/>
              </w:rPr>
              <w:t xml:space="preserve"> nuevos signos publicados</w:t>
            </w:r>
          </w:p>
          <w:p w:rsidR="00FA423E" w:rsidRPr="00526311" w:rsidRDefault="00FA423E" w:rsidP="00DC1333">
            <w:pPr>
              <w:rPr>
                <w:sz w:val="16"/>
                <w:szCs w:val="16"/>
                <w:lang w:bidi="th-TH"/>
              </w:rPr>
            </w:pPr>
          </w:p>
          <w:p w:rsidR="00FA423E" w:rsidRPr="00526311" w:rsidRDefault="00FA423E" w:rsidP="00DC1333">
            <w:pPr>
              <w:rPr>
                <w:sz w:val="16"/>
                <w:szCs w:val="16"/>
                <w:lang w:bidi="th-TH"/>
              </w:rPr>
            </w:pPr>
            <w:r>
              <w:rPr>
                <w:sz w:val="16"/>
                <w:szCs w:val="16"/>
                <w:lang w:bidi="th-TH"/>
              </w:rPr>
              <w:t>Un total de 3.1</w:t>
            </w:r>
            <w:r w:rsidRPr="00526311">
              <w:rPr>
                <w:sz w:val="16"/>
                <w:szCs w:val="16"/>
                <w:lang w:bidi="th-TH"/>
              </w:rPr>
              <w:t>57 signos contenidos en la base de datos sobre el Artículo</w:t>
            </w:r>
            <w:r w:rsidRPr="00526311">
              <w:rPr>
                <w:sz w:val="16"/>
                <w:szCs w:val="16"/>
              </w:rPr>
              <w:t xml:space="preserve"> 6</w:t>
            </w:r>
            <w:r w:rsidRPr="00526311">
              <w:rPr>
                <w:i/>
                <w:sz w:val="16"/>
                <w:szCs w:val="16"/>
              </w:rPr>
              <w:t>ter</w:t>
            </w:r>
            <w:r>
              <w:rPr>
                <w:sz w:val="16"/>
                <w:szCs w:val="16"/>
              </w:rPr>
              <w:t xml:space="preserve"> a finales de 2015</w:t>
            </w:r>
            <w:r w:rsidRPr="00526311">
              <w:rPr>
                <w:sz w:val="16"/>
                <w:szCs w:val="16"/>
              </w:rPr>
              <w:t>.</w:t>
            </w:r>
          </w:p>
        </w:tc>
        <w:tc>
          <w:tcPr>
            <w:tcW w:w="769" w:type="pct"/>
            <w:gridSpan w:val="3"/>
            <w:tcBorders>
              <w:top w:val="nil"/>
              <w:left w:val="nil"/>
              <w:bottom w:val="single" w:sz="4" w:space="0" w:color="auto"/>
              <w:right w:val="single" w:sz="4" w:space="0" w:color="auto"/>
            </w:tcBorders>
            <w:shd w:val="clear" w:color="auto" w:fill="auto"/>
          </w:tcPr>
          <w:p w:rsidR="00FA423E" w:rsidRPr="00526311" w:rsidRDefault="00FA423E" w:rsidP="00DC1333">
            <w:pPr>
              <w:rPr>
                <w:b/>
                <w:color w:val="FF0000"/>
                <w:sz w:val="16"/>
                <w:szCs w:val="16"/>
              </w:rPr>
            </w:pPr>
            <w:r>
              <w:rPr>
                <w:b/>
                <w:color w:val="00B050"/>
                <w:sz w:val="16"/>
                <w:szCs w:val="16"/>
              </w:rPr>
              <w:t>Plenamente logrado</w:t>
            </w:r>
          </w:p>
        </w:tc>
      </w:tr>
    </w:tbl>
    <w:p w:rsidR="00FA423E" w:rsidRPr="005E6E76" w:rsidRDefault="00FA423E" w:rsidP="00FA423E">
      <w:pPr>
        <w:jc w:val="both"/>
        <w:rPr>
          <w:sz w:val="20"/>
        </w:rPr>
      </w:pPr>
    </w:p>
    <w:p w:rsidR="00FA423E" w:rsidRPr="005E6E76" w:rsidRDefault="00FA423E" w:rsidP="00FA423E">
      <w:pPr>
        <w:jc w:val="both"/>
        <w:rPr>
          <w:sz w:val="20"/>
        </w:rPr>
      </w:pPr>
    </w:p>
    <w:p w:rsidR="00FA423E" w:rsidRDefault="008F7CBE" w:rsidP="00FA423E">
      <w:pPr>
        <w:keepNext/>
        <w:keepLines/>
        <w:rPr>
          <w:color w:val="000000"/>
          <w:szCs w:val="22"/>
        </w:rPr>
      </w:pPr>
      <w:r w:rsidRPr="008F7CBE">
        <w:rPr>
          <w:sz w:val="20"/>
        </w:rPr>
        <w:lastRenderedPageBreak/>
        <w:t>INFORMACIÓN SOBRE LOS RIESGOS PLANTEADOS EN EL BIENIO</w:t>
      </w:r>
    </w:p>
    <w:p w:rsidR="00FA423E" w:rsidRPr="005E6E76" w:rsidRDefault="00FA423E" w:rsidP="00FA423E">
      <w:pPr>
        <w:keepNext/>
        <w:keepLines/>
        <w:rPr>
          <w:color w:val="000000"/>
          <w:sz w:val="20"/>
        </w:rPr>
      </w:pPr>
    </w:p>
    <w:tbl>
      <w:tblPr>
        <w:tblW w:w="9900" w:type="dxa"/>
        <w:tblInd w:w="108" w:type="dxa"/>
        <w:tblLook w:val="01E0" w:firstRow="1" w:lastRow="1" w:firstColumn="1" w:lastColumn="1" w:noHBand="0" w:noVBand="0"/>
      </w:tblPr>
      <w:tblGrid>
        <w:gridCol w:w="2420"/>
        <w:gridCol w:w="2200"/>
        <w:gridCol w:w="2310"/>
        <w:gridCol w:w="2970"/>
      </w:tblGrid>
      <w:tr w:rsidR="00FA423E" w:rsidRPr="001D4B59" w:rsidTr="00DC1333">
        <w:trPr>
          <w:trHeight w:val="314"/>
        </w:trPr>
        <w:tc>
          <w:tcPr>
            <w:tcW w:w="2420" w:type="dxa"/>
            <w:tcBorders>
              <w:top w:val="single" w:sz="4" w:space="0" w:color="auto"/>
              <w:left w:val="single" w:sz="4" w:space="0" w:color="auto"/>
              <w:bottom w:val="single" w:sz="4" w:space="0" w:color="auto"/>
            </w:tcBorders>
            <w:shd w:val="clear" w:color="auto" w:fill="C6D9F1" w:themeFill="text2" w:themeFillTint="33"/>
            <w:tcMar>
              <w:top w:w="113" w:type="dxa"/>
              <w:bottom w:w="113" w:type="dxa"/>
            </w:tcMar>
            <w:vAlign w:val="center"/>
          </w:tcPr>
          <w:p w:rsidR="00FA423E" w:rsidRPr="001D4B59" w:rsidRDefault="00FA423E" w:rsidP="00DC1333">
            <w:pPr>
              <w:keepNext/>
              <w:autoSpaceDE w:val="0"/>
              <w:autoSpaceDN w:val="0"/>
              <w:adjustRightInd w:val="0"/>
              <w:ind w:right="-59"/>
              <w:jc w:val="center"/>
              <w:rPr>
                <w:b/>
                <w:bCs/>
                <w:iCs/>
                <w:sz w:val="18"/>
                <w:szCs w:val="18"/>
              </w:rPr>
            </w:pPr>
            <w:r w:rsidRPr="003454A6">
              <w:rPr>
                <w:b/>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FA423E" w:rsidRPr="001D4B59" w:rsidRDefault="00FA423E" w:rsidP="00DC1333">
            <w:pPr>
              <w:keepNext/>
              <w:autoSpaceDE w:val="0"/>
              <w:autoSpaceDN w:val="0"/>
              <w:adjustRightInd w:val="0"/>
              <w:ind w:right="-59"/>
              <w:jc w:val="center"/>
              <w:rPr>
                <w:b/>
                <w:bCs/>
                <w:iCs/>
                <w:sz w:val="18"/>
                <w:szCs w:val="18"/>
              </w:rPr>
            </w:pPr>
            <w:r w:rsidRPr="003454A6">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FA423E" w:rsidRPr="001D4B59" w:rsidRDefault="00FA423E" w:rsidP="00DC1333">
            <w:pPr>
              <w:keepNext/>
              <w:jc w:val="center"/>
              <w:rPr>
                <w:b/>
                <w:bCs/>
                <w:sz w:val="18"/>
                <w:szCs w:val="18"/>
              </w:rPr>
            </w:pPr>
            <w:r w:rsidRPr="003454A6">
              <w:rPr>
                <w:b/>
                <w:bCs/>
                <w:iCs/>
                <w:sz w:val="18"/>
                <w:szCs w:val="18"/>
              </w:rPr>
              <w:t>Evolución de los riesgos y estrategias de mitigaci</w:t>
            </w:r>
            <w:r>
              <w:rPr>
                <w:b/>
                <w:bCs/>
                <w:iCs/>
                <w:sz w:val="18"/>
                <w:szCs w:val="18"/>
              </w:rPr>
              <w:t>ón durante el bienio</w:t>
            </w:r>
          </w:p>
        </w:tc>
        <w:tc>
          <w:tcPr>
            <w:tcW w:w="2970" w:type="dxa"/>
            <w:tcBorders>
              <w:top w:val="single" w:sz="4" w:space="0" w:color="auto"/>
              <w:bottom w:val="single" w:sz="4" w:space="0" w:color="auto"/>
              <w:right w:val="single" w:sz="4" w:space="0" w:color="auto"/>
            </w:tcBorders>
            <w:shd w:val="clear" w:color="auto" w:fill="C6D9F1" w:themeFill="text2" w:themeFillTint="33"/>
          </w:tcPr>
          <w:p w:rsidR="00FA423E" w:rsidRPr="001D4B59" w:rsidRDefault="00FA423E" w:rsidP="00DC1333">
            <w:pPr>
              <w:keepNext/>
              <w:jc w:val="center"/>
              <w:rPr>
                <w:b/>
                <w:bCs/>
                <w:sz w:val="18"/>
                <w:szCs w:val="18"/>
              </w:rPr>
            </w:pPr>
            <w:r w:rsidRPr="001D4B59">
              <w:rPr>
                <w:b/>
                <w:bCs/>
                <w:iCs/>
                <w:sz w:val="18"/>
                <w:szCs w:val="18"/>
              </w:rPr>
              <w:t>Incidencia en el rendimiento del programa</w:t>
            </w:r>
          </w:p>
        </w:tc>
      </w:tr>
      <w:tr w:rsidR="00FA423E" w:rsidRPr="00CD775E" w:rsidTr="00DC1333">
        <w:trPr>
          <w:trHeight w:val="1219"/>
        </w:trPr>
        <w:tc>
          <w:tcPr>
            <w:tcW w:w="2420" w:type="dxa"/>
            <w:tcBorders>
              <w:top w:val="single" w:sz="4" w:space="0" w:color="auto"/>
              <w:left w:val="single" w:sz="4" w:space="0" w:color="auto"/>
              <w:bottom w:val="single" w:sz="4" w:space="0" w:color="auto"/>
            </w:tcBorders>
            <w:shd w:val="clear" w:color="auto" w:fill="auto"/>
            <w:tcMar>
              <w:top w:w="113" w:type="dxa"/>
              <w:bottom w:w="113" w:type="dxa"/>
            </w:tcMar>
          </w:tcPr>
          <w:p w:rsidR="00FA423E" w:rsidRPr="006A1112" w:rsidRDefault="00FA423E" w:rsidP="00DC1333">
            <w:pPr>
              <w:keepNext/>
              <w:rPr>
                <w:sz w:val="16"/>
                <w:szCs w:val="16"/>
              </w:rPr>
            </w:pPr>
            <w:r w:rsidRPr="006A1112">
              <w:rPr>
                <w:sz w:val="16"/>
                <w:szCs w:val="16"/>
              </w:rPr>
              <w:t>La forja de acuerdos a escala multilateral sigue siendo ardua y la conclusión satisfactoria de las actividades normativas en el marco del programa 2 dependerá en gran medida de la voluntad de los Estados miembros de definir resultados mutuamente convenidos</w:t>
            </w:r>
            <w:r>
              <w:rPr>
                <w:sz w:val="16"/>
                <w:szCs w:val="16"/>
              </w:rPr>
              <w:t>.</w:t>
            </w:r>
          </w:p>
        </w:tc>
        <w:tc>
          <w:tcPr>
            <w:tcW w:w="2200" w:type="dxa"/>
            <w:tcBorders>
              <w:top w:val="single" w:sz="4" w:space="0" w:color="auto"/>
              <w:bottom w:val="single" w:sz="4" w:space="0" w:color="auto"/>
            </w:tcBorders>
            <w:shd w:val="clear" w:color="auto" w:fill="auto"/>
            <w:tcMar>
              <w:top w:w="113" w:type="dxa"/>
              <w:bottom w:w="113" w:type="dxa"/>
            </w:tcMar>
          </w:tcPr>
          <w:p w:rsidR="00FA423E" w:rsidRPr="00EB76D1" w:rsidRDefault="00FA423E" w:rsidP="00DC1333">
            <w:pPr>
              <w:keepNext/>
              <w:autoSpaceDE w:val="0"/>
              <w:autoSpaceDN w:val="0"/>
              <w:adjustRightInd w:val="0"/>
              <w:ind w:right="-59"/>
              <w:rPr>
                <w:sz w:val="16"/>
                <w:szCs w:val="16"/>
              </w:rPr>
            </w:pPr>
            <w:r w:rsidRPr="00EB76D1">
              <w:rPr>
                <w:sz w:val="16"/>
                <w:szCs w:val="16"/>
              </w:rPr>
              <w:t>Se trata de un riesgo inherente a toda act</w:t>
            </w:r>
            <w:r>
              <w:rPr>
                <w:sz w:val="16"/>
                <w:szCs w:val="16"/>
              </w:rPr>
              <w:t>ividad de elaboración de normas</w:t>
            </w:r>
            <w:r w:rsidRPr="00EB76D1">
              <w:rPr>
                <w:sz w:val="16"/>
                <w:szCs w:val="16"/>
              </w:rPr>
              <w:t xml:space="preserve"> que, por su naturaleza, habrá que asumir en el programa.  Sin embargo, en determinadas actividades programáticas, en particular las sesiones del SCT, cabrá el diálogo e intercambio de puntos de vista a fin de señalar los ámbitos de entendimiento común y los posibles resultados en que se haya llegado a un acuerdo.</w:t>
            </w:r>
          </w:p>
        </w:tc>
        <w:tc>
          <w:tcPr>
            <w:tcW w:w="2310" w:type="dxa"/>
            <w:tcBorders>
              <w:top w:val="single" w:sz="4" w:space="0" w:color="auto"/>
              <w:bottom w:val="single" w:sz="4" w:space="0" w:color="auto"/>
            </w:tcBorders>
          </w:tcPr>
          <w:p w:rsidR="00FA423E" w:rsidRPr="008828B7" w:rsidRDefault="00FA423E" w:rsidP="00DC1333">
            <w:pPr>
              <w:keepNext/>
              <w:autoSpaceDE w:val="0"/>
              <w:autoSpaceDN w:val="0"/>
              <w:adjustRightInd w:val="0"/>
              <w:ind w:right="-59"/>
              <w:rPr>
                <w:sz w:val="16"/>
                <w:szCs w:val="16"/>
              </w:rPr>
            </w:pPr>
            <w:r w:rsidRPr="008828B7">
              <w:rPr>
                <w:sz w:val="16"/>
                <w:szCs w:val="16"/>
              </w:rPr>
              <w:t>El riesgo general descrito para el programa no ha cambiado sustancialmente durante el per</w:t>
            </w:r>
            <w:r>
              <w:rPr>
                <w:sz w:val="16"/>
                <w:szCs w:val="16"/>
              </w:rPr>
              <w:t xml:space="preserve">íodo objeto de examen, y se debe considerar constante.  </w:t>
            </w:r>
            <w:r w:rsidRPr="008828B7">
              <w:rPr>
                <w:sz w:val="16"/>
                <w:szCs w:val="16"/>
              </w:rPr>
              <w:t xml:space="preserve">Lo mismo se puede decir de los planes de mitigación </w:t>
            </w:r>
            <w:r>
              <w:rPr>
                <w:sz w:val="16"/>
                <w:szCs w:val="16"/>
              </w:rPr>
              <w:t>ejecutados</w:t>
            </w:r>
            <w:r w:rsidRPr="008828B7">
              <w:rPr>
                <w:sz w:val="16"/>
                <w:szCs w:val="16"/>
              </w:rPr>
              <w:t>, que seguir</w:t>
            </w:r>
            <w:r>
              <w:rPr>
                <w:sz w:val="16"/>
                <w:szCs w:val="16"/>
              </w:rPr>
              <w:t>án siendo pertinentes durante el bienio 2016/17</w:t>
            </w:r>
            <w:r w:rsidRPr="008828B7">
              <w:rPr>
                <w:sz w:val="16"/>
                <w:szCs w:val="16"/>
              </w:rPr>
              <w:t>.</w:t>
            </w:r>
          </w:p>
        </w:tc>
        <w:tc>
          <w:tcPr>
            <w:tcW w:w="2970" w:type="dxa"/>
            <w:tcBorders>
              <w:top w:val="single" w:sz="4" w:space="0" w:color="auto"/>
              <w:bottom w:val="single" w:sz="4" w:space="0" w:color="auto"/>
              <w:right w:val="single" w:sz="4" w:space="0" w:color="auto"/>
            </w:tcBorders>
          </w:tcPr>
          <w:p w:rsidR="00FA423E" w:rsidRPr="00CD775E" w:rsidRDefault="00FA423E" w:rsidP="00DC1333">
            <w:pPr>
              <w:keepNext/>
              <w:autoSpaceDE w:val="0"/>
              <w:autoSpaceDN w:val="0"/>
              <w:adjustRightInd w:val="0"/>
              <w:ind w:right="-59"/>
              <w:rPr>
                <w:sz w:val="16"/>
                <w:szCs w:val="16"/>
              </w:rPr>
            </w:pPr>
            <w:r w:rsidRPr="00846B62">
              <w:rPr>
                <w:sz w:val="16"/>
                <w:szCs w:val="16"/>
              </w:rPr>
              <w:t xml:space="preserve">Los riesgos inherentes a las actividades normativas del presente Programa se mitigan constantemente mediante el diálogo y el intercambio de opiniones que posibilitan las sesiones del SCT y la Asamblea General de la OMPI. </w:t>
            </w:r>
            <w:r>
              <w:rPr>
                <w:sz w:val="16"/>
                <w:szCs w:val="16"/>
              </w:rPr>
              <w:t xml:space="preserve"> </w:t>
            </w:r>
            <w:r w:rsidRPr="00CD775E">
              <w:rPr>
                <w:sz w:val="16"/>
                <w:szCs w:val="16"/>
              </w:rPr>
              <w:t xml:space="preserve">Por lo tanto, aun cuando no se logró el objetivo principal de la actividad normativa </w:t>
            </w:r>
            <w:r>
              <w:rPr>
                <w:sz w:val="16"/>
                <w:szCs w:val="16"/>
              </w:rPr>
              <w:t xml:space="preserve">en el marco del Programa 2 </w:t>
            </w:r>
            <w:r w:rsidRPr="00CD775E">
              <w:rPr>
                <w:sz w:val="16"/>
                <w:szCs w:val="16"/>
              </w:rPr>
              <w:t>(es decir, concluir un tratado sobre el Derecho de los diseños</w:t>
            </w:r>
            <w:r>
              <w:rPr>
                <w:sz w:val="16"/>
                <w:szCs w:val="16"/>
              </w:rPr>
              <w:t>), se lograron avances considerables, en particular en el cuadragésimo séptimo período de sesiones de la Asamblea General de la OMPI.</w:t>
            </w:r>
          </w:p>
        </w:tc>
      </w:tr>
    </w:tbl>
    <w:p w:rsidR="00FA423E" w:rsidRPr="005E6E76" w:rsidRDefault="00FA423E" w:rsidP="00FA423E">
      <w:pPr>
        <w:jc w:val="both"/>
        <w:rPr>
          <w:sz w:val="20"/>
        </w:rPr>
      </w:pPr>
    </w:p>
    <w:p w:rsidR="00FA423E" w:rsidRPr="005E6E76" w:rsidRDefault="00FA423E" w:rsidP="00FA423E">
      <w:pPr>
        <w:jc w:val="both"/>
        <w:rPr>
          <w:sz w:val="20"/>
        </w:rPr>
      </w:pPr>
    </w:p>
    <w:p w:rsidR="00FA423E" w:rsidRPr="00526311" w:rsidRDefault="00403D2C" w:rsidP="00FA423E">
      <w:pPr>
        <w:rPr>
          <w:b/>
          <w:sz w:val="18"/>
          <w:szCs w:val="18"/>
        </w:rPr>
      </w:pPr>
      <w:r w:rsidRPr="00403D2C">
        <w:rPr>
          <w:sz w:val="20"/>
          <w:szCs w:val="22"/>
        </w:rPr>
        <w:t>UTILIZACIÓN DE LOS RECURSOS</w:t>
      </w:r>
    </w:p>
    <w:p w:rsidR="00FA423E" w:rsidRPr="00526311" w:rsidRDefault="00FA423E" w:rsidP="00FA423E">
      <w:pPr>
        <w:rPr>
          <w:sz w:val="20"/>
        </w:rPr>
      </w:pPr>
    </w:p>
    <w:p w:rsidR="00FA423E" w:rsidRPr="00526311" w:rsidRDefault="00FA423E" w:rsidP="00FA423E">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FA423E" w:rsidRPr="00526311" w:rsidRDefault="00FA423E" w:rsidP="00FA423E">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423E" w:rsidRPr="00526311" w:rsidRDefault="00FA423E" w:rsidP="00FA423E">
      <w:pPr>
        <w:pStyle w:val="NormalWeb"/>
        <w:spacing w:before="0" w:beforeAutospacing="0" w:after="0" w:afterAutospacing="0"/>
        <w:jc w:val="center"/>
        <w:rPr>
          <w:i/>
          <w:iCs/>
          <w:sz w:val="16"/>
          <w:szCs w:val="20"/>
          <w:lang w:val="es-ES"/>
        </w:rPr>
      </w:pPr>
    </w:p>
    <w:p w:rsidR="00FA423E" w:rsidRPr="00526311" w:rsidRDefault="00FA423E" w:rsidP="00FA423E">
      <w:pPr>
        <w:jc w:val="center"/>
        <w:rPr>
          <w:sz w:val="20"/>
        </w:rPr>
      </w:pPr>
      <w:bookmarkStart w:id="59" w:name="Bm2"/>
      <w:bookmarkStart w:id="60" w:name="Punto2"/>
      <w:r>
        <w:rPr>
          <w:noProof/>
          <w:lang w:val="en-US" w:eastAsia="en-US"/>
        </w:rPr>
        <w:drawing>
          <wp:inline distT="0" distB="0" distL="0" distR="0" wp14:anchorId="1E1C7D41" wp14:editId="45FDE135">
            <wp:extent cx="56769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2857500"/>
                    </a:xfrm>
                    <a:prstGeom prst="rect">
                      <a:avLst/>
                    </a:prstGeom>
                    <a:noFill/>
                    <a:ln>
                      <a:noFill/>
                    </a:ln>
                  </pic:spPr>
                </pic:pic>
              </a:graphicData>
            </a:graphic>
          </wp:inline>
        </w:drawing>
      </w:r>
      <w:bookmarkEnd w:id="59"/>
      <w:bookmarkEnd w:id="60"/>
    </w:p>
    <w:p w:rsidR="00FA423E" w:rsidRDefault="00FA423E" w:rsidP="00FA423E">
      <w:pPr>
        <w:rPr>
          <w:sz w:val="20"/>
        </w:rPr>
      </w:pPr>
    </w:p>
    <w:p w:rsidR="00FA423E" w:rsidRPr="00526311" w:rsidRDefault="00FA423E" w:rsidP="00FA423E">
      <w:pPr>
        <w:rPr>
          <w:sz w:val="20"/>
        </w:rPr>
      </w:pPr>
    </w:p>
    <w:p w:rsidR="00FA423E" w:rsidRPr="00526311" w:rsidRDefault="00FA423E" w:rsidP="00FA423E">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A423E" w:rsidRPr="00526311" w:rsidRDefault="00FA423E" w:rsidP="00FA423E">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423E" w:rsidRPr="00526311" w:rsidRDefault="00FA423E" w:rsidP="00FA423E">
      <w:pPr>
        <w:pStyle w:val="NormalWeb"/>
        <w:keepNext/>
        <w:keepLines/>
        <w:spacing w:before="0" w:beforeAutospacing="0" w:after="0" w:afterAutospacing="0"/>
        <w:jc w:val="center"/>
        <w:rPr>
          <w:i/>
          <w:iCs/>
          <w:sz w:val="16"/>
          <w:szCs w:val="20"/>
          <w:lang w:val="es-ES"/>
        </w:rPr>
      </w:pPr>
    </w:p>
    <w:p w:rsidR="00FA423E" w:rsidRPr="00526311" w:rsidRDefault="00FA423E" w:rsidP="00FA423E">
      <w:pPr>
        <w:jc w:val="center"/>
        <w:rPr>
          <w:i/>
          <w:sz w:val="16"/>
          <w:szCs w:val="16"/>
        </w:rPr>
      </w:pPr>
      <w:bookmarkStart w:id="61" w:name="Point2"/>
      <w:r>
        <w:rPr>
          <w:noProof/>
          <w:lang w:val="en-US" w:eastAsia="en-US"/>
        </w:rPr>
        <w:drawing>
          <wp:inline distT="0" distB="0" distL="0" distR="0" wp14:anchorId="37B589BE" wp14:editId="4A720F8C">
            <wp:extent cx="5940425" cy="1017996"/>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1017996"/>
                    </a:xfrm>
                    <a:prstGeom prst="rect">
                      <a:avLst/>
                    </a:prstGeom>
                    <a:noFill/>
                    <a:ln>
                      <a:noFill/>
                    </a:ln>
                  </pic:spPr>
                </pic:pic>
              </a:graphicData>
            </a:graphic>
          </wp:inline>
        </w:drawing>
      </w:r>
      <w:bookmarkEnd w:id="61"/>
    </w:p>
    <w:p w:rsidR="00FA423E" w:rsidRPr="005E6E76" w:rsidRDefault="00FA423E" w:rsidP="00FA423E">
      <w:pPr>
        <w:rPr>
          <w:sz w:val="20"/>
        </w:rPr>
      </w:pPr>
    </w:p>
    <w:p w:rsidR="00FA423E" w:rsidRPr="005E6E76" w:rsidRDefault="00FA423E" w:rsidP="00FA423E">
      <w:pPr>
        <w:rPr>
          <w:sz w:val="20"/>
        </w:rPr>
      </w:pPr>
    </w:p>
    <w:p w:rsidR="00FA423E" w:rsidRPr="00526311" w:rsidRDefault="00403D2C" w:rsidP="00FA423E">
      <w:pPr>
        <w:keepNext/>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FA423E" w:rsidRPr="00526311" w:rsidRDefault="00FA423E" w:rsidP="00FA423E">
      <w:pPr>
        <w:keepNext/>
        <w:autoSpaceDE w:val="0"/>
        <w:autoSpaceDN w:val="0"/>
        <w:jc w:val="both"/>
        <w:rPr>
          <w:sz w:val="20"/>
          <w:lang w:eastAsia="ko-KR"/>
        </w:rPr>
      </w:pPr>
    </w:p>
    <w:p w:rsidR="00FA423E" w:rsidRPr="003F6D40" w:rsidRDefault="00FA423E" w:rsidP="00FA423E">
      <w:pPr>
        <w:pStyle w:val="ListParagraph"/>
        <w:keepNext/>
        <w:numPr>
          <w:ilvl w:val="0"/>
          <w:numId w:val="12"/>
        </w:numPr>
        <w:tabs>
          <w:tab w:val="left" w:pos="709"/>
        </w:tabs>
        <w:autoSpaceDE w:val="0"/>
        <w:autoSpaceDN w:val="0"/>
        <w:ind w:left="0" w:firstLine="0"/>
        <w:jc w:val="both"/>
        <w:rPr>
          <w:rFonts w:cs="Arial"/>
          <w:lang w:val="es-ES" w:eastAsia="ko-KR"/>
        </w:rPr>
      </w:pPr>
      <w:r w:rsidRPr="00416E14">
        <w:rPr>
          <w:rFonts w:eastAsia="Batang" w:cs="Arial"/>
          <w:lang w:val="es-ES" w:eastAsia="ko-KR"/>
        </w:rPr>
        <w:t>En</w:t>
      </w:r>
      <w:r w:rsidRPr="00526311">
        <w:rPr>
          <w:rFonts w:eastAsia="Batang"/>
          <w:lang w:val="es-ES" w:eastAsia="ko-KR"/>
        </w:rPr>
        <w:t xml:space="preserve"> el presupuesto </w:t>
      </w:r>
      <w:r>
        <w:rPr>
          <w:rFonts w:eastAsia="Batang"/>
          <w:lang w:val="es-ES" w:eastAsia="ko-KR"/>
        </w:rPr>
        <w:t xml:space="preserve">final </w:t>
      </w:r>
      <w:r w:rsidRPr="00526311">
        <w:rPr>
          <w:rFonts w:eastAsia="Batang"/>
          <w:lang w:val="es-ES" w:eastAsia="ko-KR"/>
        </w:rPr>
        <w:t xml:space="preserve">de </w:t>
      </w:r>
      <w:r>
        <w:rPr>
          <w:rFonts w:eastAsia="Batang"/>
          <w:lang w:val="es-ES" w:eastAsia="ko-KR"/>
        </w:rPr>
        <w:t>2014/15 tras las transferencias</w:t>
      </w:r>
      <w:r w:rsidRPr="00526311">
        <w:rPr>
          <w:rFonts w:eastAsia="Batang"/>
          <w:lang w:val="es-ES" w:eastAsia="ko-KR"/>
        </w:rPr>
        <w:t xml:space="preserve"> la disminución de recursos relativos al resultado I.1 (Elaboración de marcos normativos internacionales equilibrados para la P</w:t>
      </w:r>
      <w:r>
        <w:rPr>
          <w:rFonts w:eastAsia="Batang"/>
          <w:lang w:val="es-ES" w:eastAsia="ko-KR"/>
        </w:rPr>
        <w:t>.I.) se debe a la transferencia</w:t>
      </w:r>
      <w:r w:rsidRPr="00526311">
        <w:rPr>
          <w:rFonts w:eastAsia="Batang"/>
          <w:lang w:val="es-ES" w:eastAsia="ko-KR"/>
        </w:rPr>
        <w:t xml:space="preserve"> </w:t>
      </w:r>
      <w:r>
        <w:rPr>
          <w:rFonts w:eastAsia="Batang"/>
          <w:lang w:val="es-ES" w:eastAsia="ko-KR"/>
        </w:rPr>
        <w:t>desde el programa</w:t>
      </w:r>
      <w:r w:rsidRPr="00526311">
        <w:rPr>
          <w:rFonts w:eastAsia="Batang"/>
          <w:lang w:val="es-ES" w:eastAsia="ko-KR"/>
        </w:rPr>
        <w:t xml:space="preserve"> de recursos</w:t>
      </w:r>
      <w:r w:rsidRPr="00526311">
        <w:rPr>
          <w:rFonts w:eastAsia="Batang"/>
          <w:szCs w:val="24"/>
          <w:lang w:val="es-ES" w:eastAsia="ko-KR"/>
        </w:rPr>
        <w:t xml:space="preserve"> </w:t>
      </w:r>
      <w:r w:rsidRPr="00526311">
        <w:rPr>
          <w:rFonts w:eastAsia="Batang"/>
          <w:lang w:val="es-ES" w:eastAsia="ko-KR"/>
        </w:rPr>
        <w:t xml:space="preserve">no relativos a personal inicialmente presupuestados </w:t>
      </w:r>
      <w:r>
        <w:rPr>
          <w:rFonts w:eastAsia="Batang"/>
          <w:lang w:val="es-ES" w:eastAsia="ko-KR"/>
        </w:rPr>
        <w:t>en previsión de que se celebrara</w:t>
      </w:r>
      <w:r w:rsidRPr="00526311">
        <w:rPr>
          <w:rFonts w:eastAsia="Batang"/>
          <w:lang w:val="es-ES" w:eastAsia="ko-KR"/>
        </w:rPr>
        <w:t xml:space="preserve"> una conferencia diplomática.</w:t>
      </w:r>
    </w:p>
    <w:p w:rsidR="00FA423E" w:rsidRPr="003F6D40" w:rsidRDefault="00FA423E" w:rsidP="00FA423E">
      <w:pPr>
        <w:pStyle w:val="ListParagraph"/>
        <w:tabs>
          <w:tab w:val="left" w:pos="709"/>
        </w:tabs>
        <w:autoSpaceDE w:val="0"/>
        <w:autoSpaceDN w:val="0"/>
        <w:ind w:left="0"/>
        <w:jc w:val="both"/>
        <w:rPr>
          <w:rFonts w:cs="Arial"/>
          <w:lang w:val="es-ES" w:eastAsia="ko-KR"/>
        </w:rPr>
      </w:pPr>
    </w:p>
    <w:p w:rsidR="00FA423E" w:rsidRDefault="00FA423E" w:rsidP="00FA423E">
      <w:pPr>
        <w:pStyle w:val="ListParagraph"/>
        <w:numPr>
          <w:ilvl w:val="0"/>
          <w:numId w:val="12"/>
        </w:numPr>
        <w:tabs>
          <w:tab w:val="left" w:pos="709"/>
        </w:tabs>
        <w:autoSpaceDE w:val="0"/>
        <w:autoSpaceDN w:val="0"/>
        <w:ind w:left="0" w:firstLine="0"/>
        <w:jc w:val="both"/>
        <w:rPr>
          <w:rFonts w:cs="Arial"/>
          <w:lang w:val="es-ES" w:eastAsia="ko-KR"/>
        </w:rPr>
      </w:pPr>
      <w:r>
        <w:rPr>
          <w:rFonts w:cs="Arial"/>
          <w:lang w:val="es-ES" w:eastAsia="ko-KR"/>
        </w:rPr>
        <w:t>El ligero aumento de recursos de personal que figura en el presupuesto final de 2014/15 tras las transferencias se debe a que un puesto se reclasificó a una categoría superior.</w:t>
      </w:r>
    </w:p>
    <w:p w:rsidR="00FA423E" w:rsidRPr="000441EB" w:rsidRDefault="00FA423E" w:rsidP="00FA423E">
      <w:pPr>
        <w:pStyle w:val="ListParagraph"/>
        <w:rPr>
          <w:rFonts w:cs="Arial"/>
          <w:lang w:val="es-ES" w:eastAsia="ko-KR"/>
        </w:rPr>
      </w:pPr>
    </w:p>
    <w:p w:rsidR="00FA423E" w:rsidRPr="00526311" w:rsidRDefault="00FA423E" w:rsidP="00FA423E">
      <w:pPr>
        <w:pStyle w:val="ListParagraph"/>
        <w:numPr>
          <w:ilvl w:val="0"/>
          <w:numId w:val="12"/>
        </w:numPr>
        <w:tabs>
          <w:tab w:val="left" w:pos="709"/>
        </w:tabs>
        <w:autoSpaceDE w:val="0"/>
        <w:autoSpaceDN w:val="0"/>
        <w:ind w:left="0" w:firstLine="0"/>
        <w:jc w:val="both"/>
        <w:rPr>
          <w:rFonts w:cs="Arial"/>
          <w:lang w:val="es-ES" w:eastAsia="ko-KR"/>
        </w:rPr>
      </w:pPr>
      <w:r w:rsidRPr="000441EB">
        <w:rPr>
          <w:rFonts w:cs="Arial"/>
          <w:lang w:val="es-ES" w:eastAsia="ko-KR"/>
        </w:rPr>
        <w:t>Los ajustes efectuados respecto de los distintos resultados en el presupuesto de 2014/15 tras las transferencias</w:t>
      </w:r>
      <w:r>
        <w:rPr>
          <w:rFonts w:cs="Arial"/>
          <w:lang w:val="es-ES" w:eastAsia="ko-KR"/>
        </w:rPr>
        <w:t>,</w:t>
      </w:r>
      <w:r w:rsidRPr="000441EB">
        <w:rPr>
          <w:rFonts w:cs="Arial"/>
          <w:lang w:val="es-ES" w:eastAsia="ko-KR"/>
        </w:rPr>
        <w:t xml:space="preserve"> </w:t>
      </w:r>
      <w:r>
        <w:rPr>
          <w:rFonts w:cs="Arial"/>
          <w:lang w:val="es-ES" w:eastAsia="ko-KR"/>
        </w:rPr>
        <w:t xml:space="preserve">en particular en los resultados </w:t>
      </w:r>
      <w:r w:rsidRPr="00526311">
        <w:rPr>
          <w:rFonts w:eastAsia="Batang" w:cs="Arial"/>
          <w:lang w:val="es-ES" w:eastAsia="ko-KR"/>
        </w:rPr>
        <w:t>I.2 (asesoramiento</w:t>
      </w:r>
      <w:r w:rsidRPr="00526311">
        <w:rPr>
          <w:lang w:val="es-ES"/>
        </w:rPr>
        <w:t xml:space="preserve"> legislativo)</w:t>
      </w:r>
      <w:r>
        <w:rPr>
          <w:lang w:val="es-ES"/>
        </w:rPr>
        <w:t xml:space="preserve"> y I.3 (</w:t>
      </w:r>
      <w:r w:rsidRPr="000441EB">
        <w:rPr>
          <w:bCs/>
          <w:lang w:val="es-ES"/>
        </w:rPr>
        <w:t>Aumento de la protección de los emblemas de Estado</w:t>
      </w:r>
      <w:r>
        <w:rPr>
          <w:lang w:val="es-ES"/>
        </w:rPr>
        <w:t xml:space="preserve">), </w:t>
      </w:r>
      <w:r w:rsidRPr="000441EB">
        <w:rPr>
          <w:rFonts w:cs="Arial"/>
          <w:lang w:val="es-ES" w:eastAsia="ko-KR"/>
        </w:rPr>
        <w:t>son consecuencia de la metodología nueva y más precisa para la consignación de los recursos de personal tras las mejoras introducidas en el sistema de planificación de la gestión del rendimiento institucional con respecto a</w:t>
      </w:r>
      <w:r>
        <w:rPr>
          <w:rFonts w:cs="Arial"/>
          <w:lang w:val="es-ES" w:eastAsia="ko-KR"/>
        </w:rPr>
        <w:t xml:space="preserve"> </w:t>
      </w:r>
      <w:r w:rsidRPr="000441EB">
        <w:rPr>
          <w:rFonts w:cs="Arial"/>
          <w:lang w:val="es-ES" w:eastAsia="ko-KR"/>
        </w:rPr>
        <w:t>l</w:t>
      </w:r>
      <w:r>
        <w:rPr>
          <w:rFonts w:cs="Arial"/>
          <w:lang w:val="es-ES" w:eastAsia="ko-KR"/>
        </w:rPr>
        <w:t>os</w:t>
      </w:r>
      <w:r w:rsidRPr="000441EB">
        <w:rPr>
          <w:rFonts w:cs="Arial"/>
          <w:lang w:val="es-ES" w:eastAsia="ko-KR"/>
        </w:rPr>
        <w:t xml:space="preserve"> ejercicio</w:t>
      </w:r>
      <w:r>
        <w:rPr>
          <w:rFonts w:cs="Arial"/>
          <w:lang w:val="es-ES" w:eastAsia="ko-KR"/>
        </w:rPr>
        <w:t>s</w:t>
      </w:r>
      <w:r w:rsidRPr="000441EB">
        <w:rPr>
          <w:rFonts w:cs="Arial"/>
          <w:lang w:val="es-ES" w:eastAsia="ko-KR"/>
        </w:rPr>
        <w:t xml:space="preserve"> de planificación anual del trabajo</w:t>
      </w:r>
      <w:r>
        <w:rPr>
          <w:rFonts w:cs="Arial"/>
          <w:lang w:val="es-ES" w:eastAsia="ko-KR"/>
        </w:rPr>
        <w:t xml:space="preserve"> correspondientes a 2014 y 2015</w:t>
      </w:r>
      <w:r w:rsidRPr="000441EB">
        <w:rPr>
          <w:rFonts w:cs="Arial"/>
          <w:lang w:val="es-ES" w:eastAsia="ko-KR"/>
        </w:rPr>
        <w:t>.</w:t>
      </w:r>
    </w:p>
    <w:p w:rsidR="00FA423E" w:rsidRPr="00526311" w:rsidRDefault="00FA423E" w:rsidP="00FA423E">
      <w:pPr>
        <w:autoSpaceDE w:val="0"/>
        <w:autoSpaceDN w:val="0"/>
        <w:jc w:val="both"/>
        <w:rPr>
          <w:sz w:val="20"/>
          <w:lang w:eastAsia="ko-KR"/>
        </w:rPr>
      </w:pPr>
    </w:p>
    <w:p w:rsidR="00FA423E" w:rsidRPr="00526311" w:rsidRDefault="00403D2C" w:rsidP="00FA423E">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423E" w:rsidRPr="00526311" w:rsidRDefault="00FA423E" w:rsidP="00FA423E">
      <w:pPr>
        <w:tabs>
          <w:tab w:val="left" w:pos="709"/>
        </w:tabs>
        <w:jc w:val="both"/>
        <w:rPr>
          <w:sz w:val="20"/>
          <w:u w:val="single"/>
          <w:lang w:eastAsia="ko-KR"/>
        </w:rPr>
      </w:pPr>
    </w:p>
    <w:p w:rsidR="00FA423E" w:rsidRPr="00526311" w:rsidRDefault="00FA423E" w:rsidP="00FA423E">
      <w:pPr>
        <w:pStyle w:val="ListParagraph"/>
        <w:numPr>
          <w:ilvl w:val="0"/>
          <w:numId w:val="12"/>
        </w:numPr>
        <w:tabs>
          <w:tab w:val="left" w:pos="709"/>
        </w:tabs>
        <w:autoSpaceDE w:val="0"/>
        <w:autoSpaceDN w:val="0"/>
        <w:ind w:left="0" w:firstLine="0"/>
        <w:jc w:val="both"/>
        <w:rPr>
          <w:rFonts w:eastAsia="Batang" w:cs="Arial"/>
          <w:lang w:val="es-ES" w:eastAsia="ko-KR"/>
        </w:rPr>
      </w:pPr>
      <w:r w:rsidRPr="00526311">
        <w:rPr>
          <w:rFonts w:eastAsia="Batang" w:cs="Arial"/>
          <w:lang w:val="es-ES" w:eastAsia="ko-KR"/>
        </w:rPr>
        <w:t xml:space="preserve">La </w:t>
      </w:r>
      <w:r>
        <w:rPr>
          <w:rFonts w:eastAsia="Batang" w:cs="Arial"/>
          <w:lang w:val="es-ES" w:eastAsia="ko-KR"/>
        </w:rPr>
        <w:t xml:space="preserve">pequeña </w:t>
      </w:r>
      <w:r w:rsidRPr="00526311">
        <w:rPr>
          <w:rFonts w:eastAsia="Batang" w:cs="Arial"/>
          <w:lang w:val="es-ES" w:eastAsia="ko-KR"/>
        </w:rPr>
        <w:t>infrautilización de los recursos no relativos a personal se debió principalmente a:</w:t>
      </w:r>
    </w:p>
    <w:p w:rsidR="00FA423E" w:rsidRPr="00526311" w:rsidRDefault="00FA423E" w:rsidP="00FA423E">
      <w:pPr>
        <w:pStyle w:val="ListParagraph"/>
        <w:tabs>
          <w:tab w:val="left" w:pos="709"/>
        </w:tabs>
        <w:autoSpaceDE w:val="0"/>
        <w:autoSpaceDN w:val="0"/>
        <w:ind w:left="0"/>
        <w:jc w:val="both"/>
        <w:rPr>
          <w:rFonts w:eastAsia="Batang" w:cs="Arial"/>
          <w:lang w:val="es-ES" w:eastAsia="ko-KR"/>
        </w:rPr>
      </w:pPr>
    </w:p>
    <w:p w:rsidR="00FA423E" w:rsidRPr="00526311" w:rsidRDefault="00FA423E" w:rsidP="00FA423E">
      <w:pPr>
        <w:pStyle w:val="ListParagraph"/>
        <w:numPr>
          <w:ilvl w:val="0"/>
          <w:numId w:val="10"/>
        </w:numPr>
        <w:spacing w:after="120"/>
        <w:ind w:left="1134" w:hanging="425"/>
        <w:jc w:val="both"/>
        <w:rPr>
          <w:lang w:val="es-ES"/>
        </w:rPr>
      </w:pPr>
      <w:r w:rsidRPr="00526311">
        <w:rPr>
          <w:rFonts w:eastAsia="Batang" w:cs="Arial"/>
          <w:lang w:val="es-ES" w:eastAsia="ko-KR"/>
        </w:rPr>
        <w:t>el aplazamiento de la conferencia diplomática en el marco del resultado I.1 (Elaboración de marcos normativos internacionales equilibrados para la P.I.);</w:t>
      </w:r>
    </w:p>
    <w:p w:rsidR="00FA423E" w:rsidRPr="00526311" w:rsidRDefault="00FA423E" w:rsidP="00FA423E">
      <w:pPr>
        <w:pStyle w:val="ListParagraph"/>
        <w:numPr>
          <w:ilvl w:val="0"/>
          <w:numId w:val="10"/>
        </w:numPr>
        <w:spacing w:after="120"/>
        <w:ind w:left="1134" w:hanging="425"/>
        <w:jc w:val="both"/>
        <w:rPr>
          <w:lang w:val="es-ES"/>
        </w:rPr>
      </w:pPr>
      <w:r w:rsidRPr="00526311">
        <w:rPr>
          <w:rFonts w:eastAsia="Batang" w:cs="Arial"/>
          <w:lang w:val="es-ES" w:eastAsia="ko-KR"/>
        </w:rPr>
        <w:t>los ahorros de costos derivados de la reducción de</w:t>
      </w:r>
      <w:r>
        <w:rPr>
          <w:rFonts w:eastAsia="Batang" w:cs="Arial"/>
          <w:lang w:val="es-ES" w:eastAsia="ko-KR"/>
        </w:rPr>
        <w:t>l número de</w:t>
      </w:r>
      <w:r w:rsidRPr="00526311">
        <w:rPr>
          <w:rFonts w:eastAsia="Batang" w:cs="Arial"/>
          <w:lang w:val="es-ES" w:eastAsia="ko-KR"/>
        </w:rPr>
        <w:t xml:space="preserve"> misiones del personal en el marco del resultado I.2 (asesoramiento</w:t>
      </w:r>
      <w:r>
        <w:rPr>
          <w:lang w:val="es-ES"/>
        </w:rPr>
        <w:t xml:space="preserve"> legislativo),</w:t>
      </w:r>
      <w:r w:rsidRPr="00526311">
        <w:rPr>
          <w:lang w:val="es-ES"/>
        </w:rPr>
        <w:t xml:space="preserve"> y</w:t>
      </w:r>
    </w:p>
    <w:p w:rsidR="00FA423E" w:rsidRPr="00526311" w:rsidRDefault="00FA423E" w:rsidP="00FA423E">
      <w:pPr>
        <w:pStyle w:val="ListParagraph"/>
        <w:numPr>
          <w:ilvl w:val="0"/>
          <w:numId w:val="10"/>
        </w:numPr>
        <w:spacing w:after="120"/>
        <w:ind w:left="1134" w:hanging="425"/>
        <w:jc w:val="both"/>
        <w:rPr>
          <w:lang w:val="es-ES"/>
        </w:rPr>
      </w:pPr>
      <w:r w:rsidRPr="00526311">
        <w:rPr>
          <w:lang w:val="es-ES"/>
        </w:rPr>
        <w:t>la demora en la contratación de un oficial de proyectos para el Proyecto piloto sobre la Propiedad Intelectual y la gestión de diseños para fomentar las actividades comerciales en los países en desarrollo y los paíse</w:t>
      </w:r>
      <w:r>
        <w:rPr>
          <w:lang w:val="es-ES"/>
        </w:rPr>
        <w:t>s menos adelantados, de la A.D.</w:t>
      </w:r>
      <w:r w:rsidRPr="00526311">
        <w:rPr>
          <w:lang w:val="es-ES"/>
        </w:rPr>
        <w:t xml:space="preserve"> </w:t>
      </w:r>
      <w:r>
        <w:rPr>
          <w:lang w:val="es-ES"/>
        </w:rPr>
        <w:t>que, en definitiva, se tradujo en un ligero retraso en la ejecución del proyecto, lo que se reflejó</w:t>
      </w:r>
      <w:r w:rsidRPr="00526311">
        <w:rPr>
          <w:lang w:val="es-ES"/>
        </w:rPr>
        <w:t xml:space="preserve"> en el resultado III.4 (Fortalecimiento de los mecanismos de cooperación y de los programas adaptados a las necesidades de los países en desarrollo y los PMA).</w:t>
      </w:r>
      <w:r>
        <w:rPr>
          <w:lang w:val="es-ES"/>
        </w:rPr>
        <w:t xml:space="preserve">  Está previsto que el proyecto esté finalizado durante el primer semestre de 2016.</w:t>
      </w:r>
    </w:p>
    <w:p w:rsidR="00FA423E" w:rsidRDefault="00FA423E" w:rsidP="00FA423E"/>
    <w:p w:rsidR="00FA423E" w:rsidRDefault="00FA423E" w:rsidP="00FA423E"/>
    <w:p w:rsidR="00FA423E" w:rsidRDefault="00FA423E" w:rsidP="00FA423E">
      <w:pPr>
        <w:rPr>
          <w:b/>
          <w:bCs/>
          <w:iCs/>
          <w:caps/>
          <w:szCs w:val="28"/>
        </w:rPr>
      </w:pPr>
      <w:bookmarkStart w:id="62" w:name="_Toc422927404"/>
      <w:r>
        <w:rPr>
          <w:b/>
        </w:rPr>
        <w:br w:type="page"/>
      </w:r>
    </w:p>
    <w:p w:rsidR="00FA423E" w:rsidRPr="002D0A6A" w:rsidRDefault="00FA423E" w:rsidP="00FA423E">
      <w:pPr>
        <w:pStyle w:val="Heading2"/>
        <w:tabs>
          <w:tab w:val="left" w:pos="2410"/>
        </w:tabs>
        <w:rPr>
          <w:b/>
        </w:rPr>
      </w:pPr>
      <w:bookmarkStart w:id="63" w:name="_Toc455159072"/>
      <w:r w:rsidRPr="002D0A6A">
        <w:rPr>
          <w:b/>
        </w:rPr>
        <w:lastRenderedPageBreak/>
        <w:t>PROGRAMA 3</w:t>
      </w:r>
      <w:r w:rsidRPr="002D0A6A">
        <w:rPr>
          <w:b/>
        </w:rPr>
        <w:tab/>
        <w:t>DERECHO DE AUTOR Y DERECHOS CONEXOS</w:t>
      </w:r>
      <w:bookmarkEnd w:id="62"/>
      <w:bookmarkEnd w:id="63"/>
    </w:p>
    <w:p w:rsidR="00FA423E" w:rsidRPr="002D0A6A" w:rsidRDefault="00FA423E" w:rsidP="00FA423E">
      <w:pPr>
        <w:rPr>
          <w:sz w:val="20"/>
        </w:rPr>
      </w:pPr>
    </w:p>
    <w:p w:rsidR="00FA423E" w:rsidRPr="002D0A6A" w:rsidRDefault="00FA423E" w:rsidP="00FA423E">
      <w:pPr>
        <w:tabs>
          <w:tab w:val="left" w:pos="2410"/>
        </w:tabs>
        <w:rPr>
          <w:b/>
          <w:sz w:val="20"/>
        </w:rPr>
      </w:pPr>
      <w:r w:rsidRPr="002D0A6A">
        <w:rPr>
          <w:b/>
          <w:sz w:val="20"/>
        </w:rPr>
        <w:t>Directora de programa</w:t>
      </w:r>
      <w:r w:rsidRPr="002D0A6A">
        <w:rPr>
          <w:b/>
          <w:sz w:val="20"/>
        </w:rPr>
        <w:tab/>
        <w:t>Sra. M. Woods</w:t>
      </w:r>
      <w:r w:rsidR="00801E65">
        <w:rPr>
          <w:b/>
          <w:sz w:val="20"/>
        </w:rPr>
        <w:t xml:space="preserve"> (funcionaria encargada)</w:t>
      </w:r>
    </w:p>
    <w:p w:rsidR="00FA423E" w:rsidRPr="002D0A6A" w:rsidRDefault="00FA423E" w:rsidP="00FA423E">
      <w:pPr>
        <w:rPr>
          <w:sz w:val="20"/>
        </w:rPr>
      </w:pPr>
    </w:p>
    <w:p w:rsidR="00FA423E" w:rsidRPr="002D0A6A" w:rsidRDefault="00FA423E" w:rsidP="00FA423E">
      <w:pPr>
        <w:rPr>
          <w:sz w:val="20"/>
        </w:rPr>
      </w:pPr>
    </w:p>
    <w:p w:rsidR="00FA423E" w:rsidRPr="002D0A6A" w:rsidRDefault="008F7CBE" w:rsidP="00FA423E">
      <w:pPr>
        <w:rPr>
          <w:bCs/>
          <w:szCs w:val="22"/>
        </w:rPr>
      </w:pPr>
      <w:r w:rsidRPr="008F7CBE">
        <w:rPr>
          <w:bCs/>
          <w:sz w:val="20"/>
          <w:szCs w:val="22"/>
        </w:rPr>
        <w:t>LOGROS ALCANZADOS EN EL BIENIO 2014/15</w:t>
      </w:r>
    </w:p>
    <w:p w:rsidR="00FA423E" w:rsidRPr="002D0A6A" w:rsidRDefault="00FA423E" w:rsidP="00FA423E">
      <w:pPr>
        <w:rPr>
          <w:sz w:val="20"/>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rPr>
      </w:pPr>
      <w:r w:rsidRPr="002D0A6A">
        <w:rPr>
          <w:rFonts w:eastAsia="SimSun" w:cs="Arial"/>
          <w:bCs/>
          <w:lang w:val="es-ES" w:eastAsia="zh-CN"/>
        </w:rPr>
        <w:t>La labor relativa al programa en el bienio 2014/15 se centró en lograr los resultados previstos en tres ámbitos amplios:  i) avanzar en la labor normativa apoyando la adhesión de los Estados miembros a los tratados de la OMPI sobre derecho de autor y en el Comité Permanente de Derecho de A</w:t>
      </w:r>
      <w:r>
        <w:rPr>
          <w:rFonts w:eastAsia="SimSun" w:cs="Arial"/>
          <w:bCs/>
          <w:lang w:val="es-ES" w:eastAsia="zh-CN"/>
        </w:rPr>
        <w:t xml:space="preserve">utor y Derechos Conexos (SCCR); </w:t>
      </w:r>
      <w:r w:rsidRPr="002D0A6A">
        <w:rPr>
          <w:rFonts w:eastAsia="SimSun" w:cs="Arial"/>
          <w:bCs/>
          <w:lang w:val="es-ES" w:eastAsia="zh-CN"/>
        </w:rPr>
        <w:t xml:space="preserve"> ii) reforzar el desarrollo de la infraestructura de derecho de autor, y iii) mejorar la capacidad institucional y humana en los países en desarrollo y los PMA, con vistas a utilizar el sistema de derecho de autor para explotar el potencial económico de sus culturas.  Se ha progresado de forma notable en cada uno de estos ámbitos, tal y como ponen de manifiesto los indicadores de rendimiento que se examinan a continuación.</w:t>
      </w:r>
    </w:p>
    <w:p w:rsidR="00FA423E" w:rsidRPr="002D0A6A" w:rsidRDefault="00FA423E" w:rsidP="00FA423E">
      <w:pPr>
        <w:widowControl w:val="0"/>
        <w:jc w:val="both"/>
        <w:rPr>
          <w:sz w:val="20"/>
        </w:rPr>
      </w:pPr>
    </w:p>
    <w:p w:rsidR="00FA423E" w:rsidRPr="002D0A6A" w:rsidRDefault="00FA423E" w:rsidP="00FA423E">
      <w:pPr>
        <w:widowControl w:val="0"/>
        <w:jc w:val="both"/>
        <w:rPr>
          <w:bCs/>
          <w:sz w:val="20"/>
          <w:u w:val="single"/>
        </w:rPr>
      </w:pPr>
      <w:r w:rsidRPr="002D0A6A">
        <w:rPr>
          <w:bCs/>
          <w:sz w:val="20"/>
          <w:u w:val="single"/>
        </w:rPr>
        <w:t>Labor normativa y de política</w:t>
      </w:r>
    </w:p>
    <w:p w:rsidR="00FA423E" w:rsidRPr="002D0A6A" w:rsidRDefault="00FA423E" w:rsidP="00FA423E">
      <w:pPr>
        <w:widowControl w:val="0"/>
        <w:jc w:val="both"/>
        <w:rPr>
          <w:bCs/>
          <w:sz w:val="20"/>
        </w:rPr>
      </w:pPr>
    </w:p>
    <w:p w:rsidR="00FA423E" w:rsidRPr="002D0A6A" w:rsidRDefault="00FA423E" w:rsidP="00FA423E">
      <w:pPr>
        <w:pStyle w:val="ListParagraph"/>
        <w:widowControl w:val="0"/>
        <w:numPr>
          <w:ilvl w:val="0"/>
          <w:numId w:val="14"/>
        </w:numPr>
        <w:tabs>
          <w:tab w:val="left" w:pos="0"/>
          <w:tab w:val="left" w:pos="709"/>
        </w:tabs>
        <w:ind w:left="0" w:firstLine="0"/>
        <w:jc w:val="both"/>
        <w:rPr>
          <w:bCs/>
          <w:lang w:val="es-ES"/>
        </w:rPr>
      </w:pPr>
      <w:r w:rsidRPr="002D0A6A">
        <w:rPr>
          <w:rFonts w:eastAsia="SimSun" w:cs="Arial"/>
          <w:bCs/>
          <w:lang w:val="es-ES" w:eastAsia="zh-CN"/>
        </w:rPr>
        <w:t>Siguiendo las recomendaciones de la A.D., las actividades normativas del programa fueron incluyentes y estuvieron orientadas hacia los miembros (recomendación 15), se tuvieron debidamente en cuenta los límites, la función y el alcance del dominio público (recomendaciones 16 y 20) y las flexibilidades en los acuerdos internacionales sobre P.I. (recomendación 17).  Las negociaciones del SCCR se basaron en consultas abiertas y equilibradas (recomendaciones 21 y 42) y contribuyeron a los objetivos de desarrollo de las Naciones Unidas (recomendación 22).  El asesoramiento en materia legislativa relacionado con los derechos de autor y derechos conexos que se prestó a los Estados miembros que lo solicitaron estuvo orientado a potenciar el desarrollo, fue equilibrado y se adaptó a las situaciones específicas de cada Estado miembro, de acuerdo con los principios de la A.D. (recomendación 13), y tuvo en cuenta las flexibilidades aplicables a los países según sus distintos niveles de desarrollo (recomendaciones 14 y 17).</w:t>
      </w:r>
    </w:p>
    <w:p w:rsidR="00FA423E" w:rsidRPr="002D0A6A" w:rsidRDefault="00FA423E" w:rsidP="00FA423E">
      <w:pPr>
        <w:widowControl w:val="0"/>
        <w:jc w:val="both"/>
        <w:rPr>
          <w:bCs/>
          <w:sz w:val="20"/>
        </w:rPr>
      </w:pPr>
    </w:p>
    <w:p w:rsidR="00FA423E" w:rsidRPr="002D0A6A" w:rsidRDefault="00FA423E" w:rsidP="00FA423E">
      <w:pPr>
        <w:pStyle w:val="ListParagraph"/>
        <w:widowControl w:val="0"/>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En 2014 y 2015 se siguió avanzando en el proceso hacia la entrada en vigor de los dos nuevos tratados sobre derechos de autor.  El Tratado de Beijing para la protección de las interpretaciones y ejecuciones audiovisuales (el “Tratado de Beijing”) obtuvo ocho nuevas ratificaciones/adhesiones (Chile, China, Japón, Emiratos Árabes Unidos, Eslovaquia, Federación de Rusia, Qatar y República de Moldova), alcanzando así un total de 10 de las 30 ratificaciones o adhesiones que son necesarias para su entrada en vigor.  El Tratado de Marrakech para facilitar el acceso a las obras publicadas a las personas ciegas, con discapacidad visual o con otras dificultades para acceder al texto impreso (el “Tratado de Marrakech”), obtuvo 80 firmas en total antes del plazo de junio de 2014.  Dicho tratado consiguió 13 ratificaciones y adhesiones (Argentina, Australia, Brasil, Emiratos Árabes Unidos, El Salvador, India, Malí, México, Mongolia, Paraguay, República de Corea, Singapur y Uruguay), avanzando así hacia las 20 ratificaciones o adhesiones necesarias para su entrada en vigor.  Aun cuando los objetivos de ratificación o adhesión a esos tratados que se habían establecido para el bienio 2014/15 en la vigésima sesión del Comité del Programa y Presupuesto (PBC) eran bastante ambiciosos, el programa consiguió alcanzarlos parcialmente al establecer como prioridad la prestación de asistencia a los Estados miembros en relación con la adhesión a tratados.  Durante el bienio 2016/17 se mantendrá este enfoque en el programa.</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Se volvi</w:t>
      </w:r>
      <w:r w:rsidR="00801E65">
        <w:rPr>
          <w:rFonts w:eastAsia="SimSun" w:cs="Arial"/>
          <w:bCs/>
          <w:lang w:val="es-ES" w:eastAsia="zh-CN"/>
        </w:rPr>
        <w:t xml:space="preserve">eron </w:t>
      </w:r>
      <w:r w:rsidRPr="002D0A6A">
        <w:rPr>
          <w:rFonts w:eastAsia="SimSun" w:cs="Arial"/>
          <w:bCs/>
          <w:lang w:val="es-ES" w:eastAsia="zh-CN"/>
        </w:rPr>
        <w:t xml:space="preserve">a examinar </w:t>
      </w:r>
      <w:r w:rsidR="00801E65">
        <w:rPr>
          <w:rFonts w:eastAsia="SimSun" w:cs="Arial"/>
          <w:bCs/>
          <w:lang w:val="es-ES" w:eastAsia="zh-CN"/>
        </w:rPr>
        <w:t>los temas d</w:t>
      </w:r>
      <w:r w:rsidRPr="002D0A6A">
        <w:rPr>
          <w:rFonts w:eastAsia="SimSun" w:cs="Arial"/>
          <w:bCs/>
          <w:lang w:val="es-ES" w:eastAsia="zh-CN"/>
        </w:rPr>
        <w:t>el orden del día del SCCR durante las cinco reuniones celebradas en abril/mayo, junio/julio y diciembre de 2014, y junio/julio y diciembre de 2015.  En el SCCR se celebró un debate sobre la propuesta de tratado sobre los organismos de radiodifusión, y sobre las limitaciones y excepciones relativas a las bibliotecas y los archivos, las instituciones docentes y de investigación y las personas con otras discapacidades</w:t>
      </w:r>
      <w:r w:rsidR="00801E65">
        <w:rPr>
          <w:rFonts w:eastAsia="SimSun" w:cs="Arial"/>
          <w:bCs/>
          <w:lang w:val="es-ES" w:eastAsia="zh-CN"/>
        </w:rPr>
        <w:t xml:space="preserve"> (es decir, distintas de las abarcadas por el Tratado de Marrakech)</w:t>
      </w:r>
      <w:r w:rsidRPr="002D0A6A">
        <w:rPr>
          <w:rFonts w:eastAsia="SimSun" w:cs="Arial"/>
          <w:bCs/>
          <w:lang w:val="es-ES" w:eastAsia="zh-CN"/>
        </w:rPr>
        <w:t>.  Además, en la sesión celebrada en diciembre de 2015 el SCCR recibió asimismo dos propuestas de puntos para añadir al orden del día, una relativa al análisis de los derechos de autor en el entorno digital y la otra sobre el derecho de reventa.  No se consiguió el objetivo de celebrar una conferencia diplomática y un nuevo tratado.  Los Estados miembros solicitaron que se suprimiera este objetivo para el bienio 2016/17.</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 xml:space="preserve">En el bienio 2014/15, se prestó asesoramiento en materia legislativa a 25 Estados miembros en diversas regiones.  Las peticiones de asesoramiento aumentaron durante el bienio, en parte debido al interés de algunos Estados miembros por adherirse al Tratado de Beijing y al Tratado de Marrakech.  También se proporcionó asesoramiento a los países en desarrollo y los PMA que lo solicitaron, en </w:t>
      </w:r>
      <w:r w:rsidRPr="002D0A6A">
        <w:rPr>
          <w:rFonts w:eastAsia="SimSun" w:cs="Arial"/>
          <w:bCs/>
          <w:lang w:val="es-ES" w:eastAsia="zh-CN"/>
        </w:rPr>
        <w:lastRenderedPageBreak/>
        <w:t>relación con el nuevo régimen de los diez años del Anexo del Convenio de Berna.  En 2015 se llevó a cabo una encuesta entre los Estados miembros, en la que estos valoraron positivamente el servicio de asesoramiento en materia legislativa.</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Además, se consiguieron también avances positivos en varios proyectos destinados a potenciar el papel que desempeña la OMPI en el ámbito del derecho de autor en el entorno digital.  En el marco del programa, la Organización participó en diversas actividades en foros tan diversos como la Cumbre Mundial sobre la Sociedad de la Información, el Foro para la Gobernanza de Internet y el Foro Económico Mundial, con el fin de informar sobre cuestiones pertinentes para el derecho de autor, como los contenidos creados por los usuarios, el código abierto, la protección jurídica de los videojuegos y las nuevas modalidades en materia de concesión de licencias.</w:t>
      </w:r>
    </w:p>
    <w:p w:rsidR="00224863" w:rsidRPr="00224863" w:rsidRDefault="00224863" w:rsidP="00224863">
      <w:pPr>
        <w:tabs>
          <w:tab w:val="left" w:pos="709"/>
        </w:tabs>
        <w:jc w:val="both"/>
        <w:rPr>
          <w:sz w:val="20"/>
        </w:rPr>
      </w:pPr>
    </w:p>
    <w:p w:rsidR="00FA423E" w:rsidRPr="00B573D2" w:rsidRDefault="00224863" w:rsidP="00224863">
      <w:pPr>
        <w:pStyle w:val="ListParagraph"/>
        <w:numPr>
          <w:ilvl w:val="0"/>
          <w:numId w:val="14"/>
        </w:numPr>
        <w:tabs>
          <w:tab w:val="left" w:pos="0"/>
          <w:tab w:val="left" w:pos="709"/>
        </w:tabs>
        <w:ind w:left="0" w:firstLine="0"/>
        <w:jc w:val="both"/>
        <w:rPr>
          <w:lang w:val="es-ES"/>
        </w:rPr>
      </w:pPr>
      <w:r w:rsidRPr="00B573D2">
        <w:rPr>
          <w:lang w:val="es-ES"/>
        </w:rPr>
        <w:t>3.1.</w:t>
      </w:r>
      <w:r w:rsidRPr="00B573D2">
        <w:rPr>
          <w:lang w:val="es-ES"/>
        </w:rPr>
        <w:tab/>
      </w:r>
      <w:r w:rsidRPr="00224863">
        <w:rPr>
          <w:rFonts w:eastAsia="SimSun" w:cs="Arial"/>
          <w:bCs/>
          <w:lang w:val="es-ES" w:eastAsia="zh-CN"/>
        </w:rPr>
        <w:t>Igualmente</w:t>
      </w:r>
      <w:r w:rsidRPr="00B573D2">
        <w:rPr>
          <w:lang w:val="es-ES"/>
        </w:rPr>
        <w:t>, prosiguió la labor en el marco de varios proyectos relacionados con la A.D</w:t>
      </w:r>
      <w:proofErr w:type="gramStart"/>
      <w:r w:rsidRPr="00B573D2">
        <w:rPr>
          <w:lang w:val="es-ES"/>
        </w:rPr>
        <w:t>:  durante</w:t>
      </w:r>
      <w:proofErr w:type="gramEnd"/>
      <w:r w:rsidRPr="00B573D2">
        <w:rPr>
          <w:lang w:val="es-ES"/>
        </w:rPr>
        <w:t xml:space="preserve"> el bienio se completó con éxito y se evaluó el proyecto piloto sobre fortalecimiento y desarrollo del sector audiovisual en Burkina Faso y en determinados países de África, en el que están incluidos también Kenya y el Senegal.  Además, basándose en los debates mantenidos en la duodécima sesión del CDIP, en la decimotercera sesión del Comité se presentó y se aprobó una propuesta revisada para la realización de posibles nuevas actividades de la OMPI relacionadas con la utilización del derecho de autor para promover el acceso a la información y el contenido creativo.  El proyecto de ejecución en 18 meses se aprobó muy avanzado el bienio y, por esta razón, se pondrá en marcha durante el bienio 2016/17.  El análisis comparado de los regímenes nacionales de renuncia voluntaria al derecho de autor (documento CDIP/13/INF/6) fue presentado y acogido favorablemente por el CDIP en el marco de la aplicación de las recomendaciones 1c, 1f y 2a del Estudio exploratorio sobre el derecho de autor y los derechos conexos y el dominio público.</w:t>
      </w:r>
    </w:p>
    <w:p w:rsidR="00224863" w:rsidRPr="00B90D95" w:rsidRDefault="00224863" w:rsidP="00224863">
      <w:pPr>
        <w:tabs>
          <w:tab w:val="left" w:pos="709"/>
        </w:tabs>
        <w:jc w:val="both"/>
        <w:rPr>
          <w:sz w:val="20"/>
        </w:rPr>
      </w:pPr>
    </w:p>
    <w:p w:rsidR="00FA423E" w:rsidRPr="002D0A6A" w:rsidRDefault="00FA423E" w:rsidP="00FA423E">
      <w:pPr>
        <w:tabs>
          <w:tab w:val="left" w:pos="709"/>
        </w:tabs>
        <w:jc w:val="both"/>
        <w:rPr>
          <w:sz w:val="20"/>
          <w:u w:val="single"/>
        </w:rPr>
      </w:pPr>
      <w:r w:rsidRPr="002D0A6A">
        <w:rPr>
          <w:sz w:val="20"/>
          <w:u w:val="single"/>
        </w:rPr>
        <w:t>Infraestructura en el ámbito del derecho de autor</w:t>
      </w:r>
    </w:p>
    <w:p w:rsidR="00FA423E" w:rsidRPr="002D0A6A" w:rsidRDefault="00FA423E" w:rsidP="00FA423E">
      <w:pPr>
        <w:tabs>
          <w:tab w:val="left" w:pos="709"/>
        </w:tabs>
        <w:jc w:val="both"/>
        <w:rPr>
          <w:sz w:val="20"/>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eastAsia="fr-FR"/>
        </w:rPr>
      </w:pPr>
      <w:r w:rsidRPr="002D0A6A">
        <w:rPr>
          <w:rFonts w:eastAsia="SimSun" w:cs="Arial"/>
          <w:bCs/>
          <w:lang w:val="es-ES" w:eastAsia="zh-CN"/>
        </w:rPr>
        <w:t>La labor en este ámbito se ajustó a las recomendaciones de la A.D., en particular las recomendaciones 10 (</w:t>
      </w:r>
      <w:r w:rsidRPr="002D0A6A">
        <w:rPr>
          <w:lang w:val="es-ES"/>
        </w:rPr>
        <w:t>mejorar la capacidad de las instituciones nacionales de P.I. mediante el desarrollo de la infraestructura y de otros servicios), 11</w:t>
      </w:r>
      <w:r w:rsidRPr="002D0A6A">
        <w:rPr>
          <w:rFonts w:eastAsia="SimSun" w:cs="Arial"/>
          <w:bCs/>
          <w:lang w:val="es-ES" w:eastAsia="zh-CN"/>
        </w:rPr>
        <w:t xml:space="preserve"> (</w:t>
      </w:r>
      <w:r w:rsidRPr="002D0A6A">
        <w:rPr>
          <w:lang w:val="es-ES"/>
        </w:rPr>
        <w:t>fortalecer la capacidad nacional para la protección de las creaciones) y 35 (emprender estudios sobre las consecuencias económicas, sociales y culturales del sistema de P.I.).</w:t>
      </w:r>
    </w:p>
    <w:p w:rsidR="00FA423E" w:rsidRPr="002D0A6A" w:rsidRDefault="00FA423E" w:rsidP="00FA423E">
      <w:pPr>
        <w:pStyle w:val="ListParagraph"/>
        <w:tabs>
          <w:tab w:val="left" w:pos="0"/>
          <w:tab w:val="left" w:pos="709"/>
        </w:tabs>
        <w:ind w:left="0"/>
        <w:jc w:val="both"/>
        <w:rPr>
          <w:rFonts w:cs="Arial"/>
          <w:lang w:val="es-ES" w:eastAsia="fr-FR"/>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eastAsia="fr-FR"/>
        </w:rPr>
      </w:pPr>
      <w:r w:rsidRPr="002D0A6A">
        <w:rPr>
          <w:rFonts w:eastAsia="SimSun" w:cs="Arial"/>
          <w:bCs/>
          <w:lang w:val="es-ES" w:eastAsia="zh-CN"/>
        </w:rPr>
        <w:t>Se progresó en lo que respecta al avance de la iniciativa</w:t>
      </w:r>
      <w:r w:rsidRPr="002D0A6A">
        <w:rPr>
          <w:lang w:val="es-ES"/>
        </w:rPr>
        <w:t xml:space="preserve"> “</w:t>
      </w:r>
      <w:r w:rsidRPr="002D0A6A">
        <w:rPr>
          <w:rFonts w:cs="Arial"/>
          <w:lang w:val="es-ES"/>
        </w:rPr>
        <w:t>TAG of Excellence”, cuya finalidad es fomentar la excelencia en la transparencia, la rendición de cuentas y la gobernanza de los organismos de gestión colectiva.  Varias asociaciones profesionales internacionales se unieron a la OMPI para crear un consorcio que aprobó un catálogo de mejores prácticas en la gestión colectiva del derecho de autor y los derechos conexos, y se empezaron a llevar a cabo consultas sobre el catálogo.  La iniciativa TAG recabó el apoyo de varios organismos de gestión colectiva y gobiernos tanto del mundo en desarrollo como en el desarrollado</w:t>
      </w:r>
      <w:r w:rsidRPr="002D0A6A">
        <w:rPr>
          <w:rFonts w:cs="Arial"/>
          <w:lang w:val="es-ES" w:eastAsia="fr-FR"/>
        </w:rPr>
        <w:t xml:space="preserve"> </w:t>
      </w:r>
      <w:r w:rsidRPr="002D0A6A">
        <w:rPr>
          <w:rFonts w:cs="Arial"/>
          <w:lang w:val="es-ES"/>
        </w:rPr>
        <w:t>(en total 14 gobiernos y 63 organismos de gestión colectiva han cursado manifestaciones de interés al respecto).</w:t>
      </w:r>
    </w:p>
    <w:p w:rsidR="00FA423E" w:rsidRPr="002D0A6A" w:rsidRDefault="00FA423E" w:rsidP="00FA423E">
      <w:pPr>
        <w:tabs>
          <w:tab w:val="left" w:pos="709"/>
        </w:tabs>
        <w:jc w:val="both"/>
        <w:rPr>
          <w:sz w:val="20"/>
          <w:lang w:eastAsia="fr-FR"/>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La OMPI creó y puso en marcha un curso de enseñanza a distancia que se vale de toda la gama existente de técnicas de comunicación del siglo XXI, y constituye una herramienta práctica de gestión colectiva destinada al personal de los organismos de gestión colectiva, los encargados de la formulación de políticas y los profesionales del Derecho.  El curso se puso a prueba como proyecto piloto en 2014 y obtuvo una buena acogida de los participantes.  La versión definitiva del curso se pondrá en marcha de manera oficial en 2016.  La OMPI firmó asimismo memorandos de entendimiento y organizó una serie de programas y actividades de fortalecimiento de capacidades conjuntamente con diversas ONG, como la Federación Internacional de Organizaciones de Derechos de Reproducción (IFRRO), la Federación Internacional de la Industria Fonográfica (IFPI), la Asociaci</w:t>
      </w:r>
      <w:r w:rsidRPr="002D0A6A">
        <w:rPr>
          <w:rFonts w:ascii="Tahoma" w:eastAsia="SimSun" w:hAnsi="Tahoma" w:cs="Tahoma"/>
          <w:bCs/>
          <w:lang w:val="es-ES" w:eastAsia="zh-CN"/>
        </w:rPr>
        <w:t>ó</w:t>
      </w:r>
      <w:r w:rsidRPr="002D0A6A">
        <w:rPr>
          <w:rFonts w:eastAsia="SimSun" w:cs="Arial"/>
          <w:bCs/>
          <w:lang w:val="es-ES" w:eastAsia="zh-CN"/>
        </w:rPr>
        <w:t xml:space="preserve">n Noruega para el Desarrollo del Derecho de Autor (NORCODE), el Consejo de Sociedades para la Administración de los Derechos de los Artistas Intérpretes o Ejecutantes (SCAPR), el Instituto de Derecho de Autor (IA) y la </w:t>
      </w:r>
      <w:r w:rsidRPr="002D0A6A">
        <w:rPr>
          <w:rFonts w:eastAsia="SimSun" w:cs="Arial"/>
          <w:bCs/>
          <w:i/>
          <w:lang w:val="es-ES" w:eastAsia="zh-CN"/>
        </w:rPr>
        <w:t>Sociedade Portuguesa de Autores</w:t>
      </w:r>
      <w:r w:rsidRPr="002D0A6A">
        <w:rPr>
          <w:rFonts w:eastAsia="SimSun" w:cs="Arial"/>
          <w:bCs/>
          <w:lang w:val="es-ES" w:eastAsia="zh-CN"/>
        </w:rPr>
        <w:t xml:space="preserve"> (SPA), y algunos gobiernos, como el de los Estados Unidos de América.  En el marco de esta labor de fortalecimiento de capacidades, prosiguió la ejecución del programa de orientación para facilitar la transferencia de conocimientos en la gestión colectiva, por el que se empareja a organismos de gestión colectiva consolidados con organismos del mismo tipo en de</w:t>
      </w:r>
      <w:r w:rsidR="00ED7781">
        <w:rPr>
          <w:rFonts w:eastAsia="SimSun" w:cs="Arial"/>
          <w:bCs/>
          <w:lang w:val="es-ES" w:eastAsia="zh-CN"/>
        </w:rPr>
        <w:t>sarrollo.  Además, en el bienio </w:t>
      </w:r>
      <w:r w:rsidRPr="002D0A6A">
        <w:rPr>
          <w:rFonts w:eastAsia="SimSun" w:cs="Arial"/>
          <w:bCs/>
          <w:lang w:val="es-ES" w:eastAsia="zh-CN"/>
        </w:rPr>
        <w:t>2014/15 se pusieron a disposición de los Estados miembros seis módulos didácticos sobre organismos de gestión colectiva.</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lastRenderedPageBreak/>
        <w:t xml:space="preserve">El </w:t>
      </w:r>
      <w:r w:rsidRPr="002D0A6A">
        <w:rPr>
          <w:i/>
          <w:iCs/>
          <w:szCs w:val="24"/>
          <w:lang w:val="es-ES"/>
        </w:rPr>
        <w:t xml:space="preserve">Collecting Societies Handbook </w:t>
      </w:r>
      <w:r w:rsidRPr="002D0A6A">
        <w:rPr>
          <w:iCs/>
          <w:szCs w:val="24"/>
          <w:lang w:val="es-ES"/>
        </w:rPr>
        <w:t>de 2014,</w:t>
      </w:r>
      <w:r w:rsidRPr="002D0A6A">
        <w:rPr>
          <w:rStyle w:val="FootnoteReference"/>
          <w:iCs/>
          <w:szCs w:val="24"/>
          <w:lang w:val="es-ES"/>
        </w:rPr>
        <w:footnoteReference w:id="14"/>
      </w:r>
      <w:r w:rsidRPr="002D0A6A">
        <w:rPr>
          <w:rFonts w:eastAsia="SimSun" w:cs="Arial"/>
          <w:bCs/>
          <w:lang w:val="es-ES" w:eastAsia="zh-CN"/>
        </w:rPr>
        <w:t xml:space="preserve"> que es un manual en línea que contiene datos y cifras fundamentales acerca de los organismos de gestión colectiva de todo el mundo, se elaboró en colaboración con el estudio de abogados </w:t>
      </w:r>
      <w:r w:rsidRPr="002D0A6A">
        <w:rPr>
          <w:rFonts w:eastAsia="SimSun" w:cs="Arial"/>
          <w:bCs/>
          <w:szCs w:val="24"/>
          <w:lang w:val="es-ES" w:eastAsia="zh-CN"/>
        </w:rPr>
        <w:t>Baker &amp; McKenzie</w:t>
      </w:r>
      <w:r w:rsidRPr="002D0A6A">
        <w:rPr>
          <w:rFonts w:eastAsia="SimSun" w:cs="Arial"/>
          <w:bCs/>
          <w:lang w:val="es-ES" w:eastAsia="zh-CN"/>
        </w:rPr>
        <w:t xml:space="preserve"> y se publicó en octubre de 2014.  Desde entonces ha recibido una media de más de 2.300 visitas únicas al mes.</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bCs/>
          <w:lang w:val="es-ES"/>
        </w:rPr>
      </w:pPr>
      <w:r w:rsidRPr="002D0A6A">
        <w:rPr>
          <w:rFonts w:eastAsia="SimSun" w:cs="Arial"/>
          <w:bCs/>
          <w:lang w:val="es-ES" w:eastAsia="zh-CN"/>
        </w:rPr>
        <w:t>En el bienio 2014/15 la OMPI publicó cuatro estudios económicos nacionales sobre la contribución económica de las industrias culturales en Argentina, Indonesia, Serbia y Turquía así como un estudio sobre los Estados miembros de la Organización de los Estados del Caribe Oriental (OECO) y finalizó los estudios relativos a Etiopía, Francia y la República de Moldova, que se publicarán a principios de 2016 (alcanzándose un total de 49 estudios de ese tipo).  Esos estudios se basan en la Guía de la OMPI para determinar la contribución económica de las industrias relacionadas con el derecho de autor, cuya segunda edición se publicó en 2015.  Los estudios indican que las industrias creativas representan en promedio el 5,16% del PIB y el 5,36% del empleo total.  La OMPI también i) publicó (en colaboración con asociados externos) dos encuestas anuales sobre los gravámenes por derecho de autor;  puso en marcha un estudio piloto sobre el alcance de los efectos del derecho de autor en las industrias creativas, y iii) finalizó un estudio sobre la piratería.</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En lo que respecta a la labor desarrollada con los creadores, en 2014 la OMPI publicó dos nuevas herramientas</w:t>
      </w:r>
      <w:proofErr w:type="gramStart"/>
      <w:r w:rsidRPr="002D0A6A">
        <w:rPr>
          <w:rFonts w:eastAsia="SimSun" w:cs="Arial"/>
          <w:bCs/>
          <w:lang w:val="es-ES" w:eastAsia="zh-CN"/>
        </w:rPr>
        <w:t>:  Dominar</w:t>
      </w:r>
      <w:proofErr w:type="gramEnd"/>
      <w:r w:rsidRPr="002D0A6A">
        <w:rPr>
          <w:rFonts w:eastAsia="SimSun" w:cs="Arial"/>
          <w:bCs/>
          <w:lang w:val="es-ES" w:eastAsia="zh-CN"/>
        </w:rPr>
        <w:t xml:space="preserve"> el juego: cuestiones jurídicas y empresariales para los creadores de videojuegos y Monetización de los activos derivados del derecho de autor por las empresas creativas.  En julio de 2014 se publicó la segunda edición de la publicación de la OMPI “Cómo ganarse la vida con la música”.  Estas herramientas se usaron extensivamente en los programas de fortalecimiento de capacidades y se descargaron más de 100.000 veces al año en 2014 y 2015.</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En junio de 2014 se estableció una nueva entidad integrada por múltiples partes interesadas, el Consorcio de Libros Accesibles (ABC), destinada a aumentar el número de libros disponibles en formato accesible para las personas con dificultad para acceder al texto impreso de todo el mundo.  El ABC llevó a cabo tres actividades principales:  i) prestación de asistencia técnica para la elaboración de libros accesibles (financiada por los Gobiernos de Australia y la República de Corea);  ii) la edición inclusiva, que promueve tecnologías que permiten la publicación de obras que “nacen accesibles” y su utilización desde el principio tanto por personas que no tienen problemas de visión como por personas con dificultad para acceder al texto impreso, y iii) el servicio de libros del ABC, conocido también como TIGAR, una base de datos internacional que consta de títulos de libros en formatos accesibles en 55 idiomas.  En el marco de la primera actividad, el ABC editó 1.580 libros educativos en formatos accesibles en beneficio de 23.500 estudiantes con dificultad para acceder al texto impreso de Bangladesh, la India, Nepal y Sri Lanka.  Dentro de la segunda, el Consorcio patrocinó la Carta de la edici</w:t>
      </w:r>
      <w:r w:rsidRPr="002D0A6A">
        <w:rPr>
          <w:rFonts w:ascii="Tahoma" w:eastAsia="SimSun" w:hAnsi="Tahoma" w:cs="Tahoma"/>
          <w:bCs/>
          <w:lang w:val="es-ES" w:eastAsia="zh-CN"/>
        </w:rPr>
        <w:t>ó</w:t>
      </w:r>
      <w:r w:rsidRPr="002D0A6A">
        <w:rPr>
          <w:rFonts w:eastAsia="SimSun" w:cs="Arial"/>
          <w:bCs/>
          <w:lang w:val="es-ES" w:eastAsia="zh-CN"/>
        </w:rPr>
        <w:t xml:space="preserve">n accesible y el Premio Internacional a la Excelencia en la Edición Accesible.  </w:t>
      </w:r>
      <w:r w:rsidR="00224863">
        <w:rPr>
          <w:rFonts w:eastAsia="SimSun" w:cs="Arial"/>
          <w:bCs/>
          <w:lang w:val="es-ES" w:eastAsia="zh-CN"/>
        </w:rPr>
        <w:t>Con respecto a la tercera actividad, a</w:t>
      </w:r>
      <w:r w:rsidRPr="002D0A6A">
        <w:rPr>
          <w:rFonts w:eastAsia="SimSun" w:cs="Arial"/>
          <w:bCs/>
          <w:lang w:val="es-ES" w:eastAsia="zh-CN"/>
        </w:rPr>
        <w:t xml:space="preserve"> finales de 2015 había 15 bibliotecas participantes que habían efectuado 4.208 descargas de títulos accesibles y se llevaron a cabo más de 58.000 préstamos de libros accesibles a personas con dificultad para acceder al texto impreso.</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El programa siguió prestando apoyo eficaz a WIPOCOS, la actual herramienta de gestión de datos sobre el derecho de autor de la OMPI, hasta septiembre de 2015, momento en que dicha responsabilidad se transfirió al programa 15 (Soluciones operativas para las oficinas de P.I.).  El objetivo de la OMPI es seguir apoyando WIPOCOS hasta que la conexión de derecho de autor de la OMPI (WCC), el nuevo sistema de gestión de datos que mejora el flujo de datos y derechos a escala mundial entre los organismos de gestión colectiva beneficiarios, esté lista para su implantación.</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tabs>
          <w:tab w:val="left" w:pos="0"/>
          <w:tab w:val="left" w:pos="709"/>
        </w:tabs>
        <w:ind w:left="0"/>
        <w:jc w:val="both"/>
        <w:rPr>
          <w:rFonts w:eastAsia="SimSun" w:cs="Arial"/>
          <w:bCs/>
          <w:u w:val="single"/>
          <w:lang w:val="es-ES" w:eastAsia="zh-CN"/>
        </w:rPr>
      </w:pPr>
      <w:r w:rsidRPr="002D0A6A">
        <w:rPr>
          <w:rFonts w:eastAsia="SimSun" w:cs="Arial"/>
          <w:bCs/>
          <w:u w:val="single"/>
          <w:lang w:val="es-ES" w:eastAsia="zh-CN"/>
        </w:rPr>
        <w:t xml:space="preserve">Asistencia técnica a los países en desarrollo y los PMA </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Durante el bienio 2014/15 las recomendaciones y los principios de la A.D., en particular las recomendaciones 1, 5, 6, 10 y 11, siguieron orientando la asistencia técnica prestada a los países en desarrollo y los PMA en el ámbito del derecho de autor y los derechos conexos.  Por consiguiente, los programas de asistencia técnica estuvieron impulsados por la demanda, se elaboraron en colaboración estrecha con los países beneficiarios y se ejecutaron de manera adaptada para dar respuesta a las necesidades y prioridades de desarrollo detectadas en cada país.</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 xml:space="preserve">Se hicieron esfuerzos para dar respuesta a la demanda creciente de asistencia técnica en el ámbito del derecho de autor y los derechos conexos proveniente de los países en desarrollo y los PMA.  </w:t>
      </w:r>
      <w:r w:rsidRPr="002D0A6A">
        <w:rPr>
          <w:rFonts w:eastAsia="SimSun" w:cs="Arial"/>
          <w:bCs/>
          <w:lang w:val="es-ES" w:eastAsia="zh-CN"/>
        </w:rPr>
        <w:lastRenderedPageBreak/>
        <w:t xml:space="preserve">Durante el período objeto del examen se ejecutaron 95 programas diferentes de asistencia técnica y fortalecimiento de capacidades a escala nacional, regional e interregional en 116 países y cinco organizaciones intergubernamentales regionales (la Organización Regional Africana de la Propiedad Intelectual (ARIPO), el Centro Regional para el Fomento del Libro en América Latina y el Caribe (CERLALC), la </w:t>
      </w:r>
      <w:r w:rsidRPr="002D0A6A">
        <w:rPr>
          <w:rFonts w:eastAsia="SimSun"/>
          <w:lang w:val="es-ES" w:eastAsia="zh-CN"/>
        </w:rPr>
        <w:t xml:space="preserve">Organización Africana de la Propiedad Intelectual (OAPI), la Liga de los Estados Árabes (LEA) y la </w:t>
      </w:r>
      <w:r w:rsidRPr="002D0A6A">
        <w:rPr>
          <w:rStyle w:val="preferred"/>
          <w:lang w:val="es-ES"/>
        </w:rPr>
        <w:t>Secretaría del Foro de las Islas del Pacífico)</w:t>
      </w:r>
      <w:r w:rsidRPr="002D0A6A">
        <w:rPr>
          <w:rFonts w:eastAsia="SimSun"/>
          <w:lang w:val="es-ES" w:eastAsia="zh-CN"/>
        </w:rPr>
        <w:t>.</w:t>
      </w:r>
    </w:p>
    <w:p w:rsidR="00FA423E" w:rsidRPr="002D0A6A" w:rsidRDefault="00FA423E" w:rsidP="00FA423E">
      <w:pPr>
        <w:pStyle w:val="ListParagraph"/>
        <w:ind w:left="0"/>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Entre estas actividades realizadas estaban las relativas a la sensibilización y el fortalecimiento de capacidades en materia de derecho de autor y derechos conexos entre los directores de oficinales nacionales de derecho de autor, los responsables de la formulación de políticas y principales interesados.  En los programas de fortalecimiento de capacidades se abordaron los principios básicos del derecho de autor y los derechos conexos, así como nuevas cuestiones de especial importancia y pertinencia para los países en desarrollo y los PMA, en particular las novedades a nivel nacional e internacional, y contribuyeron a:  i) mejorar la capacidad para formular y poner en aplicación políticas nacionales en materia de derecho de autor y marcos estratégicos para la utilización coherente y eficaz  de la P.I. en favor del desarrollo sostenible;  ii) fortalecer la capacidad de los recursos humanos y el desarrollo institucional para prestar mejores servicios a las partes interesadas, y iii) promover y aprovechar su creatividad nacional.</w:t>
      </w:r>
    </w:p>
    <w:p w:rsidR="00FA423E" w:rsidRPr="002D0A6A" w:rsidRDefault="00FA423E" w:rsidP="00FA423E">
      <w:pPr>
        <w:pStyle w:val="ListParagraph"/>
        <w:tabs>
          <w:tab w:val="left" w:pos="0"/>
          <w:tab w:val="left" w:pos="709"/>
        </w:tabs>
        <w:ind w:left="0"/>
        <w:jc w:val="both"/>
        <w:rPr>
          <w:rFonts w:eastAsia="SimSun" w:cs="Arial"/>
          <w:bCs/>
          <w:lang w:val="es-ES" w:eastAsia="zh-CN"/>
        </w:rPr>
      </w:pPr>
    </w:p>
    <w:p w:rsidR="00FA423E" w:rsidRPr="002D0A6A" w:rsidRDefault="00FA423E" w:rsidP="00FA423E">
      <w:pPr>
        <w:pStyle w:val="ListParagraph"/>
        <w:numPr>
          <w:ilvl w:val="0"/>
          <w:numId w:val="14"/>
        </w:numPr>
        <w:tabs>
          <w:tab w:val="left" w:pos="0"/>
          <w:tab w:val="left" w:pos="709"/>
        </w:tabs>
        <w:ind w:left="0" w:firstLine="0"/>
        <w:jc w:val="both"/>
        <w:rPr>
          <w:rFonts w:eastAsia="SimSun" w:cs="Arial"/>
          <w:bCs/>
          <w:lang w:val="es-ES" w:eastAsia="zh-CN"/>
        </w:rPr>
      </w:pPr>
      <w:r w:rsidRPr="002D0A6A">
        <w:rPr>
          <w:rFonts w:eastAsia="SimSun" w:cs="Arial"/>
          <w:bCs/>
          <w:lang w:val="es-ES" w:eastAsia="zh-CN"/>
        </w:rPr>
        <w:t>También se hicieron esfuerzos a fin de mejorar la eficacia en función de los costos y la sostenibilidad de estas actividades de asistencia técnica, por ejemplo fomentando y fortaleciendo la cooperación entre los países en desarrollo a través del intercambio de conocimientos, destrezas, competencias y recursos para alcanzar sus objetivos de desarrollo.  Asimismo, se llevaron a cabo procesos de evaluación específicos por países al objeto de mejorar la responsabilidad por los</w:t>
      </w:r>
      <w:r w:rsidR="00224863">
        <w:rPr>
          <w:rFonts w:eastAsia="SimSun" w:cs="Arial"/>
          <w:bCs/>
          <w:lang w:val="es-ES" w:eastAsia="zh-CN"/>
        </w:rPr>
        <w:t xml:space="preserve"> resultados.  De acuerdo con es</w:t>
      </w:r>
      <w:r w:rsidRPr="002D0A6A">
        <w:rPr>
          <w:rFonts w:eastAsia="SimSun" w:cs="Arial"/>
          <w:bCs/>
          <w:lang w:val="es-ES" w:eastAsia="zh-CN"/>
        </w:rPr>
        <w:t xml:space="preserve">as evaluaciones, más del 80% de los participantes consideró que el contenido de </w:t>
      </w:r>
      <w:r w:rsidR="00224863">
        <w:rPr>
          <w:rFonts w:eastAsia="SimSun" w:cs="Arial"/>
          <w:bCs/>
          <w:lang w:val="es-ES" w:eastAsia="zh-CN"/>
        </w:rPr>
        <w:t xml:space="preserve">las reuniones y </w:t>
      </w:r>
      <w:r w:rsidRPr="002D0A6A">
        <w:rPr>
          <w:rFonts w:eastAsia="SimSun" w:cs="Arial"/>
          <w:bCs/>
          <w:lang w:val="es-ES" w:eastAsia="zh-CN"/>
        </w:rPr>
        <w:t>talleres</w:t>
      </w:r>
      <w:r w:rsidR="00224863">
        <w:rPr>
          <w:rFonts w:eastAsia="SimSun" w:cs="Arial"/>
          <w:bCs/>
          <w:lang w:val="es-ES" w:eastAsia="zh-CN"/>
        </w:rPr>
        <w:t xml:space="preserve"> sobre fortalecimiento de capacidades</w:t>
      </w:r>
      <w:r w:rsidRPr="002D0A6A">
        <w:rPr>
          <w:rFonts w:eastAsia="SimSun" w:cs="Arial"/>
          <w:bCs/>
          <w:lang w:val="es-ES" w:eastAsia="zh-CN"/>
        </w:rPr>
        <w:t xml:space="preserve"> era pertinente para sus tareas profesionales y que podría aprovechar la información y los conocimientos adquiridos en ellos para su trabajo.</w:t>
      </w:r>
    </w:p>
    <w:p w:rsidR="00FA423E" w:rsidRPr="002D0A6A" w:rsidRDefault="00FA423E" w:rsidP="00FA423E">
      <w:pPr>
        <w:rPr>
          <w:sz w:val="20"/>
        </w:rPr>
      </w:pPr>
    </w:p>
    <w:p w:rsidR="00FA423E" w:rsidRPr="002D0A6A" w:rsidRDefault="00FA423E" w:rsidP="00FA423E">
      <w:pPr>
        <w:rPr>
          <w:b/>
        </w:rPr>
      </w:pPr>
    </w:p>
    <w:p w:rsidR="00FA423E" w:rsidRPr="002D0A6A" w:rsidRDefault="008F7CBE" w:rsidP="00FA423E">
      <w:pPr>
        <w:rPr>
          <w:szCs w:val="22"/>
        </w:rPr>
      </w:pPr>
      <w:r w:rsidRPr="008F7CBE">
        <w:rPr>
          <w:sz w:val="20"/>
          <w:szCs w:val="22"/>
        </w:rPr>
        <w:t>DATOS SOBRE EL RENDIMIENTO</w:t>
      </w:r>
    </w:p>
    <w:p w:rsidR="00FA423E" w:rsidRPr="002D0A6A" w:rsidRDefault="00FA423E" w:rsidP="00FA423E">
      <w:pPr>
        <w:rPr>
          <w:sz w:val="20"/>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9"/>
        <w:gridCol w:w="139"/>
        <w:gridCol w:w="13"/>
        <w:gridCol w:w="2395"/>
        <w:gridCol w:w="13"/>
        <w:gridCol w:w="1271"/>
        <w:gridCol w:w="289"/>
        <w:gridCol w:w="1976"/>
        <w:gridCol w:w="11"/>
        <w:gridCol w:w="135"/>
        <w:gridCol w:w="1119"/>
        <w:gridCol w:w="8"/>
      </w:tblGrid>
      <w:tr w:rsidR="00FA423E" w:rsidRPr="002D0A6A" w:rsidTr="00DC1333">
        <w:trPr>
          <w:gridAfter w:val="1"/>
          <w:wAfter w:w="4" w:type="pct"/>
          <w:trHeight w:val="789"/>
        </w:trPr>
        <w:tc>
          <w:tcPr>
            <w:tcW w:w="4996" w:type="pct"/>
            <w:gridSpan w:val="11"/>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keepNext/>
              <w:keepLines/>
              <w:ind w:left="2019" w:hanging="2019"/>
              <w:rPr>
                <w:b/>
                <w:bCs/>
                <w:sz w:val="16"/>
                <w:szCs w:val="16"/>
              </w:rPr>
            </w:pPr>
            <w:r w:rsidRPr="002D0A6A">
              <w:rPr>
                <w:b/>
                <w:bCs/>
                <w:sz w:val="16"/>
                <w:szCs w:val="16"/>
              </w:rPr>
              <w:t>Resultado previsto:</w:t>
            </w:r>
            <w:r w:rsidRPr="002D0A6A">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A423E" w:rsidRPr="002D0A6A" w:rsidTr="00DC1333">
        <w:trPr>
          <w:gridAfter w:val="1"/>
          <w:wAfter w:w="4" w:type="pct"/>
        </w:trPr>
        <w:tc>
          <w:tcPr>
            <w:tcW w:w="1194" w:type="pct"/>
            <w:gridSpan w:val="2"/>
            <w:tcBorders>
              <w:top w:val="single" w:sz="4" w:space="0" w:color="auto"/>
            </w:tcBorders>
            <w:shd w:val="clear" w:color="auto" w:fill="auto"/>
            <w:vAlign w:val="center"/>
          </w:tcPr>
          <w:p w:rsidR="00FA423E" w:rsidRPr="002D0A6A" w:rsidRDefault="00FA423E" w:rsidP="00DC1333">
            <w:pPr>
              <w:rPr>
                <w:sz w:val="16"/>
                <w:szCs w:val="16"/>
              </w:rPr>
            </w:pPr>
            <w:r w:rsidRPr="002D0A6A">
              <w:rPr>
                <w:b/>
                <w:sz w:val="16"/>
                <w:szCs w:val="16"/>
              </w:rPr>
              <w:t>Indicadores de rendimiento</w:t>
            </w:r>
          </w:p>
        </w:tc>
        <w:tc>
          <w:tcPr>
            <w:tcW w:w="1268" w:type="pct"/>
            <w:gridSpan w:val="2"/>
            <w:tcBorders>
              <w:top w:val="single" w:sz="4" w:space="0" w:color="auto"/>
            </w:tcBorders>
            <w:shd w:val="clear" w:color="auto" w:fill="auto"/>
            <w:vAlign w:val="center"/>
          </w:tcPr>
          <w:p w:rsidR="00FA423E" w:rsidRPr="002D0A6A" w:rsidRDefault="00FA423E" w:rsidP="00DC1333">
            <w:pPr>
              <w:rPr>
                <w:b/>
                <w:bCs/>
                <w:sz w:val="16"/>
                <w:szCs w:val="16"/>
              </w:rPr>
            </w:pPr>
            <w:r w:rsidRPr="002D0A6A">
              <w:rPr>
                <w:b/>
                <w:bCs/>
                <w:sz w:val="16"/>
                <w:szCs w:val="16"/>
              </w:rPr>
              <w:t>Referencia</w:t>
            </w:r>
          </w:p>
        </w:tc>
        <w:tc>
          <w:tcPr>
            <w:tcW w:w="676" w:type="pct"/>
            <w:gridSpan w:val="2"/>
            <w:tcBorders>
              <w:top w:val="single" w:sz="4" w:space="0" w:color="auto"/>
            </w:tcBorders>
            <w:shd w:val="clear" w:color="auto" w:fill="auto"/>
            <w:tcMar>
              <w:top w:w="110" w:type="dxa"/>
            </w:tcMar>
            <w:vAlign w:val="center"/>
          </w:tcPr>
          <w:p w:rsidR="00FA423E" w:rsidRPr="002D0A6A" w:rsidRDefault="00FA423E" w:rsidP="00DC1333">
            <w:pPr>
              <w:rPr>
                <w:b/>
                <w:sz w:val="16"/>
                <w:szCs w:val="16"/>
              </w:rPr>
            </w:pPr>
            <w:r w:rsidRPr="002D0A6A">
              <w:rPr>
                <w:b/>
                <w:sz w:val="16"/>
                <w:szCs w:val="16"/>
              </w:rPr>
              <w:t>Objetivos</w:t>
            </w:r>
          </w:p>
        </w:tc>
        <w:tc>
          <w:tcPr>
            <w:tcW w:w="1192" w:type="pct"/>
            <w:gridSpan w:val="2"/>
            <w:tcBorders>
              <w:top w:val="single" w:sz="4" w:space="0" w:color="auto"/>
            </w:tcBorders>
            <w:shd w:val="clear" w:color="auto" w:fill="FFFFFF"/>
            <w:tcMar>
              <w:top w:w="110" w:type="dxa"/>
            </w:tcMar>
            <w:vAlign w:val="center"/>
          </w:tcPr>
          <w:p w:rsidR="00FA423E" w:rsidRPr="002D0A6A" w:rsidRDefault="00FA423E" w:rsidP="00DC1333">
            <w:pPr>
              <w:rPr>
                <w:sz w:val="16"/>
                <w:szCs w:val="16"/>
              </w:rPr>
            </w:pPr>
            <w:r w:rsidRPr="002D0A6A">
              <w:rPr>
                <w:b/>
                <w:sz w:val="16"/>
                <w:szCs w:val="16"/>
              </w:rPr>
              <w:t>Datos sobre el rendimiento</w:t>
            </w:r>
          </w:p>
        </w:tc>
        <w:tc>
          <w:tcPr>
            <w:tcW w:w="666" w:type="pct"/>
            <w:gridSpan w:val="3"/>
            <w:tcBorders>
              <w:top w:val="single" w:sz="4" w:space="0" w:color="auto"/>
            </w:tcBorders>
            <w:shd w:val="clear" w:color="auto" w:fill="auto"/>
            <w:tcMar>
              <w:top w:w="110" w:type="dxa"/>
            </w:tcMar>
            <w:vAlign w:val="center"/>
          </w:tcPr>
          <w:p w:rsidR="00FA423E" w:rsidRPr="002D0A6A" w:rsidRDefault="00FA423E" w:rsidP="00DC1333">
            <w:pPr>
              <w:keepNext/>
              <w:keepLines/>
              <w:ind w:right="-104"/>
              <w:jc w:val="center"/>
              <w:rPr>
                <w:b/>
                <w:bCs/>
                <w:sz w:val="16"/>
                <w:szCs w:val="16"/>
              </w:rPr>
            </w:pPr>
            <w:r w:rsidRPr="002D0A6A">
              <w:rPr>
                <w:b/>
                <w:bCs/>
                <w:sz w:val="16"/>
                <w:szCs w:val="16"/>
              </w:rPr>
              <w:t>Clave de colores</w:t>
            </w:r>
          </w:p>
        </w:tc>
      </w:tr>
      <w:tr w:rsidR="00FA423E" w:rsidRPr="002D0A6A" w:rsidTr="00DC1333">
        <w:trPr>
          <w:gridAfter w:val="1"/>
          <w:wAfter w:w="4" w:type="pct"/>
        </w:trPr>
        <w:tc>
          <w:tcPr>
            <w:tcW w:w="1194" w:type="pct"/>
            <w:gridSpan w:val="2"/>
            <w:tcBorders>
              <w:bottom w:val="single" w:sz="4" w:space="0" w:color="auto"/>
            </w:tcBorders>
            <w:shd w:val="clear" w:color="auto" w:fill="auto"/>
          </w:tcPr>
          <w:p w:rsidR="00FA423E" w:rsidRPr="002D0A6A" w:rsidRDefault="00FA423E" w:rsidP="00DC1333">
            <w:pPr>
              <w:rPr>
                <w:sz w:val="16"/>
                <w:szCs w:val="16"/>
              </w:rPr>
            </w:pPr>
            <w:r w:rsidRPr="002D0A6A">
              <w:rPr>
                <w:sz w:val="16"/>
                <w:szCs w:val="16"/>
              </w:rPr>
              <w:t>Avances para llegar a un acuerdo sobre las cuestiones que figuran en el orden del día del SCCR</w:t>
            </w:r>
          </w:p>
        </w:tc>
        <w:tc>
          <w:tcPr>
            <w:tcW w:w="1268" w:type="pct"/>
            <w:gridSpan w:val="2"/>
            <w:tcBorders>
              <w:bottom w:val="single" w:sz="4" w:space="0" w:color="auto"/>
            </w:tcBorders>
            <w:shd w:val="clear" w:color="auto" w:fill="auto"/>
          </w:tcPr>
          <w:p w:rsidR="00FA423E" w:rsidRPr="002D0A6A" w:rsidRDefault="00FA423E" w:rsidP="00DC1333">
            <w:pPr>
              <w:rPr>
                <w:i/>
                <w:sz w:val="16"/>
                <w:szCs w:val="16"/>
              </w:rPr>
            </w:pPr>
            <w:r w:rsidRPr="002D0A6A">
              <w:rPr>
                <w:i/>
                <w:color w:val="002060"/>
                <w:sz w:val="16"/>
                <w:szCs w:val="16"/>
              </w:rPr>
              <w:t>Referencia actualizada a fines de  2013</w:t>
            </w:r>
            <w:proofErr w:type="gramStart"/>
            <w:r w:rsidRPr="002D0A6A">
              <w:rPr>
                <w:i/>
                <w:color w:val="002060"/>
                <w:sz w:val="16"/>
                <w:szCs w:val="16"/>
              </w:rPr>
              <w:t xml:space="preserve">:  </w:t>
            </w:r>
            <w:r w:rsidRPr="002D0A6A">
              <w:rPr>
                <w:sz w:val="16"/>
                <w:szCs w:val="16"/>
              </w:rPr>
              <w:t>Se</w:t>
            </w:r>
            <w:proofErr w:type="gramEnd"/>
            <w:r w:rsidRPr="002D0A6A">
              <w:rPr>
                <w:sz w:val="16"/>
                <w:szCs w:val="16"/>
              </w:rPr>
              <w:t xml:space="preserve"> adoptó el texto del Tratado de Beijing en junio de 2012. Se adoptó el texto del Tratado de Marrakech en junio de 2013.  Los progresos están en sintonía con el plan de trabajo del SCCR sobre todos los puntos que figuran en el orden del día.</w:t>
            </w:r>
          </w:p>
          <w:p w:rsidR="00FA423E" w:rsidRPr="002D0A6A" w:rsidRDefault="00FA423E" w:rsidP="00DC1333">
            <w:pPr>
              <w:rPr>
                <w:color w:val="002060"/>
                <w:sz w:val="8"/>
                <w:szCs w:val="8"/>
              </w:rPr>
            </w:pPr>
          </w:p>
          <w:p w:rsidR="00FA423E" w:rsidRPr="002D0A6A" w:rsidRDefault="00FA423E" w:rsidP="00DC1333">
            <w:pPr>
              <w:rPr>
                <w:sz w:val="16"/>
                <w:szCs w:val="16"/>
                <w:lang w:bidi="th-TH"/>
              </w:rPr>
            </w:pPr>
            <w:r w:rsidRPr="002D0A6A">
              <w:rPr>
                <w:i/>
                <w:sz w:val="16"/>
                <w:szCs w:val="16"/>
                <w:lang w:bidi="th-TH"/>
              </w:rPr>
              <w:t>Referencia original en el presupuesto de 2014/15</w:t>
            </w:r>
            <w:proofErr w:type="gramStart"/>
            <w:r w:rsidRPr="002D0A6A">
              <w:rPr>
                <w:i/>
                <w:sz w:val="16"/>
                <w:szCs w:val="16"/>
                <w:lang w:bidi="th-TH"/>
              </w:rPr>
              <w:t>:</w:t>
            </w:r>
            <w:r w:rsidRPr="002D0A6A">
              <w:rPr>
                <w:sz w:val="16"/>
                <w:szCs w:val="16"/>
                <w:lang w:bidi="th-TH"/>
              </w:rPr>
              <w:t xml:space="preserve">  dos</w:t>
            </w:r>
            <w:proofErr w:type="gramEnd"/>
            <w:r w:rsidRPr="002D0A6A">
              <w:rPr>
                <w:sz w:val="16"/>
                <w:szCs w:val="16"/>
                <w:lang w:bidi="th-TH"/>
              </w:rPr>
              <w:t xml:space="preserve"> tratados adoptados en el bienio 2012/13 (hasta la fecha).  Dos conferencias diplomáticas convocadas en el bienio 2012/13.</w:t>
            </w:r>
          </w:p>
          <w:p w:rsidR="00FA423E" w:rsidRPr="002D0A6A" w:rsidRDefault="00FA423E" w:rsidP="00DC1333">
            <w:pPr>
              <w:rPr>
                <w:sz w:val="16"/>
                <w:szCs w:val="16"/>
              </w:rPr>
            </w:pPr>
          </w:p>
        </w:tc>
        <w:tc>
          <w:tcPr>
            <w:tcW w:w="676" w:type="pct"/>
            <w:gridSpan w:val="2"/>
            <w:tcBorders>
              <w:bottom w:val="single" w:sz="4" w:space="0" w:color="auto"/>
            </w:tcBorders>
            <w:shd w:val="clear" w:color="auto" w:fill="auto"/>
            <w:tcMar>
              <w:top w:w="110" w:type="dxa"/>
            </w:tcMar>
          </w:tcPr>
          <w:p w:rsidR="00FA423E" w:rsidRPr="002D0A6A" w:rsidRDefault="00FA423E" w:rsidP="00DC1333">
            <w:pPr>
              <w:rPr>
                <w:sz w:val="16"/>
                <w:szCs w:val="16"/>
              </w:rPr>
            </w:pPr>
            <w:r w:rsidRPr="002D0A6A">
              <w:rPr>
                <w:sz w:val="16"/>
                <w:szCs w:val="16"/>
              </w:rPr>
              <w:t>Una conferencia diplomática convocada y un tratad</w:t>
            </w:r>
            <w:r>
              <w:rPr>
                <w:sz w:val="16"/>
                <w:szCs w:val="16"/>
              </w:rPr>
              <w:t>o adoptado en el bienio 2014/15</w:t>
            </w:r>
          </w:p>
          <w:p w:rsidR="00FA423E" w:rsidRPr="002D0A6A" w:rsidRDefault="00FA423E" w:rsidP="00DC1333">
            <w:pPr>
              <w:rPr>
                <w:sz w:val="16"/>
                <w:szCs w:val="16"/>
              </w:rPr>
            </w:pPr>
          </w:p>
          <w:p w:rsidR="00FA423E" w:rsidRPr="002D0A6A" w:rsidRDefault="00FA423E" w:rsidP="00DC1333">
            <w:pPr>
              <w:rPr>
                <w:sz w:val="16"/>
                <w:szCs w:val="16"/>
                <w:lang w:bidi="th-TH"/>
              </w:rPr>
            </w:pPr>
          </w:p>
        </w:tc>
        <w:tc>
          <w:tcPr>
            <w:tcW w:w="1192" w:type="pct"/>
            <w:gridSpan w:val="2"/>
            <w:tcBorders>
              <w:bottom w:val="single" w:sz="4" w:space="0" w:color="auto"/>
            </w:tcBorders>
            <w:shd w:val="clear" w:color="auto" w:fill="FFFFFF"/>
            <w:tcMar>
              <w:top w:w="110" w:type="dxa"/>
            </w:tcMar>
          </w:tcPr>
          <w:p w:rsidR="00FA423E" w:rsidRPr="002D0A6A" w:rsidRDefault="00FA423E" w:rsidP="00DC1333">
            <w:pPr>
              <w:rPr>
                <w:sz w:val="16"/>
                <w:szCs w:val="16"/>
              </w:rPr>
            </w:pPr>
            <w:r w:rsidRPr="002D0A6A">
              <w:rPr>
                <w:sz w:val="16"/>
                <w:szCs w:val="16"/>
                <w:lang w:bidi="th-TH"/>
              </w:rPr>
              <w:t>El SCCR y la Asamblea General de la OMPI no lograron llegar a un acuerdo sobre los aspectos que permitan avanzar hacia la convocatoria de una conferencia diplomática en relación con el tratado sobre la protección de los organismos de radiodifusión.</w:t>
            </w:r>
          </w:p>
        </w:tc>
        <w:tc>
          <w:tcPr>
            <w:tcW w:w="666" w:type="pct"/>
            <w:gridSpan w:val="3"/>
            <w:tcBorders>
              <w:bottom w:val="single" w:sz="4" w:space="0" w:color="auto"/>
            </w:tcBorders>
            <w:shd w:val="clear" w:color="auto" w:fill="auto"/>
            <w:tcMar>
              <w:top w:w="110" w:type="dxa"/>
            </w:tcMar>
          </w:tcPr>
          <w:p w:rsidR="00FA423E" w:rsidRPr="002D0A6A" w:rsidRDefault="00FA423E" w:rsidP="00DC1333">
            <w:pPr>
              <w:keepNext/>
              <w:keepLines/>
              <w:ind w:left="-108"/>
              <w:jc w:val="center"/>
              <w:rPr>
                <w:b/>
                <w:bCs/>
                <w:sz w:val="16"/>
                <w:szCs w:val="16"/>
              </w:rPr>
            </w:pPr>
            <w:r w:rsidRPr="002D0A6A">
              <w:rPr>
                <w:b/>
                <w:bCs/>
                <w:color w:val="FF0000"/>
                <w:sz w:val="16"/>
                <w:szCs w:val="16"/>
              </w:rPr>
              <w:t>No logrado</w:t>
            </w:r>
          </w:p>
        </w:tc>
      </w:tr>
      <w:tr w:rsidR="00FA423E" w:rsidRPr="002D0A6A" w:rsidTr="00DC1333">
        <w:trPr>
          <w:gridAfter w:val="1"/>
          <w:wAfter w:w="4" w:type="pct"/>
          <w:trHeight w:val="475"/>
        </w:trPr>
        <w:tc>
          <w:tcPr>
            <w:tcW w:w="4996" w:type="pct"/>
            <w:gridSpan w:val="11"/>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keepNext/>
              <w:ind w:left="2019" w:hanging="2019"/>
              <w:rPr>
                <w:b/>
                <w:bCs/>
                <w:sz w:val="16"/>
                <w:szCs w:val="16"/>
              </w:rPr>
            </w:pPr>
            <w:r w:rsidRPr="002D0A6A">
              <w:rPr>
                <w:b/>
                <w:bCs/>
                <w:sz w:val="16"/>
                <w:szCs w:val="16"/>
              </w:rPr>
              <w:lastRenderedPageBreak/>
              <w:t>Resultado previsto:</w:t>
            </w:r>
            <w:r w:rsidRPr="002D0A6A">
              <w:rPr>
                <w:bCs/>
                <w:sz w:val="16"/>
                <w:szCs w:val="16"/>
              </w:rPr>
              <w:tab/>
              <w:t>I.2 Marcos de P.I. adaptados y equilibrados en el ámbito legislativo, reglamentario y de política</w:t>
            </w:r>
          </w:p>
        </w:tc>
      </w:tr>
      <w:tr w:rsidR="00FA423E" w:rsidRPr="002D0A6A" w:rsidTr="00DC1333">
        <w:trPr>
          <w:gridAfter w:val="1"/>
          <w:wAfter w:w="4" w:type="pct"/>
        </w:trPr>
        <w:tc>
          <w:tcPr>
            <w:tcW w:w="1194" w:type="pct"/>
            <w:gridSpan w:val="2"/>
            <w:tcBorders>
              <w:top w:val="single" w:sz="4" w:space="0" w:color="auto"/>
              <w:left w:val="single" w:sz="4" w:space="0" w:color="auto"/>
              <w:bottom w:val="nil"/>
            </w:tcBorders>
            <w:shd w:val="clear" w:color="auto" w:fill="auto"/>
            <w:vAlign w:val="center"/>
          </w:tcPr>
          <w:p w:rsidR="00FA423E" w:rsidRPr="002D0A6A" w:rsidRDefault="00FA423E" w:rsidP="00DC1333">
            <w:pPr>
              <w:keepNext/>
              <w:rPr>
                <w:sz w:val="16"/>
                <w:szCs w:val="16"/>
              </w:rPr>
            </w:pPr>
            <w:r w:rsidRPr="002D0A6A">
              <w:rPr>
                <w:b/>
                <w:sz w:val="16"/>
                <w:szCs w:val="16"/>
              </w:rPr>
              <w:t>Indicadores de rendimiento</w:t>
            </w:r>
          </w:p>
        </w:tc>
        <w:tc>
          <w:tcPr>
            <w:tcW w:w="1268" w:type="pct"/>
            <w:gridSpan w:val="2"/>
            <w:tcBorders>
              <w:top w:val="single" w:sz="4" w:space="0" w:color="auto"/>
              <w:bottom w:val="nil"/>
            </w:tcBorders>
            <w:shd w:val="clear" w:color="auto" w:fill="auto"/>
            <w:vAlign w:val="center"/>
          </w:tcPr>
          <w:p w:rsidR="00FA423E" w:rsidRPr="002D0A6A" w:rsidRDefault="00FA423E" w:rsidP="00DC1333">
            <w:pPr>
              <w:keepNext/>
              <w:rPr>
                <w:b/>
                <w:bCs/>
                <w:sz w:val="16"/>
                <w:szCs w:val="16"/>
              </w:rPr>
            </w:pPr>
            <w:r w:rsidRPr="002D0A6A">
              <w:rPr>
                <w:b/>
                <w:bCs/>
                <w:sz w:val="16"/>
                <w:szCs w:val="16"/>
              </w:rPr>
              <w:t>Referencia</w:t>
            </w:r>
          </w:p>
        </w:tc>
        <w:tc>
          <w:tcPr>
            <w:tcW w:w="676" w:type="pct"/>
            <w:gridSpan w:val="2"/>
            <w:tcBorders>
              <w:top w:val="single" w:sz="4" w:space="0" w:color="auto"/>
              <w:bottom w:val="nil"/>
            </w:tcBorders>
            <w:shd w:val="clear" w:color="auto" w:fill="auto"/>
            <w:tcMar>
              <w:top w:w="110" w:type="dxa"/>
            </w:tcMar>
            <w:vAlign w:val="center"/>
          </w:tcPr>
          <w:p w:rsidR="00FA423E" w:rsidRPr="002D0A6A" w:rsidRDefault="00FA423E" w:rsidP="00DC1333">
            <w:pPr>
              <w:keepNext/>
              <w:rPr>
                <w:b/>
                <w:sz w:val="16"/>
                <w:szCs w:val="16"/>
              </w:rPr>
            </w:pPr>
            <w:r w:rsidRPr="002D0A6A">
              <w:rPr>
                <w:b/>
                <w:sz w:val="16"/>
                <w:szCs w:val="16"/>
              </w:rPr>
              <w:t>Objetivos</w:t>
            </w:r>
          </w:p>
        </w:tc>
        <w:tc>
          <w:tcPr>
            <w:tcW w:w="1192" w:type="pct"/>
            <w:gridSpan w:val="2"/>
            <w:tcBorders>
              <w:top w:val="single" w:sz="4" w:space="0" w:color="auto"/>
              <w:bottom w:val="nil"/>
            </w:tcBorders>
            <w:shd w:val="clear" w:color="auto" w:fill="FFFFFF"/>
            <w:tcMar>
              <w:top w:w="110" w:type="dxa"/>
            </w:tcMar>
            <w:vAlign w:val="center"/>
          </w:tcPr>
          <w:p w:rsidR="00FA423E" w:rsidRPr="002D0A6A" w:rsidRDefault="00FA423E" w:rsidP="00DC1333">
            <w:pPr>
              <w:keepNext/>
              <w:rPr>
                <w:sz w:val="16"/>
                <w:szCs w:val="16"/>
              </w:rPr>
            </w:pPr>
            <w:r w:rsidRPr="002D0A6A">
              <w:rPr>
                <w:b/>
                <w:sz w:val="16"/>
                <w:szCs w:val="16"/>
              </w:rPr>
              <w:t>Datos sobre el rendimiento</w:t>
            </w:r>
          </w:p>
        </w:tc>
        <w:tc>
          <w:tcPr>
            <w:tcW w:w="666" w:type="pct"/>
            <w:gridSpan w:val="3"/>
            <w:tcBorders>
              <w:top w:val="single" w:sz="4" w:space="0" w:color="auto"/>
              <w:bottom w:val="nil"/>
              <w:right w:val="single" w:sz="4" w:space="0" w:color="auto"/>
            </w:tcBorders>
            <w:shd w:val="clear" w:color="auto" w:fill="auto"/>
            <w:tcMar>
              <w:top w:w="110" w:type="dxa"/>
            </w:tcMar>
            <w:vAlign w:val="center"/>
          </w:tcPr>
          <w:p w:rsidR="00FA423E" w:rsidRPr="002D0A6A" w:rsidRDefault="00FA423E" w:rsidP="00DC1333">
            <w:pPr>
              <w:keepNext/>
              <w:keepLines/>
              <w:jc w:val="center"/>
              <w:rPr>
                <w:b/>
                <w:bCs/>
                <w:sz w:val="16"/>
                <w:szCs w:val="16"/>
              </w:rPr>
            </w:pPr>
            <w:r w:rsidRPr="002D0A6A">
              <w:rPr>
                <w:b/>
                <w:bCs/>
                <w:sz w:val="16"/>
                <w:szCs w:val="16"/>
              </w:rPr>
              <w:t>Clave de colores</w:t>
            </w:r>
          </w:p>
        </w:tc>
      </w:tr>
      <w:tr w:rsidR="00FA423E" w:rsidRPr="002D0A6A" w:rsidTr="00DC1333">
        <w:trPr>
          <w:gridAfter w:val="1"/>
          <w:wAfter w:w="4" w:type="pct"/>
        </w:trPr>
        <w:tc>
          <w:tcPr>
            <w:tcW w:w="1194" w:type="pct"/>
            <w:gridSpan w:val="2"/>
            <w:tcBorders>
              <w:top w:val="nil"/>
              <w:left w:val="single" w:sz="4" w:space="0" w:color="auto"/>
              <w:bottom w:val="nil"/>
            </w:tcBorders>
            <w:shd w:val="clear" w:color="auto" w:fill="FFFFFF"/>
          </w:tcPr>
          <w:p w:rsidR="00FA423E" w:rsidRPr="002D0A6A" w:rsidRDefault="00FA423E" w:rsidP="00DC1333">
            <w:pPr>
              <w:keepNext/>
              <w:rPr>
                <w:sz w:val="16"/>
                <w:szCs w:val="16"/>
              </w:rPr>
            </w:pPr>
            <w:r w:rsidRPr="002D0A6A">
              <w:rPr>
                <w:sz w:val="16"/>
                <w:szCs w:val="16"/>
              </w:rPr>
              <w:t>Número de países que han ratificado el Tratado de Beijing.</w:t>
            </w:r>
          </w:p>
        </w:tc>
        <w:tc>
          <w:tcPr>
            <w:tcW w:w="1268" w:type="pct"/>
            <w:gridSpan w:val="2"/>
            <w:tcBorders>
              <w:top w:val="nil"/>
              <w:bottom w:val="nil"/>
            </w:tcBorders>
            <w:shd w:val="clear" w:color="auto" w:fill="auto"/>
          </w:tcPr>
          <w:p w:rsidR="00FA423E" w:rsidRPr="002D0A6A" w:rsidRDefault="00FA423E" w:rsidP="00DC1333">
            <w:pPr>
              <w:keepNext/>
              <w:rPr>
                <w:i/>
                <w:color w:val="002060"/>
                <w:sz w:val="16"/>
                <w:szCs w:val="16"/>
              </w:rPr>
            </w:pPr>
            <w:r w:rsidRPr="002D0A6A">
              <w:rPr>
                <w:i/>
                <w:color w:val="002060"/>
                <w:sz w:val="16"/>
                <w:szCs w:val="16"/>
              </w:rPr>
              <w:t xml:space="preserve">Referencia actualizada a fines de  2013:  </w:t>
            </w:r>
            <w:r w:rsidRPr="002D0A6A">
              <w:rPr>
                <w:color w:val="002060"/>
                <w:sz w:val="16"/>
                <w:szCs w:val="16"/>
              </w:rPr>
              <w:t>2 (Botswana, República Árabe Siria)</w:t>
            </w:r>
          </w:p>
          <w:p w:rsidR="00FA423E" w:rsidRPr="002D0A6A" w:rsidRDefault="00FA423E" w:rsidP="00DC1333">
            <w:pPr>
              <w:keepNext/>
              <w:rPr>
                <w:i/>
                <w:sz w:val="8"/>
                <w:szCs w:val="8"/>
                <w:lang w:bidi="th-TH"/>
              </w:rPr>
            </w:pPr>
          </w:p>
          <w:p w:rsidR="00FA423E" w:rsidRPr="002D0A6A" w:rsidRDefault="00FA423E" w:rsidP="00DC1333">
            <w:pPr>
              <w:keepNext/>
              <w:rPr>
                <w:sz w:val="16"/>
                <w:szCs w:val="16"/>
                <w:lang w:bidi="th-TH"/>
              </w:rPr>
            </w:pPr>
            <w:r w:rsidRPr="002D0A6A">
              <w:rPr>
                <w:i/>
                <w:sz w:val="16"/>
                <w:szCs w:val="16"/>
                <w:lang w:bidi="th-TH"/>
              </w:rPr>
              <w:t xml:space="preserve">Referencia original en el presupuesto de 2014/15: </w:t>
            </w:r>
            <w:r w:rsidRPr="002D0A6A">
              <w:rPr>
                <w:sz w:val="16"/>
                <w:szCs w:val="16"/>
                <w:lang w:bidi="th-TH"/>
              </w:rPr>
              <w:t xml:space="preserve"> ninguna</w:t>
            </w:r>
          </w:p>
          <w:p w:rsidR="00FA423E" w:rsidRPr="002D0A6A" w:rsidRDefault="00FA423E" w:rsidP="00DC1333">
            <w:pPr>
              <w:keepNext/>
              <w:rPr>
                <w:sz w:val="16"/>
                <w:szCs w:val="16"/>
              </w:rPr>
            </w:pPr>
          </w:p>
        </w:tc>
        <w:tc>
          <w:tcPr>
            <w:tcW w:w="676" w:type="pct"/>
            <w:gridSpan w:val="2"/>
            <w:tcBorders>
              <w:top w:val="nil"/>
              <w:bottom w:val="nil"/>
            </w:tcBorders>
            <w:shd w:val="clear" w:color="auto" w:fill="auto"/>
            <w:tcMar>
              <w:top w:w="110" w:type="dxa"/>
            </w:tcMar>
          </w:tcPr>
          <w:p w:rsidR="00FA423E" w:rsidRPr="002D0A6A" w:rsidRDefault="00FA423E" w:rsidP="00DC1333">
            <w:pPr>
              <w:keepNext/>
              <w:rPr>
                <w:sz w:val="16"/>
                <w:szCs w:val="16"/>
              </w:rPr>
            </w:pPr>
            <w:r w:rsidRPr="002D0A6A">
              <w:rPr>
                <w:sz w:val="16"/>
                <w:szCs w:val="16"/>
              </w:rPr>
              <w:t>30 países en total.</w:t>
            </w:r>
          </w:p>
        </w:tc>
        <w:tc>
          <w:tcPr>
            <w:tcW w:w="1192" w:type="pct"/>
            <w:gridSpan w:val="2"/>
            <w:tcBorders>
              <w:top w:val="nil"/>
              <w:bottom w:val="nil"/>
            </w:tcBorders>
            <w:shd w:val="clear" w:color="auto" w:fill="FFFFFF"/>
            <w:tcMar>
              <w:top w:w="110" w:type="dxa"/>
            </w:tcMar>
          </w:tcPr>
          <w:p w:rsidR="00FA423E" w:rsidRPr="002D0A6A" w:rsidRDefault="00FA423E" w:rsidP="00DC1333">
            <w:pPr>
              <w:keepNext/>
              <w:rPr>
                <w:sz w:val="16"/>
                <w:szCs w:val="16"/>
              </w:rPr>
            </w:pPr>
            <w:r w:rsidRPr="002D0A6A">
              <w:rPr>
                <w:sz w:val="16"/>
                <w:szCs w:val="16"/>
              </w:rPr>
              <w:t>Otros ocho países depositaron instrumentos de ratificación o de adhesión al Tratado de  Beijing (Chile, China, Emiratos Árabes Unidos, Eslovaquia, Federación de Rusia, Japón, Qatar y República de Moldova) (10 países en total)</w:t>
            </w:r>
          </w:p>
        </w:tc>
        <w:tc>
          <w:tcPr>
            <w:tcW w:w="666" w:type="pct"/>
            <w:gridSpan w:val="3"/>
            <w:tcBorders>
              <w:top w:val="nil"/>
              <w:bottom w:val="nil"/>
              <w:right w:val="single" w:sz="4" w:space="0" w:color="auto"/>
            </w:tcBorders>
            <w:shd w:val="clear" w:color="auto" w:fill="auto"/>
            <w:tcMar>
              <w:top w:w="110" w:type="dxa"/>
            </w:tcMar>
          </w:tcPr>
          <w:p w:rsidR="00FA423E" w:rsidRPr="002D0A6A" w:rsidRDefault="00FA423E" w:rsidP="00DC1333">
            <w:pPr>
              <w:keepNext/>
              <w:keepLines/>
              <w:ind w:left="-108"/>
              <w:jc w:val="center"/>
              <w:rPr>
                <w:b/>
                <w:bCs/>
                <w:color w:val="808080" w:themeColor="background1" w:themeShade="80"/>
                <w:sz w:val="16"/>
                <w:szCs w:val="16"/>
              </w:rPr>
            </w:pPr>
            <w:r w:rsidRPr="002D0A6A">
              <w:rPr>
                <w:b/>
                <w:bCs/>
                <w:color w:val="FF0000"/>
                <w:sz w:val="16"/>
                <w:szCs w:val="16"/>
              </w:rPr>
              <w:t>No logrado</w:t>
            </w:r>
          </w:p>
        </w:tc>
      </w:tr>
      <w:tr w:rsidR="00FA423E" w:rsidRPr="002D0A6A" w:rsidTr="00DC1333">
        <w:trPr>
          <w:gridAfter w:val="1"/>
          <w:wAfter w:w="4" w:type="pct"/>
        </w:trPr>
        <w:tc>
          <w:tcPr>
            <w:tcW w:w="1194" w:type="pct"/>
            <w:gridSpan w:val="2"/>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Número y porcentaje de países que han presentado comentarios positivos sobre el asesoramiento legislativo de la OMPI.</w:t>
            </w:r>
          </w:p>
        </w:tc>
        <w:tc>
          <w:tcPr>
            <w:tcW w:w="1268" w:type="pct"/>
            <w:gridSpan w:val="2"/>
            <w:tcBorders>
              <w:top w:val="nil"/>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No se dispone de datos.</w:t>
            </w:r>
          </w:p>
          <w:p w:rsidR="00FA423E" w:rsidRPr="002D0A6A" w:rsidRDefault="00FA423E" w:rsidP="00DC1333">
            <w:pPr>
              <w:keepNext/>
              <w:rPr>
                <w:sz w:val="16"/>
                <w:szCs w:val="16"/>
                <w:lang w:bidi="th-TH"/>
              </w:rPr>
            </w:pPr>
          </w:p>
        </w:tc>
        <w:tc>
          <w:tcPr>
            <w:tcW w:w="676" w:type="pct"/>
            <w:gridSpan w:val="2"/>
            <w:tcBorders>
              <w:top w:val="nil"/>
              <w:bottom w:val="nil"/>
            </w:tcBorders>
            <w:shd w:val="clear" w:color="auto" w:fill="auto"/>
            <w:tcMar>
              <w:top w:w="110" w:type="dxa"/>
            </w:tcMar>
          </w:tcPr>
          <w:p w:rsidR="00FA423E" w:rsidRPr="002D0A6A" w:rsidRDefault="00FA423E" w:rsidP="00DC1333">
            <w:pPr>
              <w:keepNext/>
              <w:rPr>
                <w:sz w:val="16"/>
                <w:szCs w:val="16"/>
                <w:lang w:bidi="th-TH"/>
              </w:rPr>
            </w:pPr>
            <w:r w:rsidRPr="002D0A6A">
              <w:rPr>
                <w:sz w:val="16"/>
                <w:szCs w:val="16"/>
                <w:lang w:bidi="th-TH"/>
              </w:rPr>
              <w:t xml:space="preserve">15 países </w:t>
            </w:r>
          </w:p>
        </w:tc>
        <w:tc>
          <w:tcPr>
            <w:tcW w:w="1192" w:type="pct"/>
            <w:gridSpan w:val="2"/>
            <w:tcBorders>
              <w:top w:val="nil"/>
              <w:bottom w:val="nil"/>
            </w:tcBorders>
            <w:shd w:val="clear" w:color="auto" w:fill="FFFFFF"/>
            <w:tcMar>
              <w:top w:w="110" w:type="dxa"/>
            </w:tcMar>
          </w:tcPr>
          <w:p w:rsidR="00FA423E" w:rsidRPr="002D0A6A" w:rsidRDefault="00FA423E" w:rsidP="00DC1333">
            <w:pPr>
              <w:keepNext/>
              <w:rPr>
                <w:sz w:val="16"/>
                <w:szCs w:val="16"/>
                <w:lang w:bidi="th-TH"/>
              </w:rPr>
            </w:pPr>
            <w:r w:rsidRPr="002D0A6A">
              <w:rPr>
                <w:sz w:val="16"/>
                <w:szCs w:val="16"/>
                <w:lang w:bidi="th-TH"/>
              </w:rPr>
              <w:t>25 países recibieron asesoramiento en el ámbito legislativo en 2014/15.  (África 9;  América Latina y el Caribe 6;  Asia y el Pacífico 5;  Países árabes 3; otros 2).</w:t>
            </w:r>
          </w:p>
          <w:p w:rsidR="00FA423E" w:rsidRPr="002D0A6A" w:rsidRDefault="00FA423E" w:rsidP="00DC1333">
            <w:pPr>
              <w:keepNext/>
              <w:rPr>
                <w:sz w:val="16"/>
                <w:szCs w:val="16"/>
                <w:lang w:bidi="th-TH"/>
              </w:rPr>
            </w:pPr>
          </w:p>
        </w:tc>
        <w:tc>
          <w:tcPr>
            <w:tcW w:w="666" w:type="pct"/>
            <w:gridSpan w:val="3"/>
            <w:tcBorders>
              <w:top w:val="nil"/>
              <w:bottom w:val="nil"/>
              <w:right w:val="single" w:sz="4" w:space="0" w:color="auto"/>
            </w:tcBorders>
            <w:shd w:val="clear" w:color="auto" w:fill="auto"/>
          </w:tcPr>
          <w:p w:rsidR="00FA423E" w:rsidRPr="002D0A6A" w:rsidRDefault="00FA423E" w:rsidP="00DC1333">
            <w:pPr>
              <w:keepNext/>
              <w:keepLines/>
              <w:jc w:val="center"/>
              <w:rPr>
                <w:bCs/>
                <w:sz w:val="16"/>
                <w:szCs w:val="16"/>
              </w:rPr>
            </w:pPr>
            <w:r w:rsidRPr="002D0A6A">
              <w:rPr>
                <w:b/>
                <w:bCs/>
                <w:color w:val="00B050"/>
                <w:sz w:val="16"/>
                <w:szCs w:val="16"/>
              </w:rPr>
              <w:t>Plenamente logrado</w:t>
            </w:r>
          </w:p>
        </w:tc>
      </w:tr>
      <w:tr w:rsidR="00FA423E" w:rsidRPr="002D0A6A" w:rsidTr="00DC1333">
        <w:trPr>
          <w:gridAfter w:val="1"/>
          <w:wAfter w:w="4" w:type="pct"/>
        </w:trPr>
        <w:tc>
          <w:tcPr>
            <w:tcW w:w="1194" w:type="pct"/>
            <w:gridSpan w:val="2"/>
            <w:tcBorders>
              <w:top w:val="nil"/>
              <w:left w:val="single" w:sz="4" w:space="0" w:color="auto"/>
              <w:bottom w:val="nil"/>
            </w:tcBorders>
            <w:shd w:val="clear" w:color="auto" w:fill="auto"/>
          </w:tcPr>
          <w:p w:rsidR="00FA423E" w:rsidRPr="002D0A6A" w:rsidRDefault="00FA423E" w:rsidP="00DC1333">
            <w:pPr>
              <w:keepNext/>
              <w:rPr>
                <w:sz w:val="16"/>
                <w:szCs w:val="16"/>
                <w:lang w:bidi="th-TH"/>
              </w:rPr>
            </w:pPr>
          </w:p>
        </w:tc>
        <w:tc>
          <w:tcPr>
            <w:tcW w:w="1268" w:type="pct"/>
            <w:gridSpan w:val="2"/>
            <w:tcBorders>
              <w:top w:val="nil"/>
              <w:bottom w:val="nil"/>
            </w:tcBorders>
            <w:shd w:val="clear" w:color="auto" w:fill="auto"/>
          </w:tcPr>
          <w:p w:rsidR="00FA423E" w:rsidRPr="002D0A6A" w:rsidRDefault="00FA423E" w:rsidP="00DC1333">
            <w:pPr>
              <w:keepNext/>
              <w:keepLines/>
              <w:rPr>
                <w:i/>
                <w:color w:val="002060"/>
                <w:sz w:val="16"/>
                <w:szCs w:val="16"/>
              </w:rPr>
            </w:pPr>
          </w:p>
        </w:tc>
        <w:tc>
          <w:tcPr>
            <w:tcW w:w="676" w:type="pct"/>
            <w:gridSpan w:val="2"/>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p>
        </w:tc>
        <w:tc>
          <w:tcPr>
            <w:tcW w:w="1192" w:type="pct"/>
            <w:gridSpan w:val="2"/>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El 100% de las respuestas válidas a la encuesta proporcionaron una opinión positiva (5 o 6 en una escala del 1 al 6) acerca del servicio de asesoramiento en materia legislativa de la OMPI.</w:t>
            </w:r>
          </w:p>
        </w:tc>
        <w:tc>
          <w:tcPr>
            <w:tcW w:w="666" w:type="pct"/>
            <w:gridSpan w:val="3"/>
            <w:tcBorders>
              <w:top w:val="nil"/>
              <w:bottom w:val="nil"/>
              <w:right w:val="single" w:sz="4" w:space="0" w:color="auto"/>
            </w:tcBorders>
            <w:shd w:val="clear" w:color="auto" w:fill="auto"/>
          </w:tcPr>
          <w:p w:rsidR="00FA423E" w:rsidRPr="002D0A6A" w:rsidRDefault="00FA423E" w:rsidP="00DC1333">
            <w:pPr>
              <w:keepNext/>
              <w:keepLines/>
              <w:ind w:left="-111"/>
              <w:jc w:val="center"/>
              <w:rPr>
                <w:b/>
                <w:bCs/>
                <w:color w:val="00B050"/>
                <w:sz w:val="16"/>
                <w:szCs w:val="16"/>
              </w:rPr>
            </w:pPr>
          </w:p>
        </w:tc>
      </w:tr>
      <w:tr w:rsidR="00FA423E" w:rsidRPr="002D0A6A" w:rsidTr="00DC1333">
        <w:trPr>
          <w:gridAfter w:val="1"/>
          <w:wAfter w:w="4" w:type="pct"/>
        </w:trPr>
        <w:tc>
          <w:tcPr>
            <w:tcW w:w="1194" w:type="pct"/>
            <w:gridSpan w:val="2"/>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Número de ratificaciones de los Tratados Internet de la OMPI.</w:t>
            </w:r>
          </w:p>
        </w:tc>
        <w:tc>
          <w:tcPr>
            <w:tcW w:w="1268" w:type="pct"/>
            <w:gridSpan w:val="2"/>
            <w:tcBorders>
              <w:top w:val="nil"/>
              <w:bottom w:val="nil"/>
            </w:tcBorders>
            <w:shd w:val="clear" w:color="auto" w:fill="auto"/>
          </w:tcPr>
          <w:p w:rsidR="00FA423E" w:rsidRPr="002D0A6A" w:rsidRDefault="00FA423E" w:rsidP="00DC1333">
            <w:pPr>
              <w:keepNext/>
              <w:keepLines/>
              <w:rPr>
                <w:color w:val="002060"/>
                <w:sz w:val="16"/>
                <w:szCs w:val="16"/>
              </w:rPr>
            </w:pPr>
            <w:r w:rsidRPr="002D0A6A">
              <w:rPr>
                <w:i/>
                <w:color w:val="002060"/>
                <w:sz w:val="16"/>
                <w:szCs w:val="16"/>
              </w:rPr>
              <w:t>Referencia actualizada a fines de 2013: 184</w:t>
            </w:r>
            <w:r w:rsidRPr="002D0A6A">
              <w:rPr>
                <w:color w:val="002060"/>
                <w:sz w:val="16"/>
                <w:szCs w:val="16"/>
              </w:rPr>
              <w:t xml:space="preserve"> </w:t>
            </w:r>
          </w:p>
          <w:p w:rsidR="00FA423E" w:rsidRPr="002D0A6A" w:rsidRDefault="00FA423E" w:rsidP="00DC1333">
            <w:pPr>
              <w:keepNext/>
              <w:keepLines/>
              <w:rPr>
                <w:i/>
                <w:sz w:val="8"/>
                <w:szCs w:val="8"/>
                <w:lang w:bidi="th-TH"/>
              </w:rPr>
            </w:pPr>
          </w:p>
          <w:p w:rsidR="00FA423E" w:rsidRPr="002D0A6A" w:rsidRDefault="00FA423E" w:rsidP="00DC1333">
            <w:pPr>
              <w:keepNext/>
              <w:keepLines/>
              <w:rPr>
                <w:sz w:val="16"/>
                <w:szCs w:val="16"/>
                <w:lang w:bidi="th-TH"/>
              </w:rPr>
            </w:pPr>
            <w:r w:rsidRPr="002D0A6A">
              <w:rPr>
                <w:i/>
                <w:sz w:val="16"/>
                <w:szCs w:val="16"/>
                <w:lang w:bidi="th-TH"/>
              </w:rPr>
              <w:t>Referencia original en el presupuesto de 2014/15:  181 (</w:t>
            </w:r>
            <w:r w:rsidRPr="002D0A6A">
              <w:rPr>
                <w:sz w:val="16"/>
                <w:szCs w:val="16"/>
                <w:lang w:bidi="th-TH"/>
              </w:rPr>
              <w:t>a fines de 2012)</w:t>
            </w:r>
          </w:p>
        </w:tc>
        <w:tc>
          <w:tcPr>
            <w:tcW w:w="676" w:type="pct"/>
            <w:gridSpan w:val="2"/>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190 en total</w:t>
            </w:r>
          </w:p>
        </w:tc>
        <w:tc>
          <w:tcPr>
            <w:tcW w:w="1192" w:type="pct"/>
            <w:gridSpan w:val="2"/>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Se depositaron cuatro instrumentos de ratificación o de adhesión en 2014/15, alcanzando así un total de 188:</w:t>
            </w:r>
          </w:p>
          <w:p w:rsidR="00FA423E" w:rsidRPr="002D0A6A" w:rsidRDefault="00FA423E" w:rsidP="00DC1333">
            <w:pPr>
              <w:pStyle w:val="ListParagraph"/>
              <w:keepNext/>
              <w:keepLines/>
              <w:numPr>
                <w:ilvl w:val="0"/>
                <w:numId w:val="13"/>
              </w:numPr>
              <w:rPr>
                <w:rFonts w:cs="Arial"/>
                <w:sz w:val="16"/>
                <w:szCs w:val="16"/>
                <w:lang w:val="es-ES" w:bidi="th-TH"/>
              </w:rPr>
            </w:pPr>
            <w:r w:rsidRPr="002D0A6A">
              <w:rPr>
                <w:rFonts w:cs="Arial"/>
                <w:sz w:val="16"/>
                <w:szCs w:val="16"/>
                <w:lang w:val="es-ES" w:bidi="th-TH"/>
              </w:rPr>
              <w:t>Tratado de la OMPI sobre Derecho de Autor (Canadá, Madagascar)</w:t>
            </w:r>
          </w:p>
          <w:p w:rsidR="00FA423E" w:rsidRPr="002D0A6A" w:rsidRDefault="00FA423E" w:rsidP="00DC1333">
            <w:pPr>
              <w:pStyle w:val="ListParagraph"/>
              <w:keepNext/>
              <w:keepLines/>
              <w:numPr>
                <w:ilvl w:val="0"/>
                <w:numId w:val="13"/>
              </w:numPr>
              <w:rPr>
                <w:rFonts w:cs="Arial"/>
                <w:sz w:val="16"/>
                <w:szCs w:val="16"/>
                <w:lang w:val="es-ES" w:bidi="th-TH"/>
              </w:rPr>
            </w:pPr>
            <w:r w:rsidRPr="002D0A6A">
              <w:rPr>
                <w:rFonts w:cs="Arial"/>
                <w:sz w:val="16"/>
                <w:szCs w:val="16"/>
                <w:lang w:val="es-ES" w:bidi="th-TH"/>
              </w:rPr>
              <w:t>Tratado de la OMPI sobre Interpretación o Ejecución y Fonogramas (Canadá, Madagascar)</w:t>
            </w:r>
          </w:p>
        </w:tc>
        <w:tc>
          <w:tcPr>
            <w:tcW w:w="666" w:type="pct"/>
            <w:gridSpan w:val="3"/>
            <w:tcBorders>
              <w:top w:val="nil"/>
              <w:bottom w:val="nil"/>
              <w:right w:val="single" w:sz="4" w:space="0" w:color="auto"/>
            </w:tcBorders>
            <w:shd w:val="clear" w:color="auto" w:fill="auto"/>
          </w:tcPr>
          <w:p w:rsidR="00FA423E" w:rsidRPr="002D0A6A" w:rsidRDefault="00FA423E" w:rsidP="00DC1333">
            <w:pPr>
              <w:keepNext/>
              <w:keepLines/>
              <w:ind w:left="-111"/>
              <w:jc w:val="center"/>
              <w:rPr>
                <w:b/>
                <w:bCs/>
                <w:color w:val="808080" w:themeColor="background1" w:themeShade="80"/>
                <w:sz w:val="16"/>
                <w:szCs w:val="16"/>
              </w:rPr>
            </w:pPr>
            <w:r w:rsidRPr="002D0A6A">
              <w:rPr>
                <w:b/>
                <w:bCs/>
                <w:color w:val="00B050"/>
                <w:sz w:val="16"/>
                <w:szCs w:val="16"/>
              </w:rPr>
              <w:t>Plenamente logrado</w:t>
            </w:r>
          </w:p>
        </w:tc>
      </w:tr>
      <w:tr w:rsidR="00FA423E" w:rsidRPr="002D0A6A" w:rsidTr="00DC1333">
        <w:trPr>
          <w:gridAfter w:val="1"/>
          <w:wAfter w:w="4" w:type="pct"/>
        </w:trPr>
        <w:tc>
          <w:tcPr>
            <w:tcW w:w="1194" w:type="pct"/>
            <w:gridSpan w:val="2"/>
            <w:tcBorders>
              <w:top w:val="nil"/>
              <w:left w:val="single" w:sz="4" w:space="0" w:color="auto"/>
              <w:bottom w:val="single" w:sz="4" w:space="0" w:color="auto"/>
            </w:tcBorders>
            <w:shd w:val="clear" w:color="auto" w:fill="auto"/>
          </w:tcPr>
          <w:p w:rsidR="00FA423E" w:rsidRPr="002D0A6A" w:rsidRDefault="00FA423E" w:rsidP="00DC1333">
            <w:pPr>
              <w:rPr>
                <w:sz w:val="16"/>
                <w:szCs w:val="16"/>
                <w:lang w:bidi="th-TH"/>
              </w:rPr>
            </w:pPr>
            <w:r w:rsidRPr="002D0A6A">
              <w:rPr>
                <w:sz w:val="16"/>
                <w:szCs w:val="16"/>
                <w:lang w:bidi="th-TH"/>
              </w:rPr>
              <w:t xml:space="preserve">Número de países que han ratificado el Tratado de Marrakech </w:t>
            </w:r>
          </w:p>
        </w:tc>
        <w:tc>
          <w:tcPr>
            <w:tcW w:w="1268" w:type="pct"/>
            <w:gridSpan w:val="2"/>
            <w:tcBorders>
              <w:top w:val="nil"/>
              <w:bottom w:val="single" w:sz="4" w:space="0" w:color="auto"/>
            </w:tcBorders>
            <w:shd w:val="clear" w:color="auto" w:fill="auto"/>
          </w:tcPr>
          <w:p w:rsidR="00FA423E" w:rsidRPr="002D0A6A" w:rsidRDefault="00FA423E" w:rsidP="00DC1333">
            <w:pPr>
              <w:keepNext/>
              <w:rPr>
                <w:sz w:val="16"/>
                <w:szCs w:val="16"/>
                <w:lang w:bidi="th-TH"/>
              </w:rPr>
            </w:pPr>
            <w:r w:rsidRPr="002D0A6A">
              <w:rPr>
                <w:sz w:val="16"/>
                <w:szCs w:val="16"/>
                <w:lang w:bidi="th-TH"/>
              </w:rPr>
              <w:t>Ninguno</w:t>
            </w:r>
          </w:p>
          <w:p w:rsidR="00FA423E" w:rsidRPr="002D0A6A" w:rsidRDefault="00FA423E" w:rsidP="00DC1333">
            <w:pPr>
              <w:rPr>
                <w:i/>
                <w:color w:val="000000"/>
                <w:sz w:val="16"/>
                <w:szCs w:val="16"/>
                <w:lang w:bidi="th-TH"/>
              </w:rPr>
            </w:pPr>
          </w:p>
        </w:tc>
        <w:tc>
          <w:tcPr>
            <w:tcW w:w="676" w:type="pct"/>
            <w:gridSpan w:val="2"/>
            <w:tcBorders>
              <w:top w:val="nil"/>
              <w:bottom w:val="single" w:sz="4" w:space="0" w:color="auto"/>
            </w:tcBorders>
            <w:shd w:val="clear" w:color="auto" w:fill="auto"/>
            <w:tcMar>
              <w:top w:w="110" w:type="dxa"/>
            </w:tcMar>
          </w:tcPr>
          <w:p w:rsidR="00FA423E" w:rsidRPr="002D0A6A" w:rsidRDefault="00FA423E" w:rsidP="00DC1333">
            <w:pPr>
              <w:rPr>
                <w:sz w:val="16"/>
                <w:szCs w:val="16"/>
                <w:lang w:bidi="th-TH"/>
              </w:rPr>
            </w:pPr>
            <w:r w:rsidRPr="002D0A6A">
              <w:rPr>
                <w:sz w:val="16"/>
                <w:szCs w:val="16"/>
                <w:lang w:bidi="th-TH"/>
              </w:rPr>
              <w:t>20 países en total</w:t>
            </w:r>
          </w:p>
        </w:tc>
        <w:tc>
          <w:tcPr>
            <w:tcW w:w="1192" w:type="pct"/>
            <w:gridSpan w:val="2"/>
            <w:tcBorders>
              <w:top w:val="nil"/>
              <w:bottom w:val="single" w:sz="4" w:space="0" w:color="auto"/>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 xml:space="preserve">Se depositaron 13 instrumentos de ratificación o de adhesión en 2014/15 </w:t>
            </w:r>
          </w:p>
          <w:p w:rsidR="00FA423E" w:rsidRDefault="00FA423E" w:rsidP="00DC1333">
            <w:pPr>
              <w:rPr>
                <w:sz w:val="16"/>
                <w:szCs w:val="16"/>
                <w:lang w:bidi="th-TH"/>
              </w:rPr>
            </w:pPr>
            <w:r w:rsidRPr="002D0A6A">
              <w:rPr>
                <w:sz w:val="16"/>
                <w:szCs w:val="16"/>
                <w:lang w:bidi="th-TH"/>
              </w:rPr>
              <w:t>(Argentina, Australia, Brasil, El Salvador, Emiratos Árabes Unidos, India, Malí, México, Mongolia, Paraguay, República de Corea, Singapur y Uruguay).</w:t>
            </w:r>
          </w:p>
          <w:p w:rsidR="00FA423E" w:rsidRPr="002D0A6A" w:rsidRDefault="00FA423E" w:rsidP="00DC1333">
            <w:pPr>
              <w:rPr>
                <w:sz w:val="16"/>
                <w:szCs w:val="16"/>
                <w:lang w:bidi="th-TH"/>
              </w:rPr>
            </w:pPr>
          </w:p>
        </w:tc>
        <w:tc>
          <w:tcPr>
            <w:tcW w:w="666" w:type="pct"/>
            <w:gridSpan w:val="3"/>
            <w:tcBorders>
              <w:top w:val="nil"/>
              <w:bottom w:val="single" w:sz="4" w:space="0" w:color="auto"/>
              <w:right w:val="single" w:sz="4" w:space="0" w:color="auto"/>
            </w:tcBorders>
            <w:shd w:val="clear" w:color="auto" w:fill="auto"/>
          </w:tcPr>
          <w:p w:rsidR="00FA423E" w:rsidRPr="002D0A6A" w:rsidRDefault="00FA423E" w:rsidP="00DC1333">
            <w:pPr>
              <w:keepNext/>
              <w:keepLines/>
              <w:ind w:left="-108"/>
              <w:jc w:val="center"/>
              <w:rPr>
                <w:b/>
                <w:bCs/>
                <w:color w:val="808080" w:themeColor="background1" w:themeShade="80"/>
                <w:sz w:val="16"/>
                <w:szCs w:val="16"/>
              </w:rPr>
            </w:pPr>
            <w:r w:rsidRPr="002D0A6A">
              <w:rPr>
                <w:b/>
                <w:bCs/>
                <w:color w:val="E36C0A" w:themeColor="accent6" w:themeShade="BF"/>
                <w:sz w:val="16"/>
                <w:szCs w:val="16"/>
              </w:rPr>
              <w:t>Parcialmente logrado</w:t>
            </w:r>
          </w:p>
        </w:tc>
      </w:tr>
      <w:tr w:rsidR="00FA423E" w:rsidRPr="002D0A6A" w:rsidTr="00DC1333">
        <w:trPr>
          <w:trHeight w:val="807"/>
        </w:trPr>
        <w:tc>
          <w:tcPr>
            <w:tcW w:w="5000" w:type="pct"/>
            <w:gridSpan w:val="12"/>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keepNext/>
              <w:ind w:left="2019" w:hanging="2019"/>
              <w:rPr>
                <w:b/>
                <w:bCs/>
                <w:sz w:val="16"/>
                <w:szCs w:val="16"/>
              </w:rPr>
            </w:pPr>
            <w:r w:rsidRPr="002D0A6A">
              <w:rPr>
                <w:b/>
                <w:bCs/>
                <w:sz w:val="16"/>
                <w:szCs w:val="16"/>
              </w:rPr>
              <w:lastRenderedPageBreak/>
              <w:t>Resultado previsto:</w:t>
            </w:r>
            <w:r w:rsidRPr="002D0A6A">
              <w:rPr>
                <w:bCs/>
                <w:sz w:val="16"/>
                <w:szCs w:val="16"/>
              </w:rPr>
              <w:tab/>
              <w:t>III.2 Aumento de las capacidades en recursos humanos para hacer frente a la gran diversidad de exigencias que supone la utilización eficaz de la P.I. para fomentar desarrollo en los países en desarrollo, PMA y países con economías en transición</w:t>
            </w:r>
          </w:p>
        </w:tc>
      </w:tr>
      <w:tr w:rsidR="00FA423E" w:rsidRPr="002D0A6A" w:rsidTr="00DC1333">
        <w:tc>
          <w:tcPr>
            <w:tcW w:w="1201" w:type="pct"/>
            <w:gridSpan w:val="3"/>
            <w:tcBorders>
              <w:top w:val="single" w:sz="4" w:space="0" w:color="auto"/>
              <w:left w:val="single" w:sz="4" w:space="0" w:color="auto"/>
              <w:bottom w:val="nil"/>
            </w:tcBorders>
            <w:shd w:val="clear" w:color="auto" w:fill="auto"/>
            <w:vAlign w:val="center"/>
          </w:tcPr>
          <w:p w:rsidR="00FA423E" w:rsidRPr="002D0A6A" w:rsidRDefault="00FA423E" w:rsidP="00DC1333">
            <w:pPr>
              <w:keepNext/>
              <w:rPr>
                <w:sz w:val="16"/>
                <w:szCs w:val="16"/>
              </w:rPr>
            </w:pPr>
            <w:r w:rsidRPr="002D0A6A">
              <w:rPr>
                <w:b/>
                <w:sz w:val="16"/>
                <w:szCs w:val="16"/>
              </w:rPr>
              <w:t>Indicadores de rendimiento</w:t>
            </w:r>
          </w:p>
        </w:tc>
        <w:tc>
          <w:tcPr>
            <w:tcW w:w="1268" w:type="pct"/>
            <w:gridSpan w:val="2"/>
            <w:tcBorders>
              <w:top w:val="single" w:sz="4" w:space="0" w:color="auto"/>
              <w:bottom w:val="nil"/>
            </w:tcBorders>
            <w:shd w:val="clear" w:color="auto" w:fill="auto"/>
            <w:vAlign w:val="center"/>
          </w:tcPr>
          <w:p w:rsidR="00FA423E" w:rsidRPr="002D0A6A" w:rsidRDefault="00FA423E" w:rsidP="00DC1333">
            <w:pPr>
              <w:keepNext/>
              <w:rPr>
                <w:b/>
                <w:bCs/>
                <w:sz w:val="16"/>
                <w:szCs w:val="16"/>
              </w:rPr>
            </w:pPr>
            <w:r w:rsidRPr="002D0A6A">
              <w:rPr>
                <w:b/>
                <w:bCs/>
                <w:sz w:val="16"/>
                <w:szCs w:val="16"/>
              </w:rPr>
              <w:t>Referencia</w:t>
            </w:r>
          </w:p>
        </w:tc>
        <w:tc>
          <w:tcPr>
            <w:tcW w:w="821" w:type="pct"/>
            <w:gridSpan w:val="2"/>
            <w:tcBorders>
              <w:top w:val="single" w:sz="4" w:space="0" w:color="auto"/>
              <w:bottom w:val="nil"/>
            </w:tcBorders>
            <w:shd w:val="clear" w:color="auto" w:fill="auto"/>
            <w:tcMar>
              <w:top w:w="110" w:type="dxa"/>
            </w:tcMar>
            <w:vAlign w:val="center"/>
          </w:tcPr>
          <w:p w:rsidR="00FA423E" w:rsidRPr="002D0A6A" w:rsidRDefault="00FA423E" w:rsidP="00DC1333">
            <w:pPr>
              <w:keepNext/>
              <w:rPr>
                <w:b/>
                <w:sz w:val="16"/>
                <w:szCs w:val="16"/>
              </w:rPr>
            </w:pPr>
            <w:r w:rsidRPr="002D0A6A">
              <w:rPr>
                <w:b/>
                <w:sz w:val="16"/>
                <w:szCs w:val="16"/>
              </w:rPr>
              <w:t>Objetivos</w:t>
            </w:r>
          </w:p>
        </w:tc>
        <w:tc>
          <w:tcPr>
            <w:tcW w:w="1046" w:type="pct"/>
            <w:gridSpan w:val="2"/>
            <w:tcBorders>
              <w:top w:val="single" w:sz="4" w:space="0" w:color="auto"/>
              <w:bottom w:val="nil"/>
            </w:tcBorders>
            <w:shd w:val="clear" w:color="auto" w:fill="FFFFFF"/>
            <w:tcMar>
              <w:top w:w="110" w:type="dxa"/>
            </w:tcMar>
            <w:vAlign w:val="center"/>
          </w:tcPr>
          <w:p w:rsidR="00FA423E" w:rsidRPr="002D0A6A" w:rsidRDefault="00FA423E" w:rsidP="00DC1333">
            <w:pPr>
              <w:keepNext/>
              <w:rPr>
                <w:sz w:val="16"/>
                <w:szCs w:val="16"/>
              </w:rPr>
            </w:pPr>
            <w:r w:rsidRPr="002D0A6A">
              <w:rPr>
                <w:b/>
                <w:sz w:val="16"/>
                <w:szCs w:val="16"/>
              </w:rPr>
              <w:t>Datos sobre el rendimiento</w:t>
            </w:r>
          </w:p>
        </w:tc>
        <w:tc>
          <w:tcPr>
            <w:tcW w:w="664" w:type="pct"/>
            <w:gridSpan w:val="3"/>
            <w:tcBorders>
              <w:top w:val="single" w:sz="4" w:space="0" w:color="auto"/>
              <w:bottom w:val="nil"/>
              <w:right w:val="single" w:sz="4" w:space="0" w:color="auto"/>
            </w:tcBorders>
            <w:shd w:val="clear" w:color="auto" w:fill="auto"/>
            <w:tcMar>
              <w:top w:w="110" w:type="dxa"/>
            </w:tcMar>
            <w:vAlign w:val="center"/>
          </w:tcPr>
          <w:p w:rsidR="00FA423E" w:rsidRPr="002D0A6A" w:rsidRDefault="00FA423E" w:rsidP="00DC1333">
            <w:pPr>
              <w:keepNext/>
              <w:keepLines/>
              <w:jc w:val="center"/>
              <w:rPr>
                <w:b/>
                <w:bCs/>
                <w:sz w:val="16"/>
                <w:szCs w:val="16"/>
              </w:rPr>
            </w:pPr>
            <w:r w:rsidRPr="002D0A6A">
              <w:rPr>
                <w:b/>
                <w:bCs/>
                <w:sz w:val="16"/>
                <w:szCs w:val="16"/>
              </w:rPr>
              <w:t>Clave de colores</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Número de gobiernos y de OGC que firman acuerdos con la OMPI para elaborar una nueva norma de garantía de calidad en materia de transparencia, rendición de cuentas y gobernanza.</w:t>
            </w:r>
          </w:p>
        </w:tc>
        <w:tc>
          <w:tcPr>
            <w:tcW w:w="1268" w:type="pct"/>
            <w:gridSpan w:val="2"/>
            <w:tcBorders>
              <w:top w:val="nil"/>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n.d.</w:t>
            </w:r>
          </w:p>
          <w:p w:rsidR="00FA423E" w:rsidRPr="002D0A6A" w:rsidRDefault="00FA423E" w:rsidP="00DC1333">
            <w:pPr>
              <w:keepNext/>
              <w:rPr>
                <w:sz w:val="16"/>
                <w:szCs w:val="16"/>
                <w:lang w:bidi="th-TH"/>
              </w:rPr>
            </w:pPr>
          </w:p>
        </w:tc>
        <w:tc>
          <w:tcPr>
            <w:tcW w:w="821" w:type="pct"/>
            <w:gridSpan w:val="2"/>
            <w:tcBorders>
              <w:top w:val="nil"/>
              <w:bottom w:val="nil"/>
            </w:tcBorders>
            <w:shd w:val="clear" w:color="auto" w:fill="auto"/>
            <w:tcMar>
              <w:top w:w="110" w:type="dxa"/>
            </w:tcMar>
          </w:tcPr>
          <w:p w:rsidR="00FA423E" w:rsidRPr="002D0A6A" w:rsidRDefault="00FA423E" w:rsidP="00DC1333">
            <w:pPr>
              <w:keepNext/>
              <w:rPr>
                <w:sz w:val="16"/>
                <w:szCs w:val="16"/>
                <w:lang w:bidi="th-TH"/>
              </w:rPr>
            </w:pPr>
            <w:r w:rsidRPr="002D0A6A">
              <w:rPr>
                <w:sz w:val="16"/>
                <w:szCs w:val="16"/>
                <w:lang w:bidi="th-TH"/>
              </w:rPr>
              <w:t>Cuatro gobiernos y seis OGC.</w:t>
            </w:r>
          </w:p>
        </w:tc>
        <w:tc>
          <w:tcPr>
            <w:tcW w:w="1046" w:type="pct"/>
            <w:gridSpan w:val="2"/>
            <w:tcBorders>
              <w:top w:val="nil"/>
              <w:bottom w:val="nil"/>
            </w:tcBorders>
            <w:shd w:val="clear" w:color="auto" w:fill="FFFFFF"/>
            <w:tcMar>
              <w:top w:w="110" w:type="dxa"/>
            </w:tcMar>
          </w:tcPr>
          <w:p w:rsidR="00FA423E" w:rsidRPr="002D0A6A" w:rsidRDefault="00FA423E" w:rsidP="00DC1333">
            <w:pPr>
              <w:keepNext/>
              <w:rPr>
                <w:sz w:val="16"/>
                <w:szCs w:val="16"/>
                <w:lang w:bidi="th-TH"/>
              </w:rPr>
            </w:pPr>
            <w:r w:rsidRPr="002D0A6A">
              <w:rPr>
                <w:sz w:val="16"/>
                <w:szCs w:val="16"/>
                <w:lang w:bidi="th-TH"/>
              </w:rPr>
              <w:t>14 gobiernos nacionales (Bangladesh, Camboya, Filipinas, Gambia, Indonesia, Jordania, Liberia, Malasia, Mauricio, Namibia, Nepal, Nigeria, Sri Lanka, Trinidad y Tabago</w:t>
            </w:r>
            <w:r w:rsidRPr="002D0A6A">
              <w:rPr>
                <w:rStyle w:val="FootnoteReference"/>
                <w:sz w:val="16"/>
                <w:szCs w:val="16"/>
                <w:lang w:bidi="th-TH"/>
              </w:rPr>
              <w:footnoteReference w:id="15"/>
            </w:r>
            <w:r w:rsidRPr="002D0A6A">
              <w:rPr>
                <w:sz w:val="16"/>
                <w:szCs w:val="16"/>
                <w:lang w:bidi="th-TH"/>
              </w:rPr>
              <w:t xml:space="preserve"> y 63 organismos de gestión colectiva han cursado manifestaciones de interés por el proyecto </w:t>
            </w:r>
            <w:r w:rsidRPr="002D0A6A">
              <w:rPr>
                <w:i/>
                <w:sz w:val="16"/>
                <w:szCs w:val="16"/>
                <w:lang w:bidi="th-TH"/>
              </w:rPr>
              <w:t>TAG</w:t>
            </w:r>
            <w:r w:rsidRPr="002D0A6A">
              <w:rPr>
                <w:sz w:val="16"/>
                <w:szCs w:val="16"/>
                <w:lang w:bidi="th-TH"/>
              </w:rPr>
              <w:t>.</w:t>
            </w:r>
          </w:p>
        </w:tc>
        <w:tc>
          <w:tcPr>
            <w:tcW w:w="664" w:type="pct"/>
            <w:gridSpan w:val="3"/>
            <w:tcBorders>
              <w:top w:val="nil"/>
              <w:bottom w:val="nil"/>
              <w:right w:val="single" w:sz="4" w:space="0" w:color="auto"/>
            </w:tcBorders>
            <w:shd w:val="clear" w:color="auto" w:fill="auto"/>
            <w:tcMar>
              <w:top w:w="110" w:type="dxa"/>
            </w:tcMar>
          </w:tcPr>
          <w:p w:rsidR="00FA423E" w:rsidRPr="002D0A6A" w:rsidRDefault="00FA423E" w:rsidP="00DC1333">
            <w:pPr>
              <w:keepNext/>
              <w:keepLines/>
              <w:ind w:left="-108"/>
              <w:jc w:val="center"/>
              <w:rPr>
                <w:bCs/>
                <w:color w:val="808080" w:themeColor="background1" w:themeShade="80"/>
                <w:sz w:val="16"/>
                <w:szCs w:val="16"/>
              </w:rPr>
            </w:pPr>
            <w:r w:rsidRPr="002D0A6A">
              <w:rPr>
                <w:b/>
                <w:bCs/>
                <w:color w:val="00B050"/>
                <w:sz w:val="16"/>
                <w:szCs w:val="16"/>
              </w:rPr>
              <w:t>Plenamente logrado</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Porcentaje de creadores satisfechos con la formación proporcionada sobre el uso de la información y los datos de derecho de autor para la gestión eficaz de sus derechos de autor.</w:t>
            </w:r>
          </w:p>
        </w:tc>
        <w:tc>
          <w:tcPr>
            <w:tcW w:w="1268" w:type="pct"/>
            <w:gridSpan w:val="2"/>
            <w:tcBorders>
              <w:top w:val="nil"/>
              <w:bottom w:val="nil"/>
            </w:tcBorders>
            <w:shd w:val="clear" w:color="auto" w:fill="auto"/>
          </w:tcPr>
          <w:p w:rsidR="00FA423E" w:rsidRPr="002D0A6A" w:rsidRDefault="00FA423E" w:rsidP="00DC1333">
            <w:pPr>
              <w:keepNext/>
              <w:rPr>
                <w:i/>
                <w:color w:val="002060"/>
                <w:sz w:val="16"/>
                <w:szCs w:val="16"/>
              </w:rPr>
            </w:pPr>
            <w:r w:rsidRPr="002D0A6A">
              <w:rPr>
                <w:i/>
                <w:color w:val="002060"/>
                <w:sz w:val="16"/>
                <w:szCs w:val="16"/>
              </w:rPr>
              <w:t xml:space="preserve">Referencia actualizada a fines de 2013:  </w:t>
            </w:r>
          </w:p>
          <w:p w:rsidR="00FA423E" w:rsidRPr="002D0A6A" w:rsidRDefault="00FA423E" w:rsidP="00DC1333">
            <w:pPr>
              <w:keepNext/>
              <w:rPr>
                <w:i/>
                <w:sz w:val="8"/>
                <w:szCs w:val="8"/>
                <w:lang w:bidi="th-TH"/>
              </w:rPr>
            </w:pPr>
          </w:p>
          <w:p w:rsidR="00FA423E" w:rsidRPr="002D0A6A" w:rsidRDefault="00FA423E" w:rsidP="00DC1333">
            <w:pPr>
              <w:keepNext/>
              <w:rPr>
                <w:sz w:val="16"/>
                <w:szCs w:val="16"/>
                <w:lang w:bidi="th-TH"/>
              </w:rPr>
            </w:pPr>
            <w:r w:rsidRPr="002D0A6A">
              <w:rPr>
                <w:i/>
                <w:sz w:val="16"/>
                <w:szCs w:val="16"/>
                <w:lang w:bidi="th-TH"/>
              </w:rPr>
              <w:t>Referencia original en el presupuesto de 2014/15</w:t>
            </w:r>
            <w:proofErr w:type="gramStart"/>
            <w:r w:rsidRPr="002D0A6A">
              <w:rPr>
                <w:i/>
                <w:color w:val="808080"/>
                <w:sz w:val="16"/>
                <w:szCs w:val="16"/>
                <w:lang w:bidi="th-TH"/>
              </w:rPr>
              <w:t xml:space="preserve">:  </w:t>
            </w:r>
            <w:r w:rsidRPr="002D0A6A">
              <w:rPr>
                <w:sz w:val="16"/>
                <w:szCs w:val="16"/>
                <w:lang w:bidi="th-TH"/>
              </w:rPr>
              <w:t>Aún</w:t>
            </w:r>
            <w:proofErr w:type="gramEnd"/>
            <w:r w:rsidRPr="002D0A6A">
              <w:rPr>
                <w:sz w:val="16"/>
                <w:szCs w:val="16"/>
                <w:lang w:bidi="th-TH"/>
              </w:rPr>
              <w:t xml:space="preserve"> no se ha iniciado</w:t>
            </w:r>
            <w:r w:rsidRPr="002D0A6A">
              <w:rPr>
                <w:color w:val="808080"/>
                <w:sz w:val="16"/>
                <w:szCs w:val="16"/>
                <w:lang w:bidi="th-TH"/>
              </w:rPr>
              <w:t>.</w:t>
            </w:r>
          </w:p>
          <w:p w:rsidR="00FA423E" w:rsidRPr="002D0A6A" w:rsidRDefault="00FA423E" w:rsidP="00DC1333">
            <w:pPr>
              <w:keepNext/>
              <w:rPr>
                <w:i/>
                <w:color w:val="002060"/>
                <w:sz w:val="16"/>
                <w:szCs w:val="16"/>
              </w:rPr>
            </w:pPr>
          </w:p>
        </w:tc>
        <w:tc>
          <w:tcPr>
            <w:tcW w:w="821" w:type="pct"/>
            <w:gridSpan w:val="2"/>
            <w:tcBorders>
              <w:top w:val="nil"/>
              <w:bottom w:val="nil"/>
            </w:tcBorders>
            <w:shd w:val="clear" w:color="auto" w:fill="auto"/>
            <w:tcMar>
              <w:top w:w="110" w:type="dxa"/>
            </w:tcMar>
          </w:tcPr>
          <w:p w:rsidR="00FA423E" w:rsidRPr="002D0A6A" w:rsidRDefault="00FA423E" w:rsidP="00DC1333">
            <w:pPr>
              <w:keepNext/>
              <w:rPr>
                <w:sz w:val="16"/>
                <w:szCs w:val="16"/>
                <w:lang w:bidi="th-TH"/>
              </w:rPr>
            </w:pPr>
            <w:r w:rsidRPr="002D0A6A">
              <w:rPr>
                <w:sz w:val="16"/>
                <w:szCs w:val="16"/>
                <w:lang w:bidi="th-TH"/>
              </w:rPr>
              <w:t>60%</w:t>
            </w:r>
          </w:p>
        </w:tc>
        <w:tc>
          <w:tcPr>
            <w:tcW w:w="1046" w:type="pct"/>
            <w:gridSpan w:val="2"/>
            <w:tcBorders>
              <w:top w:val="nil"/>
              <w:bottom w:val="nil"/>
            </w:tcBorders>
            <w:shd w:val="clear" w:color="auto" w:fill="FFFFFF"/>
            <w:tcMar>
              <w:top w:w="110" w:type="dxa"/>
            </w:tcMar>
          </w:tcPr>
          <w:p w:rsidR="00FA423E" w:rsidRPr="002D0A6A" w:rsidRDefault="00FA423E" w:rsidP="00DC1333">
            <w:pPr>
              <w:keepNext/>
              <w:rPr>
                <w:sz w:val="16"/>
                <w:szCs w:val="16"/>
                <w:lang w:bidi="th-TH"/>
              </w:rPr>
            </w:pPr>
            <w:r w:rsidRPr="002D0A6A">
              <w:rPr>
                <w:sz w:val="16"/>
                <w:szCs w:val="16"/>
                <w:lang w:bidi="th-TH"/>
              </w:rPr>
              <w:t>90%</w:t>
            </w:r>
          </w:p>
        </w:tc>
        <w:tc>
          <w:tcPr>
            <w:tcW w:w="664" w:type="pct"/>
            <w:gridSpan w:val="3"/>
            <w:tcBorders>
              <w:top w:val="nil"/>
              <w:bottom w:val="nil"/>
              <w:right w:val="single" w:sz="4" w:space="0" w:color="auto"/>
            </w:tcBorders>
            <w:shd w:val="clear" w:color="auto" w:fill="auto"/>
            <w:tcMar>
              <w:top w:w="110" w:type="dxa"/>
            </w:tcMar>
          </w:tcPr>
          <w:p w:rsidR="00FA423E" w:rsidRPr="002D0A6A" w:rsidRDefault="00FA423E" w:rsidP="00DC1333">
            <w:pPr>
              <w:keepNext/>
              <w:ind w:left="-112" w:right="-104"/>
              <w:jc w:val="center"/>
              <w:rPr>
                <w:b/>
                <w:bCs/>
                <w:color w:val="808080" w:themeColor="background1" w:themeShade="80"/>
                <w:sz w:val="16"/>
                <w:szCs w:val="16"/>
              </w:rPr>
            </w:pPr>
            <w:r w:rsidRPr="002D0A6A">
              <w:rPr>
                <w:b/>
                <w:bCs/>
                <w:color w:val="00B050"/>
                <w:sz w:val="16"/>
                <w:szCs w:val="16"/>
              </w:rPr>
              <w:t>Plenamente logrado</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rPr>
                <w:sz w:val="16"/>
                <w:szCs w:val="16"/>
                <w:lang w:bidi="th-TH"/>
              </w:rPr>
            </w:pPr>
            <w:r w:rsidRPr="002D0A6A">
              <w:rPr>
                <w:sz w:val="16"/>
                <w:szCs w:val="16"/>
                <w:lang w:bidi="th-TH"/>
              </w:rPr>
              <w:t>Porcentaje de participantes en reuniones y talleres de creación de capacidad sobre cuestiones de derecho de autor que expresaron satisfacción al respecto.</w:t>
            </w:r>
          </w:p>
        </w:tc>
        <w:tc>
          <w:tcPr>
            <w:tcW w:w="1268" w:type="pct"/>
            <w:gridSpan w:val="2"/>
            <w:tcBorders>
              <w:top w:val="nil"/>
              <w:bottom w:val="nil"/>
            </w:tcBorders>
            <w:shd w:val="clear" w:color="auto" w:fill="auto"/>
          </w:tcPr>
          <w:p w:rsidR="00FA423E" w:rsidRPr="002D0A6A" w:rsidRDefault="00FA423E" w:rsidP="00DC1333">
            <w:pPr>
              <w:keepNext/>
              <w:rPr>
                <w:i/>
                <w:color w:val="002060"/>
                <w:sz w:val="16"/>
                <w:szCs w:val="16"/>
              </w:rPr>
            </w:pPr>
            <w:r w:rsidRPr="002D0A6A">
              <w:rPr>
                <w:i/>
                <w:color w:val="002060"/>
                <w:sz w:val="16"/>
                <w:szCs w:val="16"/>
              </w:rPr>
              <w:t>Referencia actualizada a fines de 2013</w:t>
            </w:r>
            <w:proofErr w:type="gramStart"/>
            <w:r w:rsidRPr="002D0A6A">
              <w:rPr>
                <w:i/>
                <w:color w:val="002060"/>
                <w:sz w:val="16"/>
                <w:szCs w:val="16"/>
              </w:rPr>
              <w:t xml:space="preserve">:  </w:t>
            </w:r>
            <w:r w:rsidRPr="002D0A6A">
              <w:rPr>
                <w:color w:val="002060"/>
                <w:sz w:val="16"/>
                <w:szCs w:val="16"/>
              </w:rPr>
              <w:t>Más</w:t>
            </w:r>
            <w:proofErr w:type="gramEnd"/>
            <w:r w:rsidRPr="002D0A6A">
              <w:rPr>
                <w:color w:val="002060"/>
                <w:sz w:val="16"/>
                <w:szCs w:val="16"/>
              </w:rPr>
              <w:t xml:space="preserve"> del 80% de los participantes en programas de fortalecimiento de capacidades en materia de derecho de autor y derechos conexos calificaron de útil la formación recibida.</w:t>
            </w:r>
          </w:p>
          <w:p w:rsidR="00FA423E" w:rsidRPr="002D0A6A" w:rsidRDefault="00FA423E" w:rsidP="00DC1333">
            <w:pPr>
              <w:keepNext/>
              <w:rPr>
                <w:i/>
                <w:sz w:val="8"/>
                <w:szCs w:val="8"/>
                <w:lang w:bidi="th-TH"/>
              </w:rPr>
            </w:pPr>
          </w:p>
          <w:p w:rsidR="00FA423E" w:rsidRPr="002D0A6A" w:rsidRDefault="00FA423E" w:rsidP="00DC1333">
            <w:pPr>
              <w:keepNext/>
              <w:rPr>
                <w:i/>
                <w:color w:val="002060"/>
                <w:sz w:val="16"/>
                <w:szCs w:val="16"/>
              </w:rPr>
            </w:pPr>
            <w:r w:rsidRPr="002D0A6A">
              <w:rPr>
                <w:i/>
                <w:sz w:val="16"/>
                <w:szCs w:val="16"/>
                <w:lang w:bidi="th-TH"/>
              </w:rPr>
              <w:t xml:space="preserve">Referencia original en el presupuesto de 2014/15: </w:t>
            </w:r>
            <w:r w:rsidRPr="002D0A6A">
              <w:rPr>
                <w:sz w:val="16"/>
                <w:szCs w:val="16"/>
                <w:lang w:bidi="th-TH"/>
              </w:rPr>
              <w:t xml:space="preserve"> Índice de satisfacción del 70%</w:t>
            </w:r>
          </w:p>
        </w:tc>
        <w:tc>
          <w:tcPr>
            <w:tcW w:w="821" w:type="pct"/>
            <w:gridSpan w:val="2"/>
            <w:tcBorders>
              <w:top w:val="nil"/>
              <w:bottom w:val="nil"/>
            </w:tcBorders>
            <w:shd w:val="clear" w:color="auto" w:fill="auto"/>
            <w:tcMar>
              <w:top w:w="110" w:type="dxa"/>
            </w:tcMar>
          </w:tcPr>
          <w:p w:rsidR="00FA423E" w:rsidRPr="002D0A6A" w:rsidRDefault="00FA423E" w:rsidP="00DC1333">
            <w:pPr>
              <w:rPr>
                <w:sz w:val="16"/>
                <w:szCs w:val="16"/>
                <w:lang w:bidi="th-TH"/>
              </w:rPr>
            </w:pPr>
            <w:r w:rsidRPr="002D0A6A">
              <w:rPr>
                <w:sz w:val="16"/>
                <w:szCs w:val="16"/>
                <w:lang w:bidi="th-TH"/>
              </w:rPr>
              <w:t>70% de acuerdo o completamente de acuerdo</w:t>
            </w:r>
            <w:r w:rsidRPr="002D0A6A">
              <w:rPr>
                <w:color w:val="808080"/>
                <w:sz w:val="16"/>
                <w:szCs w:val="16"/>
                <w:lang w:bidi="th-TH"/>
              </w:rPr>
              <w:t>.</w:t>
            </w:r>
          </w:p>
        </w:tc>
        <w:tc>
          <w:tcPr>
            <w:tcW w:w="1046" w:type="pct"/>
            <w:gridSpan w:val="2"/>
            <w:tcBorders>
              <w:top w:val="nil"/>
              <w:bottom w:val="nil"/>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Más del 80% de los participantes están de acuerdo o completamente de acuerdo</w:t>
            </w:r>
          </w:p>
        </w:tc>
        <w:tc>
          <w:tcPr>
            <w:tcW w:w="664" w:type="pct"/>
            <w:gridSpan w:val="3"/>
            <w:tcBorders>
              <w:top w:val="nil"/>
              <w:bottom w:val="nil"/>
              <w:right w:val="single" w:sz="4" w:space="0" w:color="auto"/>
            </w:tcBorders>
            <w:shd w:val="clear" w:color="auto" w:fill="auto"/>
            <w:tcMar>
              <w:top w:w="110" w:type="dxa"/>
            </w:tcMar>
          </w:tcPr>
          <w:p w:rsidR="00FA423E" w:rsidRPr="002D0A6A" w:rsidRDefault="00FA423E" w:rsidP="00DC1333">
            <w:pPr>
              <w:ind w:left="-112" w:right="-104"/>
              <w:jc w:val="center"/>
              <w:rPr>
                <w:b/>
                <w:bCs/>
                <w:color w:val="00B050"/>
                <w:sz w:val="16"/>
                <w:szCs w:val="16"/>
              </w:rPr>
            </w:pPr>
            <w:r w:rsidRPr="002D0A6A">
              <w:rPr>
                <w:b/>
                <w:bCs/>
                <w:color w:val="00B050"/>
                <w:sz w:val="16"/>
                <w:szCs w:val="16"/>
              </w:rPr>
              <w:t>Plenamente logrado</w:t>
            </w:r>
          </w:p>
        </w:tc>
      </w:tr>
      <w:tr w:rsidR="00FA423E" w:rsidRPr="002D0A6A" w:rsidTr="00DC1333">
        <w:tc>
          <w:tcPr>
            <w:tcW w:w="1201" w:type="pct"/>
            <w:gridSpan w:val="3"/>
            <w:tcBorders>
              <w:top w:val="nil"/>
              <w:left w:val="single" w:sz="4" w:space="0" w:color="auto"/>
              <w:bottom w:val="single" w:sz="4" w:space="0" w:color="auto"/>
            </w:tcBorders>
            <w:shd w:val="clear" w:color="auto" w:fill="auto"/>
          </w:tcPr>
          <w:p w:rsidR="00FA423E" w:rsidRPr="002D0A6A" w:rsidRDefault="00FA423E" w:rsidP="00DC1333">
            <w:pPr>
              <w:rPr>
                <w:sz w:val="16"/>
                <w:szCs w:val="16"/>
                <w:lang w:bidi="th-TH"/>
              </w:rPr>
            </w:pPr>
            <w:r w:rsidRPr="002D0A6A">
              <w:rPr>
                <w:sz w:val="16"/>
                <w:szCs w:val="16"/>
                <w:lang w:bidi="th-TH"/>
              </w:rPr>
              <w:t>Nº de Estados miembros que toman iniciativas para mejorar el uso del sistema de derecho de autor a fin de explotar el potencial económico de sus obras y productos culturales.</w:t>
            </w:r>
          </w:p>
        </w:tc>
        <w:tc>
          <w:tcPr>
            <w:tcW w:w="1268" w:type="pct"/>
            <w:gridSpan w:val="2"/>
            <w:tcBorders>
              <w:top w:val="nil"/>
              <w:bottom w:val="single" w:sz="4" w:space="0" w:color="auto"/>
            </w:tcBorders>
            <w:shd w:val="clear" w:color="auto" w:fill="auto"/>
          </w:tcPr>
          <w:p w:rsidR="00FA423E" w:rsidRPr="002D0A6A" w:rsidRDefault="00FA423E" w:rsidP="00DC1333">
            <w:pPr>
              <w:rPr>
                <w:i/>
                <w:color w:val="002060"/>
                <w:sz w:val="16"/>
                <w:szCs w:val="16"/>
              </w:rPr>
            </w:pPr>
            <w:r w:rsidRPr="002D0A6A">
              <w:rPr>
                <w:i/>
                <w:color w:val="002060"/>
                <w:sz w:val="16"/>
                <w:szCs w:val="16"/>
              </w:rPr>
              <w:t xml:space="preserve">Referencia actualizada a fines de 2013:  </w:t>
            </w:r>
            <w:r w:rsidRPr="002D0A6A">
              <w:rPr>
                <w:color w:val="002060"/>
                <w:sz w:val="16"/>
                <w:szCs w:val="16"/>
              </w:rPr>
              <w:t>60% de países que recibieron asistencia</w:t>
            </w:r>
            <w:r w:rsidRPr="002D0A6A">
              <w:rPr>
                <w:i/>
                <w:color w:val="002060"/>
                <w:sz w:val="16"/>
                <w:szCs w:val="16"/>
              </w:rPr>
              <w:t xml:space="preserve"> </w:t>
            </w:r>
          </w:p>
          <w:p w:rsidR="00FA423E" w:rsidRPr="002D0A6A" w:rsidRDefault="00FA423E" w:rsidP="00DC1333">
            <w:pPr>
              <w:rPr>
                <w:i/>
                <w:sz w:val="8"/>
                <w:szCs w:val="8"/>
                <w:lang w:bidi="th-TH"/>
              </w:rPr>
            </w:pPr>
          </w:p>
          <w:p w:rsidR="00FA423E" w:rsidRPr="002D0A6A" w:rsidRDefault="00FA423E" w:rsidP="00DC1333">
            <w:pPr>
              <w:rPr>
                <w:i/>
                <w:color w:val="002060"/>
                <w:sz w:val="16"/>
                <w:szCs w:val="16"/>
              </w:rPr>
            </w:pPr>
            <w:r w:rsidRPr="002D0A6A">
              <w:rPr>
                <w:i/>
                <w:sz w:val="16"/>
                <w:szCs w:val="16"/>
                <w:lang w:bidi="th-TH"/>
              </w:rPr>
              <w:t xml:space="preserve">Referencia original en el presupuesto de 2014/15: </w:t>
            </w:r>
            <w:r w:rsidRPr="002D0A6A">
              <w:rPr>
                <w:sz w:val="16"/>
                <w:szCs w:val="16"/>
                <w:lang w:bidi="th-TH"/>
              </w:rPr>
              <w:t xml:space="preserve"> 60% de países que solicitaron asistencia técnica</w:t>
            </w:r>
            <w:r w:rsidRPr="002D0A6A">
              <w:rPr>
                <w:sz w:val="16"/>
                <w:szCs w:val="16"/>
                <w:lang w:bidi="th-TH"/>
              </w:rPr>
              <w:br/>
            </w:r>
          </w:p>
        </w:tc>
        <w:tc>
          <w:tcPr>
            <w:tcW w:w="821" w:type="pct"/>
            <w:gridSpan w:val="2"/>
            <w:tcBorders>
              <w:top w:val="nil"/>
              <w:bottom w:val="single" w:sz="4" w:space="0" w:color="auto"/>
            </w:tcBorders>
            <w:shd w:val="clear" w:color="auto" w:fill="auto"/>
            <w:tcMar>
              <w:top w:w="110" w:type="dxa"/>
            </w:tcMar>
          </w:tcPr>
          <w:p w:rsidR="00FA423E" w:rsidRPr="002D0A6A" w:rsidRDefault="00FA423E" w:rsidP="00DC1333">
            <w:pPr>
              <w:rPr>
                <w:sz w:val="16"/>
                <w:szCs w:val="16"/>
                <w:lang w:bidi="th-TH"/>
              </w:rPr>
            </w:pPr>
            <w:r w:rsidRPr="002D0A6A">
              <w:rPr>
                <w:sz w:val="16"/>
                <w:szCs w:val="16"/>
                <w:lang w:bidi="th-TH"/>
              </w:rPr>
              <w:t>El 60% de los países que recibieron asistencia técnica.</w:t>
            </w:r>
          </w:p>
        </w:tc>
        <w:tc>
          <w:tcPr>
            <w:tcW w:w="1046" w:type="pct"/>
            <w:gridSpan w:val="2"/>
            <w:tcBorders>
              <w:top w:val="nil"/>
              <w:bottom w:val="single" w:sz="4" w:space="0" w:color="auto"/>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Más del 60%</w:t>
            </w:r>
          </w:p>
        </w:tc>
        <w:tc>
          <w:tcPr>
            <w:tcW w:w="664" w:type="pct"/>
            <w:gridSpan w:val="3"/>
            <w:tcBorders>
              <w:top w:val="nil"/>
              <w:bottom w:val="single" w:sz="4" w:space="0" w:color="auto"/>
              <w:right w:val="single" w:sz="4" w:space="0" w:color="auto"/>
            </w:tcBorders>
            <w:shd w:val="clear" w:color="auto" w:fill="auto"/>
            <w:tcMar>
              <w:top w:w="110" w:type="dxa"/>
            </w:tcMar>
          </w:tcPr>
          <w:p w:rsidR="00FA423E" w:rsidRPr="002D0A6A" w:rsidRDefault="00FA423E" w:rsidP="00DC1333">
            <w:pPr>
              <w:ind w:left="-112" w:right="-104"/>
              <w:jc w:val="center"/>
              <w:rPr>
                <w:b/>
                <w:bCs/>
                <w:sz w:val="16"/>
                <w:szCs w:val="16"/>
              </w:rPr>
            </w:pPr>
            <w:r w:rsidRPr="002D0A6A">
              <w:rPr>
                <w:b/>
                <w:bCs/>
                <w:color w:val="00B050"/>
                <w:sz w:val="16"/>
                <w:szCs w:val="16"/>
              </w:rPr>
              <w:t>Plenamente logrado</w:t>
            </w:r>
          </w:p>
        </w:tc>
      </w:tr>
      <w:tr w:rsidR="00FA423E" w:rsidRPr="002D0A6A" w:rsidTr="00DC1333">
        <w:trPr>
          <w:trHeight w:val="656"/>
        </w:trPr>
        <w:tc>
          <w:tcPr>
            <w:tcW w:w="5000" w:type="pct"/>
            <w:gridSpan w:val="12"/>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keepNext/>
              <w:ind w:left="2019" w:hanging="2019"/>
              <w:rPr>
                <w:b/>
                <w:bCs/>
                <w:sz w:val="16"/>
                <w:szCs w:val="16"/>
              </w:rPr>
            </w:pPr>
            <w:r w:rsidRPr="002D0A6A">
              <w:rPr>
                <w:b/>
                <w:bCs/>
                <w:sz w:val="16"/>
                <w:szCs w:val="16"/>
              </w:rPr>
              <w:lastRenderedPageBreak/>
              <w:t>Resultado previsto:</w:t>
            </w:r>
            <w:r w:rsidRPr="002D0A6A">
              <w:rPr>
                <w:bCs/>
                <w:sz w:val="16"/>
                <w:szCs w:val="16"/>
              </w:rPr>
              <w:tab/>
              <w:t>IV.2 Mejora del acceso y uso de información de P.I. por parte de instituciones de P.I. y el público para fomentar la innovación y la creatividad</w:t>
            </w:r>
          </w:p>
        </w:tc>
      </w:tr>
      <w:tr w:rsidR="00FA423E" w:rsidRPr="002D0A6A" w:rsidTr="00DC1333">
        <w:tc>
          <w:tcPr>
            <w:tcW w:w="1201" w:type="pct"/>
            <w:gridSpan w:val="3"/>
            <w:tcBorders>
              <w:top w:val="single" w:sz="4" w:space="0" w:color="auto"/>
              <w:left w:val="single" w:sz="4" w:space="0" w:color="auto"/>
              <w:bottom w:val="nil"/>
            </w:tcBorders>
            <w:shd w:val="clear" w:color="auto" w:fill="auto"/>
            <w:vAlign w:val="center"/>
          </w:tcPr>
          <w:p w:rsidR="00FA423E" w:rsidRPr="002D0A6A" w:rsidRDefault="00FA423E" w:rsidP="00DC1333">
            <w:pPr>
              <w:keepNext/>
              <w:rPr>
                <w:sz w:val="16"/>
                <w:szCs w:val="16"/>
              </w:rPr>
            </w:pPr>
            <w:r w:rsidRPr="002D0A6A">
              <w:rPr>
                <w:b/>
                <w:sz w:val="16"/>
                <w:szCs w:val="16"/>
              </w:rPr>
              <w:t>Indicadores de rendimiento</w:t>
            </w:r>
          </w:p>
        </w:tc>
        <w:tc>
          <w:tcPr>
            <w:tcW w:w="1268" w:type="pct"/>
            <w:gridSpan w:val="2"/>
            <w:tcBorders>
              <w:top w:val="single" w:sz="4" w:space="0" w:color="auto"/>
              <w:bottom w:val="nil"/>
            </w:tcBorders>
            <w:shd w:val="clear" w:color="auto" w:fill="auto"/>
            <w:vAlign w:val="center"/>
          </w:tcPr>
          <w:p w:rsidR="00FA423E" w:rsidRPr="002D0A6A" w:rsidRDefault="00FA423E" w:rsidP="00DC1333">
            <w:pPr>
              <w:keepNext/>
              <w:rPr>
                <w:b/>
                <w:bCs/>
                <w:sz w:val="16"/>
                <w:szCs w:val="16"/>
              </w:rPr>
            </w:pPr>
            <w:r w:rsidRPr="002D0A6A">
              <w:rPr>
                <w:b/>
                <w:bCs/>
                <w:sz w:val="16"/>
                <w:szCs w:val="16"/>
              </w:rPr>
              <w:t>Referencia</w:t>
            </w:r>
          </w:p>
        </w:tc>
        <w:tc>
          <w:tcPr>
            <w:tcW w:w="669" w:type="pct"/>
            <w:tcBorders>
              <w:top w:val="single" w:sz="4" w:space="0" w:color="auto"/>
              <w:bottom w:val="nil"/>
            </w:tcBorders>
            <w:shd w:val="clear" w:color="auto" w:fill="auto"/>
            <w:tcMar>
              <w:top w:w="110" w:type="dxa"/>
            </w:tcMar>
            <w:vAlign w:val="center"/>
          </w:tcPr>
          <w:p w:rsidR="00FA423E" w:rsidRPr="002D0A6A" w:rsidRDefault="00FA423E" w:rsidP="00DC1333">
            <w:pPr>
              <w:keepNext/>
              <w:rPr>
                <w:b/>
                <w:sz w:val="16"/>
                <w:szCs w:val="16"/>
              </w:rPr>
            </w:pPr>
            <w:r w:rsidRPr="002D0A6A">
              <w:rPr>
                <w:b/>
                <w:sz w:val="16"/>
                <w:szCs w:val="16"/>
              </w:rPr>
              <w:t>Objetivos</w:t>
            </w:r>
          </w:p>
        </w:tc>
        <w:tc>
          <w:tcPr>
            <w:tcW w:w="1198" w:type="pct"/>
            <w:gridSpan w:val="3"/>
            <w:tcBorders>
              <w:top w:val="single" w:sz="4" w:space="0" w:color="auto"/>
              <w:bottom w:val="nil"/>
            </w:tcBorders>
            <w:shd w:val="clear" w:color="auto" w:fill="FFFFFF"/>
            <w:tcMar>
              <w:top w:w="110" w:type="dxa"/>
            </w:tcMar>
            <w:vAlign w:val="center"/>
          </w:tcPr>
          <w:p w:rsidR="00FA423E" w:rsidRPr="002D0A6A" w:rsidRDefault="00FA423E" w:rsidP="00DC1333">
            <w:pPr>
              <w:keepNext/>
              <w:rPr>
                <w:sz w:val="16"/>
                <w:szCs w:val="16"/>
              </w:rPr>
            </w:pPr>
            <w:r w:rsidRPr="002D0A6A">
              <w:rPr>
                <w:b/>
                <w:sz w:val="16"/>
                <w:szCs w:val="16"/>
              </w:rPr>
              <w:t>Datos sobre el rendimiento</w:t>
            </w:r>
          </w:p>
        </w:tc>
        <w:tc>
          <w:tcPr>
            <w:tcW w:w="664" w:type="pct"/>
            <w:gridSpan w:val="3"/>
            <w:tcBorders>
              <w:top w:val="single" w:sz="4" w:space="0" w:color="auto"/>
              <w:bottom w:val="nil"/>
              <w:right w:val="single" w:sz="4" w:space="0" w:color="auto"/>
            </w:tcBorders>
            <w:shd w:val="clear" w:color="auto" w:fill="auto"/>
            <w:tcMar>
              <w:top w:w="110" w:type="dxa"/>
            </w:tcMar>
            <w:vAlign w:val="center"/>
          </w:tcPr>
          <w:p w:rsidR="00FA423E" w:rsidRPr="002D0A6A" w:rsidRDefault="00FA423E" w:rsidP="00DC1333">
            <w:pPr>
              <w:keepNext/>
              <w:jc w:val="center"/>
              <w:rPr>
                <w:b/>
                <w:bCs/>
                <w:sz w:val="16"/>
                <w:szCs w:val="16"/>
              </w:rPr>
            </w:pPr>
            <w:r w:rsidRPr="002D0A6A">
              <w:rPr>
                <w:b/>
                <w:bCs/>
                <w:sz w:val="16"/>
                <w:szCs w:val="16"/>
              </w:rPr>
              <w:t>Clave de colores</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keepNext/>
              <w:rPr>
                <w:sz w:val="16"/>
                <w:szCs w:val="16"/>
                <w:lang w:bidi="th-TH"/>
              </w:rPr>
            </w:pPr>
            <w:r w:rsidRPr="002D0A6A">
              <w:rPr>
                <w:sz w:val="16"/>
                <w:szCs w:val="16"/>
                <w:lang w:bidi="th-TH"/>
              </w:rPr>
              <w:t>Número de intermediarios de confianza y titulares de derechos que se han adherido a la red de sistemas TIGAR, incluidos los procedentes de países en desarrollo y PMA.</w:t>
            </w:r>
          </w:p>
          <w:p w:rsidR="00FA423E" w:rsidRPr="002D0A6A" w:rsidRDefault="00FA423E" w:rsidP="00DC1333">
            <w:pPr>
              <w:keepNext/>
              <w:rPr>
                <w:color w:val="000000"/>
                <w:sz w:val="16"/>
                <w:szCs w:val="16"/>
                <w:lang w:bidi="th-TH"/>
              </w:rPr>
            </w:pPr>
          </w:p>
        </w:tc>
        <w:tc>
          <w:tcPr>
            <w:tcW w:w="1268" w:type="pct"/>
            <w:gridSpan w:val="2"/>
            <w:tcBorders>
              <w:top w:val="nil"/>
              <w:bottom w:val="nil"/>
            </w:tcBorders>
            <w:shd w:val="clear" w:color="auto" w:fill="auto"/>
          </w:tcPr>
          <w:p w:rsidR="00FA423E" w:rsidRPr="002D0A6A" w:rsidRDefault="00FA423E" w:rsidP="00DC1333">
            <w:pPr>
              <w:keepNext/>
              <w:rPr>
                <w:i/>
                <w:color w:val="002060"/>
                <w:sz w:val="16"/>
                <w:szCs w:val="16"/>
              </w:rPr>
            </w:pPr>
            <w:r w:rsidRPr="002D0A6A">
              <w:rPr>
                <w:i/>
                <w:color w:val="002060"/>
                <w:sz w:val="16"/>
                <w:szCs w:val="16"/>
              </w:rPr>
              <w:t xml:space="preserve">Referencia actualizada a fines de 2013: </w:t>
            </w:r>
            <w:r w:rsidRPr="002D0A6A">
              <w:rPr>
                <w:color w:val="002060"/>
                <w:sz w:val="16"/>
                <w:szCs w:val="16"/>
              </w:rPr>
              <w:t>Para finales de 2013, 25 intermediarios de confianza y 45 titulares de derechos habían firmado el memorando de entendimiento del proyecto TIGAR, incluyendo intermediarios de confianza procedentes de países en desarrollo y países menos adelantados.  A fines de 2013, 11 intermediarios de confianza habían cargado sus títulos en formato accesible en la base de datos del proyecto TIGAR.</w:t>
            </w:r>
          </w:p>
          <w:p w:rsidR="00FA423E" w:rsidRPr="002D0A6A" w:rsidRDefault="00FA423E" w:rsidP="00DC1333">
            <w:pPr>
              <w:keepNext/>
              <w:rPr>
                <w:i/>
                <w:sz w:val="16"/>
                <w:szCs w:val="16"/>
                <w:lang w:bidi="th-TH"/>
              </w:rPr>
            </w:pPr>
          </w:p>
          <w:p w:rsidR="00FA423E" w:rsidRPr="002D0A6A" w:rsidRDefault="00FA423E" w:rsidP="00DC1333">
            <w:pPr>
              <w:keepNext/>
              <w:rPr>
                <w:sz w:val="16"/>
                <w:szCs w:val="16"/>
                <w:lang w:bidi="th-TH"/>
              </w:rPr>
            </w:pPr>
            <w:r w:rsidRPr="002D0A6A">
              <w:rPr>
                <w:i/>
                <w:sz w:val="16"/>
                <w:szCs w:val="16"/>
                <w:lang w:bidi="th-TH"/>
              </w:rPr>
              <w:t xml:space="preserve">Referencia original en el presupuesto de 2014/15: </w:t>
            </w:r>
            <w:r w:rsidRPr="002D0A6A">
              <w:rPr>
                <w:sz w:val="16"/>
                <w:szCs w:val="16"/>
                <w:lang w:bidi="th-TH"/>
              </w:rPr>
              <w:t xml:space="preserve"> 19 intermediarios de confianza y 40 titulares de derechos</w:t>
            </w:r>
          </w:p>
          <w:p w:rsidR="00FA423E" w:rsidRPr="002D0A6A" w:rsidRDefault="00FA423E" w:rsidP="00DC1333">
            <w:pPr>
              <w:keepNext/>
              <w:rPr>
                <w:sz w:val="16"/>
                <w:szCs w:val="16"/>
                <w:lang w:bidi="th-TH"/>
              </w:rPr>
            </w:pPr>
          </w:p>
        </w:tc>
        <w:tc>
          <w:tcPr>
            <w:tcW w:w="669" w:type="pct"/>
            <w:tcBorders>
              <w:top w:val="nil"/>
              <w:bottom w:val="nil"/>
            </w:tcBorders>
            <w:shd w:val="clear" w:color="auto" w:fill="auto"/>
            <w:tcMar>
              <w:top w:w="110" w:type="dxa"/>
            </w:tcMar>
          </w:tcPr>
          <w:p w:rsidR="00FA423E" w:rsidRPr="002D0A6A" w:rsidRDefault="00FA423E" w:rsidP="00DC1333">
            <w:pPr>
              <w:keepNext/>
              <w:autoSpaceDE w:val="0"/>
              <w:autoSpaceDN w:val="0"/>
              <w:adjustRightInd w:val="0"/>
              <w:rPr>
                <w:sz w:val="16"/>
                <w:szCs w:val="16"/>
              </w:rPr>
            </w:pPr>
            <w:r w:rsidRPr="002D0A6A">
              <w:rPr>
                <w:sz w:val="16"/>
                <w:szCs w:val="16"/>
              </w:rPr>
              <w:t>24 intermediarios de confianza y 46 titulares de derechos (en total)</w:t>
            </w: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p w:rsidR="00FA423E" w:rsidRPr="002D0A6A" w:rsidRDefault="00FA423E" w:rsidP="00DC1333">
            <w:pPr>
              <w:keepNext/>
              <w:autoSpaceDE w:val="0"/>
              <w:autoSpaceDN w:val="0"/>
              <w:adjustRightInd w:val="0"/>
              <w:rPr>
                <w:sz w:val="16"/>
                <w:szCs w:val="16"/>
              </w:rPr>
            </w:pPr>
          </w:p>
        </w:tc>
        <w:tc>
          <w:tcPr>
            <w:tcW w:w="1198" w:type="pct"/>
            <w:gridSpan w:val="3"/>
            <w:tcBorders>
              <w:top w:val="nil"/>
              <w:bottom w:val="nil"/>
            </w:tcBorders>
            <w:shd w:val="clear" w:color="auto" w:fill="FFFFFF"/>
            <w:tcMar>
              <w:top w:w="110" w:type="dxa"/>
            </w:tcMar>
          </w:tcPr>
          <w:p w:rsidR="00FA423E" w:rsidRPr="002D0A6A" w:rsidRDefault="00FA423E" w:rsidP="00DC1333">
            <w:pPr>
              <w:keepNext/>
              <w:rPr>
                <w:sz w:val="16"/>
                <w:szCs w:val="16"/>
                <w:lang w:bidi="th-TH"/>
              </w:rPr>
            </w:pPr>
            <w:r w:rsidRPr="002D0A6A">
              <w:rPr>
                <w:sz w:val="16"/>
                <w:szCs w:val="16"/>
                <w:lang w:bidi="th-TH"/>
              </w:rPr>
              <w:t>La plataforma de sectores interesados se ha trasladado al Consorcio de Libros Accesibles (ABC).</w:t>
            </w: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p w:rsidR="00FA423E" w:rsidRPr="002D0A6A" w:rsidRDefault="00FA423E" w:rsidP="00DC1333">
            <w:pPr>
              <w:keepNext/>
              <w:rPr>
                <w:sz w:val="16"/>
                <w:szCs w:val="16"/>
                <w:lang w:bidi="th-TH"/>
              </w:rPr>
            </w:pPr>
          </w:p>
        </w:tc>
        <w:tc>
          <w:tcPr>
            <w:tcW w:w="664" w:type="pct"/>
            <w:gridSpan w:val="3"/>
            <w:tcBorders>
              <w:top w:val="nil"/>
              <w:bottom w:val="nil"/>
              <w:right w:val="single" w:sz="4" w:space="0" w:color="auto"/>
            </w:tcBorders>
            <w:shd w:val="clear" w:color="auto" w:fill="auto"/>
            <w:tcMar>
              <w:top w:w="110" w:type="dxa"/>
            </w:tcMar>
          </w:tcPr>
          <w:p w:rsidR="00FA423E" w:rsidRPr="002D0A6A" w:rsidRDefault="007F16A3" w:rsidP="00DC1333">
            <w:pPr>
              <w:keepNext/>
              <w:jc w:val="center"/>
              <w:rPr>
                <w:b/>
                <w:bCs/>
                <w:sz w:val="13"/>
                <w:szCs w:val="13"/>
              </w:rPr>
            </w:pPr>
            <w:r>
              <w:rPr>
                <w:b/>
                <w:bCs/>
                <w:sz w:val="13"/>
                <w:szCs w:val="13"/>
              </w:rPr>
              <w:t>Discontinuado</w:t>
            </w: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jc w:val="center"/>
              <w:rPr>
                <w:b/>
                <w:bCs/>
                <w:color w:val="808080" w:themeColor="background1" w:themeShade="80"/>
                <w:sz w:val="16"/>
                <w:szCs w:val="16"/>
              </w:rPr>
            </w:pPr>
          </w:p>
          <w:p w:rsidR="00FA423E" w:rsidRPr="002D0A6A" w:rsidRDefault="00FA423E" w:rsidP="00DC1333">
            <w:pPr>
              <w:keepNext/>
              <w:rPr>
                <w:b/>
                <w:bCs/>
                <w:color w:val="808080" w:themeColor="background1" w:themeShade="80"/>
                <w:sz w:val="16"/>
                <w:szCs w:val="16"/>
              </w:rPr>
            </w:pP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rPr>
                <w:sz w:val="16"/>
                <w:szCs w:val="16"/>
                <w:lang w:bidi="th-TH"/>
              </w:rPr>
            </w:pPr>
            <w:r w:rsidRPr="002D0A6A">
              <w:rPr>
                <w:sz w:val="16"/>
                <w:szCs w:val="16"/>
                <w:lang w:bidi="th-TH"/>
              </w:rPr>
              <w:t xml:space="preserve">Número de obras protegidas por derecho de autor y distribuidas entre intermediarios de confianza puestas a disposición de las personas con discapacidad visual a escala internacional por medio de la red de sistemas TIGAR. </w:t>
            </w:r>
          </w:p>
        </w:tc>
        <w:tc>
          <w:tcPr>
            <w:tcW w:w="1268" w:type="pct"/>
            <w:gridSpan w:val="2"/>
            <w:tcBorders>
              <w:top w:val="nil"/>
              <w:bottom w:val="nil"/>
            </w:tcBorders>
            <w:shd w:val="clear" w:color="auto" w:fill="auto"/>
          </w:tcPr>
          <w:p w:rsidR="00FA423E" w:rsidRPr="002D0A6A" w:rsidRDefault="00FA423E" w:rsidP="00DC1333">
            <w:pPr>
              <w:pStyle w:val="Default"/>
              <w:keepNext/>
              <w:keepLines/>
              <w:rPr>
                <w:color w:val="002060"/>
                <w:sz w:val="16"/>
                <w:szCs w:val="16"/>
                <w:lang w:val="es-ES" w:bidi="th-TH"/>
              </w:rPr>
            </w:pPr>
            <w:r w:rsidRPr="002D0A6A">
              <w:rPr>
                <w:i/>
                <w:color w:val="002060"/>
                <w:sz w:val="16"/>
                <w:szCs w:val="16"/>
                <w:lang w:val="es-ES" w:bidi="th-TH"/>
              </w:rPr>
              <w:t>Referencia actualizada a fines de 2013: A</w:t>
            </w:r>
            <w:r w:rsidRPr="002D0A6A">
              <w:rPr>
                <w:color w:val="002060"/>
                <w:sz w:val="16"/>
                <w:szCs w:val="16"/>
                <w:lang w:val="es-ES" w:bidi="th-TH"/>
              </w:rPr>
              <w:t xml:space="preserve"> fines de 2013, se habían descargado de la base de datos del proyecto TIGAR aproximadamente 600 libros en formatos accesibles en distintos países.</w:t>
            </w:r>
          </w:p>
          <w:p w:rsidR="00FA423E" w:rsidRPr="002D0A6A" w:rsidRDefault="00FA423E" w:rsidP="00DC1333">
            <w:pPr>
              <w:keepNext/>
              <w:keepLines/>
              <w:rPr>
                <w:color w:val="002060"/>
                <w:sz w:val="8"/>
                <w:szCs w:val="8"/>
                <w:lang w:bidi="th-TH"/>
              </w:rPr>
            </w:pPr>
          </w:p>
          <w:p w:rsidR="00FA423E" w:rsidRPr="002D0A6A" w:rsidRDefault="00FA423E" w:rsidP="00DC1333">
            <w:pPr>
              <w:keepNext/>
              <w:keepLines/>
              <w:rPr>
                <w:sz w:val="16"/>
                <w:szCs w:val="16"/>
                <w:lang w:bidi="th-TH"/>
              </w:rPr>
            </w:pPr>
            <w:r w:rsidRPr="002D0A6A">
              <w:rPr>
                <w:i/>
                <w:sz w:val="16"/>
                <w:szCs w:val="16"/>
                <w:lang w:bidi="th-TH"/>
              </w:rPr>
              <w:t xml:space="preserve">Referencia original en el presupuesto de 2014/15: </w:t>
            </w:r>
            <w:r w:rsidRPr="002D0A6A">
              <w:rPr>
                <w:sz w:val="16"/>
                <w:szCs w:val="16"/>
                <w:lang w:bidi="th-TH"/>
              </w:rPr>
              <w:t xml:space="preserve"> 400</w:t>
            </w:r>
          </w:p>
        </w:tc>
        <w:tc>
          <w:tcPr>
            <w:tcW w:w="669" w:type="pct"/>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1.000 (en total).</w:t>
            </w:r>
          </w:p>
        </w:tc>
        <w:tc>
          <w:tcPr>
            <w:tcW w:w="1198" w:type="pct"/>
            <w:gridSpan w:val="3"/>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15 bibliotecas participantes habían descargado 4.208 versiones accesibles de libros a finales de 2015 (en total).</w:t>
            </w:r>
          </w:p>
          <w:p w:rsidR="00FA423E" w:rsidRPr="002D0A6A" w:rsidRDefault="00FA423E" w:rsidP="00DC1333">
            <w:pPr>
              <w:keepNext/>
              <w:keepLines/>
              <w:rPr>
                <w:sz w:val="16"/>
                <w:szCs w:val="16"/>
                <w:lang w:bidi="th-TH"/>
              </w:rPr>
            </w:pPr>
          </w:p>
          <w:p w:rsidR="00FA423E" w:rsidRPr="002D0A6A" w:rsidRDefault="00FA423E" w:rsidP="00DC1333">
            <w:pPr>
              <w:keepNext/>
              <w:keepLines/>
              <w:rPr>
                <w:sz w:val="16"/>
                <w:szCs w:val="16"/>
                <w:lang w:bidi="th-TH"/>
              </w:rPr>
            </w:pPr>
            <w:r w:rsidRPr="002D0A6A">
              <w:rPr>
                <w:sz w:val="16"/>
                <w:szCs w:val="16"/>
                <w:lang w:bidi="th-TH"/>
              </w:rPr>
              <w:t>Más de 58.000 préstamos de libros accesibles a personas con dificultad para acceder al texto impreso a finales de 2015</w:t>
            </w:r>
          </w:p>
        </w:tc>
        <w:tc>
          <w:tcPr>
            <w:tcW w:w="664" w:type="pct"/>
            <w:gridSpan w:val="3"/>
            <w:tcBorders>
              <w:top w:val="nil"/>
              <w:bottom w:val="nil"/>
              <w:right w:val="single" w:sz="4" w:space="0" w:color="auto"/>
            </w:tcBorders>
            <w:shd w:val="clear" w:color="auto" w:fill="auto"/>
          </w:tcPr>
          <w:p w:rsidR="00FA423E" w:rsidRPr="002D0A6A" w:rsidRDefault="00FA423E" w:rsidP="00DC1333">
            <w:pPr>
              <w:ind w:left="-112" w:right="-104"/>
              <w:jc w:val="center"/>
              <w:rPr>
                <w:bCs/>
                <w:color w:val="00B050"/>
                <w:sz w:val="16"/>
                <w:szCs w:val="16"/>
              </w:rPr>
            </w:pPr>
            <w:r w:rsidRPr="002D0A6A">
              <w:rPr>
                <w:b/>
                <w:bCs/>
                <w:color w:val="00B050"/>
                <w:sz w:val="16"/>
                <w:szCs w:val="16"/>
              </w:rPr>
              <w:t>Plenamente logrado</w:t>
            </w:r>
          </w:p>
        </w:tc>
      </w:tr>
      <w:tr w:rsidR="00FA423E" w:rsidRPr="002D0A6A" w:rsidTr="00DC1333">
        <w:tc>
          <w:tcPr>
            <w:tcW w:w="1201" w:type="pct"/>
            <w:gridSpan w:val="3"/>
            <w:tcBorders>
              <w:top w:val="nil"/>
              <w:left w:val="single" w:sz="4" w:space="0" w:color="auto"/>
              <w:bottom w:val="nil"/>
            </w:tcBorders>
            <w:shd w:val="clear" w:color="auto" w:fill="auto"/>
          </w:tcPr>
          <w:p w:rsidR="00FA423E" w:rsidRPr="002D0A6A" w:rsidRDefault="00FA423E" w:rsidP="00DC1333">
            <w:pPr>
              <w:rPr>
                <w:sz w:val="16"/>
                <w:szCs w:val="16"/>
                <w:lang w:bidi="th-TH"/>
              </w:rPr>
            </w:pPr>
            <w:r w:rsidRPr="002D0A6A">
              <w:rPr>
                <w:sz w:val="16"/>
                <w:szCs w:val="16"/>
                <w:lang w:bidi="th-TH"/>
              </w:rPr>
              <w:t>Porcentaje de personas satisfechas con el apoyo al fortalecimiento de capacidades en infraestructura de derecho de autor</w:t>
            </w:r>
          </w:p>
        </w:tc>
        <w:tc>
          <w:tcPr>
            <w:tcW w:w="1268" w:type="pct"/>
            <w:gridSpan w:val="2"/>
            <w:tcBorders>
              <w:top w:val="nil"/>
              <w:bottom w:val="nil"/>
            </w:tcBorders>
            <w:shd w:val="clear" w:color="auto" w:fill="auto"/>
          </w:tcPr>
          <w:p w:rsidR="00FA423E" w:rsidRPr="002D0A6A" w:rsidRDefault="00FA423E" w:rsidP="00DC1333">
            <w:pPr>
              <w:keepNext/>
              <w:keepLines/>
              <w:rPr>
                <w:sz w:val="16"/>
                <w:szCs w:val="16"/>
                <w:lang w:bidi="th-TH"/>
              </w:rPr>
            </w:pPr>
            <w:r w:rsidRPr="002D0A6A">
              <w:rPr>
                <w:sz w:val="16"/>
                <w:szCs w:val="16"/>
                <w:lang w:bidi="th-TH"/>
              </w:rPr>
              <w:t>No se ha iniciado</w:t>
            </w:r>
          </w:p>
        </w:tc>
        <w:tc>
          <w:tcPr>
            <w:tcW w:w="669" w:type="pct"/>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60%</w:t>
            </w:r>
          </w:p>
        </w:tc>
        <w:tc>
          <w:tcPr>
            <w:tcW w:w="1198" w:type="pct"/>
            <w:gridSpan w:val="3"/>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90%</w:t>
            </w:r>
          </w:p>
        </w:tc>
        <w:tc>
          <w:tcPr>
            <w:tcW w:w="664" w:type="pct"/>
            <w:gridSpan w:val="3"/>
            <w:tcBorders>
              <w:top w:val="nil"/>
              <w:bottom w:val="nil"/>
              <w:right w:val="single" w:sz="4" w:space="0" w:color="auto"/>
            </w:tcBorders>
            <w:shd w:val="clear" w:color="auto" w:fill="auto"/>
          </w:tcPr>
          <w:p w:rsidR="00FA423E" w:rsidRPr="002D0A6A" w:rsidRDefault="00FA423E" w:rsidP="00DC1333">
            <w:pPr>
              <w:keepNext/>
              <w:keepLines/>
              <w:ind w:left="-111"/>
              <w:jc w:val="center"/>
              <w:rPr>
                <w:bCs/>
                <w:color w:val="00B050"/>
                <w:sz w:val="16"/>
                <w:szCs w:val="16"/>
              </w:rPr>
            </w:pPr>
            <w:r w:rsidRPr="002D0A6A">
              <w:rPr>
                <w:b/>
                <w:bCs/>
                <w:color w:val="00B050"/>
                <w:sz w:val="16"/>
                <w:szCs w:val="16"/>
              </w:rPr>
              <w:t>Plenamente logrado</w:t>
            </w:r>
          </w:p>
        </w:tc>
      </w:tr>
      <w:tr w:rsidR="00FA423E" w:rsidRPr="002D0A6A" w:rsidTr="00DC1333">
        <w:trPr>
          <w:trHeight w:val="1629"/>
        </w:trPr>
        <w:tc>
          <w:tcPr>
            <w:tcW w:w="1201" w:type="pct"/>
            <w:gridSpan w:val="3"/>
            <w:tcBorders>
              <w:top w:val="nil"/>
              <w:left w:val="single" w:sz="4" w:space="0" w:color="auto"/>
              <w:bottom w:val="nil"/>
            </w:tcBorders>
            <w:shd w:val="clear" w:color="auto" w:fill="auto"/>
          </w:tcPr>
          <w:p w:rsidR="00FA423E" w:rsidRPr="002D0A6A" w:rsidRDefault="00FA423E" w:rsidP="00DC1333">
            <w:pPr>
              <w:rPr>
                <w:sz w:val="16"/>
                <w:szCs w:val="16"/>
                <w:lang w:bidi="th-TH"/>
              </w:rPr>
            </w:pPr>
            <w:r w:rsidRPr="002D0A6A">
              <w:rPr>
                <w:sz w:val="16"/>
                <w:szCs w:val="16"/>
                <w:lang w:bidi="th-TH"/>
              </w:rPr>
              <w:t>Número de instituciones que utilizan el sistema GDA.</w:t>
            </w:r>
          </w:p>
        </w:tc>
        <w:tc>
          <w:tcPr>
            <w:tcW w:w="1268" w:type="pct"/>
            <w:gridSpan w:val="2"/>
            <w:tcBorders>
              <w:top w:val="nil"/>
              <w:bottom w:val="nil"/>
            </w:tcBorders>
            <w:shd w:val="clear" w:color="auto" w:fill="auto"/>
          </w:tcPr>
          <w:p w:rsidR="00FA423E" w:rsidRPr="002D0A6A" w:rsidRDefault="00FA423E" w:rsidP="00DC1333">
            <w:pPr>
              <w:keepNext/>
              <w:keepLines/>
              <w:rPr>
                <w:color w:val="002060"/>
                <w:sz w:val="16"/>
                <w:szCs w:val="16"/>
                <w:lang w:bidi="th-TH"/>
              </w:rPr>
            </w:pPr>
            <w:r w:rsidRPr="002D0A6A">
              <w:rPr>
                <w:i/>
                <w:color w:val="002060"/>
                <w:sz w:val="16"/>
                <w:szCs w:val="16"/>
              </w:rPr>
              <w:t>Referencia actualizada a fines de 2013:</w:t>
            </w:r>
            <w:r w:rsidRPr="002D0A6A">
              <w:rPr>
                <w:color w:val="002060"/>
                <w:sz w:val="16"/>
                <w:szCs w:val="16"/>
                <w:lang w:bidi="th-TH"/>
              </w:rPr>
              <w:t xml:space="preserve">  15</w:t>
            </w:r>
            <w:r w:rsidRPr="002D0A6A">
              <w:rPr>
                <w:rStyle w:val="FootnoteReference"/>
                <w:color w:val="002060"/>
                <w:sz w:val="16"/>
                <w:szCs w:val="16"/>
                <w:lang w:bidi="th-TH"/>
              </w:rPr>
              <w:footnoteReference w:id="16"/>
            </w:r>
            <w:r w:rsidRPr="002D0A6A">
              <w:rPr>
                <w:color w:val="002060"/>
                <w:sz w:val="16"/>
                <w:szCs w:val="16"/>
                <w:lang w:bidi="th-TH"/>
              </w:rPr>
              <w:t xml:space="preserve"> oficinas de derecho de autor que utilizan el sistema GDA (en total)</w:t>
            </w:r>
          </w:p>
          <w:p w:rsidR="00FA423E" w:rsidRPr="002D0A6A" w:rsidRDefault="00FA423E" w:rsidP="00DC1333">
            <w:pPr>
              <w:keepNext/>
              <w:keepLines/>
              <w:rPr>
                <w:sz w:val="8"/>
                <w:szCs w:val="8"/>
                <w:lang w:bidi="th-TH"/>
              </w:rPr>
            </w:pPr>
          </w:p>
          <w:p w:rsidR="00FA423E" w:rsidRPr="002D0A6A" w:rsidRDefault="00FA423E" w:rsidP="00DC1333">
            <w:pPr>
              <w:keepNext/>
              <w:keepLines/>
              <w:rPr>
                <w:i/>
                <w:color w:val="002060"/>
                <w:sz w:val="16"/>
                <w:szCs w:val="16"/>
              </w:rPr>
            </w:pPr>
            <w:r w:rsidRPr="002D0A6A">
              <w:rPr>
                <w:i/>
                <w:sz w:val="16"/>
                <w:szCs w:val="16"/>
                <w:lang w:bidi="th-TH"/>
              </w:rPr>
              <w:t xml:space="preserve">Referencia original en el presupuesto de 2014/15:  </w:t>
            </w:r>
            <w:r w:rsidRPr="002D0A6A">
              <w:rPr>
                <w:sz w:val="16"/>
                <w:szCs w:val="16"/>
                <w:lang w:bidi="th-TH"/>
              </w:rPr>
              <w:t>15</w:t>
            </w:r>
          </w:p>
        </w:tc>
        <w:tc>
          <w:tcPr>
            <w:tcW w:w="669" w:type="pct"/>
            <w:tcBorders>
              <w:top w:val="nil"/>
              <w:bottom w:val="nil"/>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15</w:t>
            </w:r>
          </w:p>
        </w:tc>
        <w:tc>
          <w:tcPr>
            <w:tcW w:w="1198" w:type="pct"/>
            <w:gridSpan w:val="3"/>
            <w:tcBorders>
              <w:top w:val="nil"/>
              <w:bottom w:val="nil"/>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16 oficinas de derecho de autor utilizan el sistema GDA (en total)</w:t>
            </w:r>
          </w:p>
          <w:p w:rsidR="00FA423E" w:rsidRPr="002D0A6A" w:rsidRDefault="00FA423E" w:rsidP="00DC1333">
            <w:pPr>
              <w:keepNext/>
              <w:keepLines/>
              <w:rPr>
                <w:sz w:val="12"/>
                <w:szCs w:val="12"/>
                <w:lang w:bidi="th-TH"/>
              </w:rPr>
            </w:pPr>
          </w:p>
          <w:p w:rsidR="00FA423E" w:rsidRPr="002D0A6A" w:rsidRDefault="00FA423E" w:rsidP="00DC1333">
            <w:pPr>
              <w:keepNext/>
              <w:keepLines/>
              <w:rPr>
                <w:sz w:val="16"/>
                <w:szCs w:val="16"/>
                <w:lang w:bidi="th-TH"/>
              </w:rPr>
            </w:pPr>
            <w:r w:rsidRPr="002D0A6A">
              <w:rPr>
                <w:sz w:val="16"/>
                <w:szCs w:val="16"/>
                <w:lang w:bidi="th-TH"/>
              </w:rPr>
              <w:t>El apoyo prestado por la OMPI al Sistema GDA se había eliminado gradualmente a finales de 2015.</w:t>
            </w:r>
          </w:p>
        </w:tc>
        <w:tc>
          <w:tcPr>
            <w:tcW w:w="664" w:type="pct"/>
            <w:gridSpan w:val="3"/>
            <w:tcBorders>
              <w:top w:val="nil"/>
              <w:bottom w:val="nil"/>
              <w:right w:val="single" w:sz="4" w:space="0" w:color="auto"/>
            </w:tcBorders>
            <w:shd w:val="clear" w:color="auto" w:fill="auto"/>
          </w:tcPr>
          <w:p w:rsidR="00FA423E" w:rsidRPr="002D0A6A" w:rsidRDefault="007F16A3" w:rsidP="00DC1333">
            <w:pPr>
              <w:jc w:val="center"/>
              <w:rPr>
                <w:b/>
                <w:bCs/>
                <w:sz w:val="13"/>
                <w:szCs w:val="13"/>
              </w:rPr>
            </w:pPr>
            <w:r>
              <w:rPr>
                <w:b/>
                <w:bCs/>
                <w:sz w:val="13"/>
                <w:szCs w:val="13"/>
              </w:rPr>
              <w:t>Discontinuado</w:t>
            </w:r>
          </w:p>
          <w:p w:rsidR="00FA423E" w:rsidRPr="002D0A6A" w:rsidRDefault="00FA423E" w:rsidP="00DC1333">
            <w:pPr>
              <w:keepNext/>
              <w:keepLines/>
              <w:ind w:left="-111"/>
              <w:jc w:val="center"/>
              <w:rPr>
                <w:b/>
                <w:bCs/>
                <w:color w:val="00B050"/>
                <w:sz w:val="16"/>
                <w:szCs w:val="16"/>
              </w:rPr>
            </w:pPr>
          </w:p>
        </w:tc>
      </w:tr>
      <w:tr w:rsidR="00FA423E" w:rsidRPr="002D0A6A" w:rsidTr="00DC1333">
        <w:tc>
          <w:tcPr>
            <w:tcW w:w="1201" w:type="pct"/>
            <w:gridSpan w:val="3"/>
            <w:tcBorders>
              <w:top w:val="nil"/>
              <w:left w:val="single" w:sz="4" w:space="0" w:color="auto"/>
              <w:bottom w:val="single" w:sz="4" w:space="0" w:color="auto"/>
            </w:tcBorders>
            <w:shd w:val="clear" w:color="auto" w:fill="auto"/>
          </w:tcPr>
          <w:p w:rsidR="00FA423E" w:rsidRPr="002D0A6A" w:rsidRDefault="00FA423E" w:rsidP="00DC1333">
            <w:pPr>
              <w:rPr>
                <w:sz w:val="16"/>
                <w:szCs w:val="16"/>
                <w:lang w:bidi="th-TH"/>
              </w:rPr>
            </w:pPr>
            <w:r w:rsidRPr="002D0A6A">
              <w:rPr>
                <w:sz w:val="16"/>
                <w:szCs w:val="16"/>
                <w:lang w:bidi="th-TH"/>
              </w:rPr>
              <w:t>Uso de la base de datos de la OMPI sobre gestión colectiva de los derechos.</w:t>
            </w:r>
          </w:p>
        </w:tc>
        <w:tc>
          <w:tcPr>
            <w:tcW w:w="1268" w:type="pct"/>
            <w:gridSpan w:val="2"/>
            <w:tcBorders>
              <w:top w:val="nil"/>
              <w:bottom w:val="single" w:sz="4" w:space="0" w:color="auto"/>
            </w:tcBorders>
            <w:shd w:val="clear" w:color="auto" w:fill="auto"/>
          </w:tcPr>
          <w:p w:rsidR="00FA423E" w:rsidRPr="002D0A6A" w:rsidRDefault="00FA423E" w:rsidP="00DC1333">
            <w:pPr>
              <w:keepNext/>
              <w:keepLines/>
              <w:rPr>
                <w:i/>
                <w:color w:val="808080"/>
                <w:sz w:val="16"/>
                <w:szCs w:val="16"/>
              </w:rPr>
            </w:pPr>
            <w:r w:rsidRPr="002D0A6A">
              <w:rPr>
                <w:sz w:val="16"/>
                <w:szCs w:val="16"/>
                <w:lang w:bidi="th-TH"/>
              </w:rPr>
              <w:t>No se ha iniciado</w:t>
            </w:r>
          </w:p>
        </w:tc>
        <w:tc>
          <w:tcPr>
            <w:tcW w:w="669" w:type="pct"/>
            <w:tcBorders>
              <w:top w:val="nil"/>
              <w:bottom w:val="single" w:sz="4" w:space="0" w:color="auto"/>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100 usuarios.</w:t>
            </w:r>
          </w:p>
        </w:tc>
        <w:tc>
          <w:tcPr>
            <w:tcW w:w="1198" w:type="pct"/>
            <w:gridSpan w:val="3"/>
            <w:tcBorders>
              <w:top w:val="nil"/>
              <w:bottom w:val="single" w:sz="4" w:space="0" w:color="auto"/>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 xml:space="preserve">Desde que se publicó en octubre de 2014, </w:t>
            </w:r>
            <w:r w:rsidRPr="002D0A6A">
              <w:rPr>
                <w:bCs/>
                <w:sz w:val="16"/>
                <w:szCs w:val="16"/>
                <w:lang w:bidi="th-TH"/>
              </w:rPr>
              <w:t xml:space="preserve">el </w:t>
            </w:r>
            <w:r w:rsidRPr="002D0A6A">
              <w:rPr>
                <w:i/>
                <w:iCs/>
                <w:sz w:val="16"/>
                <w:szCs w:val="16"/>
                <w:lang w:bidi="th-TH"/>
              </w:rPr>
              <w:t xml:space="preserve">Collecting Societies Handbook </w:t>
            </w:r>
            <w:r w:rsidRPr="002D0A6A">
              <w:rPr>
                <w:iCs/>
                <w:sz w:val="16"/>
                <w:szCs w:val="16"/>
                <w:lang w:bidi="th-TH"/>
              </w:rPr>
              <w:t>de 2014 recibió una media de 2.300 vistas únicas al mes.</w:t>
            </w:r>
          </w:p>
        </w:tc>
        <w:tc>
          <w:tcPr>
            <w:tcW w:w="664" w:type="pct"/>
            <w:gridSpan w:val="3"/>
            <w:tcBorders>
              <w:top w:val="nil"/>
              <w:bottom w:val="single" w:sz="4" w:space="0" w:color="auto"/>
              <w:right w:val="single" w:sz="4" w:space="0" w:color="auto"/>
            </w:tcBorders>
            <w:shd w:val="clear" w:color="auto" w:fill="auto"/>
          </w:tcPr>
          <w:p w:rsidR="00FA423E" w:rsidRPr="002D0A6A" w:rsidRDefault="00FA423E" w:rsidP="00DC1333">
            <w:pPr>
              <w:keepNext/>
              <w:keepLines/>
              <w:ind w:left="-111"/>
              <w:jc w:val="center"/>
              <w:rPr>
                <w:b/>
                <w:bCs/>
                <w:color w:val="00B050"/>
                <w:sz w:val="16"/>
                <w:szCs w:val="16"/>
              </w:rPr>
            </w:pPr>
            <w:r w:rsidRPr="002D0A6A">
              <w:rPr>
                <w:b/>
                <w:bCs/>
                <w:color w:val="00B050"/>
                <w:sz w:val="16"/>
                <w:szCs w:val="16"/>
              </w:rPr>
              <w:t>Plenamente logrado</w:t>
            </w:r>
          </w:p>
        </w:tc>
      </w:tr>
      <w:tr w:rsidR="00FA423E" w:rsidRPr="002D0A6A" w:rsidTr="00DC1333">
        <w:trPr>
          <w:trHeight w:val="2000"/>
        </w:trPr>
        <w:tc>
          <w:tcPr>
            <w:tcW w:w="1201" w:type="pct"/>
            <w:gridSpan w:val="3"/>
            <w:tcBorders>
              <w:top w:val="single" w:sz="4" w:space="0" w:color="auto"/>
              <w:left w:val="single" w:sz="4" w:space="0" w:color="auto"/>
              <w:bottom w:val="single" w:sz="4" w:space="0" w:color="auto"/>
            </w:tcBorders>
            <w:shd w:val="clear" w:color="auto" w:fill="auto"/>
          </w:tcPr>
          <w:p w:rsidR="00FA423E" w:rsidRPr="002D0A6A" w:rsidRDefault="00FA423E" w:rsidP="00DC1333">
            <w:pPr>
              <w:keepNext/>
              <w:keepLines/>
              <w:rPr>
                <w:sz w:val="16"/>
                <w:szCs w:val="16"/>
                <w:lang w:bidi="th-TH"/>
              </w:rPr>
            </w:pPr>
            <w:r w:rsidRPr="002D0A6A">
              <w:rPr>
                <w:sz w:val="16"/>
                <w:szCs w:val="16"/>
                <w:lang w:bidi="th-TH"/>
              </w:rPr>
              <w:lastRenderedPageBreak/>
              <w:t>Número de instrumentos jurídicos, directrices, declaraciones de principios distintas de tratados acordados o suscritos por las partes interesadas en ámbitos como los de la P.I. y el deporte y el derecho de autor en el entorno digital.</w:t>
            </w:r>
          </w:p>
        </w:tc>
        <w:tc>
          <w:tcPr>
            <w:tcW w:w="1268" w:type="pct"/>
            <w:gridSpan w:val="2"/>
            <w:tcBorders>
              <w:top w:val="single" w:sz="4" w:space="0" w:color="auto"/>
              <w:bottom w:val="single" w:sz="4" w:space="0" w:color="auto"/>
            </w:tcBorders>
            <w:shd w:val="clear" w:color="auto" w:fill="auto"/>
          </w:tcPr>
          <w:p w:rsidR="00FA423E" w:rsidRPr="002D0A6A" w:rsidRDefault="00FA423E" w:rsidP="00DC1333">
            <w:pPr>
              <w:keepNext/>
              <w:keepLines/>
              <w:rPr>
                <w:color w:val="002060"/>
                <w:sz w:val="16"/>
                <w:szCs w:val="16"/>
                <w:lang w:bidi="th-TH"/>
              </w:rPr>
            </w:pPr>
            <w:r w:rsidRPr="002D0A6A">
              <w:rPr>
                <w:i/>
                <w:color w:val="002060"/>
                <w:sz w:val="16"/>
                <w:szCs w:val="16"/>
                <w:lang w:bidi="th-TH"/>
              </w:rPr>
              <w:t>Referencia actualizada a fines de 2013:</w:t>
            </w:r>
            <w:r w:rsidRPr="002D0A6A">
              <w:rPr>
                <w:color w:val="002060"/>
                <w:sz w:val="16"/>
                <w:szCs w:val="16"/>
                <w:lang w:bidi="th-TH"/>
              </w:rPr>
              <w:t xml:space="preserve">  </w:t>
            </w:r>
          </w:p>
          <w:p w:rsidR="00FA423E" w:rsidRPr="002D0A6A" w:rsidRDefault="00FA423E" w:rsidP="00DC1333">
            <w:pPr>
              <w:keepNext/>
              <w:keepLines/>
              <w:rPr>
                <w:sz w:val="8"/>
                <w:szCs w:val="8"/>
                <w:lang w:bidi="th-TH"/>
              </w:rPr>
            </w:pPr>
          </w:p>
          <w:p w:rsidR="00FA423E" w:rsidRPr="002D0A6A" w:rsidRDefault="00FA423E" w:rsidP="00DC1333">
            <w:pPr>
              <w:keepNext/>
              <w:keepLines/>
              <w:rPr>
                <w:i/>
                <w:color w:val="002060"/>
                <w:sz w:val="16"/>
                <w:szCs w:val="16"/>
              </w:rPr>
            </w:pPr>
            <w:r w:rsidRPr="002D0A6A">
              <w:rPr>
                <w:i/>
                <w:sz w:val="16"/>
                <w:szCs w:val="16"/>
                <w:lang w:bidi="th-TH"/>
              </w:rPr>
              <w:t xml:space="preserve">Referencia original en el presupuesto de 2014/15:  </w:t>
            </w:r>
            <w:r w:rsidRPr="002D0A6A">
              <w:rPr>
                <w:sz w:val="16"/>
                <w:szCs w:val="16"/>
                <w:lang w:bidi="th-TH"/>
              </w:rPr>
              <w:t>Uno (Examen de la OMPI de las consideraciones contractuales en el sector audiovisual)</w:t>
            </w:r>
          </w:p>
        </w:tc>
        <w:tc>
          <w:tcPr>
            <w:tcW w:w="669" w:type="pct"/>
            <w:tcBorders>
              <w:top w:val="single" w:sz="4" w:space="0" w:color="auto"/>
              <w:bottom w:val="single" w:sz="4" w:space="0" w:color="auto"/>
            </w:tcBorders>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w:t>
            </w:r>
          </w:p>
        </w:tc>
        <w:tc>
          <w:tcPr>
            <w:tcW w:w="1198" w:type="pct"/>
            <w:gridSpan w:val="3"/>
            <w:tcBorders>
              <w:top w:val="single" w:sz="4" w:space="0" w:color="auto"/>
              <w:bottom w:val="single" w:sz="4" w:space="0" w:color="auto"/>
            </w:tcBorders>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El proyecto de directrices de la OMPI para la evaluación de la repercusión económica, social y cultural del derecho de autor en la economía (Directrices ESCIA) se finalizó en 2014 y entró en la fase piloto de ejecución, que terminará en junio de 2016.</w:t>
            </w:r>
          </w:p>
        </w:tc>
        <w:tc>
          <w:tcPr>
            <w:tcW w:w="664" w:type="pct"/>
            <w:gridSpan w:val="3"/>
            <w:tcBorders>
              <w:top w:val="single" w:sz="4" w:space="0" w:color="auto"/>
              <w:bottom w:val="single" w:sz="4" w:space="0" w:color="auto"/>
              <w:right w:val="single" w:sz="4" w:space="0" w:color="auto"/>
            </w:tcBorders>
            <w:shd w:val="clear" w:color="auto" w:fill="auto"/>
          </w:tcPr>
          <w:p w:rsidR="00FA423E" w:rsidRPr="002D0A6A" w:rsidRDefault="00FA423E" w:rsidP="00DC1333">
            <w:pPr>
              <w:keepNext/>
              <w:keepLines/>
              <w:ind w:left="-111"/>
              <w:jc w:val="center"/>
              <w:rPr>
                <w:b/>
                <w:bCs/>
                <w:color w:val="00B050"/>
                <w:sz w:val="16"/>
                <w:szCs w:val="16"/>
              </w:rPr>
            </w:pPr>
            <w:r w:rsidRPr="002D0A6A">
              <w:rPr>
                <w:b/>
                <w:bCs/>
                <w:color w:val="00B050"/>
                <w:sz w:val="16"/>
                <w:szCs w:val="16"/>
              </w:rPr>
              <w:t>Plenamente logrado</w:t>
            </w:r>
          </w:p>
        </w:tc>
      </w:tr>
      <w:tr w:rsidR="00FA423E" w:rsidRPr="002D0A6A" w:rsidTr="00DC1333">
        <w:trPr>
          <w:trHeight w:val="733"/>
        </w:trPr>
        <w:tc>
          <w:tcPr>
            <w:tcW w:w="5000" w:type="pct"/>
            <w:gridSpan w:val="12"/>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ind w:left="2019" w:hanging="2019"/>
              <w:rPr>
                <w:b/>
                <w:bCs/>
                <w:sz w:val="16"/>
                <w:szCs w:val="16"/>
              </w:rPr>
            </w:pPr>
            <w:r w:rsidRPr="002D0A6A">
              <w:rPr>
                <w:b/>
                <w:bCs/>
                <w:sz w:val="16"/>
                <w:szCs w:val="16"/>
              </w:rPr>
              <w:t>Resultado previsto:</w:t>
            </w:r>
            <w:r w:rsidRPr="002D0A6A">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FA423E" w:rsidRPr="002D0A6A" w:rsidTr="00DC1333">
        <w:tc>
          <w:tcPr>
            <w:tcW w:w="1121" w:type="pct"/>
            <w:tcBorders>
              <w:top w:val="single" w:sz="4" w:space="0" w:color="auto"/>
            </w:tcBorders>
            <w:shd w:val="clear" w:color="auto" w:fill="auto"/>
            <w:vAlign w:val="center"/>
          </w:tcPr>
          <w:p w:rsidR="00FA423E" w:rsidRPr="002D0A6A" w:rsidRDefault="00FA423E" w:rsidP="00DC1333">
            <w:pPr>
              <w:rPr>
                <w:sz w:val="16"/>
                <w:szCs w:val="16"/>
              </w:rPr>
            </w:pPr>
            <w:r w:rsidRPr="002D0A6A">
              <w:rPr>
                <w:b/>
                <w:sz w:val="16"/>
                <w:szCs w:val="16"/>
              </w:rPr>
              <w:t>Indicadores de rendimiento</w:t>
            </w:r>
          </w:p>
        </w:tc>
        <w:tc>
          <w:tcPr>
            <w:tcW w:w="1348" w:type="pct"/>
            <w:gridSpan w:val="4"/>
            <w:tcBorders>
              <w:top w:val="single" w:sz="4" w:space="0" w:color="auto"/>
            </w:tcBorders>
            <w:shd w:val="clear" w:color="auto" w:fill="auto"/>
            <w:vAlign w:val="center"/>
          </w:tcPr>
          <w:p w:rsidR="00FA423E" w:rsidRPr="002D0A6A" w:rsidRDefault="00FA423E" w:rsidP="00DC1333">
            <w:pPr>
              <w:rPr>
                <w:b/>
                <w:bCs/>
                <w:sz w:val="16"/>
                <w:szCs w:val="16"/>
              </w:rPr>
            </w:pPr>
            <w:r w:rsidRPr="002D0A6A">
              <w:rPr>
                <w:b/>
                <w:bCs/>
                <w:sz w:val="16"/>
                <w:szCs w:val="16"/>
              </w:rPr>
              <w:t>Referencia</w:t>
            </w:r>
          </w:p>
        </w:tc>
        <w:tc>
          <w:tcPr>
            <w:tcW w:w="669" w:type="pct"/>
            <w:tcBorders>
              <w:top w:val="single" w:sz="4" w:space="0" w:color="auto"/>
            </w:tcBorders>
            <w:shd w:val="clear" w:color="auto" w:fill="auto"/>
            <w:tcMar>
              <w:top w:w="110" w:type="dxa"/>
            </w:tcMar>
            <w:vAlign w:val="center"/>
          </w:tcPr>
          <w:p w:rsidR="00FA423E" w:rsidRPr="002D0A6A" w:rsidRDefault="00FA423E" w:rsidP="00DC1333">
            <w:pPr>
              <w:rPr>
                <w:b/>
                <w:sz w:val="16"/>
                <w:szCs w:val="16"/>
              </w:rPr>
            </w:pPr>
            <w:r w:rsidRPr="002D0A6A">
              <w:rPr>
                <w:b/>
                <w:sz w:val="16"/>
                <w:szCs w:val="16"/>
              </w:rPr>
              <w:t>Objetivos</w:t>
            </w:r>
          </w:p>
        </w:tc>
        <w:tc>
          <w:tcPr>
            <w:tcW w:w="1198" w:type="pct"/>
            <w:gridSpan w:val="3"/>
            <w:tcBorders>
              <w:top w:val="single" w:sz="4" w:space="0" w:color="auto"/>
            </w:tcBorders>
            <w:shd w:val="clear" w:color="auto" w:fill="FFFFFF"/>
            <w:tcMar>
              <w:top w:w="110" w:type="dxa"/>
            </w:tcMar>
            <w:vAlign w:val="center"/>
          </w:tcPr>
          <w:p w:rsidR="00FA423E" w:rsidRPr="002D0A6A" w:rsidRDefault="00FA423E" w:rsidP="00DC1333">
            <w:pPr>
              <w:rPr>
                <w:sz w:val="16"/>
                <w:szCs w:val="16"/>
              </w:rPr>
            </w:pPr>
            <w:r w:rsidRPr="002D0A6A">
              <w:rPr>
                <w:b/>
                <w:sz w:val="16"/>
                <w:szCs w:val="16"/>
              </w:rPr>
              <w:t>Datos sobre el rendimiento</w:t>
            </w:r>
          </w:p>
        </w:tc>
        <w:tc>
          <w:tcPr>
            <w:tcW w:w="664" w:type="pct"/>
            <w:gridSpan w:val="3"/>
            <w:tcBorders>
              <w:top w:val="single" w:sz="4" w:space="0" w:color="auto"/>
            </w:tcBorders>
            <w:shd w:val="clear" w:color="auto" w:fill="auto"/>
            <w:tcMar>
              <w:top w:w="110" w:type="dxa"/>
            </w:tcMar>
            <w:vAlign w:val="center"/>
          </w:tcPr>
          <w:p w:rsidR="00FA423E" w:rsidRPr="002D0A6A" w:rsidRDefault="00FA423E" w:rsidP="00DC1333">
            <w:pPr>
              <w:keepNext/>
              <w:keepLines/>
              <w:ind w:left="-111"/>
              <w:jc w:val="center"/>
              <w:rPr>
                <w:b/>
                <w:bCs/>
                <w:sz w:val="16"/>
                <w:szCs w:val="16"/>
              </w:rPr>
            </w:pPr>
            <w:r w:rsidRPr="002D0A6A">
              <w:rPr>
                <w:b/>
                <w:bCs/>
                <w:sz w:val="16"/>
                <w:szCs w:val="16"/>
              </w:rPr>
              <w:t>Clave de colores</w:t>
            </w:r>
          </w:p>
        </w:tc>
      </w:tr>
      <w:tr w:rsidR="00FA423E" w:rsidRPr="002D0A6A" w:rsidTr="00DC1333">
        <w:tc>
          <w:tcPr>
            <w:tcW w:w="1121" w:type="pct"/>
            <w:shd w:val="clear" w:color="auto" w:fill="auto"/>
          </w:tcPr>
          <w:p w:rsidR="00FA423E" w:rsidRPr="002D0A6A" w:rsidRDefault="00FA423E" w:rsidP="00DC1333">
            <w:pPr>
              <w:rPr>
                <w:sz w:val="16"/>
                <w:szCs w:val="16"/>
                <w:lang w:bidi="th-TH"/>
              </w:rPr>
            </w:pPr>
            <w:r w:rsidRPr="002D0A6A">
              <w:rPr>
                <w:sz w:val="16"/>
                <w:szCs w:val="16"/>
                <w:lang w:bidi="th-TH"/>
              </w:rPr>
              <w:t>Número de gobiernos y OGC que firman acuerdos con la OMPI para reestructurar WIPOCOS.</w:t>
            </w:r>
          </w:p>
        </w:tc>
        <w:tc>
          <w:tcPr>
            <w:tcW w:w="1348" w:type="pct"/>
            <w:gridSpan w:val="4"/>
            <w:shd w:val="clear" w:color="auto" w:fill="auto"/>
          </w:tcPr>
          <w:p w:rsidR="00FA423E" w:rsidRPr="002D0A6A" w:rsidRDefault="00FA423E" w:rsidP="00DC1333">
            <w:pPr>
              <w:rPr>
                <w:color w:val="808080"/>
                <w:sz w:val="16"/>
                <w:szCs w:val="16"/>
                <w:lang w:bidi="th-TH"/>
              </w:rPr>
            </w:pPr>
            <w:r w:rsidRPr="002D0A6A">
              <w:rPr>
                <w:sz w:val="16"/>
                <w:szCs w:val="16"/>
                <w:lang w:bidi="th-TH"/>
              </w:rPr>
              <w:t>Aún no se ha iniciado</w:t>
            </w:r>
            <w:r w:rsidRPr="002D0A6A">
              <w:rPr>
                <w:color w:val="808080"/>
                <w:sz w:val="16"/>
                <w:szCs w:val="16"/>
                <w:lang w:bidi="th-TH"/>
              </w:rPr>
              <w:t>.</w:t>
            </w:r>
          </w:p>
        </w:tc>
        <w:tc>
          <w:tcPr>
            <w:tcW w:w="669" w:type="pct"/>
            <w:shd w:val="clear" w:color="auto" w:fill="auto"/>
            <w:tcMar>
              <w:top w:w="110" w:type="dxa"/>
            </w:tcMar>
          </w:tcPr>
          <w:p w:rsidR="00FA423E" w:rsidRPr="002D0A6A" w:rsidRDefault="00FA423E" w:rsidP="00DC1333">
            <w:pPr>
              <w:pStyle w:val="Default"/>
              <w:rPr>
                <w:color w:val="808080"/>
                <w:sz w:val="16"/>
                <w:szCs w:val="16"/>
                <w:lang w:val="es-ES" w:bidi="th-TH"/>
              </w:rPr>
            </w:pPr>
            <w:r w:rsidRPr="002D0A6A">
              <w:rPr>
                <w:color w:val="auto"/>
                <w:sz w:val="16"/>
                <w:szCs w:val="16"/>
                <w:lang w:val="es-ES" w:bidi="th-TH"/>
              </w:rPr>
              <w:t>Cuatro gobiernos y cinco OGC.</w:t>
            </w:r>
          </w:p>
        </w:tc>
        <w:tc>
          <w:tcPr>
            <w:tcW w:w="1198" w:type="pct"/>
            <w:gridSpan w:val="3"/>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Siete gobiernos (Chad, Rep. Dem. del Congo, Malasia, Malí, Nepal, Filipinas y Uganda) y 43 organismos de gestión colectiva</w:t>
            </w:r>
          </w:p>
        </w:tc>
        <w:tc>
          <w:tcPr>
            <w:tcW w:w="664" w:type="pct"/>
            <w:gridSpan w:val="3"/>
            <w:shd w:val="clear" w:color="auto" w:fill="auto"/>
            <w:tcMar>
              <w:top w:w="110" w:type="dxa"/>
            </w:tcMar>
          </w:tcPr>
          <w:p w:rsidR="00FA423E" w:rsidRPr="002D0A6A" w:rsidRDefault="00FA423E" w:rsidP="00DC1333">
            <w:pPr>
              <w:keepNext/>
              <w:keepLines/>
              <w:ind w:left="-111"/>
              <w:jc w:val="center"/>
              <w:rPr>
                <w:bCs/>
                <w:color w:val="00B050"/>
                <w:sz w:val="16"/>
                <w:szCs w:val="16"/>
              </w:rPr>
            </w:pPr>
            <w:r w:rsidRPr="002D0A6A">
              <w:rPr>
                <w:b/>
                <w:bCs/>
                <w:color w:val="00B050"/>
                <w:sz w:val="16"/>
                <w:szCs w:val="16"/>
              </w:rPr>
              <w:t>Plenamente logrado</w:t>
            </w:r>
          </w:p>
        </w:tc>
      </w:tr>
      <w:tr w:rsidR="00FA423E" w:rsidRPr="002D0A6A" w:rsidTr="00DC1333">
        <w:tc>
          <w:tcPr>
            <w:tcW w:w="1121" w:type="pct"/>
            <w:tcBorders>
              <w:bottom w:val="nil"/>
            </w:tcBorders>
            <w:shd w:val="clear" w:color="auto" w:fill="auto"/>
          </w:tcPr>
          <w:p w:rsidR="00FA423E" w:rsidRPr="002D0A6A" w:rsidRDefault="00FA423E" w:rsidP="00DC1333">
            <w:pPr>
              <w:rPr>
                <w:sz w:val="16"/>
                <w:szCs w:val="16"/>
                <w:lang w:bidi="th-TH"/>
              </w:rPr>
            </w:pPr>
            <w:r w:rsidRPr="002D0A6A">
              <w:rPr>
                <w:sz w:val="16"/>
                <w:szCs w:val="16"/>
                <w:lang w:bidi="th-TH"/>
              </w:rPr>
              <w:t>Número de OGC en países en desarrollo y PMA que participan en redes regionales y mundiales facilitadas por la OMPI.</w:t>
            </w:r>
          </w:p>
        </w:tc>
        <w:tc>
          <w:tcPr>
            <w:tcW w:w="1348" w:type="pct"/>
            <w:gridSpan w:val="4"/>
            <w:tcBorders>
              <w:bottom w:val="nil"/>
            </w:tcBorders>
            <w:shd w:val="clear" w:color="auto" w:fill="auto"/>
          </w:tcPr>
          <w:p w:rsidR="00FA423E" w:rsidRPr="002D0A6A" w:rsidRDefault="00FA423E" w:rsidP="00DC1333">
            <w:pPr>
              <w:autoSpaceDE w:val="0"/>
              <w:autoSpaceDN w:val="0"/>
              <w:adjustRightInd w:val="0"/>
              <w:rPr>
                <w:sz w:val="16"/>
                <w:szCs w:val="16"/>
              </w:rPr>
            </w:pPr>
            <w:r w:rsidRPr="002D0A6A">
              <w:rPr>
                <w:sz w:val="16"/>
                <w:szCs w:val="16"/>
                <w:lang w:bidi="th-TH"/>
              </w:rPr>
              <w:t>0 (cero)</w:t>
            </w:r>
          </w:p>
        </w:tc>
        <w:tc>
          <w:tcPr>
            <w:tcW w:w="669" w:type="pct"/>
            <w:tcBorders>
              <w:bottom w:val="nil"/>
            </w:tcBorders>
            <w:shd w:val="clear" w:color="auto" w:fill="auto"/>
            <w:tcMar>
              <w:top w:w="110" w:type="dxa"/>
            </w:tcMar>
          </w:tcPr>
          <w:p w:rsidR="00FA423E" w:rsidRPr="002D0A6A" w:rsidRDefault="00FA423E" w:rsidP="00DC1333">
            <w:pPr>
              <w:rPr>
                <w:sz w:val="16"/>
                <w:szCs w:val="16"/>
                <w:lang w:bidi="th-TH"/>
              </w:rPr>
            </w:pPr>
            <w:r w:rsidRPr="002D0A6A">
              <w:rPr>
                <w:rFonts w:eastAsia="Batang"/>
                <w:sz w:val="16"/>
                <w:szCs w:val="16"/>
                <w:lang w:eastAsia="ja-JP"/>
              </w:rPr>
              <w:t>10</w:t>
            </w:r>
          </w:p>
        </w:tc>
        <w:tc>
          <w:tcPr>
            <w:tcW w:w="1198" w:type="pct"/>
            <w:gridSpan w:val="3"/>
            <w:tcBorders>
              <w:bottom w:val="nil"/>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13</w:t>
            </w:r>
          </w:p>
        </w:tc>
        <w:tc>
          <w:tcPr>
            <w:tcW w:w="664" w:type="pct"/>
            <w:gridSpan w:val="3"/>
            <w:tcBorders>
              <w:bottom w:val="nil"/>
            </w:tcBorders>
            <w:shd w:val="clear" w:color="auto" w:fill="auto"/>
          </w:tcPr>
          <w:p w:rsidR="00FA423E" w:rsidRPr="002D0A6A" w:rsidRDefault="00FA423E" w:rsidP="00DC1333">
            <w:pPr>
              <w:keepNext/>
              <w:keepLines/>
              <w:ind w:left="-111"/>
              <w:jc w:val="center"/>
              <w:rPr>
                <w:bCs/>
                <w:color w:val="00B050"/>
                <w:sz w:val="16"/>
                <w:szCs w:val="16"/>
              </w:rPr>
            </w:pPr>
            <w:r w:rsidRPr="002D0A6A">
              <w:rPr>
                <w:b/>
                <w:bCs/>
                <w:color w:val="00B050"/>
                <w:sz w:val="16"/>
                <w:szCs w:val="16"/>
              </w:rPr>
              <w:t>Plenamente logrado</w:t>
            </w:r>
          </w:p>
        </w:tc>
      </w:tr>
      <w:tr w:rsidR="00FA423E" w:rsidRPr="002D0A6A" w:rsidTr="00DC1333">
        <w:tc>
          <w:tcPr>
            <w:tcW w:w="1121" w:type="pct"/>
            <w:tcBorders>
              <w:top w:val="nil"/>
              <w:bottom w:val="single" w:sz="4" w:space="0" w:color="auto"/>
            </w:tcBorders>
            <w:shd w:val="clear" w:color="auto" w:fill="auto"/>
          </w:tcPr>
          <w:p w:rsidR="00FA423E" w:rsidRPr="002D0A6A" w:rsidRDefault="00FA423E" w:rsidP="00DC1333">
            <w:pPr>
              <w:rPr>
                <w:sz w:val="16"/>
                <w:szCs w:val="16"/>
                <w:lang w:bidi="th-TH"/>
              </w:rPr>
            </w:pPr>
            <w:r w:rsidRPr="002D0A6A">
              <w:rPr>
                <w:sz w:val="16"/>
                <w:szCs w:val="16"/>
                <w:lang w:bidi="th-TH"/>
              </w:rPr>
              <w:t>Porcentaje de gobiernos que informan favorablemente acerca de la eficacia y la gobernanza de las oficinas de derecho de autor y otras instituciones en el país.</w:t>
            </w:r>
          </w:p>
        </w:tc>
        <w:tc>
          <w:tcPr>
            <w:tcW w:w="1348" w:type="pct"/>
            <w:gridSpan w:val="4"/>
            <w:tcBorders>
              <w:top w:val="nil"/>
              <w:bottom w:val="single" w:sz="4" w:space="0" w:color="auto"/>
            </w:tcBorders>
            <w:shd w:val="clear" w:color="auto" w:fill="auto"/>
          </w:tcPr>
          <w:p w:rsidR="00FA423E" w:rsidRPr="002D0A6A" w:rsidRDefault="00FA423E" w:rsidP="00DC1333">
            <w:pPr>
              <w:rPr>
                <w:i/>
                <w:color w:val="002060"/>
                <w:sz w:val="16"/>
                <w:szCs w:val="16"/>
                <w:lang w:bidi="th-TH"/>
              </w:rPr>
            </w:pPr>
            <w:r w:rsidRPr="002D0A6A">
              <w:rPr>
                <w:i/>
                <w:color w:val="002060"/>
                <w:sz w:val="16"/>
                <w:szCs w:val="16"/>
                <w:lang w:bidi="th-TH"/>
              </w:rPr>
              <w:t>Referencia actualizada a fines de 2013</w:t>
            </w:r>
            <w:proofErr w:type="gramStart"/>
            <w:r w:rsidRPr="002D0A6A">
              <w:rPr>
                <w:i/>
                <w:color w:val="002060"/>
                <w:sz w:val="16"/>
                <w:szCs w:val="16"/>
                <w:lang w:bidi="th-TH"/>
              </w:rPr>
              <w:t xml:space="preserve">:  </w:t>
            </w:r>
            <w:r w:rsidRPr="002D0A6A">
              <w:rPr>
                <w:color w:val="002060"/>
                <w:sz w:val="16"/>
                <w:szCs w:val="16"/>
                <w:lang w:bidi="th-TH"/>
              </w:rPr>
              <w:t>Más</w:t>
            </w:r>
            <w:proofErr w:type="gramEnd"/>
            <w:r w:rsidRPr="002D0A6A">
              <w:rPr>
                <w:color w:val="002060"/>
                <w:sz w:val="16"/>
                <w:szCs w:val="16"/>
                <w:lang w:bidi="th-TH"/>
              </w:rPr>
              <w:t xml:space="preserve"> del 70% de los gobiernos que recibieron asistencia informaron favorablemente respecto de la mejora de la eficacia y gobernanza de las instituciones pertinentes en el país después de la formación.</w:t>
            </w:r>
          </w:p>
          <w:p w:rsidR="00FA423E" w:rsidRPr="002D0A6A" w:rsidRDefault="00FA423E" w:rsidP="00DC1333">
            <w:pPr>
              <w:rPr>
                <w:i/>
                <w:sz w:val="6"/>
                <w:szCs w:val="6"/>
                <w:lang w:bidi="th-TH"/>
              </w:rPr>
            </w:pPr>
          </w:p>
          <w:p w:rsidR="00FA423E" w:rsidRDefault="00FA423E" w:rsidP="00DC1333">
            <w:pPr>
              <w:pStyle w:val="Default"/>
              <w:rPr>
                <w:sz w:val="16"/>
                <w:szCs w:val="16"/>
                <w:lang w:val="es-ES" w:bidi="th-TH"/>
              </w:rPr>
            </w:pPr>
            <w:r w:rsidRPr="002D0A6A">
              <w:rPr>
                <w:i/>
                <w:sz w:val="16"/>
                <w:szCs w:val="16"/>
                <w:lang w:val="es-ES" w:bidi="th-TH"/>
              </w:rPr>
              <w:t xml:space="preserve">Referencia original en el presupuesto de 2014/15:  </w:t>
            </w:r>
            <w:r>
              <w:rPr>
                <w:sz w:val="16"/>
                <w:szCs w:val="16"/>
                <w:lang w:val="es-ES" w:bidi="th-TH"/>
              </w:rPr>
              <w:t>Índice de satisfacción del 80%</w:t>
            </w:r>
          </w:p>
          <w:p w:rsidR="00FA423E" w:rsidRPr="002D0A6A" w:rsidRDefault="00FA423E" w:rsidP="00DC1333">
            <w:pPr>
              <w:pStyle w:val="Default"/>
              <w:rPr>
                <w:i/>
                <w:color w:val="002060"/>
                <w:sz w:val="16"/>
                <w:szCs w:val="16"/>
                <w:lang w:val="es-ES"/>
              </w:rPr>
            </w:pPr>
          </w:p>
        </w:tc>
        <w:tc>
          <w:tcPr>
            <w:tcW w:w="669" w:type="pct"/>
            <w:tcBorders>
              <w:top w:val="nil"/>
              <w:bottom w:val="single" w:sz="4" w:space="0" w:color="auto"/>
            </w:tcBorders>
            <w:shd w:val="clear" w:color="auto" w:fill="auto"/>
            <w:tcMar>
              <w:top w:w="110" w:type="dxa"/>
            </w:tcMar>
          </w:tcPr>
          <w:p w:rsidR="00FA423E" w:rsidRPr="002D0A6A" w:rsidRDefault="00FA423E" w:rsidP="00DC1333">
            <w:pPr>
              <w:rPr>
                <w:rFonts w:eastAsia="Batang"/>
                <w:sz w:val="16"/>
                <w:szCs w:val="16"/>
                <w:lang w:eastAsia="ja-JP"/>
              </w:rPr>
            </w:pPr>
            <w:r w:rsidRPr="002D0A6A">
              <w:rPr>
                <w:rFonts w:eastAsia="Batang"/>
                <w:sz w:val="16"/>
                <w:szCs w:val="16"/>
                <w:lang w:eastAsia="ja-JP"/>
              </w:rPr>
              <w:t>El 80% de los países que recibieron asistencia técnica</w:t>
            </w:r>
            <w:r w:rsidRPr="002D0A6A">
              <w:rPr>
                <w:rFonts w:eastAsia="Batang"/>
                <w:color w:val="FF00FF"/>
                <w:sz w:val="16"/>
                <w:szCs w:val="16"/>
                <w:lang w:eastAsia="ja-JP"/>
              </w:rPr>
              <w:t>.</w:t>
            </w:r>
          </w:p>
        </w:tc>
        <w:tc>
          <w:tcPr>
            <w:tcW w:w="1198" w:type="pct"/>
            <w:gridSpan w:val="3"/>
            <w:tcBorders>
              <w:top w:val="nil"/>
              <w:bottom w:val="single" w:sz="4" w:space="0" w:color="auto"/>
            </w:tcBorders>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80% de los países que recibieron asistencia técnica</w:t>
            </w:r>
          </w:p>
        </w:tc>
        <w:tc>
          <w:tcPr>
            <w:tcW w:w="664" w:type="pct"/>
            <w:gridSpan w:val="3"/>
            <w:tcBorders>
              <w:top w:val="nil"/>
              <w:bottom w:val="single" w:sz="4" w:space="0" w:color="auto"/>
            </w:tcBorders>
            <w:shd w:val="clear" w:color="auto" w:fill="auto"/>
          </w:tcPr>
          <w:p w:rsidR="00FA423E" w:rsidRPr="002D0A6A" w:rsidRDefault="00FA423E" w:rsidP="00DC1333">
            <w:pPr>
              <w:keepNext/>
              <w:keepLines/>
              <w:ind w:left="-111"/>
              <w:jc w:val="center"/>
              <w:rPr>
                <w:b/>
                <w:bCs/>
                <w:color w:val="00B050"/>
                <w:sz w:val="16"/>
                <w:szCs w:val="16"/>
              </w:rPr>
            </w:pPr>
            <w:r w:rsidRPr="002D0A6A">
              <w:rPr>
                <w:b/>
                <w:bCs/>
                <w:color w:val="00B050"/>
                <w:sz w:val="16"/>
                <w:szCs w:val="16"/>
              </w:rPr>
              <w:t>Plenamente logrado</w:t>
            </w:r>
          </w:p>
        </w:tc>
      </w:tr>
      <w:tr w:rsidR="00FA423E" w:rsidRPr="002D0A6A" w:rsidTr="00DC1333">
        <w:trPr>
          <w:trHeight w:val="430"/>
        </w:trPr>
        <w:tc>
          <w:tcPr>
            <w:tcW w:w="5000" w:type="pct"/>
            <w:gridSpan w:val="12"/>
            <w:tcBorders>
              <w:top w:val="single" w:sz="4" w:space="0" w:color="auto"/>
              <w:bottom w:val="single" w:sz="4" w:space="0" w:color="auto"/>
            </w:tcBorders>
            <w:shd w:val="clear" w:color="auto" w:fill="C6D9F1" w:themeFill="text2" w:themeFillTint="33"/>
            <w:vAlign w:val="center"/>
          </w:tcPr>
          <w:p w:rsidR="00FA423E" w:rsidRPr="002D0A6A" w:rsidRDefault="00FA423E" w:rsidP="00DC1333">
            <w:pPr>
              <w:ind w:left="2019" w:hanging="2019"/>
              <w:rPr>
                <w:b/>
                <w:bCs/>
                <w:sz w:val="16"/>
                <w:szCs w:val="16"/>
              </w:rPr>
            </w:pPr>
            <w:r w:rsidRPr="002D0A6A">
              <w:rPr>
                <w:b/>
                <w:bCs/>
                <w:sz w:val="16"/>
                <w:szCs w:val="16"/>
              </w:rPr>
              <w:t>Resultado previsto:</w:t>
            </w:r>
            <w:r w:rsidRPr="002D0A6A">
              <w:rPr>
                <w:bCs/>
                <w:sz w:val="16"/>
                <w:szCs w:val="16"/>
              </w:rPr>
              <w:tab/>
              <w:t>V.2 Ampliación y mejora del uso de los análisis económicos de la OMPI en la formulación de políticas</w:t>
            </w:r>
          </w:p>
        </w:tc>
      </w:tr>
      <w:tr w:rsidR="00FA423E" w:rsidRPr="002D0A6A" w:rsidTr="00DC1333">
        <w:tc>
          <w:tcPr>
            <w:tcW w:w="1201" w:type="pct"/>
            <w:gridSpan w:val="3"/>
            <w:tcBorders>
              <w:top w:val="single" w:sz="4" w:space="0" w:color="auto"/>
            </w:tcBorders>
            <w:shd w:val="clear" w:color="auto" w:fill="auto"/>
            <w:vAlign w:val="center"/>
          </w:tcPr>
          <w:p w:rsidR="00FA423E" w:rsidRPr="002D0A6A" w:rsidRDefault="00FA423E" w:rsidP="00DC1333">
            <w:pPr>
              <w:rPr>
                <w:sz w:val="16"/>
                <w:szCs w:val="16"/>
              </w:rPr>
            </w:pPr>
            <w:r w:rsidRPr="002D0A6A">
              <w:rPr>
                <w:b/>
                <w:sz w:val="16"/>
                <w:szCs w:val="16"/>
              </w:rPr>
              <w:t>Indicadores de rendimiento</w:t>
            </w:r>
          </w:p>
        </w:tc>
        <w:tc>
          <w:tcPr>
            <w:tcW w:w="1268" w:type="pct"/>
            <w:gridSpan w:val="2"/>
            <w:tcBorders>
              <w:top w:val="single" w:sz="4" w:space="0" w:color="auto"/>
            </w:tcBorders>
            <w:shd w:val="clear" w:color="auto" w:fill="auto"/>
            <w:vAlign w:val="center"/>
          </w:tcPr>
          <w:p w:rsidR="00FA423E" w:rsidRPr="002D0A6A" w:rsidRDefault="00FA423E" w:rsidP="00DC1333">
            <w:pPr>
              <w:keepNext/>
              <w:keepLines/>
              <w:rPr>
                <w:b/>
                <w:bCs/>
                <w:sz w:val="16"/>
                <w:szCs w:val="16"/>
              </w:rPr>
            </w:pPr>
            <w:r w:rsidRPr="002D0A6A">
              <w:rPr>
                <w:b/>
                <w:bCs/>
                <w:sz w:val="16"/>
                <w:szCs w:val="16"/>
              </w:rPr>
              <w:t>Referencia</w:t>
            </w:r>
          </w:p>
        </w:tc>
        <w:tc>
          <w:tcPr>
            <w:tcW w:w="821" w:type="pct"/>
            <w:gridSpan w:val="2"/>
            <w:tcBorders>
              <w:top w:val="single" w:sz="4" w:space="0" w:color="auto"/>
            </w:tcBorders>
            <w:shd w:val="clear" w:color="auto" w:fill="auto"/>
            <w:tcMar>
              <w:top w:w="110" w:type="dxa"/>
            </w:tcMar>
            <w:vAlign w:val="center"/>
          </w:tcPr>
          <w:p w:rsidR="00FA423E" w:rsidRPr="002D0A6A" w:rsidRDefault="00FA423E" w:rsidP="00DC1333">
            <w:pPr>
              <w:keepNext/>
              <w:keepLines/>
              <w:rPr>
                <w:b/>
                <w:sz w:val="16"/>
                <w:szCs w:val="16"/>
              </w:rPr>
            </w:pPr>
            <w:r w:rsidRPr="002D0A6A">
              <w:rPr>
                <w:b/>
                <w:sz w:val="16"/>
                <w:szCs w:val="16"/>
              </w:rPr>
              <w:t>Objetivos</w:t>
            </w:r>
          </w:p>
        </w:tc>
        <w:tc>
          <w:tcPr>
            <w:tcW w:w="1117" w:type="pct"/>
            <w:gridSpan w:val="3"/>
            <w:tcBorders>
              <w:top w:val="single" w:sz="4" w:space="0" w:color="auto"/>
            </w:tcBorders>
            <w:shd w:val="clear" w:color="auto" w:fill="FFFFFF"/>
            <w:tcMar>
              <w:top w:w="110" w:type="dxa"/>
            </w:tcMar>
            <w:vAlign w:val="center"/>
          </w:tcPr>
          <w:p w:rsidR="00FA423E" w:rsidRPr="002D0A6A" w:rsidRDefault="00FA423E" w:rsidP="00DC1333">
            <w:pPr>
              <w:keepNext/>
              <w:keepLines/>
              <w:rPr>
                <w:sz w:val="16"/>
                <w:szCs w:val="16"/>
              </w:rPr>
            </w:pPr>
            <w:r w:rsidRPr="002D0A6A">
              <w:rPr>
                <w:b/>
                <w:sz w:val="16"/>
                <w:szCs w:val="16"/>
              </w:rPr>
              <w:t>Datos sobre el rendimiento</w:t>
            </w:r>
          </w:p>
        </w:tc>
        <w:tc>
          <w:tcPr>
            <w:tcW w:w="593" w:type="pct"/>
            <w:gridSpan w:val="2"/>
            <w:tcBorders>
              <w:top w:val="single" w:sz="4" w:space="0" w:color="auto"/>
            </w:tcBorders>
            <w:shd w:val="clear" w:color="auto" w:fill="auto"/>
            <w:tcMar>
              <w:top w:w="110" w:type="dxa"/>
            </w:tcMar>
            <w:vAlign w:val="center"/>
          </w:tcPr>
          <w:p w:rsidR="00FA423E" w:rsidRPr="002D0A6A" w:rsidRDefault="00FA423E" w:rsidP="00DC1333">
            <w:pPr>
              <w:keepNext/>
              <w:keepLines/>
              <w:ind w:left="-111"/>
              <w:jc w:val="center"/>
              <w:rPr>
                <w:b/>
                <w:bCs/>
                <w:sz w:val="16"/>
                <w:szCs w:val="16"/>
              </w:rPr>
            </w:pPr>
            <w:r w:rsidRPr="002D0A6A">
              <w:rPr>
                <w:b/>
                <w:bCs/>
                <w:sz w:val="16"/>
                <w:szCs w:val="16"/>
              </w:rPr>
              <w:t>Clave de colores</w:t>
            </w:r>
          </w:p>
        </w:tc>
      </w:tr>
      <w:tr w:rsidR="00FA423E" w:rsidRPr="002D0A6A" w:rsidTr="00DC1333">
        <w:tc>
          <w:tcPr>
            <w:tcW w:w="1201" w:type="pct"/>
            <w:gridSpan w:val="3"/>
            <w:shd w:val="clear" w:color="auto" w:fill="auto"/>
          </w:tcPr>
          <w:p w:rsidR="00FA423E" w:rsidRPr="002D0A6A" w:rsidRDefault="00FA423E" w:rsidP="00DC1333">
            <w:pPr>
              <w:rPr>
                <w:sz w:val="16"/>
                <w:szCs w:val="16"/>
                <w:lang w:bidi="th-TH"/>
              </w:rPr>
            </w:pPr>
            <w:r w:rsidRPr="002D0A6A">
              <w:rPr>
                <w:sz w:val="16"/>
                <w:szCs w:val="16"/>
                <w:lang w:bidi="th-TH"/>
              </w:rPr>
              <w:t>Uso de estudios económicos de la OMPI sobre derecho de autor en la toma de decisiones de gobiernos y ONG.</w:t>
            </w:r>
          </w:p>
        </w:tc>
        <w:tc>
          <w:tcPr>
            <w:tcW w:w="1268" w:type="pct"/>
            <w:gridSpan w:val="2"/>
            <w:shd w:val="clear" w:color="auto" w:fill="auto"/>
          </w:tcPr>
          <w:p w:rsidR="00FA423E" w:rsidRPr="002D0A6A" w:rsidRDefault="00FA423E" w:rsidP="00DC1333">
            <w:pPr>
              <w:keepNext/>
              <w:keepLines/>
              <w:rPr>
                <w:color w:val="002060"/>
                <w:sz w:val="16"/>
                <w:szCs w:val="16"/>
                <w:lang w:bidi="th-TH"/>
              </w:rPr>
            </w:pPr>
            <w:r w:rsidRPr="002D0A6A">
              <w:rPr>
                <w:i/>
                <w:color w:val="002060"/>
                <w:sz w:val="16"/>
                <w:szCs w:val="16"/>
                <w:lang w:bidi="th-TH"/>
              </w:rPr>
              <w:t>Referencia actualizada a fines de 2013</w:t>
            </w:r>
            <w:proofErr w:type="gramStart"/>
            <w:r w:rsidRPr="002D0A6A">
              <w:rPr>
                <w:i/>
                <w:color w:val="002060"/>
                <w:sz w:val="16"/>
                <w:szCs w:val="16"/>
                <w:lang w:bidi="th-TH"/>
              </w:rPr>
              <w:t>:</w:t>
            </w:r>
            <w:r w:rsidRPr="002D0A6A">
              <w:rPr>
                <w:color w:val="002060"/>
                <w:sz w:val="16"/>
                <w:szCs w:val="16"/>
                <w:lang w:bidi="th-TH"/>
              </w:rPr>
              <w:t xml:space="preserve">  10</w:t>
            </w:r>
            <w:proofErr w:type="gramEnd"/>
            <w:r w:rsidRPr="002D0A6A">
              <w:rPr>
                <w:color w:val="002060"/>
                <w:sz w:val="16"/>
                <w:szCs w:val="16"/>
                <w:lang w:bidi="th-TH"/>
              </w:rPr>
              <w:t xml:space="preserve"> países en 2012/13:  Bulgaria, China, Colombia, Croacia, Jamaica, Kenya, Malasia, la Rep. Unida de Tanzanía, Tailandia, y Trinidad y Tabago.</w:t>
            </w:r>
          </w:p>
          <w:p w:rsidR="00FA423E" w:rsidRPr="002D0A6A" w:rsidRDefault="00FA423E" w:rsidP="00DC1333">
            <w:pPr>
              <w:keepNext/>
              <w:keepLines/>
              <w:rPr>
                <w:sz w:val="8"/>
                <w:szCs w:val="8"/>
                <w:lang w:bidi="th-TH"/>
              </w:rPr>
            </w:pPr>
          </w:p>
          <w:p w:rsidR="00FA423E" w:rsidRPr="002D0A6A" w:rsidRDefault="00FA423E" w:rsidP="00DC1333">
            <w:pPr>
              <w:keepNext/>
              <w:keepLines/>
              <w:rPr>
                <w:sz w:val="16"/>
                <w:szCs w:val="16"/>
                <w:lang w:bidi="th-TH"/>
              </w:rPr>
            </w:pPr>
            <w:r w:rsidRPr="002D0A6A">
              <w:rPr>
                <w:i/>
                <w:sz w:val="16"/>
                <w:szCs w:val="16"/>
                <w:lang w:bidi="th-TH"/>
              </w:rPr>
              <w:t>Referencia original en el presupuesto de 2014/15</w:t>
            </w:r>
            <w:r w:rsidRPr="002D0A6A">
              <w:rPr>
                <w:sz w:val="16"/>
                <w:szCs w:val="16"/>
                <w:lang w:bidi="th-TH"/>
              </w:rPr>
              <w:t>:  ocho gobiernos u ONG que utilizan los estudios de la OMPI</w:t>
            </w:r>
          </w:p>
          <w:p w:rsidR="00FA423E" w:rsidRPr="002D0A6A" w:rsidRDefault="00FA423E" w:rsidP="00DC1333">
            <w:pPr>
              <w:keepNext/>
              <w:keepLines/>
              <w:rPr>
                <w:sz w:val="16"/>
                <w:szCs w:val="16"/>
                <w:lang w:bidi="th-TH"/>
              </w:rPr>
            </w:pPr>
          </w:p>
        </w:tc>
        <w:tc>
          <w:tcPr>
            <w:tcW w:w="821" w:type="pct"/>
            <w:gridSpan w:val="2"/>
            <w:shd w:val="clear" w:color="auto" w:fill="auto"/>
            <w:tcMar>
              <w:top w:w="110" w:type="dxa"/>
            </w:tcMar>
          </w:tcPr>
          <w:p w:rsidR="00FA423E" w:rsidRPr="002D0A6A" w:rsidRDefault="00FA423E" w:rsidP="00DC1333">
            <w:pPr>
              <w:keepNext/>
              <w:keepLines/>
              <w:rPr>
                <w:sz w:val="16"/>
                <w:szCs w:val="16"/>
                <w:lang w:bidi="th-TH"/>
              </w:rPr>
            </w:pPr>
            <w:r w:rsidRPr="002D0A6A">
              <w:rPr>
                <w:sz w:val="16"/>
                <w:szCs w:val="16"/>
                <w:lang w:bidi="th-TH"/>
              </w:rPr>
              <w:t>12 gobiernos u ONG que utilizan los estudios de la OMPI (en total).</w:t>
            </w:r>
          </w:p>
        </w:tc>
        <w:tc>
          <w:tcPr>
            <w:tcW w:w="1046" w:type="pct"/>
            <w:gridSpan w:val="2"/>
            <w:shd w:val="clear" w:color="auto" w:fill="FFFFFF"/>
            <w:tcMar>
              <w:top w:w="110" w:type="dxa"/>
            </w:tcMar>
          </w:tcPr>
          <w:p w:rsidR="00FA423E" w:rsidRPr="002D0A6A" w:rsidRDefault="00FA423E" w:rsidP="00DC1333">
            <w:pPr>
              <w:keepNext/>
              <w:keepLines/>
              <w:rPr>
                <w:sz w:val="16"/>
                <w:szCs w:val="16"/>
                <w:lang w:bidi="th-TH"/>
              </w:rPr>
            </w:pPr>
            <w:r w:rsidRPr="002D0A6A">
              <w:rPr>
                <w:sz w:val="16"/>
                <w:szCs w:val="16"/>
                <w:lang w:bidi="th-TH"/>
              </w:rPr>
              <w:t>Otros 13 países y ONG utilizan los estudios de la OMPI (Estados Unidos de América, Filipinas, Finlandia, Indonesia, Letonia, Lituania, Malawi, Países Bajos, República de Corea, República de Moldova, Serbia, CERLALC y Society for Economic Research on Copyright Issues)</w:t>
            </w:r>
          </w:p>
          <w:p w:rsidR="00FA423E" w:rsidRPr="002D0A6A" w:rsidRDefault="00FA423E" w:rsidP="00DC1333">
            <w:pPr>
              <w:keepNext/>
              <w:keepLines/>
              <w:rPr>
                <w:sz w:val="16"/>
                <w:szCs w:val="16"/>
                <w:lang w:bidi="th-TH"/>
              </w:rPr>
            </w:pPr>
          </w:p>
          <w:p w:rsidR="00FA423E" w:rsidRPr="002D0A6A" w:rsidRDefault="00FA423E" w:rsidP="00DC1333">
            <w:pPr>
              <w:keepNext/>
              <w:keepLines/>
              <w:rPr>
                <w:sz w:val="16"/>
                <w:szCs w:val="16"/>
                <w:lang w:bidi="th-TH"/>
              </w:rPr>
            </w:pPr>
          </w:p>
          <w:p w:rsidR="00FA423E" w:rsidRPr="002D0A6A" w:rsidRDefault="00FA423E" w:rsidP="00DC1333">
            <w:pPr>
              <w:keepNext/>
              <w:keepLines/>
              <w:rPr>
                <w:sz w:val="16"/>
                <w:szCs w:val="16"/>
                <w:lang w:bidi="th-TH"/>
              </w:rPr>
            </w:pPr>
            <w:r w:rsidRPr="002D0A6A">
              <w:rPr>
                <w:sz w:val="16"/>
                <w:szCs w:val="16"/>
                <w:lang w:bidi="th-TH"/>
              </w:rPr>
              <w:t>23 países y ONG (en total).</w:t>
            </w:r>
          </w:p>
          <w:p w:rsidR="00FA423E" w:rsidRPr="002D0A6A" w:rsidRDefault="00FA423E" w:rsidP="00DC1333">
            <w:pPr>
              <w:keepNext/>
              <w:keepLines/>
              <w:rPr>
                <w:sz w:val="16"/>
                <w:szCs w:val="16"/>
                <w:lang w:bidi="th-TH"/>
              </w:rPr>
            </w:pPr>
          </w:p>
          <w:p w:rsidR="00FA423E" w:rsidRPr="002D0A6A" w:rsidRDefault="00FA423E" w:rsidP="00DC1333">
            <w:pPr>
              <w:keepNext/>
              <w:keepLines/>
              <w:rPr>
                <w:sz w:val="16"/>
                <w:szCs w:val="16"/>
                <w:lang w:bidi="th-TH"/>
              </w:rPr>
            </w:pPr>
          </w:p>
        </w:tc>
        <w:tc>
          <w:tcPr>
            <w:tcW w:w="664" w:type="pct"/>
            <w:gridSpan w:val="3"/>
            <w:shd w:val="clear" w:color="auto" w:fill="auto"/>
            <w:tcMar>
              <w:top w:w="110" w:type="dxa"/>
            </w:tcMar>
          </w:tcPr>
          <w:p w:rsidR="00FA423E" w:rsidRPr="002D0A6A" w:rsidRDefault="00FA423E" w:rsidP="00DC1333">
            <w:pPr>
              <w:keepNext/>
              <w:keepLines/>
              <w:ind w:left="-111"/>
              <w:jc w:val="center"/>
              <w:rPr>
                <w:b/>
                <w:color w:val="00B050"/>
                <w:sz w:val="16"/>
                <w:szCs w:val="16"/>
              </w:rPr>
            </w:pPr>
            <w:r w:rsidRPr="002D0A6A">
              <w:rPr>
                <w:b/>
                <w:bCs/>
                <w:color w:val="00B050"/>
                <w:sz w:val="16"/>
                <w:szCs w:val="16"/>
              </w:rPr>
              <w:t>Plenamente logrado</w:t>
            </w:r>
          </w:p>
        </w:tc>
      </w:tr>
      <w:tr w:rsidR="00FA423E" w:rsidRPr="002D0A6A" w:rsidTr="00DC1333">
        <w:tc>
          <w:tcPr>
            <w:tcW w:w="1201" w:type="pct"/>
            <w:gridSpan w:val="3"/>
            <w:shd w:val="clear" w:color="auto" w:fill="auto"/>
          </w:tcPr>
          <w:p w:rsidR="00FA423E" w:rsidRPr="002D0A6A" w:rsidRDefault="00FA423E" w:rsidP="00DC1333">
            <w:pPr>
              <w:rPr>
                <w:sz w:val="16"/>
                <w:szCs w:val="16"/>
                <w:lang w:bidi="th-TH"/>
              </w:rPr>
            </w:pPr>
            <w:r w:rsidRPr="002D0A6A">
              <w:rPr>
                <w:sz w:val="16"/>
                <w:szCs w:val="16"/>
                <w:lang w:bidi="th-TH"/>
              </w:rPr>
              <w:t xml:space="preserve">Iniciativas nacionales para elaborar nuevas estadísticas sobre las industrias creativas teniendo en cuenta la labor de la OMPI en ese ámbito. </w:t>
            </w:r>
          </w:p>
        </w:tc>
        <w:tc>
          <w:tcPr>
            <w:tcW w:w="1268" w:type="pct"/>
            <w:gridSpan w:val="2"/>
            <w:shd w:val="clear" w:color="auto" w:fill="auto"/>
          </w:tcPr>
          <w:p w:rsidR="00FA423E" w:rsidRPr="002D0A6A" w:rsidRDefault="00FA423E" w:rsidP="00DC1333">
            <w:pPr>
              <w:rPr>
                <w:sz w:val="16"/>
                <w:szCs w:val="16"/>
                <w:lang w:bidi="th-TH"/>
              </w:rPr>
            </w:pPr>
            <w:r w:rsidRPr="002D0A6A">
              <w:rPr>
                <w:sz w:val="16"/>
                <w:szCs w:val="16"/>
                <w:lang w:bidi="th-TH"/>
              </w:rPr>
              <w:t>10 iniciativas nacionales (Bulgaria, China, Colombia, Croacia, Jamaica, Kenya, Malasia, Tailandia, Trinidad y Tabago, R. U. de Tanzanía)</w:t>
            </w:r>
          </w:p>
          <w:p w:rsidR="00FA423E" w:rsidRPr="002D0A6A" w:rsidRDefault="00FA423E" w:rsidP="00DC1333">
            <w:pPr>
              <w:rPr>
                <w:sz w:val="16"/>
                <w:szCs w:val="16"/>
                <w:lang w:bidi="th-TH"/>
              </w:rPr>
            </w:pPr>
          </w:p>
        </w:tc>
        <w:tc>
          <w:tcPr>
            <w:tcW w:w="821" w:type="pct"/>
            <w:gridSpan w:val="2"/>
            <w:shd w:val="clear" w:color="auto" w:fill="auto"/>
            <w:tcMar>
              <w:top w:w="110" w:type="dxa"/>
            </w:tcMar>
          </w:tcPr>
          <w:p w:rsidR="00FA423E" w:rsidRPr="002D0A6A" w:rsidRDefault="00FA423E" w:rsidP="00DC1333">
            <w:pPr>
              <w:pStyle w:val="Default"/>
              <w:rPr>
                <w:color w:val="auto"/>
                <w:sz w:val="16"/>
                <w:szCs w:val="16"/>
                <w:lang w:val="es-ES"/>
              </w:rPr>
            </w:pPr>
            <w:r w:rsidRPr="002D0A6A">
              <w:rPr>
                <w:color w:val="auto"/>
                <w:sz w:val="16"/>
                <w:szCs w:val="16"/>
                <w:lang w:val="es-ES"/>
              </w:rPr>
              <w:t>15 iniciativas nacionales (en total)</w:t>
            </w:r>
          </w:p>
        </w:tc>
        <w:tc>
          <w:tcPr>
            <w:tcW w:w="1046" w:type="pct"/>
            <w:gridSpan w:val="2"/>
            <w:shd w:val="clear" w:color="auto" w:fill="FFFFFF"/>
            <w:tcMar>
              <w:top w:w="110" w:type="dxa"/>
            </w:tcMar>
          </w:tcPr>
          <w:p w:rsidR="00FA423E" w:rsidRPr="002D0A6A" w:rsidRDefault="00FA423E" w:rsidP="00DC1333">
            <w:pPr>
              <w:rPr>
                <w:sz w:val="16"/>
                <w:szCs w:val="16"/>
                <w:lang w:bidi="th-TH"/>
              </w:rPr>
            </w:pPr>
            <w:r w:rsidRPr="002D0A6A">
              <w:rPr>
                <w:sz w:val="16"/>
                <w:szCs w:val="16"/>
                <w:lang w:bidi="th-TH"/>
              </w:rPr>
              <w:t>1 nueva iniciativa nacional (Finlandia) en 2014, la labor en esta ámbito se interrumpió en 2015</w:t>
            </w:r>
          </w:p>
          <w:p w:rsidR="00FA423E" w:rsidRPr="002D0A6A" w:rsidRDefault="00FA423E" w:rsidP="00DC1333">
            <w:pPr>
              <w:rPr>
                <w:sz w:val="16"/>
                <w:szCs w:val="16"/>
                <w:lang w:bidi="th-TH"/>
              </w:rPr>
            </w:pPr>
          </w:p>
          <w:p w:rsidR="00FA423E" w:rsidRPr="002D0A6A" w:rsidRDefault="00FA423E" w:rsidP="00DC1333">
            <w:pPr>
              <w:rPr>
                <w:sz w:val="16"/>
                <w:szCs w:val="16"/>
                <w:lang w:bidi="th-TH"/>
              </w:rPr>
            </w:pPr>
            <w:r w:rsidRPr="002D0A6A">
              <w:rPr>
                <w:sz w:val="16"/>
                <w:szCs w:val="16"/>
                <w:lang w:bidi="th-TH"/>
              </w:rPr>
              <w:t>11 iniciativas nacionales (en total)</w:t>
            </w:r>
          </w:p>
        </w:tc>
        <w:tc>
          <w:tcPr>
            <w:tcW w:w="664" w:type="pct"/>
            <w:gridSpan w:val="3"/>
            <w:shd w:val="clear" w:color="auto" w:fill="auto"/>
          </w:tcPr>
          <w:p w:rsidR="00FA423E" w:rsidRPr="002D0A6A" w:rsidRDefault="007F16A3" w:rsidP="00DC1333">
            <w:pPr>
              <w:jc w:val="center"/>
              <w:rPr>
                <w:b/>
                <w:bCs/>
                <w:sz w:val="13"/>
                <w:szCs w:val="13"/>
              </w:rPr>
            </w:pPr>
            <w:r>
              <w:rPr>
                <w:b/>
                <w:bCs/>
                <w:sz w:val="13"/>
                <w:szCs w:val="13"/>
              </w:rPr>
              <w:t>Discontinuado</w:t>
            </w:r>
          </w:p>
        </w:tc>
      </w:tr>
    </w:tbl>
    <w:p w:rsidR="00FA423E" w:rsidRPr="002D0A6A" w:rsidRDefault="008F7CBE" w:rsidP="00FA423E">
      <w:pPr>
        <w:keepNext/>
        <w:keepLines/>
        <w:rPr>
          <w:color w:val="000000"/>
          <w:szCs w:val="22"/>
        </w:rPr>
      </w:pPr>
      <w:r w:rsidRPr="008F7CBE">
        <w:rPr>
          <w:sz w:val="20"/>
        </w:rPr>
        <w:lastRenderedPageBreak/>
        <w:t>INFORMACIÓN SOBRE LOS RIESGOS PLANTEADOS EN EL BIENIO</w:t>
      </w:r>
    </w:p>
    <w:p w:rsidR="00FA423E" w:rsidRPr="002D0A6A" w:rsidRDefault="00FA423E" w:rsidP="00FA423E">
      <w:pPr>
        <w:rPr>
          <w:color w:val="000000"/>
          <w:szCs w:val="22"/>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FA423E" w:rsidRPr="002D0A6A" w:rsidTr="00DC1333">
        <w:trPr>
          <w:trHeight w:val="417"/>
        </w:trPr>
        <w:tc>
          <w:tcPr>
            <w:tcW w:w="2420" w:type="dxa"/>
            <w:tcBorders>
              <w:top w:val="single" w:sz="4" w:space="0" w:color="auto"/>
              <w:left w:val="single" w:sz="4" w:space="0" w:color="auto"/>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A423E" w:rsidRPr="002D0A6A" w:rsidRDefault="00FA423E" w:rsidP="00DC1333">
            <w:pPr>
              <w:autoSpaceDE w:val="0"/>
              <w:autoSpaceDN w:val="0"/>
              <w:adjustRightInd w:val="0"/>
              <w:spacing w:line="276" w:lineRule="auto"/>
              <w:ind w:right="-59"/>
              <w:jc w:val="center"/>
              <w:rPr>
                <w:rFonts w:eastAsia="Times New Roman"/>
                <w:b/>
                <w:sz w:val="18"/>
                <w:szCs w:val="18"/>
              </w:rPr>
            </w:pPr>
            <w:r w:rsidRPr="002D0A6A">
              <w:rPr>
                <w:b/>
                <w:bCs/>
                <w:iCs/>
                <w:sz w:val="18"/>
                <w:szCs w:val="18"/>
              </w:rPr>
              <w:t>Riesgos en el logro de los resultados del programa</w:t>
            </w:r>
          </w:p>
        </w:tc>
        <w:tc>
          <w:tcPr>
            <w:tcW w:w="2200" w:type="dxa"/>
            <w:tcBorders>
              <w:top w:val="single" w:sz="4" w:space="0" w:color="auto"/>
              <w:left w:val="nil"/>
              <w:bottom w:val="single" w:sz="4" w:space="0" w:color="auto"/>
              <w:right w:val="nil"/>
            </w:tcBorders>
            <w:shd w:val="clear" w:color="auto" w:fill="C6D9F1" w:themeFill="text2" w:themeFillTint="33"/>
            <w:tcMar>
              <w:top w:w="113" w:type="dxa"/>
              <w:left w:w="108" w:type="dxa"/>
              <w:bottom w:w="113" w:type="dxa"/>
              <w:right w:w="108" w:type="dxa"/>
            </w:tcMar>
            <w:vAlign w:val="center"/>
            <w:hideMark/>
          </w:tcPr>
          <w:p w:rsidR="00FA423E" w:rsidRPr="002D0A6A" w:rsidRDefault="00FA423E" w:rsidP="00DC1333">
            <w:pPr>
              <w:autoSpaceDE w:val="0"/>
              <w:autoSpaceDN w:val="0"/>
              <w:adjustRightInd w:val="0"/>
              <w:spacing w:line="276" w:lineRule="auto"/>
              <w:ind w:right="-59"/>
              <w:jc w:val="center"/>
              <w:rPr>
                <w:rFonts w:eastAsia="Times New Roman"/>
                <w:b/>
                <w:sz w:val="18"/>
                <w:szCs w:val="18"/>
              </w:rPr>
            </w:pPr>
            <w:r w:rsidRPr="002D0A6A">
              <w:rPr>
                <w:b/>
                <w:bCs/>
                <w:iCs/>
                <w:sz w:val="18"/>
                <w:szCs w:val="18"/>
              </w:rPr>
              <w:t>Planes de mitigación ejecutados o en ejecución</w:t>
            </w:r>
          </w:p>
        </w:tc>
        <w:tc>
          <w:tcPr>
            <w:tcW w:w="2310" w:type="dxa"/>
            <w:tcBorders>
              <w:top w:val="single" w:sz="4" w:space="0" w:color="auto"/>
              <w:left w:val="nil"/>
              <w:bottom w:val="single" w:sz="4" w:space="0" w:color="auto"/>
              <w:right w:val="nil"/>
            </w:tcBorders>
            <w:shd w:val="clear" w:color="auto" w:fill="C6D9F1" w:themeFill="text2" w:themeFillTint="33"/>
            <w:hideMark/>
          </w:tcPr>
          <w:p w:rsidR="00FA423E" w:rsidRPr="002D0A6A" w:rsidRDefault="00FA423E" w:rsidP="00DC1333">
            <w:pPr>
              <w:spacing w:line="276" w:lineRule="auto"/>
              <w:jc w:val="center"/>
              <w:rPr>
                <w:rFonts w:eastAsia="Times New Roman"/>
                <w:b/>
                <w:bCs/>
                <w:sz w:val="18"/>
                <w:szCs w:val="18"/>
              </w:rPr>
            </w:pPr>
            <w:r w:rsidRPr="002D0A6A">
              <w:rPr>
                <w:b/>
                <w:bCs/>
                <w:iCs/>
                <w:sz w:val="18"/>
                <w:szCs w:val="18"/>
              </w:rPr>
              <w:t>Evolución de los riesgos y estrategias de mitigación durante el bienio</w:t>
            </w:r>
          </w:p>
        </w:tc>
        <w:tc>
          <w:tcPr>
            <w:tcW w:w="2426" w:type="dxa"/>
            <w:tcBorders>
              <w:top w:val="single" w:sz="4" w:space="0" w:color="auto"/>
              <w:left w:val="nil"/>
              <w:bottom w:val="single" w:sz="4" w:space="0" w:color="auto"/>
              <w:right w:val="single" w:sz="4" w:space="0" w:color="auto"/>
            </w:tcBorders>
            <w:shd w:val="clear" w:color="auto" w:fill="C6D9F1" w:themeFill="text2" w:themeFillTint="33"/>
            <w:hideMark/>
          </w:tcPr>
          <w:p w:rsidR="00FA423E" w:rsidRPr="002D0A6A" w:rsidRDefault="00FA423E" w:rsidP="00DC1333">
            <w:pPr>
              <w:spacing w:line="276" w:lineRule="auto"/>
              <w:jc w:val="center"/>
              <w:rPr>
                <w:rFonts w:eastAsia="Times New Roman"/>
                <w:b/>
                <w:bCs/>
                <w:sz w:val="18"/>
                <w:szCs w:val="18"/>
              </w:rPr>
            </w:pPr>
            <w:r w:rsidRPr="002D0A6A">
              <w:rPr>
                <w:b/>
                <w:bCs/>
                <w:sz w:val="18"/>
                <w:szCs w:val="18"/>
              </w:rPr>
              <w:t>Incidencia en el rendimiento del programa</w:t>
            </w:r>
          </w:p>
        </w:tc>
      </w:tr>
      <w:tr w:rsidR="00FA423E" w:rsidRPr="002D0A6A" w:rsidTr="00DC1333">
        <w:trPr>
          <w:trHeight w:val="744"/>
        </w:trPr>
        <w:tc>
          <w:tcPr>
            <w:tcW w:w="2420"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FA423E" w:rsidRPr="002D0A6A" w:rsidRDefault="00FA423E" w:rsidP="00DC1333">
            <w:pPr>
              <w:tabs>
                <w:tab w:val="left" w:pos="1170"/>
              </w:tabs>
              <w:spacing w:line="276" w:lineRule="auto"/>
              <w:rPr>
                <w:rFonts w:eastAsia="Times New Roman"/>
                <w:sz w:val="16"/>
                <w:szCs w:val="16"/>
              </w:rPr>
            </w:pPr>
            <w:r w:rsidRPr="002D0A6A">
              <w:rPr>
                <w:sz w:val="16"/>
                <w:szCs w:val="16"/>
              </w:rPr>
              <w:t>Tecnología e innovación</w:t>
            </w:r>
            <w:proofErr w:type="gramStart"/>
            <w:r w:rsidRPr="002D0A6A">
              <w:rPr>
                <w:sz w:val="16"/>
                <w:szCs w:val="16"/>
              </w:rPr>
              <w:t>:  la</w:t>
            </w:r>
            <w:proofErr w:type="gramEnd"/>
            <w:r w:rsidRPr="002D0A6A">
              <w:rPr>
                <w:sz w:val="16"/>
                <w:szCs w:val="16"/>
              </w:rPr>
              <w:t xml:space="preserve"> incapacidad del sistema de derecho de autor para adaptarse a los rápidos cambios tecnológicos y de los medios de comunicación puede menoscabar la pertinencia del sistema de derecho de autor.</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FA423E" w:rsidRPr="002D0A6A" w:rsidRDefault="00FA423E" w:rsidP="00DC1333">
            <w:pPr>
              <w:autoSpaceDE w:val="0"/>
              <w:autoSpaceDN w:val="0"/>
              <w:adjustRightInd w:val="0"/>
              <w:spacing w:line="276" w:lineRule="auto"/>
              <w:ind w:right="-59"/>
              <w:rPr>
                <w:rFonts w:eastAsia="Times New Roman"/>
                <w:sz w:val="16"/>
                <w:szCs w:val="16"/>
              </w:rPr>
            </w:pPr>
            <w:r w:rsidRPr="002D0A6A">
              <w:rPr>
                <w:sz w:val="16"/>
                <w:szCs w:val="16"/>
              </w:rPr>
              <w:t>Mantenimiento de las actividades e iniciativas de sensibilización para demostrar la importancia del derecho de autor y confirmar su utilidad y adecuación en el cambiante panorama tecnológico.</w:t>
            </w:r>
          </w:p>
        </w:tc>
        <w:tc>
          <w:tcPr>
            <w:tcW w:w="2310" w:type="dxa"/>
            <w:tcBorders>
              <w:top w:val="single" w:sz="4" w:space="0" w:color="auto"/>
              <w:left w:val="nil"/>
              <w:bottom w:val="single" w:sz="4" w:space="0" w:color="auto"/>
              <w:right w:val="nil"/>
            </w:tcBorders>
          </w:tcPr>
          <w:p w:rsidR="00FA423E" w:rsidRPr="002D0A6A" w:rsidRDefault="00FA423E" w:rsidP="00DC1333">
            <w:pPr>
              <w:autoSpaceDE w:val="0"/>
              <w:autoSpaceDN w:val="0"/>
              <w:adjustRightInd w:val="0"/>
              <w:spacing w:line="276" w:lineRule="auto"/>
              <w:ind w:right="-59"/>
              <w:rPr>
                <w:sz w:val="16"/>
                <w:szCs w:val="16"/>
              </w:rPr>
            </w:pPr>
            <w:r w:rsidRPr="002D0A6A">
              <w:rPr>
                <w:sz w:val="16"/>
                <w:szCs w:val="16"/>
              </w:rPr>
              <w:t>Se mantuvo la rápida evolución tecnológica a medida que las tecnologías evolucionaban y cambiaban;  por lo tanto, el riesgo y las estrategias de mitigación no variaron de forma notable durante el bienio.</w:t>
            </w:r>
          </w:p>
        </w:tc>
        <w:tc>
          <w:tcPr>
            <w:tcW w:w="2426" w:type="dxa"/>
            <w:tcBorders>
              <w:top w:val="single" w:sz="4" w:space="0" w:color="auto"/>
              <w:left w:val="nil"/>
              <w:bottom w:val="single" w:sz="4" w:space="0" w:color="auto"/>
              <w:right w:val="single" w:sz="4" w:space="0" w:color="auto"/>
            </w:tcBorders>
          </w:tcPr>
          <w:p w:rsidR="00FA423E" w:rsidRPr="002D0A6A" w:rsidRDefault="00FA423E" w:rsidP="00DC1333">
            <w:pPr>
              <w:autoSpaceDE w:val="0"/>
              <w:autoSpaceDN w:val="0"/>
              <w:adjustRightInd w:val="0"/>
              <w:spacing w:line="276" w:lineRule="auto"/>
              <w:ind w:right="-59"/>
              <w:rPr>
                <w:rFonts w:eastAsia="Times New Roman"/>
                <w:sz w:val="16"/>
                <w:szCs w:val="16"/>
              </w:rPr>
            </w:pPr>
            <w:r w:rsidRPr="002D0A6A">
              <w:rPr>
                <w:sz w:val="16"/>
                <w:szCs w:val="16"/>
              </w:rPr>
              <w:t>La estrategia de mitigación resultó fructífera en la media en que durante el bienio muchos Estados miembros de la OMPI solicitaron asistencia técnica para demostrar la importancia del sistema de derecho de autor, en especial para las economías nacionales.  El programa dio respuesta a estas solicitudes en la medida de lo posible, teniendo en cuenta las limitaciones prácticas existentes en materia de recursos.  No se produjo ninguna incidencia sustancial en el rendimiento del programa durante el bienio.</w:t>
            </w:r>
          </w:p>
        </w:tc>
      </w:tr>
    </w:tbl>
    <w:p w:rsidR="00FA423E" w:rsidRDefault="00FA423E" w:rsidP="00FA423E">
      <w:pPr>
        <w:rPr>
          <w:color w:val="000000"/>
          <w:sz w:val="20"/>
          <w:szCs w:val="22"/>
        </w:rPr>
      </w:pPr>
    </w:p>
    <w:p w:rsidR="00FA423E" w:rsidRPr="002D0A6A" w:rsidRDefault="00FA423E" w:rsidP="00FA423E">
      <w:pPr>
        <w:rPr>
          <w:color w:val="000000"/>
          <w:sz w:val="20"/>
          <w:szCs w:val="22"/>
        </w:rPr>
      </w:pPr>
    </w:p>
    <w:p w:rsidR="00FA423E" w:rsidRPr="002D0A6A" w:rsidRDefault="00403D2C" w:rsidP="00FA423E">
      <w:pPr>
        <w:rPr>
          <w:b/>
          <w:sz w:val="18"/>
          <w:szCs w:val="18"/>
        </w:rPr>
      </w:pPr>
      <w:r w:rsidRPr="00403D2C">
        <w:rPr>
          <w:color w:val="000000"/>
          <w:sz w:val="20"/>
          <w:szCs w:val="22"/>
        </w:rPr>
        <w:t>UTILIZACIÓN DE LOS RECURSOS</w:t>
      </w:r>
    </w:p>
    <w:p w:rsidR="00FA423E" w:rsidRPr="002D0A6A" w:rsidRDefault="00FA423E" w:rsidP="00FA423E">
      <w:pPr>
        <w:rPr>
          <w:sz w:val="20"/>
        </w:rPr>
      </w:pPr>
    </w:p>
    <w:p w:rsidR="00FA423E" w:rsidRPr="00B75A89" w:rsidRDefault="00FA423E" w:rsidP="00FA423E">
      <w:pPr>
        <w:jc w:val="center"/>
        <w:rPr>
          <w:sz w:val="20"/>
        </w:rPr>
      </w:pPr>
      <w:r w:rsidRPr="00B75A89">
        <w:rPr>
          <w:sz w:val="20"/>
        </w:rPr>
        <w:t>Presupuesto y gastos reales (por resultado)</w:t>
      </w:r>
    </w:p>
    <w:p w:rsidR="00FA423E" w:rsidRPr="00B75A89" w:rsidRDefault="00FA423E" w:rsidP="00FA423E">
      <w:pPr>
        <w:jc w:val="center"/>
        <w:rPr>
          <w:i/>
          <w:iCs/>
          <w:sz w:val="20"/>
        </w:rPr>
      </w:pPr>
      <w:r w:rsidRPr="00B75A89">
        <w:rPr>
          <w:i/>
          <w:iCs/>
          <w:sz w:val="20"/>
        </w:rPr>
        <w:t>(</w:t>
      </w:r>
      <w:proofErr w:type="gramStart"/>
      <w:r w:rsidRPr="00B75A89">
        <w:rPr>
          <w:i/>
          <w:iCs/>
          <w:sz w:val="20"/>
        </w:rPr>
        <w:t>en</w:t>
      </w:r>
      <w:proofErr w:type="gramEnd"/>
      <w:r w:rsidRPr="00B75A89">
        <w:rPr>
          <w:i/>
          <w:iCs/>
          <w:sz w:val="20"/>
        </w:rPr>
        <w:t xml:space="preserve"> miles de francos suizos)</w:t>
      </w:r>
    </w:p>
    <w:p w:rsidR="00FA423E" w:rsidRPr="00B75A89" w:rsidRDefault="00FA423E" w:rsidP="00FA423E">
      <w:pPr>
        <w:jc w:val="center"/>
        <w:rPr>
          <w:sz w:val="20"/>
        </w:rPr>
      </w:pPr>
    </w:p>
    <w:p w:rsidR="00FA423E" w:rsidRPr="002D0A6A" w:rsidRDefault="00FA423E" w:rsidP="00FA423E">
      <w:pPr>
        <w:jc w:val="center"/>
        <w:rPr>
          <w:sz w:val="20"/>
        </w:rPr>
      </w:pPr>
      <w:bookmarkStart w:id="64" w:name="Bm3"/>
      <w:bookmarkStart w:id="65" w:name="Punto3"/>
      <w:r>
        <w:rPr>
          <w:noProof/>
          <w:lang w:val="en-US" w:eastAsia="en-US"/>
        </w:rPr>
        <w:drawing>
          <wp:inline distT="0" distB="0" distL="0" distR="0" wp14:anchorId="14CB3951" wp14:editId="53628887">
            <wp:extent cx="5676900" cy="436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900" cy="4362450"/>
                    </a:xfrm>
                    <a:prstGeom prst="rect">
                      <a:avLst/>
                    </a:prstGeom>
                    <a:noFill/>
                    <a:ln>
                      <a:noFill/>
                    </a:ln>
                  </pic:spPr>
                </pic:pic>
              </a:graphicData>
            </a:graphic>
          </wp:inline>
        </w:drawing>
      </w:r>
      <w:bookmarkEnd w:id="64"/>
      <w:bookmarkEnd w:id="65"/>
    </w:p>
    <w:p w:rsidR="00FA423E" w:rsidRDefault="00FA423E" w:rsidP="00FA423E">
      <w:pPr>
        <w:rPr>
          <w:sz w:val="20"/>
        </w:rPr>
      </w:pPr>
    </w:p>
    <w:p w:rsidR="00FA423E" w:rsidRPr="002D0A6A" w:rsidRDefault="00FA423E" w:rsidP="00FA423E">
      <w:pPr>
        <w:rPr>
          <w:sz w:val="20"/>
        </w:rPr>
      </w:pPr>
    </w:p>
    <w:p w:rsidR="00FA423E" w:rsidRPr="002D0A6A" w:rsidRDefault="00FA423E" w:rsidP="00FA423E">
      <w:pPr>
        <w:keepNext/>
        <w:jc w:val="center"/>
        <w:rPr>
          <w:sz w:val="20"/>
        </w:rPr>
      </w:pPr>
      <w:r w:rsidRPr="002D0A6A">
        <w:rPr>
          <w:sz w:val="20"/>
        </w:rPr>
        <w:t xml:space="preserve">Presupuesto y gastos reales (de personal y no relativos a personal) </w:t>
      </w:r>
    </w:p>
    <w:p w:rsidR="00FA423E" w:rsidRPr="00B75A89" w:rsidRDefault="00FA423E" w:rsidP="00FA423E">
      <w:pPr>
        <w:keepNext/>
        <w:jc w:val="center"/>
        <w:rPr>
          <w:i/>
          <w:sz w:val="20"/>
        </w:rPr>
      </w:pPr>
      <w:r w:rsidRPr="00B75A89">
        <w:rPr>
          <w:i/>
          <w:sz w:val="20"/>
        </w:rPr>
        <w:t>(</w:t>
      </w:r>
      <w:proofErr w:type="gramStart"/>
      <w:r w:rsidRPr="00B75A89">
        <w:rPr>
          <w:i/>
          <w:sz w:val="20"/>
        </w:rPr>
        <w:t>en</w:t>
      </w:r>
      <w:proofErr w:type="gramEnd"/>
      <w:r w:rsidRPr="00B75A89">
        <w:rPr>
          <w:i/>
          <w:sz w:val="20"/>
        </w:rPr>
        <w:t xml:space="preserve"> miles de francos suizos)</w:t>
      </w:r>
    </w:p>
    <w:p w:rsidR="00FA423E" w:rsidRPr="002D0A6A" w:rsidRDefault="00FA423E" w:rsidP="00FA423E">
      <w:pPr>
        <w:pStyle w:val="NormalWeb"/>
        <w:keepNext/>
        <w:keepLines/>
        <w:spacing w:before="0" w:beforeAutospacing="0" w:after="0" w:afterAutospacing="0"/>
        <w:jc w:val="center"/>
        <w:rPr>
          <w:lang w:val="es-ES"/>
        </w:rPr>
      </w:pPr>
    </w:p>
    <w:p w:rsidR="00FA423E" w:rsidRPr="002D0A6A" w:rsidRDefault="00FA423E" w:rsidP="00FA423E">
      <w:pPr>
        <w:keepNext/>
        <w:jc w:val="center"/>
        <w:rPr>
          <w:sz w:val="20"/>
        </w:rPr>
      </w:pPr>
      <w:bookmarkStart w:id="66" w:name="Point3"/>
      <w:r>
        <w:rPr>
          <w:noProof/>
          <w:lang w:val="en-US" w:eastAsia="en-US"/>
        </w:rPr>
        <w:drawing>
          <wp:inline distT="0" distB="0" distL="0" distR="0" wp14:anchorId="061C946A" wp14:editId="1176532B">
            <wp:extent cx="5940425" cy="1024977"/>
            <wp:effectExtent l="0" t="0" r="317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024977"/>
                    </a:xfrm>
                    <a:prstGeom prst="rect">
                      <a:avLst/>
                    </a:prstGeom>
                    <a:noFill/>
                    <a:ln>
                      <a:noFill/>
                    </a:ln>
                  </pic:spPr>
                </pic:pic>
              </a:graphicData>
            </a:graphic>
          </wp:inline>
        </w:drawing>
      </w:r>
      <w:bookmarkEnd w:id="66"/>
    </w:p>
    <w:p w:rsidR="00FA423E" w:rsidRPr="00284250" w:rsidRDefault="00FA423E" w:rsidP="00FA423E">
      <w:pPr>
        <w:keepNext/>
        <w:autoSpaceDE w:val="0"/>
        <w:autoSpaceDN w:val="0"/>
        <w:rPr>
          <w:sz w:val="20"/>
        </w:rPr>
      </w:pPr>
    </w:p>
    <w:p w:rsidR="00FA423E" w:rsidRPr="00284250" w:rsidRDefault="00FA423E" w:rsidP="00FA423E">
      <w:pPr>
        <w:autoSpaceDE w:val="0"/>
        <w:autoSpaceDN w:val="0"/>
        <w:rPr>
          <w:sz w:val="20"/>
        </w:rPr>
      </w:pPr>
    </w:p>
    <w:p w:rsidR="00FA423E" w:rsidRPr="002D0A6A" w:rsidRDefault="00403D2C" w:rsidP="00FA423E">
      <w:pPr>
        <w:rPr>
          <w:sz w:val="20"/>
          <w:u w:val="single"/>
        </w:rPr>
      </w:pPr>
      <w:r w:rsidRPr="00403D2C">
        <w:rPr>
          <w:sz w:val="20"/>
        </w:rPr>
        <w:t>A.</w:t>
      </w:r>
      <w:r w:rsidRPr="00403D2C">
        <w:rPr>
          <w:sz w:val="20"/>
        </w:rPr>
        <w:tab/>
      </w:r>
      <w:r w:rsidRPr="00403D2C">
        <w:rPr>
          <w:sz w:val="20"/>
          <w:u w:val="single"/>
        </w:rPr>
        <w:t>Presupuesto final de 2014/15 tras las transferencias</w:t>
      </w:r>
    </w:p>
    <w:p w:rsidR="00FA423E" w:rsidRPr="002D0A6A" w:rsidRDefault="00FA423E" w:rsidP="00FA423E">
      <w:pPr>
        <w:rPr>
          <w:sz w:val="20"/>
          <w:u w:val="single"/>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rPr>
      </w:pPr>
      <w:r w:rsidRPr="002D0A6A">
        <w:rPr>
          <w:rFonts w:cs="Arial"/>
          <w:lang w:val="es-ES"/>
        </w:rPr>
        <w:t>El trasvase de recursos del resultado previsto I.1 (</w:t>
      </w:r>
      <w:r w:rsidRPr="002D0A6A">
        <w:rPr>
          <w:rFonts w:cs="Arial"/>
          <w:bCs/>
          <w:lang w:val="es-ES"/>
        </w:rPr>
        <w:t>Mejor cooperación entre los Estados miembros</w:t>
      </w:r>
      <w:r w:rsidRPr="002D0A6A">
        <w:rPr>
          <w:rFonts w:cs="Arial"/>
          <w:lang w:val="es-ES"/>
        </w:rPr>
        <w:t>) al resultado previsto I.2 (</w:t>
      </w:r>
      <w:r w:rsidRPr="002D0A6A">
        <w:rPr>
          <w:rFonts w:cs="Arial"/>
          <w:bCs/>
          <w:lang w:val="es-ES"/>
        </w:rPr>
        <w:t>Marcos de P.I. adaptados y equilibrados en el ámbito legislativo, reglamentario y de política)</w:t>
      </w:r>
      <w:r w:rsidRPr="002D0A6A">
        <w:rPr>
          <w:rFonts w:cs="Arial"/>
          <w:lang w:val="es-ES"/>
        </w:rPr>
        <w:t xml:space="preserve"> se debió a que se asignaron recursos adicionales de personal y no relativos a personal a relacionadas con la asistencia para la ratificación y la aplicación de los Tratados de Marrakech y Beijing.</w:t>
      </w:r>
    </w:p>
    <w:p w:rsidR="00FA423E" w:rsidRPr="002D0A6A" w:rsidRDefault="00FA423E" w:rsidP="00FA423E">
      <w:pPr>
        <w:rPr>
          <w:sz w:val="20"/>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rPr>
      </w:pPr>
      <w:r w:rsidRPr="002D0A6A">
        <w:rPr>
          <w:rFonts w:cs="Arial"/>
          <w:lang w:val="es-ES"/>
        </w:rPr>
        <w:t>El aumento de los recursos en el marco del resultado previsto IV.2 (</w:t>
      </w:r>
      <w:r w:rsidRPr="002D0A6A">
        <w:rPr>
          <w:rFonts w:cs="Arial"/>
          <w:bCs/>
          <w:lang w:val="es-ES"/>
        </w:rPr>
        <w:t xml:space="preserve">Mejora del acceso y uso de información de P.I.) </w:t>
      </w:r>
      <w:r w:rsidRPr="002D0A6A">
        <w:rPr>
          <w:rFonts w:cs="Arial"/>
          <w:lang w:val="es-ES"/>
        </w:rPr>
        <w:t>se debió esencialmente a la mayor prioridad otorgada a las actividades relacionadas con el Consorcio ABC.</w:t>
      </w:r>
    </w:p>
    <w:p w:rsidR="00FA423E" w:rsidRPr="002D0A6A" w:rsidRDefault="00FA423E" w:rsidP="00FA423E">
      <w:pPr>
        <w:rPr>
          <w:sz w:val="20"/>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rPr>
      </w:pPr>
      <w:r w:rsidRPr="002D0A6A">
        <w:rPr>
          <w:rFonts w:cs="Arial"/>
          <w:lang w:val="es-ES"/>
        </w:rPr>
        <w:t>La disminución de los recursos en el marco del resultado previsto IV.4 (</w:t>
      </w:r>
      <w:r w:rsidRPr="002D0A6A">
        <w:rPr>
          <w:rFonts w:cs="Arial"/>
          <w:bCs/>
          <w:lang w:val="es-ES"/>
        </w:rPr>
        <w:t>Ampliación y mejora del uso de los análisis económicos de la OMPI)</w:t>
      </w:r>
      <w:r w:rsidRPr="002D0A6A">
        <w:rPr>
          <w:rFonts w:cs="Arial"/>
          <w:lang w:val="es-ES"/>
        </w:rPr>
        <w:t xml:space="preserve"> se debió a que determinadas actividades relacionadas con WIPOCOS se transfirieron al programa 15 (</w:t>
      </w:r>
      <w:r w:rsidRPr="002D0A6A">
        <w:rPr>
          <w:szCs w:val="22"/>
          <w:lang w:val="es-ES"/>
        </w:rPr>
        <w:t>Soluciones operativas para las oficinas de P.I.), a fin de consolidar los sistemas de gestión de datos de dicho programa relacionados con los organismos de gestión colectiva</w:t>
      </w:r>
      <w:r w:rsidRPr="002D0A6A">
        <w:rPr>
          <w:rFonts w:cs="Arial"/>
          <w:lang w:val="es-ES"/>
        </w:rPr>
        <w:t>.</w:t>
      </w:r>
    </w:p>
    <w:p w:rsidR="00FA423E" w:rsidRPr="002D0A6A" w:rsidRDefault="00FA423E" w:rsidP="00FA423E">
      <w:pPr>
        <w:tabs>
          <w:tab w:val="left" w:pos="5113"/>
        </w:tabs>
        <w:rPr>
          <w:rFonts w:eastAsiaTheme="minorHAnsi"/>
          <w:sz w:val="20"/>
        </w:rPr>
      </w:pPr>
    </w:p>
    <w:p w:rsidR="00FA423E" w:rsidRPr="002D0A6A" w:rsidRDefault="00403D2C" w:rsidP="00FA423E">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423E" w:rsidRPr="002D0A6A" w:rsidRDefault="00FA423E" w:rsidP="00FA423E">
      <w:pPr>
        <w:jc w:val="both"/>
        <w:rPr>
          <w:sz w:val="20"/>
          <w:u w:val="single"/>
          <w:lang w:eastAsia="ko-KR"/>
        </w:rPr>
      </w:pPr>
    </w:p>
    <w:p w:rsidR="00FA423E" w:rsidRPr="002D0A6A" w:rsidRDefault="00FA423E" w:rsidP="00FA423E">
      <w:pPr>
        <w:pStyle w:val="ListParagraph"/>
        <w:numPr>
          <w:ilvl w:val="0"/>
          <w:numId w:val="14"/>
        </w:numPr>
        <w:tabs>
          <w:tab w:val="left" w:pos="0"/>
          <w:tab w:val="left" w:pos="709"/>
        </w:tabs>
        <w:ind w:left="0" w:firstLine="0"/>
        <w:jc w:val="both"/>
        <w:rPr>
          <w:rFonts w:cs="Arial"/>
          <w:lang w:val="es-ES" w:eastAsia="ko-KR"/>
        </w:rPr>
      </w:pPr>
      <w:r w:rsidRPr="002D0A6A">
        <w:rPr>
          <w:lang w:val="es-ES" w:eastAsia="zh-CN"/>
        </w:rPr>
        <w:t>La disminución del gasto en el marco del resultado previsto IV.2 (</w:t>
      </w:r>
      <w:r w:rsidRPr="002D0A6A">
        <w:rPr>
          <w:rFonts w:cs="Arial"/>
          <w:bCs/>
          <w:lang w:val="es-ES"/>
        </w:rPr>
        <w:t xml:space="preserve">Mejora del acceso y uso de información de P.I.) se debió principalmente a que se pospusieron algunas actividades del proyecto de la Agenda para el Desarrollo relativo a </w:t>
      </w:r>
      <w:r w:rsidRPr="002D0A6A">
        <w:rPr>
          <w:lang w:val="es-ES" w:eastAsia="zh-CN"/>
        </w:rPr>
        <w:t xml:space="preserve">la utilización del derecho de autor para fomentar el acceso a la información y al contenido creativo.  La ligera disminución del gasto en el marco del resultado previsto I.2 </w:t>
      </w:r>
      <w:r w:rsidRPr="002D0A6A">
        <w:rPr>
          <w:rFonts w:cs="Arial"/>
          <w:lang w:val="es-ES"/>
        </w:rPr>
        <w:t>(</w:t>
      </w:r>
      <w:r w:rsidRPr="002D0A6A">
        <w:rPr>
          <w:rFonts w:cs="Arial"/>
          <w:bCs/>
          <w:lang w:val="es-ES"/>
        </w:rPr>
        <w:t>Marcos de P.I. adaptados y equilibrados en el ámbito legislativo, reglamentario y de política) se debió al aplazamiento de algunas actividades relacionadas con la promoción de los Tratados de Marrakech y Beijing, concretamente en las regiones de África y América Latina.</w:t>
      </w:r>
    </w:p>
    <w:p w:rsidR="00FA423E" w:rsidRDefault="00FA423E" w:rsidP="00FA423E"/>
    <w:p w:rsidR="00FA423E" w:rsidRDefault="00FA423E" w:rsidP="00FA423E"/>
    <w:p w:rsidR="00FA423E" w:rsidRPr="002D0A6A" w:rsidRDefault="00FA423E" w:rsidP="00FA423E"/>
    <w:p w:rsidR="00FA423E" w:rsidRDefault="00FA423E" w:rsidP="00FA423E">
      <w:pPr>
        <w:rPr>
          <w:b/>
          <w:bCs/>
          <w:iCs/>
          <w:caps/>
          <w:szCs w:val="28"/>
        </w:rPr>
      </w:pPr>
      <w:bookmarkStart w:id="67" w:name="_Toc422927405"/>
      <w:r>
        <w:rPr>
          <w:b/>
        </w:rPr>
        <w:br w:type="page"/>
      </w:r>
    </w:p>
    <w:p w:rsidR="00FA423E" w:rsidRPr="00526311" w:rsidRDefault="00FA423E" w:rsidP="00FA423E">
      <w:pPr>
        <w:pStyle w:val="Heading2"/>
        <w:tabs>
          <w:tab w:val="left" w:pos="2410"/>
        </w:tabs>
        <w:ind w:left="2410" w:hanging="2410"/>
        <w:rPr>
          <w:b/>
        </w:rPr>
      </w:pPr>
      <w:bookmarkStart w:id="68" w:name="_Toc455159073"/>
      <w:r w:rsidRPr="00526311">
        <w:rPr>
          <w:b/>
        </w:rPr>
        <w:lastRenderedPageBreak/>
        <w:t>PROGRAMA 4</w:t>
      </w:r>
      <w:r w:rsidRPr="00526311">
        <w:rPr>
          <w:b/>
        </w:rPr>
        <w:tab/>
        <w:t>CONOCIMIENTOS TRADICIONALES, EXPRESIONES CULTURALES TRADICIONALES Y RECURSOS GENÉTICOS</w:t>
      </w:r>
      <w:bookmarkEnd w:id="67"/>
      <w:bookmarkEnd w:id="68"/>
    </w:p>
    <w:p w:rsidR="00FA423E" w:rsidRPr="00526311" w:rsidRDefault="00FA423E" w:rsidP="00FA423E">
      <w:pPr>
        <w:rPr>
          <w:sz w:val="20"/>
        </w:rPr>
      </w:pPr>
    </w:p>
    <w:p w:rsidR="00FA423E" w:rsidRPr="00526311" w:rsidRDefault="00FA423E" w:rsidP="00FA423E">
      <w:pPr>
        <w:tabs>
          <w:tab w:val="left" w:pos="2410"/>
        </w:tabs>
        <w:rPr>
          <w:b/>
          <w:sz w:val="20"/>
        </w:rPr>
      </w:pPr>
      <w:r w:rsidRPr="00526311">
        <w:rPr>
          <w:b/>
          <w:sz w:val="20"/>
        </w:rPr>
        <w:t>Director de programa</w:t>
      </w:r>
      <w:r w:rsidRPr="00526311">
        <w:rPr>
          <w:b/>
          <w:sz w:val="20"/>
        </w:rPr>
        <w:tab/>
        <w:t>Sr. M. A. Getahun</w:t>
      </w:r>
    </w:p>
    <w:p w:rsidR="00FA423E" w:rsidRPr="00526311" w:rsidRDefault="00FA423E" w:rsidP="00FA423E">
      <w:pPr>
        <w:rPr>
          <w:sz w:val="20"/>
        </w:rPr>
      </w:pPr>
    </w:p>
    <w:p w:rsidR="00FA423E" w:rsidRPr="00526311" w:rsidRDefault="00FA423E" w:rsidP="00FA423E">
      <w:pPr>
        <w:rPr>
          <w:sz w:val="20"/>
        </w:rPr>
      </w:pPr>
    </w:p>
    <w:p w:rsidR="00FA423E" w:rsidRPr="00526311" w:rsidRDefault="008F7CBE" w:rsidP="00FA423E">
      <w:pPr>
        <w:rPr>
          <w:bCs/>
          <w:szCs w:val="22"/>
        </w:rPr>
      </w:pPr>
      <w:r w:rsidRPr="008F7CBE">
        <w:rPr>
          <w:bCs/>
          <w:sz w:val="20"/>
          <w:szCs w:val="22"/>
        </w:rPr>
        <w:t>LOGROS ALCANZADOS EN EL BIENIO 2014/15</w:t>
      </w:r>
    </w:p>
    <w:p w:rsidR="00FA423E" w:rsidRPr="00526311" w:rsidRDefault="00FA423E" w:rsidP="00FA423E">
      <w:pPr>
        <w:jc w:val="both"/>
        <w:rPr>
          <w:sz w:val="20"/>
        </w:rPr>
      </w:pPr>
    </w:p>
    <w:p w:rsidR="00FA423E" w:rsidRPr="00526311" w:rsidRDefault="00FA423E" w:rsidP="00FA423E">
      <w:pPr>
        <w:numPr>
          <w:ilvl w:val="0"/>
          <w:numId w:val="15"/>
        </w:numPr>
        <w:jc w:val="both"/>
        <w:rPr>
          <w:sz w:val="20"/>
        </w:rPr>
      </w:pPr>
      <w:r w:rsidRPr="00526311">
        <w:rPr>
          <w:sz w:val="20"/>
        </w:rPr>
        <w:t>El Comité Intergubernamental sobre Propiedad Intelectual y Recursos Genéticos, Conocimientos Tradicionale</w:t>
      </w:r>
      <w:r>
        <w:rPr>
          <w:sz w:val="20"/>
        </w:rPr>
        <w:t xml:space="preserve">s y Folclore de la OMPI (CIG) </w:t>
      </w:r>
      <w:r w:rsidRPr="00526311">
        <w:rPr>
          <w:sz w:val="20"/>
        </w:rPr>
        <w:t xml:space="preserve">se reunió en tres ocasiones </w:t>
      </w:r>
      <w:r>
        <w:rPr>
          <w:sz w:val="20"/>
        </w:rPr>
        <w:t xml:space="preserve">en 2014 </w:t>
      </w:r>
      <w:r w:rsidRPr="00526311">
        <w:rPr>
          <w:sz w:val="20"/>
        </w:rPr>
        <w:t xml:space="preserve">(sesiones </w:t>
      </w:r>
      <w:r>
        <w:rPr>
          <w:sz w:val="20"/>
        </w:rPr>
        <w:t xml:space="preserve">vigésima sexta, vigésima séptima y vigésima octava </w:t>
      </w:r>
      <w:r w:rsidRPr="00526311">
        <w:rPr>
          <w:sz w:val="20"/>
        </w:rPr>
        <w:t>del CIG)</w:t>
      </w:r>
      <w:r>
        <w:rPr>
          <w:sz w:val="20"/>
        </w:rPr>
        <w:t>, de acuerdo con el mandato renovado del Comité para el bienio, que adoptó la Asamblea General de la OMPI en octubre de 2013, y un programa de trabajo acordado para 2014.  En la vigésima sexta sesión del CIG se incluyó una reunión a la que asistieron embajadores y altos funcionarios de las capitales</w:t>
      </w:r>
      <w:r w:rsidRPr="00526311">
        <w:rPr>
          <w:sz w:val="20"/>
        </w:rPr>
        <w:t xml:space="preserve">.  </w:t>
      </w:r>
      <w:r>
        <w:rPr>
          <w:sz w:val="20"/>
        </w:rPr>
        <w:t>Al final de</w:t>
      </w:r>
      <w:r w:rsidRPr="00526311">
        <w:rPr>
          <w:sz w:val="20"/>
        </w:rPr>
        <w:t xml:space="preserve"> la </w:t>
      </w:r>
      <w:r>
        <w:rPr>
          <w:sz w:val="20"/>
        </w:rPr>
        <w:t>vigésima octava sesión del CIG</w:t>
      </w:r>
      <w:r w:rsidRPr="00526311">
        <w:rPr>
          <w:sz w:val="20"/>
        </w:rPr>
        <w:t xml:space="preserve"> el Comité había simplificado más el texto consolidado sobre los recursos genéticos (RR.GG.) y conseguido nuevos avances en lo que atañe a los textos sobre los conocimientos tradicionales (CC.TT.) y las expresiones culturales tradicionales (ECT).  </w:t>
      </w:r>
      <w:r>
        <w:rPr>
          <w:sz w:val="20"/>
        </w:rPr>
        <w:t xml:space="preserve">Los Estados miembros organizaron una reunión entre sesiones que se celebró fuera de Ginebra y que sirvió para dar más impulso al proceso.  </w:t>
      </w:r>
      <w:r w:rsidRPr="00526311">
        <w:rPr>
          <w:sz w:val="20"/>
        </w:rPr>
        <w:t>La Secretaría siguió esforzándose por cumplir una función de apoyo neutral, profesio</w:t>
      </w:r>
      <w:r>
        <w:rPr>
          <w:sz w:val="20"/>
        </w:rPr>
        <w:t xml:space="preserve">nal y eficaz al proceso </w:t>
      </w:r>
      <w:r w:rsidRPr="00526311">
        <w:rPr>
          <w:sz w:val="20"/>
        </w:rPr>
        <w:t xml:space="preserve">y por mejorar los servicios prestados a los participantes en el Comité, tras la evaluación realizada por la División de Supervisión Interna de la OMPI (DSI) en 2013, que determinó que el índice de satisfacción entre los participantes en el CIG era elevado (96%).  Aunque la Secretaría siguió facilitando, en la medida de lo posible, la participación en el CIG de los pueblos indígenas y las comunidades locales, el Fondo </w:t>
      </w:r>
      <w:r>
        <w:rPr>
          <w:sz w:val="20"/>
        </w:rPr>
        <w:t xml:space="preserve">de la OMPI </w:t>
      </w:r>
      <w:r w:rsidRPr="00526311">
        <w:rPr>
          <w:sz w:val="20"/>
        </w:rPr>
        <w:t xml:space="preserve">de Contribuciones Voluntarias para las Comunidades Indígenas y Locales Acreditadas </w:t>
      </w:r>
      <w:r>
        <w:rPr>
          <w:sz w:val="20"/>
        </w:rPr>
        <w:t>siguió careciendo</w:t>
      </w:r>
      <w:r w:rsidRPr="00526311">
        <w:rPr>
          <w:sz w:val="20"/>
        </w:rPr>
        <w:t xml:space="preserve"> de recursos.  En octubre de 2014 la Asamblea Gener</w:t>
      </w:r>
      <w:r>
        <w:rPr>
          <w:sz w:val="20"/>
        </w:rPr>
        <w:t xml:space="preserve">al de la OMPI examinó </w:t>
      </w:r>
      <w:r w:rsidRPr="00526311">
        <w:rPr>
          <w:sz w:val="20"/>
        </w:rPr>
        <w:t xml:space="preserve">los textos y los avances realizados, pero </w:t>
      </w:r>
      <w:r>
        <w:rPr>
          <w:sz w:val="20"/>
        </w:rPr>
        <w:t>no logró llegar</w:t>
      </w:r>
      <w:r w:rsidRPr="00526311">
        <w:rPr>
          <w:sz w:val="20"/>
        </w:rPr>
        <w:t xml:space="preserve"> a un acuerdo sobre el programa de trabajo del CIG para 2015.</w:t>
      </w:r>
      <w:r>
        <w:rPr>
          <w:sz w:val="20"/>
        </w:rPr>
        <w:t xml:space="preserve">  En la Asamblea General de la OMPI celebrada en octubre de 2015 se alcanzó un acuerdo en relación con un mandato renovado para el CIG para el bienio 2016/17.</w:t>
      </w:r>
    </w:p>
    <w:p w:rsidR="00FA423E" w:rsidRPr="00526311" w:rsidRDefault="00FA423E" w:rsidP="00FA423E">
      <w:pPr>
        <w:jc w:val="both"/>
        <w:rPr>
          <w:sz w:val="20"/>
        </w:rPr>
      </w:pPr>
    </w:p>
    <w:p w:rsidR="00FA423E" w:rsidRPr="00526311" w:rsidRDefault="00FA423E" w:rsidP="00FA423E">
      <w:pPr>
        <w:numPr>
          <w:ilvl w:val="0"/>
          <w:numId w:val="15"/>
        </w:numPr>
        <w:jc w:val="both"/>
        <w:rPr>
          <w:rFonts w:eastAsia="MS Mincho"/>
          <w:bCs/>
          <w:sz w:val="20"/>
          <w:lang w:eastAsia="ja-JP" w:bidi="th-TH"/>
        </w:rPr>
      </w:pPr>
      <w:r w:rsidRPr="00526311">
        <w:rPr>
          <w:rFonts w:eastAsia="MS Mincho"/>
          <w:bCs/>
          <w:sz w:val="20"/>
          <w:lang w:eastAsia="ja-JP" w:bidi="th-TH"/>
        </w:rPr>
        <w:t>La conclusión satisfactoria de las negociaciones en el marco del CIG es el objeto de la recomendación 18 de la A.D., en la que se insta al Comité a “agilizar el proceso sobre la protección de RR.GG., CC.TT. y folclore, sin perjuicio de ningún posible resultado, como pueda ser la elaboración de un instrumento o instrumentos de dimensión internacional”.  Las actividades normativas del programa en el marco del CIG se siguieron caracterizando por ser incluyentes, estar orientadas hacia los miembros y basarse en consultas abiertas y equilibradas, en particular con la sociedad civil en su conjunto (recomendaciones 15, 21 y 42), y por tener en cuenta el dominio público (recomendaciones 16 y 20) y las flexibilidades establecidas en los acuerdos internacionales (recomendaciones 14 y 17).  Las negociaciones mantenidas en el CIG facilitaron la incorporación de las cuestiones de desarrollo y contribuyeron a los objetivos de desarrollo de las Naciones Unidas (recomendaciones 12 y 22).</w:t>
      </w:r>
    </w:p>
    <w:p w:rsidR="00FA423E" w:rsidRPr="00526311" w:rsidRDefault="00FA423E" w:rsidP="00FA423E">
      <w:pPr>
        <w:jc w:val="both"/>
        <w:rPr>
          <w:sz w:val="20"/>
        </w:rPr>
      </w:pPr>
    </w:p>
    <w:p w:rsidR="00FA423E" w:rsidRPr="00526311" w:rsidRDefault="00FA423E" w:rsidP="00FA423E">
      <w:pPr>
        <w:numPr>
          <w:ilvl w:val="0"/>
          <w:numId w:val="15"/>
        </w:numPr>
        <w:jc w:val="both"/>
        <w:rPr>
          <w:sz w:val="20"/>
        </w:rPr>
      </w:pPr>
      <w:r w:rsidRPr="00526311">
        <w:rPr>
          <w:sz w:val="20"/>
        </w:rPr>
        <w:t>En relación con el fortalecimiento de capacidades y la sensibilización, se prosiguió la labor relativa a la divulgación entre los pueblos indígenas y las comunidades locales con vistas a familiarizarlos aún más con la P.I. y facilitar su participación efectiva en el proceso del CIG;  la asistencia, previa petición, en relación con el desarrollo de legislación y las polí</w:t>
      </w:r>
      <w:r>
        <w:rPr>
          <w:sz w:val="20"/>
        </w:rPr>
        <w:t xml:space="preserve">ticas nacionales y regionales, </w:t>
      </w:r>
      <w:r w:rsidRPr="00526311">
        <w:rPr>
          <w:sz w:val="20"/>
        </w:rPr>
        <w:t>y la consecución de soluciones prácticas a todos los niveles mediante la mayor comprensión de los probl</w:t>
      </w:r>
      <w:r>
        <w:rPr>
          <w:sz w:val="20"/>
        </w:rPr>
        <w:t>emas y las opciones.  En 2015 la Secretaría organizó</w:t>
      </w:r>
      <w:r w:rsidRPr="00526311">
        <w:rPr>
          <w:sz w:val="20"/>
        </w:rPr>
        <w:t xml:space="preserve"> </w:t>
      </w:r>
      <w:r>
        <w:rPr>
          <w:sz w:val="20"/>
        </w:rPr>
        <w:t xml:space="preserve">en Ginebra dos seminarios internacionales abiertos a todos los Estados miembros y observadores sobre P.I., RR.GG., CC.TT. y ECT.  En los seminarios se intercambiaron experiencias regionales, nacionales y locales, y los países y demás partes interesadas pudieron debatir acerca de cuestiones relativas a las políticas en un ambiente menos formal.  En el transcurso del bienio </w:t>
      </w:r>
      <w:r w:rsidRPr="00526311">
        <w:rPr>
          <w:sz w:val="20"/>
        </w:rPr>
        <w:t>la Secretaría respo</w:t>
      </w:r>
      <w:r>
        <w:rPr>
          <w:sz w:val="20"/>
        </w:rPr>
        <w:t>ndió de forma positiva a algo menos de 8</w:t>
      </w:r>
      <w:r w:rsidRPr="00526311">
        <w:rPr>
          <w:sz w:val="20"/>
        </w:rPr>
        <w:t>0 solicitudes provenientes de Estados miembros, ONG, pueblos indígenas y comunidades locales, asociaciones profesionales y universidades</w:t>
      </w:r>
      <w:r>
        <w:rPr>
          <w:sz w:val="20"/>
        </w:rPr>
        <w:t>,</w:t>
      </w:r>
      <w:r w:rsidRPr="00526311">
        <w:rPr>
          <w:sz w:val="20"/>
        </w:rPr>
        <w:t xml:space="preserve"> para la celebración de </w:t>
      </w:r>
      <w:r>
        <w:rPr>
          <w:sz w:val="20"/>
        </w:rPr>
        <w:t xml:space="preserve">talleres, </w:t>
      </w:r>
      <w:r w:rsidRPr="00526311">
        <w:rPr>
          <w:sz w:val="20"/>
        </w:rPr>
        <w:t>sesiones informativas y</w:t>
      </w:r>
      <w:r>
        <w:rPr>
          <w:sz w:val="20"/>
        </w:rPr>
        <w:t xml:space="preserve"> otro tipo de exposiciones</w:t>
      </w:r>
      <w:r w:rsidRPr="00526311">
        <w:rPr>
          <w:sz w:val="20"/>
        </w:rPr>
        <w:t xml:space="preserve"> en Ginebra o en otros lugares.  </w:t>
      </w:r>
      <w:r>
        <w:rPr>
          <w:sz w:val="20"/>
        </w:rPr>
        <w:t>Seis paí</w:t>
      </w:r>
      <w:r w:rsidRPr="00526311">
        <w:rPr>
          <w:sz w:val="20"/>
        </w:rPr>
        <w:t>s</w:t>
      </w:r>
      <w:r>
        <w:rPr>
          <w:sz w:val="20"/>
        </w:rPr>
        <w:t>es que lo solicitaron recibieron</w:t>
      </w:r>
      <w:r w:rsidRPr="00526311">
        <w:rPr>
          <w:sz w:val="20"/>
        </w:rPr>
        <w:t xml:space="preserve"> asistencia en materia legislativa</w:t>
      </w:r>
      <w:r>
        <w:rPr>
          <w:sz w:val="20"/>
        </w:rPr>
        <w:t xml:space="preserve"> y de política.  En</w:t>
      </w:r>
      <w:r w:rsidRPr="00526311">
        <w:rPr>
          <w:sz w:val="20"/>
        </w:rPr>
        <w:t xml:space="preserve"> 2014 </w:t>
      </w:r>
      <w:r>
        <w:rPr>
          <w:sz w:val="20"/>
        </w:rPr>
        <w:t>y 2015 se organizaron asimismo</w:t>
      </w:r>
      <w:r w:rsidRPr="00526311">
        <w:rPr>
          <w:sz w:val="20"/>
        </w:rPr>
        <w:t xml:space="preserve"> un</w:t>
      </w:r>
      <w:r>
        <w:rPr>
          <w:sz w:val="20"/>
        </w:rPr>
        <w:t>a</w:t>
      </w:r>
      <w:r w:rsidRPr="00526311">
        <w:rPr>
          <w:sz w:val="20"/>
        </w:rPr>
        <w:t xml:space="preserve"> </w:t>
      </w:r>
      <w:r>
        <w:rPr>
          <w:sz w:val="20"/>
        </w:rPr>
        <w:t xml:space="preserve">serie de </w:t>
      </w:r>
      <w:r w:rsidRPr="00526311">
        <w:rPr>
          <w:sz w:val="20"/>
        </w:rPr>
        <w:t>taller</w:t>
      </w:r>
      <w:r>
        <w:rPr>
          <w:sz w:val="20"/>
        </w:rPr>
        <w:t>es</w:t>
      </w:r>
      <w:r w:rsidRPr="00526311">
        <w:rPr>
          <w:sz w:val="20"/>
        </w:rPr>
        <w:t xml:space="preserve"> práctico</w:t>
      </w:r>
      <w:r>
        <w:rPr>
          <w:sz w:val="20"/>
        </w:rPr>
        <w:t>s</w:t>
      </w:r>
      <w:r w:rsidRPr="00526311">
        <w:rPr>
          <w:sz w:val="20"/>
        </w:rPr>
        <w:t xml:space="preserve"> destinado</w:t>
      </w:r>
      <w:r>
        <w:rPr>
          <w:sz w:val="20"/>
        </w:rPr>
        <w:t>s</w:t>
      </w:r>
      <w:r w:rsidRPr="00526311">
        <w:rPr>
          <w:sz w:val="20"/>
        </w:rPr>
        <w:t xml:space="preserve"> a </w:t>
      </w:r>
      <w:r>
        <w:rPr>
          <w:sz w:val="20"/>
        </w:rPr>
        <w:t xml:space="preserve">intercambiar conocimientos, crear entendimiento </w:t>
      </w:r>
      <w:r w:rsidRPr="00942E6E">
        <w:rPr>
          <w:sz w:val="20"/>
        </w:rPr>
        <w:t>y fomentar la coo</w:t>
      </w:r>
      <w:r>
        <w:rPr>
          <w:sz w:val="20"/>
        </w:rPr>
        <w:t>peración.  Se celebraron talleres en Ginebra (diciembre de 2014), Windhoek (Namibia, agosto de 2015), ciudad de Panamá (noviembre de 2015) y Apia (Samoa, diciembre de 2015)</w:t>
      </w:r>
      <w:r w:rsidRPr="00526311">
        <w:rPr>
          <w:sz w:val="20"/>
        </w:rPr>
        <w:t xml:space="preserve">.  La OMPI siguió contribuyendo en calidad de </w:t>
      </w:r>
      <w:r>
        <w:rPr>
          <w:sz w:val="20"/>
        </w:rPr>
        <w:t>a</w:t>
      </w:r>
      <w:r w:rsidRPr="00526311">
        <w:rPr>
          <w:sz w:val="20"/>
        </w:rPr>
        <w:t>soci</w:t>
      </w:r>
      <w:r>
        <w:rPr>
          <w:sz w:val="20"/>
        </w:rPr>
        <w:t>ad</w:t>
      </w:r>
      <w:r w:rsidRPr="00526311">
        <w:rPr>
          <w:sz w:val="20"/>
        </w:rPr>
        <w:t xml:space="preserve">o técnico a diversos proyectos regionales en África, Asia y el Pacífico, y América Latina y el Caribe.  </w:t>
      </w:r>
      <w:r>
        <w:rPr>
          <w:sz w:val="20"/>
        </w:rPr>
        <w:t>Además, siguió facilitando</w:t>
      </w:r>
      <w:r w:rsidRPr="00526311">
        <w:rPr>
          <w:sz w:val="20"/>
        </w:rPr>
        <w:t xml:space="preserve"> una serie de publicacion</w:t>
      </w:r>
      <w:r>
        <w:rPr>
          <w:sz w:val="20"/>
        </w:rPr>
        <w:t>es cortas y accesibles sobre</w:t>
      </w:r>
      <w:r w:rsidRPr="00526311">
        <w:rPr>
          <w:sz w:val="20"/>
        </w:rPr>
        <w:t xml:space="preserve"> cuestiones fundamentales y </w:t>
      </w:r>
      <w:r>
        <w:rPr>
          <w:sz w:val="20"/>
        </w:rPr>
        <w:t xml:space="preserve">en 2014 </w:t>
      </w:r>
      <w:r w:rsidRPr="00526311">
        <w:rPr>
          <w:sz w:val="20"/>
        </w:rPr>
        <w:t xml:space="preserve">publicó una guía práctica sobre la propiedad intelectual y los festivales de </w:t>
      </w:r>
      <w:r w:rsidRPr="00526311">
        <w:rPr>
          <w:sz w:val="20"/>
        </w:rPr>
        <w:lastRenderedPageBreak/>
        <w:t>folclore, artísticos y culturales.</w:t>
      </w:r>
      <w:r w:rsidRPr="00526311">
        <w:rPr>
          <w:rStyle w:val="FootnoteReference"/>
        </w:rPr>
        <w:footnoteReference w:id="17"/>
      </w:r>
      <w:r>
        <w:rPr>
          <w:sz w:val="20"/>
        </w:rPr>
        <w:t xml:space="preserve">  En abril de 2015 se puso en marcha, en cooperación con la Academia de la OMPI, un curso de enseñanza a distancia sobre P.I., CC.TT. y ECT.</w:t>
      </w:r>
    </w:p>
    <w:p w:rsidR="00FA423E" w:rsidRPr="00526311" w:rsidRDefault="00FA423E" w:rsidP="00FA423E">
      <w:pPr>
        <w:jc w:val="both"/>
        <w:rPr>
          <w:sz w:val="20"/>
        </w:rPr>
      </w:pPr>
    </w:p>
    <w:p w:rsidR="00FA423E" w:rsidRPr="00526311" w:rsidRDefault="00FA423E" w:rsidP="00FA423E">
      <w:pPr>
        <w:numPr>
          <w:ilvl w:val="0"/>
          <w:numId w:val="15"/>
        </w:numPr>
        <w:jc w:val="both"/>
        <w:rPr>
          <w:sz w:val="20"/>
        </w:rPr>
      </w:pPr>
      <w:r w:rsidRPr="00526311">
        <w:rPr>
          <w:sz w:val="20"/>
        </w:rPr>
        <w:t>Con el fin de fomentar la cooperación con otros foros y organ</w:t>
      </w:r>
      <w:r>
        <w:rPr>
          <w:sz w:val="20"/>
        </w:rPr>
        <w:t xml:space="preserve">izaciones intergubernamentales </w:t>
      </w:r>
      <w:r w:rsidRPr="00526311">
        <w:rPr>
          <w:sz w:val="20"/>
        </w:rPr>
        <w:t>pertinentes, la Secretaría reforzó su colaboración con la Secretaría del Convenio sobre la Diversidad Biológica (CDB) y el Protocolo de Nagoya sobre Acceso a los Recursos Genéticos y Participación Justa y Equitativa en los Beneficios que se deriven de su Utilización</w:t>
      </w:r>
      <w:r w:rsidRPr="00526311">
        <w:rPr>
          <w:iCs/>
          <w:sz w:val="20"/>
        </w:rPr>
        <w:t xml:space="preserve">, en particular mediante la organización </w:t>
      </w:r>
      <w:r>
        <w:rPr>
          <w:iCs/>
          <w:sz w:val="20"/>
        </w:rPr>
        <w:t xml:space="preserve">conjunta </w:t>
      </w:r>
      <w:r w:rsidRPr="00526311">
        <w:rPr>
          <w:iCs/>
          <w:sz w:val="20"/>
        </w:rPr>
        <w:t xml:space="preserve">de talleres destinados a funcionarios y a representantes de las poblaciones indígenas y comunidades </w:t>
      </w:r>
      <w:r>
        <w:rPr>
          <w:iCs/>
          <w:sz w:val="20"/>
        </w:rPr>
        <w:t xml:space="preserve">locales.  La Secretaría </w:t>
      </w:r>
      <w:r w:rsidRPr="00526311">
        <w:rPr>
          <w:iCs/>
          <w:sz w:val="20"/>
        </w:rPr>
        <w:t>colaboró con el Foro Permanente de las Naciones Unidas para las Cuestiones Indígenas y participó en su</w:t>
      </w:r>
      <w:r>
        <w:rPr>
          <w:iCs/>
          <w:sz w:val="20"/>
        </w:rPr>
        <w:t>s</w:t>
      </w:r>
      <w:r w:rsidRPr="00526311">
        <w:rPr>
          <w:iCs/>
          <w:sz w:val="20"/>
        </w:rPr>
        <w:t xml:space="preserve"> 13º </w:t>
      </w:r>
      <w:r>
        <w:rPr>
          <w:iCs/>
          <w:sz w:val="20"/>
        </w:rPr>
        <w:t xml:space="preserve">y 14º </w:t>
      </w:r>
      <w:r w:rsidRPr="00526311">
        <w:rPr>
          <w:iCs/>
          <w:sz w:val="20"/>
        </w:rPr>
        <w:t>período</w:t>
      </w:r>
      <w:r>
        <w:rPr>
          <w:iCs/>
          <w:sz w:val="20"/>
        </w:rPr>
        <w:t>s</w:t>
      </w:r>
      <w:r w:rsidRPr="00526311">
        <w:rPr>
          <w:iCs/>
          <w:sz w:val="20"/>
        </w:rPr>
        <w:t xml:space="preserve"> de sesiones, </w:t>
      </w:r>
      <w:r>
        <w:rPr>
          <w:iCs/>
          <w:sz w:val="20"/>
        </w:rPr>
        <w:t xml:space="preserve">celebrados en </w:t>
      </w:r>
      <w:r w:rsidRPr="00526311">
        <w:rPr>
          <w:sz w:val="20"/>
        </w:rPr>
        <w:t>2014</w:t>
      </w:r>
      <w:r>
        <w:rPr>
          <w:sz w:val="20"/>
        </w:rPr>
        <w:t xml:space="preserve"> y 2015 respectivamente, así como</w:t>
      </w:r>
      <w:r w:rsidRPr="00526311">
        <w:rPr>
          <w:sz w:val="20"/>
        </w:rPr>
        <w:t xml:space="preserve"> en la Conferencia Mundial sobre Pueblos Indígenas en septiembre de 2014, con miras a potenciar su colaboración con las organizaciones indígenas y comunitarias locales y otras organizaciones de las </w:t>
      </w:r>
      <w:r>
        <w:rPr>
          <w:sz w:val="20"/>
        </w:rPr>
        <w:t>Naciones Unidas</w:t>
      </w:r>
      <w:r w:rsidRPr="00526311">
        <w:rPr>
          <w:sz w:val="20"/>
        </w:rPr>
        <w:t xml:space="preserve">.  A petición de la Secretaría del </w:t>
      </w:r>
      <w:r w:rsidRPr="00526311">
        <w:rPr>
          <w:iCs/>
          <w:sz w:val="20"/>
        </w:rPr>
        <w:t>Foro Permanente</w:t>
      </w:r>
      <w:r w:rsidRPr="00526311">
        <w:rPr>
          <w:sz w:val="20"/>
        </w:rPr>
        <w:t>, la Secretaría de la OMPI proporcionó ayuda</w:t>
      </w:r>
      <w:r>
        <w:rPr>
          <w:sz w:val="20"/>
        </w:rPr>
        <w:t xml:space="preserve"> financiera para la elaboración por un experto indígena</w:t>
      </w:r>
      <w:r w:rsidRPr="00526311">
        <w:rPr>
          <w:sz w:val="20"/>
        </w:rPr>
        <w:t xml:space="preserve"> de un estudio técnico para el Foro</w:t>
      </w:r>
      <w:r>
        <w:rPr>
          <w:sz w:val="20"/>
        </w:rPr>
        <w:t>,</w:t>
      </w:r>
      <w:r w:rsidRPr="00526311">
        <w:rPr>
          <w:sz w:val="20"/>
        </w:rPr>
        <w:t xml:space="preserve"> sobre los proyectos de textos del CIG desde </w:t>
      </w:r>
      <w:r>
        <w:rPr>
          <w:sz w:val="20"/>
        </w:rPr>
        <w:t>l</w:t>
      </w:r>
      <w:r w:rsidRPr="00526311">
        <w:rPr>
          <w:sz w:val="20"/>
        </w:rPr>
        <w:t xml:space="preserve">a perspectiva de </w:t>
      </w:r>
      <w:r>
        <w:rPr>
          <w:sz w:val="20"/>
        </w:rPr>
        <w:t xml:space="preserve">los </w:t>
      </w:r>
      <w:r w:rsidRPr="00526311">
        <w:rPr>
          <w:sz w:val="20"/>
        </w:rPr>
        <w:t>derechos humanos.</w:t>
      </w:r>
    </w:p>
    <w:p w:rsidR="00FA423E" w:rsidRPr="00526311" w:rsidRDefault="00FA423E" w:rsidP="00FA423E">
      <w:pPr>
        <w:jc w:val="both"/>
        <w:rPr>
          <w:sz w:val="20"/>
        </w:rPr>
      </w:pPr>
    </w:p>
    <w:p w:rsidR="00FA423E" w:rsidRPr="00526311" w:rsidRDefault="00FA423E" w:rsidP="00FA423E">
      <w:pPr>
        <w:numPr>
          <w:ilvl w:val="0"/>
          <w:numId w:val="15"/>
        </w:numPr>
        <w:jc w:val="both"/>
        <w:rPr>
          <w:rFonts w:eastAsia="MS Mincho"/>
          <w:bCs/>
          <w:sz w:val="20"/>
          <w:lang w:eastAsia="ja-JP" w:bidi="th-TH"/>
        </w:rPr>
      </w:pPr>
      <w:r w:rsidRPr="00526311">
        <w:rPr>
          <w:rFonts w:eastAsia="MS Mincho"/>
          <w:bCs/>
          <w:sz w:val="20"/>
          <w:lang w:eastAsia="ja-JP" w:bidi="th-TH"/>
        </w:rPr>
        <w:t>Las actividades del programa en materia de asistencia técnica, fortalecimiento de capacidad</w:t>
      </w:r>
      <w:r>
        <w:rPr>
          <w:rFonts w:eastAsia="MS Mincho"/>
          <w:bCs/>
          <w:sz w:val="20"/>
          <w:lang w:eastAsia="ja-JP" w:bidi="th-TH"/>
        </w:rPr>
        <w:t>es</w:t>
      </w:r>
      <w:r w:rsidRPr="00526311">
        <w:rPr>
          <w:rFonts w:eastAsia="MS Mincho"/>
          <w:bCs/>
          <w:sz w:val="20"/>
          <w:lang w:eastAsia="ja-JP" w:bidi="th-TH"/>
        </w:rPr>
        <w:t xml:space="preserve"> y asistencia legislativa contribuyeron directamente al desarrollo y a la aplicación de otras recomendaciones de la A.D., en particular velando por que la asistencia técnica esté orientada a potenciar el desarrollo y obedezca a una demanda (recomendaciones 1 y 12), prestando asesoramiento legislativo y de política respecto de textos normativos nacionales (recomendaciones 11, 13 y 14), potenciando la sensibilización acerca de la P.I. en relación con los CC.TT., los RR.GG. y las ECT (recomendación 3) e intensificando la cooperación en cuestiones relacionadas con la P.I. con los organismos de las Naciones Unidas (recomendación 40).</w:t>
      </w:r>
    </w:p>
    <w:p w:rsidR="00FA423E" w:rsidRPr="00D72FB9" w:rsidRDefault="00FA423E" w:rsidP="00FA423E">
      <w:pPr>
        <w:jc w:val="both"/>
        <w:rPr>
          <w:sz w:val="20"/>
        </w:rPr>
      </w:pPr>
    </w:p>
    <w:p w:rsidR="00FA423E" w:rsidRPr="00D72FB9" w:rsidRDefault="00FA423E" w:rsidP="00FA423E">
      <w:pPr>
        <w:rPr>
          <w:b/>
          <w:sz w:val="20"/>
        </w:rPr>
      </w:pPr>
    </w:p>
    <w:p w:rsidR="00FA423E" w:rsidRPr="00526311" w:rsidRDefault="008F7CBE" w:rsidP="00FA423E">
      <w:pPr>
        <w:rPr>
          <w:szCs w:val="22"/>
        </w:rPr>
      </w:pPr>
      <w:r w:rsidRPr="008F7CBE">
        <w:rPr>
          <w:sz w:val="20"/>
          <w:szCs w:val="22"/>
        </w:rPr>
        <w:t>DATOS SOBRE EL RENDIMIENTO</w:t>
      </w:r>
    </w:p>
    <w:p w:rsidR="00FA423E" w:rsidRPr="00526311" w:rsidRDefault="00FA423E" w:rsidP="00FA423E">
      <w:pPr>
        <w:rPr>
          <w:sz w:val="20"/>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7"/>
        <w:gridCol w:w="2419"/>
        <w:gridCol w:w="1134"/>
        <w:gridCol w:w="285"/>
        <w:gridCol w:w="1984"/>
        <w:gridCol w:w="1421"/>
      </w:tblGrid>
      <w:tr w:rsidR="00FA423E" w:rsidRPr="00526311" w:rsidTr="00DC1333">
        <w:trPr>
          <w:cantSplit/>
          <w:trHeight w:val="758"/>
        </w:trPr>
        <w:tc>
          <w:tcPr>
            <w:tcW w:w="5000" w:type="pct"/>
            <w:gridSpan w:val="6"/>
            <w:tcBorders>
              <w:top w:val="single" w:sz="4" w:space="0" w:color="auto"/>
              <w:bottom w:val="nil"/>
            </w:tcBorders>
            <w:shd w:val="clear" w:color="auto" w:fill="C6D9F1" w:themeFill="text2" w:themeFillTint="33"/>
            <w:vAlign w:val="center"/>
          </w:tcPr>
          <w:p w:rsidR="00FA423E" w:rsidRPr="00526311" w:rsidRDefault="00FA423E" w:rsidP="00DC1333">
            <w:pPr>
              <w:keepNext/>
              <w:keepLines/>
              <w:tabs>
                <w:tab w:val="left" w:pos="1452"/>
              </w:tabs>
              <w:ind w:left="2019" w:hanging="2019"/>
              <w:rPr>
                <w:b/>
                <w:bCs/>
                <w:sz w:val="16"/>
                <w:szCs w:val="16"/>
              </w:rPr>
            </w:pPr>
            <w:r w:rsidRPr="00526311">
              <w:rPr>
                <w:b/>
                <w:bCs/>
                <w:sz w:val="16"/>
                <w:szCs w:val="16"/>
              </w:rPr>
              <w:t>Resultado previsto:</w:t>
            </w:r>
            <w:r w:rsidRPr="00526311">
              <w:rPr>
                <w:bCs/>
                <w:sz w:val="16"/>
                <w:szCs w:val="16"/>
              </w:rPr>
              <w:tab/>
              <w:t>I.1 Mejor cooperación entre los Estados miembros en lo que atañe a la elaboración de marcos normativos internacionales equilibrados para la P.I. y fomento de acuerdos sobre las cuestiones específicas respecto de las que se acuerdan instrumentos internacionales</w:t>
            </w:r>
          </w:p>
        </w:tc>
      </w:tr>
      <w:tr w:rsidR="00FA423E" w:rsidRPr="00526311" w:rsidTr="00DC1333">
        <w:trPr>
          <w:cantSplit/>
        </w:trPr>
        <w:tc>
          <w:tcPr>
            <w:tcW w:w="1131" w:type="pct"/>
            <w:tcBorders>
              <w:top w:val="single" w:sz="4" w:space="0" w:color="auto"/>
              <w:bottom w:val="nil"/>
            </w:tcBorders>
            <w:vAlign w:val="center"/>
          </w:tcPr>
          <w:p w:rsidR="00FA423E" w:rsidRPr="00526311" w:rsidRDefault="00FA423E" w:rsidP="00DC1333">
            <w:pPr>
              <w:rPr>
                <w:sz w:val="16"/>
                <w:szCs w:val="16"/>
              </w:rPr>
            </w:pPr>
            <w:r w:rsidRPr="00526311">
              <w:rPr>
                <w:b/>
                <w:sz w:val="16"/>
                <w:szCs w:val="16"/>
              </w:rPr>
              <w:t>Indicadores de rendimiento</w:t>
            </w:r>
          </w:p>
        </w:tc>
        <w:tc>
          <w:tcPr>
            <w:tcW w:w="1292" w:type="pct"/>
            <w:tcBorders>
              <w:top w:val="single" w:sz="4" w:space="0" w:color="auto"/>
              <w:bottom w:val="nil"/>
            </w:tcBorders>
            <w:shd w:val="clear" w:color="auto" w:fill="auto"/>
            <w:vAlign w:val="center"/>
          </w:tcPr>
          <w:p w:rsidR="00FA423E" w:rsidRPr="00526311" w:rsidRDefault="00FA423E" w:rsidP="00DC1333">
            <w:pPr>
              <w:rPr>
                <w:b/>
                <w:bCs/>
                <w:sz w:val="16"/>
                <w:szCs w:val="16"/>
              </w:rPr>
            </w:pPr>
            <w:r w:rsidRPr="00526311">
              <w:rPr>
                <w:b/>
                <w:bCs/>
                <w:sz w:val="16"/>
                <w:szCs w:val="16"/>
              </w:rPr>
              <w:t>Referencia</w:t>
            </w:r>
          </w:p>
        </w:tc>
        <w:tc>
          <w:tcPr>
            <w:tcW w:w="758" w:type="pct"/>
            <w:gridSpan w:val="2"/>
            <w:tcBorders>
              <w:top w:val="single" w:sz="4" w:space="0" w:color="auto"/>
              <w:bottom w:val="nil"/>
            </w:tcBorders>
            <w:tcMar>
              <w:top w:w="110" w:type="dxa"/>
            </w:tcMar>
            <w:vAlign w:val="center"/>
          </w:tcPr>
          <w:p w:rsidR="00FA423E" w:rsidRPr="00526311" w:rsidRDefault="00FA423E" w:rsidP="00DC1333">
            <w:pPr>
              <w:rPr>
                <w:b/>
                <w:sz w:val="16"/>
                <w:szCs w:val="16"/>
              </w:rPr>
            </w:pPr>
            <w:r w:rsidRPr="00526311">
              <w:rPr>
                <w:b/>
                <w:sz w:val="16"/>
                <w:szCs w:val="16"/>
              </w:rPr>
              <w:t>Objetivos</w:t>
            </w:r>
          </w:p>
        </w:tc>
        <w:tc>
          <w:tcPr>
            <w:tcW w:w="1060" w:type="pct"/>
            <w:tcBorders>
              <w:top w:val="single" w:sz="4" w:space="0" w:color="auto"/>
              <w:bottom w:val="nil"/>
            </w:tcBorders>
            <w:shd w:val="clear" w:color="auto" w:fill="FFFFFF"/>
            <w:tcMar>
              <w:top w:w="110" w:type="dxa"/>
            </w:tcMar>
            <w:vAlign w:val="center"/>
          </w:tcPr>
          <w:p w:rsidR="00FA423E" w:rsidRPr="00526311" w:rsidRDefault="00FA423E" w:rsidP="00DC1333">
            <w:pPr>
              <w:ind w:right="-179"/>
              <w:rPr>
                <w:sz w:val="16"/>
                <w:szCs w:val="16"/>
              </w:rPr>
            </w:pPr>
            <w:r w:rsidRPr="00526311">
              <w:rPr>
                <w:b/>
                <w:sz w:val="16"/>
                <w:szCs w:val="16"/>
              </w:rPr>
              <w:t>Datos sobre el rendimiento</w:t>
            </w:r>
          </w:p>
        </w:tc>
        <w:tc>
          <w:tcPr>
            <w:tcW w:w="759" w:type="pct"/>
            <w:tcBorders>
              <w:top w:val="single" w:sz="4" w:space="0" w:color="auto"/>
              <w:bottom w:val="nil"/>
            </w:tcBorders>
            <w:tcMar>
              <w:top w:w="110" w:type="dxa"/>
            </w:tcMar>
            <w:vAlign w:val="center"/>
          </w:tcPr>
          <w:p w:rsidR="00FA423E" w:rsidRPr="00526311" w:rsidRDefault="00FA423E" w:rsidP="00DC1333">
            <w:pPr>
              <w:keepNext/>
              <w:keepLines/>
              <w:ind w:left="-136"/>
              <w:jc w:val="center"/>
              <w:rPr>
                <w:b/>
                <w:bCs/>
                <w:sz w:val="16"/>
                <w:szCs w:val="16"/>
              </w:rPr>
            </w:pPr>
            <w:r w:rsidRPr="00526311">
              <w:rPr>
                <w:b/>
                <w:bCs/>
                <w:sz w:val="16"/>
                <w:szCs w:val="16"/>
              </w:rPr>
              <w:t>Clave de colores</w:t>
            </w:r>
          </w:p>
        </w:tc>
      </w:tr>
      <w:tr w:rsidR="00FA423E" w:rsidRPr="00526311" w:rsidTr="00DC1333">
        <w:trPr>
          <w:cantSplit/>
        </w:trPr>
        <w:tc>
          <w:tcPr>
            <w:tcW w:w="1131" w:type="pct"/>
            <w:tcBorders>
              <w:top w:val="nil"/>
              <w:bottom w:val="single" w:sz="4" w:space="0" w:color="auto"/>
            </w:tcBorders>
          </w:tcPr>
          <w:p w:rsidR="00FA423E" w:rsidRPr="00526311" w:rsidRDefault="00FA423E" w:rsidP="00DC1333">
            <w:pPr>
              <w:rPr>
                <w:sz w:val="16"/>
                <w:szCs w:val="16"/>
              </w:rPr>
            </w:pPr>
            <w:r w:rsidRPr="00526311">
              <w:rPr>
                <w:sz w:val="16"/>
                <w:szCs w:val="16"/>
              </w:rPr>
              <w:t>Acuerdo en las negociaciones del CIG sobre uno o varios instrumentos jurídicos internacionales relativos a los CC.TT., ECT y RR.GG.</w:t>
            </w:r>
          </w:p>
        </w:tc>
        <w:tc>
          <w:tcPr>
            <w:tcW w:w="1292" w:type="pct"/>
            <w:tcBorders>
              <w:top w:val="nil"/>
              <w:bottom w:val="single" w:sz="4" w:space="0" w:color="auto"/>
            </w:tcBorders>
            <w:shd w:val="clear" w:color="auto" w:fill="auto"/>
          </w:tcPr>
          <w:p w:rsidR="00FA423E" w:rsidRPr="00526311" w:rsidRDefault="00FA423E" w:rsidP="00DC1333">
            <w:pPr>
              <w:rPr>
                <w:i/>
                <w:color w:val="002060"/>
                <w:sz w:val="16"/>
                <w:szCs w:val="16"/>
              </w:rPr>
            </w:pPr>
            <w:r w:rsidRPr="00526311">
              <w:rPr>
                <w:i/>
                <w:color w:val="002060"/>
                <w:sz w:val="16"/>
                <w:szCs w:val="16"/>
              </w:rPr>
              <w:t>Referencia actualizada a fines de 2013:  La Asamblea General de la OMPI celebrada en octubre de 2013 acordó un mandato renovado para el CIG para 2014/15 y un programa de trabajo para 2014</w:t>
            </w:r>
          </w:p>
          <w:p w:rsidR="00FA423E" w:rsidRPr="00526311" w:rsidRDefault="00FA423E" w:rsidP="00DC1333">
            <w:pPr>
              <w:rPr>
                <w:i/>
                <w:color w:val="002060"/>
                <w:sz w:val="8"/>
                <w:szCs w:val="8"/>
              </w:rPr>
            </w:pPr>
          </w:p>
          <w:p w:rsidR="00FA423E" w:rsidRPr="00526311" w:rsidRDefault="00FA423E" w:rsidP="00DC1333">
            <w:pPr>
              <w:rPr>
                <w:sz w:val="16"/>
                <w:szCs w:val="16"/>
              </w:rPr>
            </w:pPr>
            <w:r w:rsidRPr="00526311">
              <w:rPr>
                <w:i/>
                <w:sz w:val="16"/>
                <w:szCs w:val="16"/>
              </w:rPr>
              <w:t>Referencia original en el presupuesto de 2014/15:</w:t>
            </w:r>
            <w:r>
              <w:rPr>
                <w:i/>
                <w:sz w:val="16"/>
                <w:szCs w:val="16"/>
              </w:rPr>
              <w:t xml:space="preserve">  </w:t>
            </w:r>
          </w:p>
          <w:p w:rsidR="00FA423E" w:rsidRPr="00526311" w:rsidRDefault="00FA423E" w:rsidP="00DC1333">
            <w:pPr>
              <w:rPr>
                <w:sz w:val="16"/>
                <w:szCs w:val="16"/>
              </w:rPr>
            </w:pPr>
            <w:r w:rsidRPr="00526311">
              <w:rPr>
                <w:sz w:val="16"/>
                <w:szCs w:val="16"/>
              </w:rPr>
              <w:t>Negociaciones en curso en el marco del mandato del CIG correspondiente a 2012-2013 y programa de trabajo de 2013</w:t>
            </w:r>
          </w:p>
          <w:p w:rsidR="00FA423E" w:rsidRPr="00526311" w:rsidRDefault="00FA423E" w:rsidP="00DC1333">
            <w:pPr>
              <w:rPr>
                <w:sz w:val="16"/>
                <w:szCs w:val="16"/>
              </w:rPr>
            </w:pPr>
          </w:p>
        </w:tc>
        <w:tc>
          <w:tcPr>
            <w:tcW w:w="758" w:type="pct"/>
            <w:gridSpan w:val="2"/>
            <w:tcBorders>
              <w:top w:val="nil"/>
              <w:bottom w:val="single" w:sz="4" w:space="0" w:color="auto"/>
            </w:tcBorders>
            <w:tcMar>
              <w:top w:w="110" w:type="dxa"/>
            </w:tcMar>
          </w:tcPr>
          <w:p w:rsidR="00FA423E" w:rsidRPr="00526311" w:rsidRDefault="00FA423E" w:rsidP="00DC1333">
            <w:pPr>
              <w:autoSpaceDE w:val="0"/>
              <w:autoSpaceDN w:val="0"/>
              <w:adjustRightInd w:val="0"/>
              <w:rPr>
                <w:sz w:val="16"/>
                <w:szCs w:val="16"/>
              </w:rPr>
            </w:pPr>
            <w:r w:rsidRPr="00526311">
              <w:rPr>
                <w:sz w:val="16"/>
                <w:szCs w:val="16"/>
              </w:rPr>
              <w:t>Adopción de uno o varios instrumentos internacionales en una conferencia diplomática</w:t>
            </w:r>
          </w:p>
        </w:tc>
        <w:tc>
          <w:tcPr>
            <w:tcW w:w="1060" w:type="pct"/>
            <w:tcBorders>
              <w:top w:val="nil"/>
              <w:bottom w:val="single" w:sz="4" w:space="0" w:color="auto"/>
            </w:tcBorders>
            <w:shd w:val="clear" w:color="auto" w:fill="FFFFFF"/>
            <w:tcMar>
              <w:top w:w="110" w:type="dxa"/>
            </w:tcMar>
          </w:tcPr>
          <w:p w:rsidR="00FA423E" w:rsidRPr="00526311" w:rsidRDefault="00FA423E" w:rsidP="00DC1333">
            <w:pPr>
              <w:ind w:right="-89"/>
              <w:rPr>
                <w:sz w:val="16"/>
                <w:szCs w:val="16"/>
              </w:rPr>
            </w:pPr>
            <w:r w:rsidRPr="00526311">
              <w:rPr>
                <w:sz w:val="16"/>
                <w:szCs w:val="16"/>
                <w:lang w:bidi="th-TH"/>
              </w:rPr>
              <w:t>Tras tres sesiones adicionales en 2014, el CIG logró avanzar en sus negociaciones basadas en textos, conforme al mandato recibido. La Asamblea General de la OMPI, celebrada en octubre de 2014, no llegó a un acuerdo sobre el programa de trabajo del CIG para 2015</w:t>
            </w:r>
            <w:r>
              <w:rPr>
                <w:sz w:val="16"/>
                <w:szCs w:val="16"/>
                <w:lang w:bidi="th-TH"/>
              </w:rPr>
              <w:t xml:space="preserve">.  </w:t>
            </w:r>
            <w:r w:rsidRPr="00843D70">
              <w:rPr>
                <w:sz w:val="16"/>
                <w:szCs w:val="16"/>
                <w:lang w:bidi="th-TH"/>
              </w:rPr>
              <w:t xml:space="preserve">En la Asamblea </w:t>
            </w:r>
            <w:r>
              <w:rPr>
                <w:sz w:val="16"/>
                <w:szCs w:val="16"/>
                <w:lang w:bidi="th-TH"/>
              </w:rPr>
              <w:t>G</w:t>
            </w:r>
            <w:r w:rsidRPr="00843D70">
              <w:rPr>
                <w:sz w:val="16"/>
                <w:szCs w:val="16"/>
                <w:lang w:bidi="th-TH"/>
              </w:rPr>
              <w:t xml:space="preserve">eneral de la OMPI </w:t>
            </w:r>
            <w:r>
              <w:rPr>
                <w:sz w:val="16"/>
                <w:szCs w:val="16"/>
                <w:lang w:bidi="th-TH"/>
              </w:rPr>
              <w:t xml:space="preserve">celebrada en </w:t>
            </w:r>
            <w:r w:rsidRPr="00843D70">
              <w:rPr>
                <w:sz w:val="16"/>
                <w:szCs w:val="16"/>
                <w:lang w:bidi="th-TH"/>
              </w:rPr>
              <w:t xml:space="preserve">octubre de 2015 </w:t>
            </w:r>
            <w:r>
              <w:rPr>
                <w:sz w:val="16"/>
                <w:szCs w:val="16"/>
                <w:lang w:bidi="th-TH"/>
              </w:rPr>
              <w:t xml:space="preserve">se </w:t>
            </w:r>
            <w:r w:rsidRPr="00843D70">
              <w:rPr>
                <w:sz w:val="16"/>
                <w:szCs w:val="16"/>
                <w:lang w:bidi="th-TH"/>
              </w:rPr>
              <w:t>alcanzó un acuerdo en relación con un mandato renovado para el CIG para el bienio 2016/17.</w:t>
            </w:r>
          </w:p>
        </w:tc>
        <w:tc>
          <w:tcPr>
            <w:tcW w:w="759" w:type="pct"/>
            <w:tcBorders>
              <w:top w:val="nil"/>
              <w:bottom w:val="single" w:sz="4" w:space="0" w:color="auto"/>
            </w:tcBorders>
            <w:tcMar>
              <w:top w:w="110" w:type="dxa"/>
            </w:tcMar>
          </w:tcPr>
          <w:p w:rsidR="00FA423E" w:rsidRPr="00526311" w:rsidRDefault="00FA423E" w:rsidP="00DC1333">
            <w:pPr>
              <w:keepNext/>
              <w:keepLines/>
              <w:ind w:left="-136"/>
              <w:jc w:val="center"/>
              <w:rPr>
                <w:b/>
                <w:bCs/>
                <w:color w:val="FF0000"/>
                <w:sz w:val="16"/>
                <w:szCs w:val="16"/>
              </w:rPr>
            </w:pPr>
            <w:r>
              <w:rPr>
                <w:b/>
                <w:bCs/>
                <w:color w:val="FF0000"/>
                <w:sz w:val="16"/>
                <w:szCs w:val="16"/>
              </w:rPr>
              <w:t>No logrado</w:t>
            </w:r>
          </w:p>
        </w:tc>
      </w:tr>
      <w:tr w:rsidR="00FA423E" w:rsidRPr="00526311" w:rsidTr="00DC1333">
        <w:trPr>
          <w:cantSplit/>
          <w:trHeight w:val="563"/>
        </w:trPr>
        <w:tc>
          <w:tcPr>
            <w:tcW w:w="5000" w:type="pct"/>
            <w:gridSpan w:val="6"/>
            <w:tcBorders>
              <w:top w:val="single" w:sz="4" w:space="0" w:color="auto"/>
              <w:bottom w:val="single" w:sz="4" w:space="0" w:color="auto"/>
            </w:tcBorders>
            <w:shd w:val="clear" w:color="auto" w:fill="C6D9F1" w:themeFill="text2" w:themeFillTint="33"/>
            <w:vAlign w:val="center"/>
          </w:tcPr>
          <w:p w:rsidR="00FA423E" w:rsidRPr="00526311" w:rsidRDefault="00FA423E" w:rsidP="00DC1333">
            <w:pPr>
              <w:keepNext/>
              <w:keepLines/>
              <w:tabs>
                <w:tab w:val="left" w:pos="1452"/>
              </w:tabs>
              <w:ind w:left="2019" w:hanging="2019"/>
              <w:rPr>
                <w:b/>
                <w:bCs/>
                <w:sz w:val="16"/>
                <w:szCs w:val="16"/>
              </w:rPr>
            </w:pPr>
            <w:r w:rsidRPr="00526311">
              <w:rPr>
                <w:b/>
                <w:bCs/>
                <w:sz w:val="16"/>
                <w:szCs w:val="16"/>
              </w:rPr>
              <w:lastRenderedPageBreak/>
              <w:t>Resultado previsto:</w:t>
            </w:r>
            <w:r w:rsidRPr="00526311">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FA423E" w:rsidRPr="00526311" w:rsidTr="00DC1333">
        <w:trPr>
          <w:cantSplit/>
        </w:trPr>
        <w:tc>
          <w:tcPr>
            <w:tcW w:w="1131" w:type="pct"/>
            <w:tcBorders>
              <w:top w:val="single" w:sz="4" w:space="0" w:color="auto"/>
              <w:bottom w:val="nil"/>
            </w:tcBorders>
            <w:vAlign w:val="center"/>
          </w:tcPr>
          <w:p w:rsidR="00FA423E" w:rsidRPr="00526311" w:rsidRDefault="00FA423E" w:rsidP="00DC1333">
            <w:pPr>
              <w:keepNext/>
              <w:keepLines/>
              <w:rPr>
                <w:sz w:val="16"/>
                <w:szCs w:val="16"/>
              </w:rPr>
            </w:pPr>
            <w:r w:rsidRPr="00526311">
              <w:rPr>
                <w:b/>
                <w:sz w:val="16"/>
                <w:szCs w:val="16"/>
              </w:rPr>
              <w:t>Indicadores de rendimiento</w:t>
            </w:r>
          </w:p>
        </w:tc>
        <w:tc>
          <w:tcPr>
            <w:tcW w:w="1292" w:type="pct"/>
            <w:tcBorders>
              <w:top w:val="single" w:sz="4" w:space="0" w:color="auto"/>
              <w:bottom w:val="nil"/>
            </w:tcBorders>
            <w:shd w:val="clear" w:color="auto" w:fill="auto"/>
            <w:vAlign w:val="center"/>
          </w:tcPr>
          <w:p w:rsidR="00FA423E" w:rsidRPr="00526311" w:rsidRDefault="00FA423E" w:rsidP="00DC1333">
            <w:pPr>
              <w:keepNext/>
              <w:keepLines/>
              <w:rPr>
                <w:b/>
                <w:bCs/>
                <w:sz w:val="16"/>
                <w:szCs w:val="16"/>
              </w:rPr>
            </w:pPr>
            <w:r w:rsidRPr="00526311">
              <w:rPr>
                <w:b/>
                <w:bCs/>
                <w:sz w:val="16"/>
                <w:szCs w:val="16"/>
              </w:rPr>
              <w:t>Referencia</w:t>
            </w:r>
          </w:p>
        </w:tc>
        <w:tc>
          <w:tcPr>
            <w:tcW w:w="606" w:type="pct"/>
            <w:tcBorders>
              <w:top w:val="single" w:sz="4" w:space="0" w:color="auto"/>
              <w:bottom w:val="nil"/>
            </w:tcBorders>
            <w:tcMar>
              <w:top w:w="110" w:type="dxa"/>
            </w:tcMar>
            <w:vAlign w:val="center"/>
          </w:tcPr>
          <w:p w:rsidR="00FA423E" w:rsidRPr="00526311" w:rsidRDefault="00FA423E" w:rsidP="00DC1333">
            <w:pPr>
              <w:keepNext/>
              <w:keepLines/>
              <w:rPr>
                <w:b/>
                <w:sz w:val="16"/>
                <w:szCs w:val="16"/>
              </w:rPr>
            </w:pPr>
            <w:r w:rsidRPr="00526311">
              <w:rPr>
                <w:b/>
                <w:sz w:val="16"/>
                <w:szCs w:val="16"/>
              </w:rPr>
              <w:t>Objetivos</w:t>
            </w:r>
          </w:p>
        </w:tc>
        <w:tc>
          <w:tcPr>
            <w:tcW w:w="1212" w:type="pct"/>
            <w:gridSpan w:val="2"/>
            <w:tcBorders>
              <w:top w:val="single" w:sz="4" w:space="0" w:color="auto"/>
              <w:bottom w:val="nil"/>
            </w:tcBorders>
            <w:shd w:val="clear" w:color="auto" w:fill="FFFFFF"/>
            <w:tcMar>
              <w:top w:w="110" w:type="dxa"/>
            </w:tcMar>
            <w:vAlign w:val="center"/>
          </w:tcPr>
          <w:p w:rsidR="00FA423E" w:rsidRPr="00526311" w:rsidRDefault="00FA423E" w:rsidP="00DC1333">
            <w:pPr>
              <w:keepNext/>
              <w:keepLines/>
              <w:rPr>
                <w:sz w:val="16"/>
                <w:szCs w:val="16"/>
              </w:rPr>
            </w:pPr>
            <w:r w:rsidRPr="00526311">
              <w:rPr>
                <w:b/>
                <w:sz w:val="16"/>
                <w:szCs w:val="16"/>
              </w:rPr>
              <w:t>Datos sobre el rendimiento</w:t>
            </w:r>
          </w:p>
        </w:tc>
        <w:tc>
          <w:tcPr>
            <w:tcW w:w="759" w:type="pct"/>
            <w:tcBorders>
              <w:top w:val="single" w:sz="4" w:space="0" w:color="auto"/>
              <w:bottom w:val="nil"/>
            </w:tcBorders>
            <w:tcMar>
              <w:top w:w="110" w:type="dxa"/>
            </w:tcMar>
            <w:vAlign w:val="center"/>
          </w:tcPr>
          <w:p w:rsidR="00FA423E" w:rsidRPr="00526311" w:rsidRDefault="00FA423E" w:rsidP="00DC1333">
            <w:pPr>
              <w:keepNext/>
              <w:keepLines/>
              <w:ind w:left="-136"/>
              <w:jc w:val="center"/>
              <w:rPr>
                <w:b/>
                <w:bCs/>
                <w:sz w:val="16"/>
                <w:szCs w:val="16"/>
              </w:rPr>
            </w:pPr>
            <w:r w:rsidRPr="00526311">
              <w:rPr>
                <w:b/>
                <w:bCs/>
                <w:sz w:val="16"/>
                <w:szCs w:val="16"/>
              </w:rPr>
              <w:t>Clave de colores</w:t>
            </w:r>
          </w:p>
        </w:tc>
      </w:tr>
      <w:tr w:rsidR="00FA423E" w:rsidRPr="00526311" w:rsidTr="00DC1333">
        <w:trPr>
          <w:cantSplit/>
        </w:trPr>
        <w:tc>
          <w:tcPr>
            <w:tcW w:w="1131" w:type="pct"/>
            <w:tcBorders>
              <w:top w:val="nil"/>
              <w:bottom w:val="single" w:sz="4" w:space="0" w:color="auto"/>
            </w:tcBorders>
            <w:shd w:val="clear" w:color="auto" w:fill="FFFFFF"/>
          </w:tcPr>
          <w:p w:rsidR="00FA423E" w:rsidRPr="00526311" w:rsidRDefault="00FA423E" w:rsidP="00DC1333">
            <w:pPr>
              <w:rPr>
                <w:sz w:val="16"/>
                <w:szCs w:val="16"/>
                <w:lang w:bidi="th-TH"/>
              </w:rPr>
            </w:pPr>
            <w:r w:rsidRPr="00526311">
              <w:rPr>
                <w:sz w:val="16"/>
                <w:szCs w:val="16"/>
                <w:lang w:bidi="th-TH"/>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1292" w:type="pct"/>
            <w:tcBorders>
              <w:top w:val="nil"/>
              <w:bottom w:val="single" w:sz="4" w:space="0" w:color="auto"/>
            </w:tcBorders>
            <w:shd w:val="clear" w:color="auto" w:fill="auto"/>
          </w:tcPr>
          <w:p w:rsidR="00FA423E" w:rsidRPr="00526311" w:rsidRDefault="00FA423E" w:rsidP="00DC1333">
            <w:pPr>
              <w:rPr>
                <w:color w:val="002060"/>
                <w:sz w:val="16"/>
                <w:szCs w:val="16"/>
              </w:rPr>
            </w:pPr>
            <w:r w:rsidRPr="00526311">
              <w:rPr>
                <w:i/>
                <w:color w:val="002060"/>
                <w:sz w:val="16"/>
                <w:szCs w:val="16"/>
              </w:rPr>
              <w:t xml:space="preserve">Referencia actualizada a fines de 2013:  </w:t>
            </w:r>
            <w:r w:rsidRPr="00526311">
              <w:rPr>
                <w:color w:val="002060"/>
                <w:sz w:val="16"/>
                <w:szCs w:val="16"/>
              </w:rPr>
              <w:t>el</w:t>
            </w:r>
            <w:r w:rsidRPr="00526311">
              <w:rPr>
                <w:i/>
                <w:color w:val="002060"/>
                <w:sz w:val="16"/>
                <w:szCs w:val="16"/>
              </w:rPr>
              <w:t xml:space="preserve"> </w:t>
            </w:r>
            <w:r>
              <w:rPr>
                <w:color w:val="002060"/>
                <w:sz w:val="16"/>
                <w:szCs w:val="16"/>
              </w:rPr>
              <w:t xml:space="preserve">95% (79 de 83) de los </w:t>
            </w:r>
            <w:r w:rsidRPr="00526311">
              <w:rPr>
                <w:color w:val="002060"/>
                <w:sz w:val="16"/>
                <w:szCs w:val="16"/>
              </w:rPr>
              <w:t xml:space="preserve">participantes han respondido positivamente (cuestionario </w:t>
            </w:r>
            <w:r>
              <w:rPr>
                <w:color w:val="002060"/>
                <w:sz w:val="16"/>
                <w:szCs w:val="16"/>
              </w:rPr>
              <w:t>de evaluación utilizado en 5</w:t>
            </w:r>
            <w:r w:rsidRPr="00526311">
              <w:rPr>
                <w:color w:val="002060"/>
                <w:sz w:val="16"/>
                <w:szCs w:val="16"/>
              </w:rPr>
              <w:t xml:space="preserve"> actividades organizadas por la División de CC.TT. en 2012/13)</w:t>
            </w:r>
          </w:p>
          <w:p w:rsidR="00FA423E" w:rsidRPr="00526311" w:rsidRDefault="00FA423E" w:rsidP="00DC1333">
            <w:pPr>
              <w:rPr>
                <w:i/>
                <w:color w:val="002060"/>
                <w:sz w:val="8"/>
                <w:szCs w:val="8"/>
              </w:rPr>
            </w:pPr>
          </w:p>
          <w:p w:rsidR="00FA423E" w:rsidRPr="00526311" w:rsidRDefault="00FA423E" w:rsidP="00DC1333">
            <w:pPr>
              <w:rPr>
                <w:sz w:val="16"/>
                <w:szCs w:val="16"/>
              </w:rPr>
            </w:pPr>
            <w:r w:rsidRPr="00526311">
              <w:rPr>
                <w:i/>
                <w:sz w:val="16"/>
                <w:szCs w:val="16"/>
              </w:rPr>
              <w:t>Referencia original en el presupuesto de 2014/15:</w:t>
            </w:r>
            <w:r>
              <w:rPr>
                <w:i/>
                <w:sz w:val="16"/>
                <w:szCs w:val="16"/>
              </w:rPr>
              <w:t xml:space="preserve">  </w:t>
            </w:r>
          </w:p>
          <w:p w:rsidR="00FA423E" w:rsidRPr="00526311" w:rsidRDefault="00FA423E" w:rsidP="00DC1333">
            <w:pPr>
              <w:rPr>
                <w:sz w:val="16"/>
                <w:szCs w:val="16"/>
                <w:lang w:bidi="th-TH"/>
              </w:rPr>
            </w:pPr>
            <w:r w:rsidRPr="00526311">
              <w:rPr>
                <w:sz w:val="16"/>
                <w:szCs w:val="16"/>
                <w:lang w:bidi="th-TH"/>
              </w:rPr>
              <w:t>Aún no está disponible.</w:t>
            </w:r>
          </w:p>
        </w:tc>
        <w:tc>
          <w:tcPr>
            <w:tcW w:w="606" w:type="pct"/>
            <w:tcBorders>
              <w:top w:val="nil"/>
              <w:bottom w:val="single" w:sz="4" w:space="0" w:color="auto"/>
            </w:tcBorders>
            <w:tcMar>
              <w:top w:w="110" w:type="dxa"/>
            </w:tcMar>
          </w:tcPr>
          <w:p w:rsidR="00FA423E" w:rsidRPr="00526311" w:rsidRDefault="00FA423E" w:rsidP="00DC1333">
            <w:pPr>
              <w:rPr>
                <w:sz w:val="16"/>
                <w:szCs w:val="16"/>
                <w:lang w:bidi="th-TH"/>
              </w:rPr>
            </w:pPr>
            <w:r w:rsidRPr="00526311">
              <w:rPr>
                <w:sz w:val="16"/>
                <w:szCs w:val="16"/>
              </w:rPr>
              <w:t>80%</w:t>
            </w:r>
          </w:p>
        </w:tc>
        <w:tc>
          <w:tcPr>
            <w:tcW w:w="1212" w:type="pct"/>
            <w:gridSpan w:val="2"/>
            <w:tcBorders>
              <w:top w:val="nil"/>
              <w:bottom w:val="single" w:sz="4" w:space="0" w:color="auto"/>
            </w:tcBorders>
            <w:shd w:val="clear" w:color="auto" w:fill="FFFFFF"/>
            <w:tcMar>
              <w:top w:w="110" w:type="dxa"/>
            </w:tcMar>
          </w:tcPr>
          <w:p w:rsidR="00FA423E" w:rsidRPr="00526311" w:rsidRDefault="00FA423E" w:rsidP="00DC1333">
            <w:pPr>
              <w:ind w:right="-89"/>
              <w:rPr>
                <w:sz w:val="16"/>
                <w:szCs w:val="16"/>
                <w:lang w:bidi="th-TH"/>
              </w:rPr>
            </w:pPr>
            <w:r>
              <w:rPr>
                <w:sz w:val="16"/>
                <w:szCs w:val="16"/>
                <w:lang w:bidi="th-TH"/>
              </w:rPr>
              <w:t>El 92% (</w:t>
            </w:r>
            <w:r w:rsidRPr="00526311">
              <w:rPr>
                <w:sz w:val="16"/>
                <w:szCs w:val="16"/>
                <w:lang w:bidi="th-TH"/>
              </w:rPr>
              <w:t>3</w:t>
            </w:r>
            <w:r>
              <w:rPr>
                <w:sz w:val="16"/>
                <w:szCs w:val="16"/>
                <w:lang w:bidi="th-TH"/>
              </w:rPr>
              <w:t>70 de 3</w:t>
            </w:r>
            <w:r w:rsidRPr="00526311">
              <w:rPr>
                <w:sz w:val="16"/>
                <w:szCs w:val="16"/>
                <w:lang w:bidi="th-TH"/>
              </w:rPr>
              <w:t>9</w:t>
            </w:r>
            <w:r>
              <w:rPr>
                <w:sz w:val="16"/>
                <w:szCs w:val="16"/>
                <w:lang w:bidi="th-TH"/>
              </w:rPr>
              <w:t>8</w:t>
            </w:r>
            <w:r w:rsidRPr="00526311">
              <w:rPr>
                <w:sz w:val="16"/>
                <w:szCs w:val="16"/>
                <w:lang w:bidi="th-TH"/>
              </w:rPr>
              <w:t>) de los participantes han respondido positivamente (cuestionario</w:t>
            </w:r>
            <w:r>
              <w:rPr>
                <w:sz w:val="16"/>
                <w:szCs w:val="16"/>
                <w:lang w:bidi="th-TH"/>
              </w:rPr>
              <w:t xml:space="preserve"> de evaluación utilizado en 15</w:t>
            </w:r>
            <w:r w:rsidRPr="00526311">
              <w:rPr>
                <w:sz w:val="16"/>
                <w:szCs w:val="16"/>
                <w:lang w:bidi="th-TH"/>
              </w:rPr>
              <w:t xml:space="preserve"> actividades organizadas por la División de CC.TT. en 2014</w:t>
            </w:r>
            <w:r>
              <w:rPr>
                <w:sz w:val="16"/>
                <w:szCs w:val="16"/>
                <w:lang w:bidi="th-TH"/>
              </w:rPr>
              <w:t>/15</w:t>
            </w:r>
            <w:r w:rsidRPr="00526311">
              <w:rPr>
                <w:sz w:val="16"/>
                <w:szCs w:val="16"/>
                <w:lang w:bidi="th-TH"/>
              </w:rPr>
              <w:t>)</w:t>
            </w:r>
          </w:p>
        </w:tc>
        <w:tc>
          <w:tcPr>
            <w:tcW w:w="759" w:type="pct"/>
            <w:tcBorders>
              <w:top w:val="nil"/>
              <w:bottom w:val="single" w:sz="4" w:space="0" w:color="auto"/>
            </w:tcBorders>
            <w:tcMar>
              <w:top w:w="110" w:type="dxa"/>
            </w:tcMar>
          </w:tcPr>
          <w:p w:rsidR="00FA423E" w:rsidRPr="00526311" w:rsidRDefault="00FA423E" w:rsidP="00DC1333">
            <w:pPr>
              <w:keepNext/>
              <w:keepLines/>
              <w:ind w:left="-136"/>
              <w:jc w:val="center"/>
              <w:rPr>
                <w:b/>
                <w:bCs/>
                <w:color w:val="00B050"/>
                <w:sz w:val="16"/>
                <w:szCs w:val="16"/>
              </w:rPr>
            </w:pPr>
            <w:r>
              <w:rPr>
                <w:b/>
                <w:bCs/>
                <w:color w:val="00B050"/>
                <w:sz w:val="16"/>
                <w:szCs w:val="16"/>
              </w:rPr>
              <w:t>Plenamente logrado</w:t>
            </w:r>
          </w:p>
        </w:tc>
      </w:tr>
    </w:tbl>
    <w:p w:rsidR="00FA423E" w:rsidRDefault="00FA423E" w:rsidP="00FA423E">
      <w:pPr>
        <w:rPr>
          <w:color w:val="000000"/>
          <w:szCs w:val="22"/>
        </w:rPr>
      </w:pPr>
    </w:p>
    <w:p w:rsidR="00FA423E" w:rsidRPr="00526311" w:rsidRDefault="00FA423E" w:rsidP="00FA423E"/>
    <w:p w:rsidR="00FA423E" w:rsidRDefault="008F7CBE" w:rsidP="00FA423E">
      <w:pPr>
        <w:keepNext/>
        <w:keepLines/>
        <w:rPr>
          <w:color w:val="000000"/>
          <w:szCs w:val="22"/>
        </w:rPr>
      </w:pPr>
      <w:r w:rsidRPr="008F7CBE">
        <w:rPr>
          <w:color w:val="000000"/>
          <w:sz w:val="20"/>
          <w:szCs w:val="22"/>
        </w:rPr>
        <w:t>INFORMACIÓN SOBRE LOS RIESGOS PLANTEADOS EN EL BIENIO</w:t>
      </w:r>
    </w:p>
    <w:p w:rsidR="00FA423E" w:rsidRDefault="00FA423E" w:rsidP="00FA423E">
      <w:pPr>
        <w:rPr>
          <w:color w:val="000000"/>
          <w:szCs w:val="22"/>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568"/>
      </w:tblGrid>
      <w:tr w:rsidR="00FA423E" w:rsidRPr="00A76445" w:rsidTr="00DC1333">
        <w:trPr>
          <w:trHeight w:val="458"/>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FA423E" w:rsidRPr="00A76445" w:rsidRDefault="00FA423E" w:rsidP="00DC1333">
            <w:pPr>
              <w:keepNext/>
              <w:keepLines/>
              <w:autoSpaceDE w:val="0"/>
              <w:autoSpaceDN w:val="0"/>
              <w:adjustRightInd w:val="0"/>
              <w:ind w:right="-59"/>
              <w:jc w:val="center"/>
              <w:rPr>
                <w:b/>
                <w:bCs/>
                <w:iCs/>
                <w:sz w:val="18"/>
                <w:szCs w:val="18"/>
              </w:rPr>
            </w:pPr>
            <w:r w:rsidRPr="003454A6">
              <w:rPr>
                <w:b/>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FA423E" w:rsidRPr="00A76445" w:rsidRDefault="00FA423E" w:rsidP="00DC1333">
            <w:pPr>
              <w:keepNext/>
              <w:keepLines/>
              <w:autoSpaceDE w:val="0"/>
              <w:autoSpaceDN w:val="0"/>
              <w:adjustRightInd w:val="0"/>
              <w:ind w:right="-59"/>
              <w:jc w:val="center"/>
              <w:rPr>
                <w:b/>
                <w:bCs/>
                <w:iCs/>
                <w:sz w:val="18"/>
                <w:szCs w:val="18"/>
              </w:rPr>
            </w:pPr>
            <w:r w:rsidRPr="00A76445">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FA423E" w:rsidRPr="00A76445" w:rsidRDefault="00FA423E" w:rsidP="00DC1333">
            <w:pPr>
              <w:jc w:val="center"/>
              <w:rPr>
                <w:b/>
                <w:bCs/>
                <w:sz w:val="18"/>
                <w:szCs w:val="18"/>
              </w:rPr>
            </w:pPr>
            <w:r w:rsidRPr="00A76445">
              <w:rPr>
                <w:b/>
                <w:bCs/>
                <w:iCs/>
                <w:sz w:val="18"/>
                <w:szCs w:val="18"/>
              </w:rPr>
              <w:t>Evolución de los riesgos y estrategias de mitigación durante el bienio</w:t>
            </w:r>
          </w:p>
        </w:tc>
        <w:tc>
          <w:tcPr>
            <w:tcW w:w="2568" w:type="dxa"/>
            <w:tcBorders>
              <w:top w:val="single" w:sz="4" w:space="0" w:color="auto"/>
              <w:bottom w:val="single" w:sz="4" w:space="0" w:color="auto"/>
            </w:tcBorders>
            <w:shd w:val="clear" w:color="auto" w:fill="C6D9F1" w:themeFill="text2" w:themeFillTint="33"/>
          </w:tcPr>
          <w:p w:rsidR="00FA423E" w:rsidRPr="00A76445" w:rsidRDefault="00FA423E" w:rsidP="00DC1333">
            <w:pPr>
              <w:jc w:val="center"/>
              <w:rPr>
                <w:b/>
                <w:bCs/>
                <w:sz w:val="18"/>
                <w:szCs w:val="18"/>
              </w:rPr>
            </w:pPr>
            <w:r w:rsidRPr="00A76445">
              <w:rPr>
                <w:b/>
                <w:bCs/>
                <w:sz w:val="18"/>
                <w:szCs w:val="18"/>
              </w:rPr>
              <w:t>Incidencia en el rendimiento del programa</w:t>
            </w:r>
          </w:p>
        </w:tc>
      </w:tr>
      <w:tr w:rsidR="00FA423E" w:rsidRPr="007E08B9" w:rsidTr="00DC1333">
        <w:trPr>
          <w:trHeight w:val="1129"/>
        </w:trPr>
        <w:tc>
          <w:tcPr>
            <w:tcW w:w="2420" w:type="dxa"/>
            <w:tcBorders>
              <w:top w:val="single" w:sz="4" w:space="0" w:color="auto"/>
            </w:tcBorders>
            <w:shd w:val="clear" w:color="auto" w:fill="auto"/>
            <w:tcMar>
              <w:top w:w="113" w:type="dxa"/>
            </w:tcMar>
          </w:tcPr>
          <w:p w:rsidR="00FA423E" w:rsidRPr="00944CFB" w:rsidRDefault="00FA423E" w:rsidP="00DC1333">
            <w:pPr>
              <w:keepNext/>
              <w:keepLines/>
              <w:autoSpaceDE w:val="0"/>
              <w:autoSpaceDN w:val="0"/>
              <w:adjustRightInd w:val="0"/>
              <w:ind w:right="-59"/>
              <w:rPr>
                <w:sz w:val="16"/>
                <w:szCs w:val="16"/>
              </w:rPr>
            </w:pPr>
            <w:r w:rsidRPr="00944CFB">
              <w:rPr>
                <w:bCs/>
                <w:sz w:val="16"/>
                <w:szCs w:val="16"/>
              </w:rPr>
              <w:t>Incapacidad del CIG de alcanzar un acuerdo sobre un</w:t>
            </w:r>
            <w:r>
              <w:rPr>
                <w:bCs/>
                <w:sz w:val="16"/>
                <w:szCs w:val="16"/>
              </w:rPr>
              <w:t>o</w:t>
            </w:r>
            <w:r w:rsidRPr="00944CFB">
              <w:rPr>
                <w:bCs/>
                <w:sz w:val="16"/>
                <w:szCs w:val="16"/>
              </w:rPr>
              <w:t xml:space="preserve"> o varios instrumento</w:t>
            </w:r>
            <w:r>
              <w:rPr>
                <w:bCs/>
                <w:sz w:val="16"/>
                <w:szCs w:val="16"/>
              </w:rPr>
              <w:t>s</w:t>
            </w:r>
            <w:r w:rsidRPr="00944CFB">
              <w:rPr>
                <w:bCs/>
                <w:sz w:val="16"/>
                <w:szCs w:val="16"/>
              </w:rPr>
              <w:t xml:space="preserve"> jurídico</w:t>
            </w:r>
            <w:r>
              <w:rPr>
                <w:bCs/>
                <w:sz w:val="16"/>
                <w:szCs w:val="16"/>
              </w:rPr>
              <w:t>s</w:t>
            </w:r>
            <w:r w:rsidRPr="00944CFB">
              <w:rPr>
                <w:bCs/>
                <w:sz w:val="16"/>
                <w:szCs w:val="16"/>
              </w:rPr>
              <w:t xml:space="preserve"> internacional</w:t>
            </w:r>
            <w:r>
              <w:rPr>
                <w:bCs/>
                <w:sz w:val="16"/>
                <w:szCs w:val="16"/>
              </w:rPr>
              <w:t>es</w:t>
            </w:r>
            <w:r w:rsidRPr="00944CFB">
              <w:rPr>
                <w:bCs/>
                <w:sz w:val="16"/>
                <w:szCs w:val="16"/>
              </w:rPr>
              <w:t>.</w:t>
            </w:r>
          </w:p>
        </w:tc>
        <w:tc>
          <w:tcPr>
            <w:tcW w:w="2200" w:type="dxa"/>
            <w:tcBorders>
              <w:top w:val="single" w:sz="4" w:space="0" w:color="auto"/>
            </w:tcBorders>
            <w:shd w:val="clear" w:color="auto" w:fill="auto"/>
            <w:tcMar>
              <w:top w:w="113" w:type="dxa"/>
            </w:tcMar>
          </w:tcPr>
          <w:p w:rsidR="00FA423E" w:rsidRPr="00944CFB" w:rsidRDefault="00FA423E" w:rsidP="00DC1333">
            <w:pPr>
              <w:keepNext/>
              <w:keepLines/>
              <w:autoSpaceDE w:val="0"/>
              <w:autoSpaceDN w:val="0"/>
              <w:adjustRightInd w:val="0"/>
              <w:ind w:right="-59"/>
              <w:rPr>
                <w:sz w:val="16"/>
                <w:szCs w:val="16"/>
              </w:rPr>
            </w:pPr>
            <w:r w:rsidRPr="00944CFB">
              <w:rPr>
                <w:bCs/>
                <w:sz w:val="16"/>
                <w:szCs w:val="16"/>
              </w:rPr>
              <w:t>La Secretaría hará todo lo posible, en el alcance de sus recursos, para facilitar y crear un clima favorable a las negociaciones, por ejemplo, facilitando información precisa y objetiva sobre las cuestiones que se están examinando en el CIG y prestando servicios administrativos eficientes y neutrales a</w:t>
            </w:r>
            <w:r>
              <w:rPr>
                <w:bCs/>
                <w:sz w:val="16"/>
                <w:szCs w:val="16"/>
              </w:rPr>
              <w:t>sí como apoyo eficiente y neutral</w:t>
            </w:r>
            <w:r w:rsidRPr="00944CFB">
              <w:rPr>
                <w:bCs/>
                <w:sz w:val="16"/>
                <w:szCs w:val="16"/>
              </w:rPr>
              <w:t xml:space="preserve"> al Presidente del CIG.</w:t>
            </w:r>
          </w:p>
        </w:tc>
        <w:tc>
          <w:tcPr>
            <w:tcW w:w="2310" w:type="dxa"/>
            <w:tcBorders>
              <w:top w:val="single" w:sz="4" w:space="0" w:color="auto"/>
            </w:tcBorders>
          </w:tcPr>
          <w:p w:rsidR="00FA423E" w:rsidRPr="00044FDF" w:rsidRDefault="00FA423E" w:rsidP="00DC1333">
            <w:pPr>
              <w:keepNext/>
              <w:keepLines/>
              <w:autoSpaceDE w:val="0"/>
              <w:autoSpaceDN w:val="0"/>
              <w:adjustRightInd w:val="0"/>
              <w:ind w:right="-59"/>
              <w:rPr>
                <w:bCs/>
                <w:sz w:val="16"/>
                <w:szCs w:val="16"/>
              </w:rPr>
            </w:pPr>
            <w:r w:rsidRPr="00944CFB">
              <w:rPr>
                <w:bCs/>
                <w:sz w:val="16"/>
                <w:szCs w:val="16"/>
              </w:rPr>
              <w:t>Teniendo en cuenta la falta de decisión mostrada por algunos Estados miembros en relación con el plan de trabajo para 2015</w:t>
            </w:r>
            <w:r>
              <w:rPr>
                <w:bCs/>
                <w:sz w:val="16"/>
                <w:szCs w:val="16"/>
              </w:rPr>
              <w:t>,</w:t>
            </w:r>
            <w:r w:rsidRPr="00944CFB">
              <w:rPr>
                <w:bCs/>
                <w:sz w:val="16"/>
                <w:szCs w:val="16"/>
              </w:rPr>
              <w:t xml:space="preserve"> y a pesar de que en septiembre de 2015 se renovó el mandato del CIG, </w:t>
            </w:r>
            <w:r>
              <w:rPr>
                <w:bCs/>
                <w:sz w:val="16"/>
                <w:szCs w:val="16"/>
              </w:rPr>
              <w:t xml:space="preserve">durante el bienio siguiente persistirá igualmente </w:t>
            </w:r>
            <w:r w:rsidRPr="00944CFB">
              <w:rPr>
                <w:bCs/>
                <w:sz w:val="16"/>
                <w:szCs w:val="16"/>
              </w:rPr>
              <w:t xml:space="preserve">el riesgo de que </w:t>
            </w:r>
            <w:r>
              <w:rPr>
                <w:bCs/>
                <w:sz w:val="16"/>
                <w:szCs w:val="16"/>
              </w:rPr>
              <w:t>los E</w:t>
            </w:r>
            <w:r w:rsidRPr="00944CFB">
              <w:rPr>
                <w:bCs/>
                <w:sz w:val="16"/>
                <w:szCs w:val="16"/>
              </w:rPr>
              <w:t xml:space="preserve">stados miembros </w:t>
            </w:r>
            <w:r>
              <w:rPr>
                <w:bCs/>
                <w:sz w:val="16"/>
                <w:szCs w:val="16"/>
              </w:rPr>
              <w:t xml:space="preserve">no consigan acordar uno o varios instrumentos jurídicos internacionales.  </w:t>
            </w:r>
            <w:r w:rsidRPr="00044FDF">
              <w:rPr>
                <w:bCs/>
                <w:sz w:val="16"/>
                <w:szCs w:val="16"/>
              </w:rPr>
              <w:t>La estrategia de mitigación también seguirá siendo la misma, es decir, prestar apoyo eficiente y neutral al proceso, y en particular al Presidente del CIG.</w:t>
            </w:r>
          </w:p>
        </w:tc>
        <w:tc>
          <w:tcPr>
            <w:tcW w:w="2568" w:type="dxa"/>
            <w:tcBorders>
              <w:top w:val="single" w:sz="4" w:space="0" w:color="auto"/>
            </w:tcBorders>
          </w:tcPr>
          <w:p w:rsidR="00FA423E" w:rsidRPr="007E08B9" w:rsidRDefault="00FA423E" w:rsidP="00DC1333">
            <w:pPr>
              <w:keepNext/>
              <w:keepLines/>
              <w:autoSpaceDE w:val="0"/>
              <w:autoSpaceDN w:val="0"/>
              <w:adjustRightInd w:val="0"/>
              <w:ind w:right="-59"/>
              <w:rPr>
                <w:bCs/>
                <w:sz w:val="16"/>
                <w:szCs w:val="16"/>
              </w:rPr>
            </w:pPr>
            <w:r w:rsidRPr="007E08B9">
              <w:rPr>
                <w:bCs/>
                <w:sz w:val="16"/>
                <w:szCs w:val="16"/>
              </w:rPr>
              <w:t>La evoluci</w:t>
            </w:r>
            <w:r>
              <w:rPr>
                <w:bCs/>
                <w:sz w:val="16"/>
                <w:szCs w:val="16"/>
              </w:rPr>
              <w:t xml:space="preserve">ón de este riesgo incidió directamente en la adopción por los Estados miembros de </w:t>
            </w:r>
            <w:r w:rsidRPr="007E08B9">
              <w:rPr>
                <w:bCs/>
                <w:sz w:val="16"/>
                <w:szCs w:val="16"/>
              </w:rPr>
              <w:t>uno o varios instrum</w:t>
            </w:r>
            <w:r>
              <w:rPr>
                <w:bCs/>
                <w:sz w:val="16"/>
                <w:szCs w:val="16"/>
              </w:rPr>
              <w:t>entos jurídicos internacionales</w:t>
            </w:r>
            <w:r w:rsidRPr="007E08B9">
              <w:rPr>
                <w:bCs/>
                <w:sz w:val="16"/>
                <w:szCs w:val="16"/>
              </w:rPr>
              <w:t>.</w:t>
            </w:r>
          </w:p>
        </w:tc>
      </w:tr>
      <w:tr w:rsidR="00FA423E" w:rsidRPr="00901BDF" w:rsidTr="00DC1333">
        <w:trPr>
          <w:trHeight w:val="3113"/>
        </w:trPr>
        <w:tc>
          <w:tcPr>
            <w:tcW w:w="2420" w:type="dxa"/>
            <w:shd w:val="clear" w:color="auto" w:fill="auto"/>
            <w:tcMar>
              <w:top w:w="113" w:type="dxa"/>
            </w:tcMar>
          </w:tcPr>
          <w:p w:rsidR="00FA423E" w:rsidRPr="00401E16" w:rsidRDefault="00FA423E" w:rsidP="00DC1333">
            <w:pPr>
              <w:keepNext/>
              <w:keepLines/>
              <w:autoSpaceDE w:val="0"/>
              <w:autoSpaceDN w:val="0"/>
              <w:adjustRightInd w:val="0"/>
              <w:ind w:right="-59"/>
              <w:rPr>
                <w:bCs/>
                <w:sz w:val="16"/>
                <w:szCs w:val="16"/>
              </w:rPr>
            </w:pPr>
            <w:r w:rsidRPr="00401E16">
              <w:rPr>
                <w:sz w:val="16"/>
                <w:szCs w:val="16"/>
              </w:rPr>
              <w:t>El CIG perderá su pertinencia si los Estados miembros dejan de considerar los CC.TT., las ECT y los RR.GG. como cuestiones prioritarias de P.I. o si estiman que es más probable lograr resultados favorables en otros foros.</w:t>
            </w:r>
          </w:p>
        </w:tc>
        <w:tc>
          <w:tcPr>
            <w:tcW w:w="2200" w:type="dxa"/>
            <w:shd w:val="clear" w:color="auto" w:fill="auto"/>
            <w:tcMar>
              <w:top w:w="113" w:type="dxa"/>
            </w:tcMar>
          </w:tcPr>
          <w:p w:rsidR="00FA423E" w:rsidRPr="003F5E91" w:rsidRDefault="00FA423E" w:rsidP="00DC1333">
            <w:pPr>
              <w:keepNext/>
              <w:keepLines/>
              <w:autoSpaceDE w:val="0"/>
              <w:autoSpaceDN w:val="0"/>
              <w:adjustRightInd w:val="0"/>
              <w:ind w:right="-59"/>
              <w:rPr>
                <w:bCs/>
                <w:sz w:val="16"/>
                <w:szCs w:val="16"/>
              </w:rPr>
            </w:pPr>
            <w:r w:rsidRPr="003F5E91">
              <w:rPr>
                <w:sz w:val="16"/>
                <w:szCs w:val="16"/>
              </w:rPr>
              <w:t>La Secretaría lleva a cabo iniciativas de sensibilización sobre la importancia de las políticas de P.I. relacionadas con los CC.TT., las ECT y los RR.GG.  También sigue de cerca las negociaciones que se celebran en otras instancias para poder facilitar a los Estados miembros información neutral sobre la labor del CIG en dichas instancias y se coordina con otras Secretarías para evitar la duplicación de t</w:t>
            </w:r>
            <w:r>
              <w:rPr>
                <w:sz w:val="16"/>
                <w:szCs w:val="16"/>
              </w:rPr>
              <w:t>areas, lo que podría gener</w:t>
            </w:r>
            <w:r w:rsidRPr="003F5E91">
              <w:rPr>
                <w:sz w:val="16"/>
                <w:szCs w:val="16"/>
              </w:rPr>
              <w:t xml:space="preserve">ar </w:t>
            </w:r>
            <w:r>
              <w:rPr>
                <w:sz w:val="16"/>
                <w:szCs w:val="16"/>
              </w:rPr>
              <w:t xml:space="preserve">confusión </w:t>
            </w:r>
            <w:r w:rsidRPr="003F5E91">
              <w:rPr>
                <w:sz w:val="16"/>
                <w:szCs w:val="16"/>
              </w:rPr>
              <w:t>entre los Estados miembros.</w:t>
            </w:r>
          </w:p>
        </w:tc>
        <w:tc>
          <w:tcPr>
            <w:tcW w:w="2310" w:type="dxa"/>
          </w:tcPr>
          <w:p w:rsidR="00FA423E" w:rsidRPr="00F45668" w:rsidRDefault="00FA423E" w:rsidP="00DC1333">
            <w:pPr>
              <w:keepNext/>
              <w:keepLines/>
              <w:autoSpaceDE w:val="0"/>
              <w:autoSpaceDN w:val="0"/>
              <w:adjustRightInd w:val="0"/>
              <w:ind w:right="-59"/>
              <w:rPr>
                <w:sz w:val="16"/>
                <w:szCs w:val="16"/>
              </w:rPr>
            </w:pPr>
            <w:r w:rsidRPr="008B7E60">
              <w:rPr>
                <w:sz w:val="16"/>
                <w:szCs w:val="16"/>
              </w:rPr>
              <w:t xml:space="preserve">Durante la Asamblea General de 2015 los Estados miembros mostraron un apoyo considerable al proceso </w:t>
            </w:r>
            <w:r>
              <w:rPr>
                <w:sz w:val="16"/>
                <w:szCs w:val="16"/>
              </w:rPr>
              <w:t>del CIG y el p</w:t>
            </w:r>
            <w:r w:rsidRPr="008B7E60">
              <w:rPr>
                <w:sz w:val="16"/>
                <w:szCs w:val="16"/>
              </w:rPr>
              <w:t xml:space="preserve">rograma 4 </w:t>
            </w:r>
            <w:r>
              <w:rPr>
                <w:sz w:val="16"/>
                <w:szCs w:val="16"/>
              </w:rPr>
              <w:t xml:space="preserve">en su totalidad, a pesar del paréntesis experimentado por el CIG en 2015.  </w:t>
            </w:r>
            <w:r w:rsidRPr="00F45668">
              <w:rPr>
                <w:sz w:val="16"/>
                <w:szCs w:val="16"/>
              </w:rPr>
              <w:t xml:space="preserve">Ese apoyo, unido a la renovación del mandato del CIG, sugiere que </w:t>
            </w:r>
            <w:r>
              <w:rPr>
                <w:sz w:val="16"/>
                <w:szCs w:val="16"/>
              </w:rPr>
              <w:t xml:space="preserve">se ha reducido hasta cierto punto </w:t>
            </w:r>
            <w:r w:rsidRPr="00F45668">
              <w:rPr>
                <w:sz w:val="16"/>
                <w:szCs w:val="16"/>
              </w:rPr>
              <w:t xml:space="preserve">el riesgo de que </w:t>
            </w:r>
            <w:r>
              <w:rPr>
                <w:sz w:val="16"/>
                <w:szCs w:val="16"/>
              </w:rPr>
              <w:t xml:space="preserve">el Comité pierda su pertinencia.  </w:t>
            </w:r>
            <w:r w:rsidRPr="00F45668">
              <w:rPr>
                <w:sz w:val="16"/>
                <w:szCs w:val="16"/>
              </w:rPr>
              <w:t xml:space="preserve">La Secretaría prosiguió sus iniciativas de sensibilización sobre la importancia </w:t>
            </w:r>
            <w:r>
              <w:rPr>
                <w:sz w:val="16"/>
                <w:szCs w:val="16"/>
              </w:rPr>
              <w:t>que tienen</w:t>
            </w:r>
            <w:r w:rsidRPr="00F45668">
              <w:rPr>
                <w:sz w:val="16"/>
                <w:szCs w:val="16"/>
              </w:rPr>
              <w:t xml:space="preserve"> las cuestiones relacionadas con los RR.GG.,</w:t>
            </w:r>
            <w:r>
              <w:rPr>
                <w:sz w:val="16"/>
                <w:szCs w:val="16"/>
              </w:rPr>
              <w:t xml:space="preserve"> los CC.TT. y las ECT para la formulación de políticas de P.I.</w:t>
            </w:r>
          </w:p>
        </w:tc>
        <w:tc>
          <w:tcPr>
            <w:tcW w:w="2568" w:type="dxa"/>
          </w:tcPr>
          <w:p w:rsidR="00FA423E" w:rsidRPr="00901BDF" w:rsidRDefault="00FA423E" w:rsidP="00DC1333">
            <w:pPr>
              <w:keepNext/>
              <w:keepLines/>
              <w:autoSpaceDE w:val="0"/>
              <w:autoSpaceDN w:val="0"/>
              <w:adjustRightInd w:val="0"/>
              <w:ind w:right="-59"/>
              <w:rPr>
                <w:sz w:val="16"/>
                <w:szCs w:val="16"/>
              </w:rPr>
            </w:pPr>
            <w:r>
              <w:rPr>
                <w:sz w:val="16"/>
                <w:szCs w:val="16"/>
              </w:rPr>
              <w:t>L</w:t>
            </w:r>
            <w:r w:rsidRPr="00901BDF">
              <w:rPr>
                <w:sz w:val="16"/>
                <w:szCs w:val="16"/>
              </w:rPr>
              <w:t>a evoluci</w:t>
            </w:r>
            <w:r>
              <w:rPr>
                <w:sz w:val="16"/>
                <w:szCs w:val="16"/>
              </w:rPr>
              <w:t>ón del riesgo</w:t>
            </w:r>
            <w:r w:rsidRPr="00901BDF">
              <w:rPr>
                <w:sz w:val="16"/>
                <w:szCs w:val="16"/>
              </w:rPr>
              <w:t xml:space="preserve"> </w:t>
            </w:r>
            <w:r>
              <w:rPr>
                <w:sz w:val="16"/>
                <w:szCs w:val="16"/>
              </w:rPr>
              <w:t>no incidió sustancialmente en e</w:t>
            </w:r>
            <w:r w:rsidRPr="00901BDF">
              <w:rPr>
                <w:sz w:val="16"/>
                <w:szCs w:val="16"/>
              </w:rPr>
              <w:t>l rendimiento del programa</w:t>
            </w:r>
            <w:r>
              <w:rPr>
                <w:bCs/>
                <w:sz w:val="16"/>
                <w:szCs w:val="16"/>
              </w:rPr>
              <w:t>.</w:t>
            </w:r>
          </w:p>
        </w:tc>
      </w:tr>
    </w:tbl>
    <w:p w:rsidR="00FA423E" w:rsidRDefault="00FA423E" w:rsidP="00FA423E">
      <w:pPr>
        <w:rPr>
          <w:color w:val="000000"/>
          <w:szCs w:val="22"/>
        </w:rPr>
      </w:pPr>
    </w:p>
    <w:p w:rsidR="00FA423E" w:rsidRPr="00901BDF" w:rsidRDefault="00FA423E" w:rsidP="00FA423E">
      <w:pPr>
        <w:rPr>
          <w:color w:val="000000"/>
          <w:szCs w:val="22"/>
        </w:rPr>
      </w:pPr>
    </w:p>
    <w:p w:rsidR="00FA423E" w:rsidRPr="00526311" w:rsidRDefault="00403D2C" w:rsidP="00FA423E">
      <w:pPr>
        <w:keepNext/>
        <w:rPr>
          <w:b/>
          <w:sz w:val="18"/>
          <w:szCs w:val="18"/>
        </w:rPr>
      </w:pPr>
      <w:r w:rsidRPr="00403D2C">
        <w:rPr>
          <w:color w:val="000000"/>
          <w:sz w:val="20"/>
          <w:szCs w:val="22"/>
        </w:rPr>
        <w:lastRenderedPageBreak/>
        <w:t>UTILIZACIÓN DE LOS RECURSOS</w:t>
      </w:r>
    </w:p>
    <w:p w:rsidR="00FA423E" w:rsidRPr="00526311" w:rsidRDefault="00FA423E" w:rsidP="00FA423E">
      <w:pPr>
        <w:keepNext/>
        <w:rPr>
          <w:sz w:val="20"/>
        </w:rPr>
      </w:pPr>
    </w:p>
    <w:p w:rsidR="00FA423E" w:rsidRPr="00526311" w:rsidRDefault="00FA423E" w:rsidP="00FA423E">
      <w:pPr>
        <w:pStyle w:val="NormalWeb"/>
        <w:keepNext/>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FA423E" w:rsidRPr="00526311" w:rsidRDefault="00FA423E" w:rsidP="00FA423E">
      <w:pPr>
        <w:pStyle w:val="NormalWeb"/>
        <w:keepNext/>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423E" w:rsidRPr="00526311" w:rsidRDefault="00FA423E" w:rsidP="00FA423E">
      <w:pPr>
        <w:pStyle w:val="NormalWeb"/>
        <w:keepNext/>
        <w:spacing w:before="0" w:beforeAutospacing="0" w:after="0" w:afterAutospacing="0"/>
        <w:jc w:val="center"/>
        <w:rPr>
          <w:sz w:val="20"/>
          <w:szCs w:val="20"/>
          <w:lang w:val="es-ES"/>
        </w:rPr>
      </w:pPr>
    </w:p>
    <w:p w:rsidR="00FA423E" w:rsidRPr="00526311" w:rsidRDefault="00FA423E" w:rsidP="00FA423E">
      <w:pPr>
        <w:keepNext/>
        <w:jc w:val="center"/>
        <w:rPr>
          <w:sz w:val="20"/>
        </w:rPr>
      </w:pPr>
      <w:bookmarkStart w:id="69" w:name="Bm4"/>
      <w:bookmarkStart w:id="70" w:name="Punto4"/>
      <w:r>
        <w:rPr>
          <w:noProof/>
          <w:lang w:val="en-US" w:eastAsia="en-US"/>
        </w:rPr>
        <w:drawing>
          <wp:inline distT="0" distB="0" distL="0" distR="0" wp14:anchorId="036155FE" wp14:editId="482C9BAF">
            <wp:extent cx="5676900"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3086100"/>
                    </a:xfrm>
                    <a:prstGeom prst="rect">
                      <a:avLst/>
                    </a:prstGeom>
                    <a:noFill/>
                    <a:ln>
                      <a:noFill/>
                    </a:ln>
                  </pic:spPr>
                </pic:pic>
              </a:graphicData>
            </a:graphic>
          </wp:inline>
        </w:drawing>
      </w:r>
      <w:bookmarkEnd w:id="69"/>
      <w:bookmarkEnd w:id="70"/>
    </w:p>
    <w:p w:rsidR="00FA423E" w:rsidRPr="00526311" w:rsidRDefault="00FA423E" w:rsidP="00FA423E">
      <w:pPr>
        <w:keepNext/>
        <w:rPr>
          <w:sz w:val="20"/>
        </w:rPr>
      </w:pPr>
    </w:p>
    <w:p w:rsidR="00FA423E" w:rsidRPr="00526311" w:rsidRDefault="00FA423E" w:rsidP="00FA423E">
      <w:pPr>
        <w:keepNext/>
        <w:rPr>
          <w:sz w:val="20"/>
        </w:rPr>
      </w:pPr>
    </w:p>
    <w:p w:rsidR="00FA423E" w:rsidRPr="00526311" w:rsidRDefault="00FA423E" w:rsidP="00FA423E">
      <w:pPr>
        <w:pStyle w:val="NormalWeb"/>
        <w:keepNext/>
        <w:keepLines/>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FA423E" w:rsidRPr="00526311" w:rsidRDefault="00FA423E" w:rsidP="00FA423E">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423E" w:rsidRPr="00526311" w:rsidRDefault="00FA423E" w:rsidP="00FA423E">
      <w:pPr>
        <w:pStyle w:val="NormalWeb"/>
        <w:keepNext/>
        <w:keepLines/>
        <w:spacing w:before="0" w:beforeAutospacing="0" w:after="0" w:afterAutospacing="0"/>
        <w:jc w:val="center"/>
        <w:rPr>
          <w:lang w:val="es-ES"/>
        </w:rPr>
      </w:pPr>
    </w:p>
    <w:p w:rsidR="00FA423E" w:rsidRPr="00526311" w:rsidRDefault="00FA423E" w:rsidP="00FA423E">
      <w:pPr>
        <w:jc w:val="center"/>
        <w:rPr>
          <w:sz w:val="20"/>
        </w:rPr>
      </w:pPr>
      <w:bookmarkStart w:id="71" w:name="Point4"/>
      <w:r>
        <w:rPr>
          <w:noProof/>
          <w:lang w:val="en-US" w:eastAsia="en-US"/>
        </w:rPr>
        <w:drawing>
          <wp:inline distT="0" distB="0" distL="0" distR="0" wp14:anchorId="725D5B11" wp14:editId="027B9ADC">
            <wp:extent cx="5940425" cy="1059884"/>
            <wp:effectExtent l="0" t="0" r="317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1059884"/>
                    </a:xfrm>
                    <a:prstGeom prst="rect">
                      <a:avLst/>
                    </a:prstGeom>
                    <a:noFill/>
                    <a:ln>
                      <a:noFill/>
                    </a:ln>
                  </pic:spPr>
                </pic:pic>
              </a:graphicData>
            </a:graphic>
          </wp:inline>
        </w:drawing>
      </w:r>
      <w:bookmarkEnd w:id="71"/>
    </w:p>
    <w:p w:rsidR="00FA423E" w:rsidRDefault="00FA423E" w:rsidP="00FA423E">
      <w:pPr>
        <w:widowControl w:val="0"/>
        <w:autoSpaceDE w:val="0"/>
        <w:autoSpaceDN w:val="0"/>
        <w:adjustRightInd w:val="0"/>
        <w:rPr>
          <w:sz w:val="20"/>
        </w:rPr>
      </w:pPr>
    </w:p>
    <w:p w:rsidR="00FA423E" w:rsidRPr="00526311" w:rsidRDefault="00FA423E" w:rsidP="00FA423E">
      <w:pPr>
        <w:widowControl w:val="0"/>
        <w:autoSpaceDE w:val="0"/>
        <w:autoSpaceDN w:val="0"/>
        <w:adjustRightInd w:val="0"/>
        <w:rPr>
          <w:sz w:val="20"/>
        </w:rPr>
      </w:pPr>
    </w:p>
    <w:p w:rsidR="00FA423E" w:rsidRPr="00526311" w:rsidRDefault="00403D2C" w:rsidP="00FA423E">
      <w:pPr>
        <w:rPr>
          <w:sz w:val="20"/>
          <w:u w:val="single"/>
        </w:rPr>
      </w:pPr>
      <w:r w:rsidRPr="00403D2C">
        <w:rPr>
          <w:sz w:val="20"/>
        </w:rPr>
        <w:t>A.</w:t>
      </w:r>
      <w:r w:rsidRPr="00403D2C">
        <w:rPr>
          <w:sz w:val="20"/>
        </w:rPr>
        <w:tab/>
      </w:r>
      <w:r w:rsidRPr="00403D2C">
        <w:rPr>
          <w:sz w:val="20"/>
          <w:u w:val="single"/>
        </w:rPr>
        <w:t>Presupuesto final de 2014/15 tras las transferencias</w:t>
      </w:r>
    </w:p>
    <w:p w:rsidR="00FA423E" w:rsidRPr="00526311" w:rsidRDefault="00FA423E" w:rsidP="00FA423E">
      <w:pPr>
        <w:rPr>
          <w:sz w:val="20"/>
          <w:u w:val="single"/>
        </w:rPr>
      </w:pPr>
    </w:p>
    <w:p w:rsidR="00FA423E" w:rsidRPr="00526311" w:rsidRDefault="00FA423E" w:rsidP="00FA423E">
      <w:pPr>
        <w:pStyle w:val="ListParagraph"/>
        <w:numPr>
          <w:ilvl w:val="0"/>
          <w:numId w:val="15"/>
        </w:numPr>
        <w:jc w:val="both"/>
        <w:rPr>
          <w:szCs w:val="24"/>
          <w:lang w:val="es-ES" w:eastAsia="ko-KR"/>
        </w:rPr>
      </w:pPr>
      <w:r w:rsidRPr="00526311">
        <w:rPr>
          <w:szCs w:val="24"/>
          <w:lang w:val="es-ES" w:eastAsia="ko-KR"/>
        </w:rPr>
        <w:t xml:space="preserve">La disminución del presupuesto </w:t>
      </w:r>
      <w:r>
        <w:rPr>
          <w:szCs w:val="24"/>
          <w:lang w:val="es-ES" w:eastAsia="ko-KR"/>
        </w:rPr>
        <w:t xml:space="preserve">final de 2014/15 </w:t>
      </w:r>
      <w:r w:rsidRPr="00526311">
        <w:rPr>
          <w:szCs w:val="24"/>
          <w:lang w:val="es-ES" w:eastAsia="ko-KR"/>
        </w:rPr>
        <w:t>tras las transferencias en relación con el resultado I.1 (Elaboración de marcos normativos internacionales equilibrados para la P.I.) refleja una reducción en la asignación de recursos prevista inicialmente para la organización de una conferencia diplomática en el ámbito de la P.I. y los recursos genéticos, los conocimientos tradicionales y el folclore.</w:t>
      </w:r>
    </w:p>
    <w:p w:rsidR="00FA423E" w:rsidRPr="00526311" w:rsidRDefault="00FA423E" w:rsidP="00FA423E">
      <w:pPr>
        <w:autoSpaceDE w:val="0"/>
        <w:autoSpaceDN w:val="0"/>
        <w:jc w:val="both"/>
        <w:rPr>
          <w:sz w:val="20"/>
          <w:lang w:eastAsia="ko-KR"/>
        </w:rPr>
      </w:pPr>
    </w:p>
    <w:p w:rsidR="00FA423E" w:rsidRPr="00526311" w:rsidRDefault="00FA423E" w:rsidP="00FA423E">
      <w:pPr>
        <w:numPr>
          <w:ilvl w:val="0"/>
          <w:numId w:val="15"/>
        </w:numPr>
        <w:jc w:val="both"/>
        <w:rPr>
          <w:sz w:val="20"/>
          <w:lang w:eastAsia="ko-KR"/>
        </w:rPr>
      </w:pPr>
      <w:r w:rsidRPr="00526311">
        <w:rPr>
          <w:sz w:val="20"/>
          <w:lang w:eastAsia="ko-KR"/>
        </w:rPr>
        <w:t>El programa 4 dispone de recursos consignados al Departamento de Conocimientos Tradicionales y Desafíos Mundiales en relación con el resultado previsto VII.2.</w:t>
      </w:r>
    </w:p>
    <w:p w:rsidR="00FA423E" w:rsidRPr="00526311" w:rsidRDefault="00FA423E" w:rsidP="00FA423E">
      <w:pPr>
        <w:autoSpaceDE w:val="0"/>
        <w:autoSpaceDN w:val="0"/>
        <w:jc w:val="both"/>
        <w:rPr>
          <w:sz w:val="20"/>
          <w:lang w:eastAsia="ko-KR"/>
        </w:rPr>
      </w:pPr>
    </w:p>
    <w:p w:rsidR="00FA423E" w:rsidRPr="00526311" w:rsidRDefault="00403D2C" w:rsidP="00FA423E">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423E" w:rsidRPr="00526311" w:rsidRDefault="00FA423E" w:rsidP="00FA423E">
      <w:pPr>
        <w:tabs>
          <w:tab w:val="left" w:pos="709"/>
        </w:tabs>
        <w:jc w:val="both"/>
        <w:rPr>
          <w:sz w:val="20"/>
          <w:u w:val="single"/>
          <w:lang w:eastAsia="ko-KR"/>
        </w:rPr>
      </w:pPr>
    </w:p>
    <w:p w:rsidR="00FA423E" w:rsidRPr="00526311" w:rsidRDefault="00FA423E" w:rsidP="00FA423E">
      <w:pPr>
        <w:numPr>
          <w:ilvl w:val="0"/>
          <w:numId w:val="15"/>
        </w:numPr>
        <w:jc w:val="both"/>
        <w:rPr>
          <w:rFonts w:ascii="Calibri" w:hAnsi="Calibri"/>
          <w:szCs w:val="22"/>
        </w:rPr>
      </w:pPr>
      <w:r w:rsidRPr="001B4ECC">
        <w:rPr>
          <w:sz w:val="20"/>
          <w:lang w:eastAsia="ko-KR"/>
        </w:rPr>
        <w:t>La utilización del presupuesto no relati</w:t>
      </w:r>
      <w:r>
        <w:rPr>
          <w:sz w:val="20"/>
          <w:lang w:eastAsia="ko-KR"/>
        </w:rPr>
        <w:t>vo a personal correspondió al 67</w:t>
      </w:r>
      <w:r w:rsidRPr="001B4ECC">
        <w:rPr>
          <w:sz w:val="20"/>
          <w:lang w:eastAsia="ko-KR"/>
        </w:rPr>
        <w:t xml:space="preserve">% del presupuesto </w:t>
      </w:r>
      <w:r>
        <w:rPr>
          <w:sz w:val="20"/>
          <w:lang w:eastAsia="ko-KR"/>
        </w:rPr>
        <w:t xml:space="preserve">final </w:t>
      </w:r>
      <w:r w:rsidRPr="001B4ECC">
        <w:rPr>
          <w:sz w:val="20"/>
          <w:lang w:eastAsia="ko-KR"/>
        </w:rPr>
        <w:t>tras las transferencias</w:t>
      </w:r>
      <w:r>
        <w:rPr>
          <w:sz w:val="20"/>
          <w:lang w:eastAsia="ko-KR"/>
        </w:rPr>
        <w:t xml:space="preserve">.  </w:t>
      </w:r>
      <w:r w:rsidRPr="005C372D">
        <w:rPr>
          <w:sz w:val="20"/>
          <w:lang w:eastAsia="ko-KR"/>
        </w:rPr>
        <w:t>La infrautilización de los recursos no relativos a personal se debió principalmente a</w:t>
      </w:r>
      <w:r>
        <w:rPr>
          <w:sz w:val="20"/>
          <w:lang w:eastAsia="ko-KR"/>
        </w:rPr>
        <w:t xml:space="preserve"> la falta de acuerdo en la Asamblea General de la OMPI celebrada en octubre de 2014 respecto de un programa de trabajo del CIG para 2015, lo que impidió que se celebraran sesiones del Comité en 2015.  Dado que el CIG representa una parte importante del presupuesto del programa, en 2015 se utilizó una parte del presupuesto del CIG para aumentar las actividades de fortalecimiento de capacidades y asistencia técnica del programa.</w:t>
      </w:r>
    </w:p>
    <w:p w:rsidR="00FA423E" w:rsidRDefault="00FA423E" w:rsidP="00FA423E"/>
    <w:p w:rsidR="00FA423E" w:rsidRDefault="00FA423E" w:rsidP="00FA423E">
      <w:pPr>
        <w:rPr>
          <w:highlight w:val="yellow"/>
        </w:rPr>
      </w:pPr>
      <w:r>
        <w:rPr>
          <w:highlight w:val="yellow"/>
        </w:rPr>
        <w:br w:type="page"/>
      </w:r>
    </w:p>
    <w:p w:rsidR="00FA423E" w:rsidRDefault="00FA423E" w:rsidP="00FA423E"/>
    <w:p w:rsidR="00FA423E" w:rsidRPr="00F171B5" w:rsidRDefault="00FA423E" w:rsidP="00FA423E">
      <w:pPr>
        <w:pStyle w:val="StyleHeading214ptAuto"/>
        <w:rPr>
          <w:rFonts w:ascii="Arial" w:hAnsi="Arial"/>
          <w:bCs w:val="0"/>
          <w:caps w:val="0"/>
          <w:sz w:val="20"/>
          <w:szCs w:val="20"/>
          <w:lang w:val="es-ES" w:eastAsia="en-US"/>
        </w:rPr>
      </w:pPr>
      <w:bookmarkStart w:id="72" w:name="_Toc455159074"/>
      <w:r w:rsidRPr="00F171B5">
        <w:rPr>
          <w:rFonts w:ascii="Arial" w:hAnsi="Arial"/>
          <w:bCs w:val="0"/>
          <w:caps w:val="0"/>
          <w:sz w:val="20"/>
          <w:szCs w:val="20"/>
          <w:lang w:val="es-ES_tradnl" w:eastAsia="en-US"/>
        </w:rPr>
        <w:t>META ESTRATÉGICA II</w:t>
      </w:r>
      <w:bookmarkEnd w:id="72"/>
    </w:p>
    <w:p w:rsidR="00FA423E" w:rsidRPr="00F171B5" w:rsidRDefault="00FA423E" w:rsidP="00FA423E">
      <w:pPr>
        <w:jc w:val="center"/>
        <w:rPr>
          <w:bCs/>
          <w:caps/>
          <w:sz w:val="20"/>
        </w:rPr>
      </w:pPr>
    </w:p>
    <w:p w:rsidR="00FA423E" w:rsidRPr="00F171B5" w:rsidRDefault="00FA423E" w:rsidP="00FA423E">
      <w:pPr>
        <w:jc w:val="center"/>
        <w:rPr>
          <w:bCs/>
          <w:caps/>
          <w:sz w:val="20"/>
        </w:rPr>
      </w:pPr>
      <w:r w:rsidRPr="00F171B5">
        <w:rPr>
          <w:b/>
          <w:bCs/>
          <w:caps/>
          <w:sz w:val="20"/>
          <w:lang w:val="es-ES_tradnl"/>
        </w:rPr>
        <w:t>Principal proveedor de servicios mundiales de P.I.</w:t>
      </w:r>
    </w:p>
    <w:p w:rsidR="00FA423E" w:rsidRPr="00F171B5" w:rsidRDefault="00FA423E" w:rsidP="00FA423E">
      <w:pPr>
        <w:jc w:val="center"/>
        <w:rPr>
          <w:bCs/>
          <w:caps/>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rPr>
          <w:sz w:val="20"/>
        </w:rPr>
      </w:pPr>
    </w:p>
    <w:p w:rsidR="00FA423E" w:rsidRPr="00F171B5" w:rsidRDefault="00FA423E" w:rsidP="00FA423E">
      <w:pPr>
        <w:jc w:val="center"/>
        <w:rPr>
          <w:sz w:val="20"/>
        </w:rPr>
      </w:pPr>
      <w:r w:rsidRPr="00F171B5">
        <w:rPr>
          <w:noProof/>
          <w:sz w:val="20"/>
          <w:lang w:val="en-US" w:eastAsia="en-US"/>
        </w:rPr>
        <w:drawing>
          <wp:inline distT="0" distB="0" distL="0" distR="0" wp14:anchorId="38EDF29F" wp14:editId="1B819CEC">
            <wp:extent cx="5940425" cy="295428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0425" cy="2954281"/>
                    </a:xfrm>
                    <a:prstGeom prst="rect">
                      <a:avLst/>
                    </a:prstGeom>
                    <a:noFill/>
                    <a:ln>
                      <a:noFill/>
                    </a:ln>
                  </pic:spPr>
                </pic:pic>
              </a:graphicData>
            </a:graphic>
          </wp:inline>
        </w:drawing>
      </w:r>
    </w:p>
    <w:p w:rsidR="00FA423E" w:rsidRPr="00F171B5" w:rsidRDefault="00FA423E" w:rsidP="00FA423E">
      <w:pP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79"/>
        <w:gridCol w:w="4237"/>
        <w:gridCol w:w="1602"/>
        <w:gridCol w:w="942"/>
      </w:tblGrid>
      <w:tr w:rsidR="00FA423E" w:rsidRPr="0096319C" w:rsidTr="00DC1333">
        <w:trPr>
          <w:cantSplit/>
          <w:tblHeader/>
        </w:trPr>
        <w:tc>
          <w:tcPr>
            <w:tcW w:w="1424"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24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7E4934" w:rsidRDefault="00FA423E" w:rsidP="00DC1333">
            <w:pPr>
              <w:spacing w:after="120"/>
              <w:rPr>
                <w:b/>
                <w:sz w:val="18"/>
                <w:szCs w:val="18"/>
              </w:rPr>
            </w:pPr>
            <w:r w:rsidRPr="007E4934">
              <w:rPr>
                <w:b/>
                <w:sz w:val="18"/>
                <w:szCs w:val="18"/>
                <w:lang w:val="es-ES_tradnl"/>
              </w:rPr>
              <w:t>Indicadores de rendimiento</w:t>
            </w:r>
          </w:p>
        </w:tc>
        <w:tc>
          <w:tcPr>
            <w:tcW w:w="854"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FA423E" w:rsidRPr="007E4934" w:rsidRDefault="00FA423E" w:rsidP="00DC1333">
            <w:pPr>
              <w:spacing w:after="120"/>
              <w:ind w:left="85"/>
              <w:jc w:val="center"/>
              <w:rPr>
                <w:sz w:val="18"/>
                <w:szCs w:val="18"/>
              </w:rPr>
            </w:pPr>
            <w:r w:rsidRPr="007E4934">
              <w:rPr>
                <w:b/>
                <w:sz w:val="18"/>
                <w:szCs w:val="18"/>
                <w:lang w:val="es-ES_tradnl"/>
              </w:rPr>
              <w:t>Programas responsables</w:t>
            </w:r>
          </w:p>
        </w:tc>
        <w:tc>
          <w:tcPr>
            <w:tcW w:w="475" w:type="pct"/>
            <w:tcBorders>
              <w:top w:val="single" w:sz="4" w:space="0" w:color="auto"/>
              <w:bottom w:val="single" w:sz="4" w:space="0" w:color="auto"/>
            </w:tcBorders>
            <w:shd w:val="clear" w:color="auto" w:fill="DAEEF3" w:themeFill="accent5" w:themeFillTint="33"/>
            <w:vAlign w:val="center"/>
          </w:tcPr>
          <w:p w:rsidR="00FA423E" w:rsidRPr="007B07A4" w:rsidRDefault="00FA423E" w:rsidP="00DC1333">
            <w:pPr>
              <w:spacing w:after="120"/>
              <w:ind w:left="85"/>
              <w:jc w:val="center"/>
              <w:rPr>
                <w:b/>
                <w:bCs/>
                <w:sz w:val="18"/>
                <w:szCs w:val="18"/>
              </w:rPr>
            </w:pPr>
            <w:r w:rsidRPr="007E4934">
              <w:rPr>
                <w:b/>
                <w:bCs/>
                <w:sz w:val="18"/>
                <w:szCs w:val="18"/>
                <w:lang w:val="es-ES_tradnl"/>
              </w:rPr>
              <w:t>Clave de colores</w:t>
            </w:r>
          </w:p>
        </w:tc>
      </w:tr>
      <w:tr w:rsidR="00FA423E" w:rsidRPr="00811500" w:rsidTr="00DC1333">
        <w:trPr>
          <w:cantSplit/>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II.1 Fomento del uso de la vía del PCT para la presentación de solicitudes internacionales de patente</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rPr>
              <w:t>Nivel de satisfacción de los usuarios del PCT respecto de los servicios de información y formación destinados a los usuarios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rPr>
            </w:pPr>
            <w:r w:rsidRPr="007E4934">
              <w:rPr>
                <w:sz w:val="16"/>
                <w:szCs w:val="16"/>
                <w:lang w:val="es-ES_tradnl"/>
              </w:rPr>
              <w:t>Programa 5</w:t>
            </w:r>
          </w:p>
        </w:tc>
        <w:tc>
          <w:tcPr>
            <w:tcW w:w="475"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811500" w:rsidTr="00DC1333">
        <w:trPr>
          <w:cantSplit/>
          <w:trHeight w:val="11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Satisfacción de las oficinas y las administraciones internacionales con las actividades de cooperación en el marco del PCT</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811500" w:rsidTr="00DC1333">
        <w:trPr>
          <w:cantSplit/>
          <w:trHeight w:val="31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solicitudes PCT procedentes de países con economías en transición y países desarrollados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solicitudes presentadas en virtud del PCT</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FF0000"/>
                <w:szCs w:val="22"/>
              </w:rPr>
              <w:sym w:font="Wingdings" w:char="F06C"/>
            </w:r>
            <w:r w:rsidRPr="00CC3F44">
              <w:rPr>
                <w:color w:val="FF0000"/>
                <w:szCs w:val="22"/>
              </w:rPr>
              <w:sym w:font="Wingdings" w:char="F06C"/>
            </w:r>
            <w:r w:rsidRPr="00CC3F44">
              <w:rPr>
                <w:color w:val="008000"/>
                <w:szCs w:val="22"/>
              </w:rPr>
              <w:sym w:font="Wingdings" w:char="F06C"/>
            </w:r>
          </w:p>
        </w:tc>
      </w:tr>
      <w:tr w:rsidR="00FA423E" w:rsidRPr="00811500" w:rsidTr="00DC1333">
        <w:trPr>
          <w:cantSplit/>
          <w:trHeight w:val="67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encargados de la adopción de políticas, funcionarios gubernamentales, profesionales de la P.I. y participantes en talleres con un mayor conocimiento del PCT y los temas conexos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518"/>
        </w:trPr>
        <w:tc>
          <w:tcPr>
            <w:tcW w:w="1424" w:type="pct"/>
            <w:shd w:val="clear" w:color="auto" w:fill="auto"/>
            <w:tcMar>
              <w:top w:w="113" w:type="dxa"/>
              <w:bottom w:w="113" w:type="dxa"/>
            </w:tcMar>
          </w:tcPr>
          <w:p w:rsidR="00FA423E" w:rsidRPr="007E4934" w:rsidRDefault="00FA423E" w:rsidP="00DC1333">
            <w:pPr>
              <w:autoSpaceDE w:val="0"/>
              <w:autoSpaceDN w:val="0"/>
              <w:adjustRightInd w:val="0"/>
              <w:rPr>
                <w:sz w:val="16"/>
                <w:szCs w:val="16"/>
                <w:lang w:bidi="th-TH"/>
              </w:rPr>
            </w:pPr>
            <w:r w:rsidRPr="007E4934">
              <w:rPr>
                <w:sz w:val="16"/>
                <w:szCs w:val="16"/>
                <w:lang w:val="es-ES_tradnl" w:bidi="th-TH"/>
              </w:rPr>
              <w:t>II.2 Mejora del sistema del PCT</w:t>
            </w:r>
            <w:r w:rsidRPr="007E4934">
              <w:rPr>
                <w:sz w:val="16"/>
                <w:szCs w:val="16"/>
                <w:lang w:bidi="th-TH"/>
              </w:rPr>
              <w:t xml:space="preserve"> </w:t>
            </w:r>
          </w:p>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Continuo desarrollo del sistema del PCT, sobre todo gracias a la aplicación de las recomendaciones de la hoja de ruta del PCT suscritas por los Estados miembros del PCT</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22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Mejora de los servicios electrónicos dirigidos a solicitantes, terceros, oficinas y Administraciones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45"/>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lastRenderedPageBreak/>
              <w:t>II.3 Mejora de la productividad y de la calidad de los servicios en las operaciones del PCT</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Costo unitario de tramitación de las solicitudes</w:t>
            </w:r>
            <w:r w:rsidRPr="007E4934">
              <w:rPr>
                <w:sz w:val="16"/>
                <w:szCs w:val="16"/>
              </w:rPr>
              <w:t xml:space="preserve"> </w:t>
            </w:r>
          </w:p>
          <w:p w:rsidR="00FA423E" w:rsidRPr="007E4934" w:rsidRDefault="00FA423E" w:rsidP="00DC1333">
            <w:pPr>
              <w:rPr>
                <w:sz w:val="16"/>
                <w:szCs w:val="16"/>
              </w:rPr>
            </w:pPr>
          </w:p>
          <w:p w:rsidR="00FA423E" w:rsidRPr="007E4934" w:rsidRDefault="00FA423E" w:rsidP="00DC1333">
            <w:pPr>
              <w:rPr>
                <w:sz w:val="16"/>
                <w:szCs w:val="16"/>
              </w:rPr>
            </w:pPr>
            <w:r w:rsidRPr="007E4934">
              <w:rPr>
                <w:sz w:val="16"/>
                <w:szCs w:val="16"/>
                <w:lang w:val="es-ES_tradnl"/>
              </w:rPr>
              <w:t>Calidad global del examen de forma (incluido el tiempo empleado)</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p w:rsidR="00FA423E" w:rsidRPr="007E4934" w:rsidRDefault="00FA423E" w:rsidP="00DC1333">
            <w:pPr>
              <w:ind w:left="441" w:hanging="413"/>
              <w:jc w:val="center"/>
              <w:rPr>
                <w:sz w:val="16"/>
                <w:szCs w:val="16"/>
                <w:lang w:bidi="th-TH"/>
              </w:rPr>
            </w:pPr>
          </w:p>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Default="00FA423E" w:rsidP="00DC1333">
            <w:pPr>
              <w:spacing w:before="40"/>
              <w:jc w:val="center"/>
              <w:rPr>
                <w:color w:val="008000"/>
                <w:szCs w:val="22"/>
              </w:rPr>
            </w:pP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p>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20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Calidad de las traducciones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225"/>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tabs>
                <w:tab w:val="left" w:pos="1860"/>
              </w:tabs>
              <w:rPr>
                <w:sz w:val="16"/>
                <w:szCs w:val="16"/>
              </w:rPr>
            </w:pPr>
            <w:r w:rsidRPr="007E4934">
              <w:rPr>
                <w:sz w:val="16"/>
                <w:szCs w:val="16"/>
                <w:lang w:val="es-ES_tradnl"/>
              </w:rPr>
              <w:t>Plazos de traducción de los informes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133"/>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Calidad del desarrollo de programas informáticos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40"/>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Niveles de los servicios prestados por los sistemas de información</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5</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811500" w:rsidTr="00DC1333">
        <w:trPr>
          <w:cantSplit/>
          <w:trHeight w:val="180"/>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II.4 Mayor y más eficaz utilización del Sistema de La Haya, entre otros por los países en desarrollo y los PMA</w:t>
            </w: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Número de solicitudes del Sistema de La Haya procedentes de países con economías en transición y países desarrollados</w:t>
            </w:r>
            <w:r w:rsidRPr="007E4934">
              <w:rPr>
                <w:sz w:val="16"/>
                <w:szCs w:val="16"/>
              </w:rPr>
              <w:t xml:space="preserve"> </w:t>
            </w:r>
          </w:p>
          <w:p w:rsidR="00FA423E" w:rsidRPr="007E4934" w:rsidRDefault="00FA423E" w:rsidP="00DC1333">
            <w:pPr>
              <w:rPr>
                <w:sz w:val="16"/>
                <w:szCs w:val="16"/>
              </w:rPr>
            </w:pPr>
          </w:p>
          <w:p w:rsidR="00FA423E" w:rsidRPr="007E4934" w:rsidRDefault="00FA423E" w:rsidP="00DC1333">
            <w:pPr>
              <w:rPr>
                <w:sz w:val="16"/>
                <w:szCs w:val="16"/>
              </w:rPr>
            </w:pPr>
            <w:r w:rsidRPr="007E4934">
              <w:rPr>
                <w:sz w:val="16"/>
                <w:szCs w:val="16"/>
                <w:lang w:val="es-ES_tradnl"/>
              </w:rPr>
              <w:t>Número de países que han formulado o adoptado políticas en las que se expone su adhesión al Arreglo de La Haya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10</w:t>
            </w:r>
          </w:p>
          <w:p w:rsidR="00FA423E" w:rsidRPr="007E4934" w:rsidRDefault="00FA423E" w:rsidP="00DC1333">
            <w:pPr>
              <w:ind w:left="441" w:hanging="413"/>
              <w:jc w:val="center"/>
              <w:rPr>
                <w:sz w:val="16"/>
                <w:szCs w:val="16"/>
                <w:lang w:bidi="th-TH"/>
              </w:rPr>
            </w:pPr>
          </w:p>
          <w:p w:rsidR="00FA423E" w:rsidRPr="007E4934" w:rsidRDefault="00FA423E" w:rsidP="00DC1333">
            <w:pPr>
              <w:ind w:left="441" w:hanging="413"/>
              <w:jc w:val="center"/>
              <w:rPr>
                <w:sz w:val="16"/>
                <w:szCs w:val="16"/>
                <w:lang w:bidi="th-TH"/>
              </w:rPr>
            </w:pPr>
          </w:p>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Default="00FA423E" w:rsidP="00DC1333">
            <w:pPr>
              <w:jc w:val="center"/>
              <w:rPr>
                <w:color w:val="008000"/>
                <w:szCs w:val="22"/>
              </w:rPr>
            </w:pPr>
            <w:r w:rsidRPr="00CC3F44">
              <w:rPr>
                <w:color w:val="008000"/>
                <w:szCs w:val="22"/>
              </w:rPr>
              <w:sym w:font="Wingdings" w:char="F06C"/>
            </w:r>
          </w:p>
          <w:p w:rsidR="00FA423E" w:rsidRDefault="00FA423E" w:rsidP="00DC1333">
            <w:pPr>
              <w:jc w:val="center"/>
              <w:rPr>
                <w:color w:val="A6A6A6" w:themeColor="background1" w:themeShade="A6"/>
                <w:szCs w:val="22"/>
              </w:rPr>
            </w:pPr>
          </w:p>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696"/>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Porcentaje de encargados de la adopción de políticas, funcionarios gubernamentales, profesionales de la P.I. y participantes en talleres con un mayor conocimiento del Sistema de La Haya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156"/>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Número de partes contratantes en el Sistema de La Haya de la región de Asia y el Pacífico</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rPr>
                <w:color w:val="FF0000"/>
                <w:szCs w:val="22"/>
              </w:rPr>
            </w:pPr>
            <w:r w:rsidRPr="00CC3F44">
              <w:rPr>
                <w:color w:val="008000"/>
                <w:szCs w:val="22"/>
              </w:rPr>
              <w:sym w:font="Wingdings" w:char="F06C"/>
            </w:r>
            <w:r w:rsidRPr="00CC3F44">
              <w:rPr>
                <w:color w:val="FF0000"/>
                <w:szCs w:val="22"/>
              </w:rPr>
              <w:sym w:font="Wingdings" w:char="F06C"/>
            </w:r>
          </w:p>
        </w:tc>
      </w:tr>
      <w:tr w:rsidR="00FA423E" w:rsidRPr="00811500" w:rsidTr="00DC1333">
        <w:trPr>
          <w:cantSplit/>
          <w:trHeight w:val="33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Número de miembros del Acta de Ginebra (1999)</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E26B0A"/>
                <w:szCs w:val="22"/>
              </w:rPr>
              <w:sym w:font="Wingdings" w:char="F06C"/>
            </w:r>
          </w:p>
        </w:tc>
      </w:tr>
      <w:tr w:rsidR="00FA423E" w:rsidRPr="00811500" w:rsidTr="00DC1333">
        <w:trPr>
          <w:cantSplit/>
          <w:trHeight w:val="178"/>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oficinas que proporcionan información sobre el Sistema de La Haya.</w:t>
            </w:r>
            <w:r w:rsidRPr="007E4934">
              <w:rPr>
                <w:sz w:val="16"/>
                <w:szCs w:val="16"/>
              </w:rPr>
              <w:t xml:space="preserve"> </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Solicitudes de registro y renovaciones en virtud del Sistema de La Haya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Default="00FA423E" w:rsidP="00DC1333">
            <w:pPr>
              <w:jc w:val="center"/>
              <w:rPr>
                <w:bCs/>
                <w:color w:val="E26B0A"/>
                <w:szCs w:val="22"/>
              </w:rPr>
            </w:pPr>
            <w:r w:rsidRPr="00CC3F44">
              <w:rPr>
                <w:color w:val="FF0000"/>
                <w:szCs w:val="22"/>
              </w:rPr>
              <w:sym w:font="Wingdings" w:char="F06C"/>
            </w:r>
            <w:r w:rsidRPr="00CC3F44">
              <w:rPr>
                <w:color w:val="FF0000"/>
                <w:szCs w:val="22"/>
              </w:rPr>
              <w:sym w:font="Wingdings" w:char="F06C"/>
            </w:r>
            <w:r w:rsidRPr="00CC3F44">
              <w:rPr>
                <w:color w:val="E26B0A"/>
                <w:szCs w:val="22"/>
              </w:rPr>
              <w:sym w:font="Wingdings" w:char="F06C"/>
            </w:r>
          </w:p>
          <w:p w:rsidR="00FA423E" w:rsidRPr="00CC3F44" w:rsidRDefault="00FA423E" w:rsidP="00DC1333">
            <w:pPr>
              <w:jc w:val="center"/>
            </w:pPr>
            <w:r w:rsidRPr="00CC3F44">
              <w:rPr>
                <w:color w:val="FF0000"/>
                <w:szCs w:val="22"/>
              </w:rPr>
              <w:sym w:font="Wingdings" w:char="F06C"/>
            </w:r>
            <w:r w:rsidRPr="00CC3F44">
              <w:rPr>
                <w:color w:val="FF0000"/>
                <w:szCs w:val="22"/>
              </w:rPr>
              <w:sym w:font="Wingdings" w:char="F06C"/>
            </w:r>
            <w:r w:rsidRPr="00CC3F44">
              <w:rPr>
                <w:color w:val="008000"/>
                <w:szCs w:val="22"/>
              </w:rPr>
              <w:sym w:font="Wingdings" w:char="F06C"/>
            </w:r>
          </w:p>
        </w:tc>
      </w:tr>
      <w:tr w:rsidR="00FA423E" w:rsidRPr="00811500" w:rsidTr="00DC1333">
        <w:trPr>
          <w:cantSplit/>
          <w:trHeight w:val="495"/>
        </w:trPr>
        <w:tc>
          <w:tcPr>
            <w:tcW w:w="1424" w:type="pct"/>
            <w:shd w:val="clear" w:color="auto" w:fill="auto"/>
            <w:tcMar>
              <w:top w:w="113" w:type="dxa"/>
              <w:bottom w:w="113" w:type="dxa"/>
            </w:tcMar>
          </w:tcPr>
          <w:p w:rsidR="00FA423E" w:rsidRPr="007E4934" w:rsidRDefault="00FA423E" w:rsidP="00DC1333">
            <w:pPr>
              <w:tabs>
                <w:tab w:val="right" w:pos="2835"/>
              </w:tabs>
              <w:spacing w:after="60"/>
              <w:rPr>
                <w:sz w:val="16"/>
                <w:szCs w:val="16"/>
              </w:rPr>
            </w:pPr>
            <w:r w:rsidRPr="007E4934">
              <w:rPr>
                <w:sz w:val="16"/>
                <w:szCs w:val="16"/>
                <w:lang w:val="es-ES_tradnl"/>
              </w:rPr>
              <w:t>II.5 Mejora de la productividad y de la calidad de los servicios en las operaciones del Sistema de La Haya</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Predominio del Acta de Ginebra (1999) en el Sistema de La Haya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811500" w:rsidTr="00DC1333">
        <w:trPr>
          <w:cantSplit/>
          <w:trHeight w:val="34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Avances en la mejora del marco jurídico</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2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Flexibilidad de los datos inscritos en el Registro Internacional</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811500" w:rsidTr="00DC1333">
        <w:trPr>
          <w:cantSplit/>
          <w:trHeight w:val="149"/>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procedimientos automatizados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31</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83"/>
        </w:trPr>
        <w:tc>
          <w:tcPr>
            <w:tcW w:w="1424" w:type="pct"/>
            <w:vMerge w:val="restar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II.6 Mayor y más eficaz utilización de los Sistemas de Madrid y de Lisboa por los países en desarrollo y los PMA, entre otros</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Ampliación de la cobertura geográfica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811500" w:rsidTr="00DC1333">
        <w:trPr>
          <w:cantSplit/>
          <w:trHeight w:val="231"/>
        </w:trPr>
        <w:tc>
          <w:tcPr>
            <w:tcW w:w="1424" w:type="pct"/>
            <w:vMerge/>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Ampliación de la cobertura geográfica (Lisboa)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rPr>
                <w:color w:val="008000"/>
                <w:szCs w:val="22"/>
              </w:rPr>
            </w:pPr>
            <w:r w:rsidRPr="00CC3F44">
              <w:rPr>
                <w:color w:val="FF0000"/>
                <w:szCs w:val="22"/>
              </w:rPr>
              <w:sym w:font="Wingdings" w:char="F06C"/>
            </w:r>
          </w:p>
        </w:tc>
      </w:tr>
      <w:tr w:rsidR="00FA423E" w:rsidRPr="00811500" w:rsidTr="00DC1333">
        <w:trPr>
          <w:cantSplit/>
          <w:trHeight w:val="95"/>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Adopción de disposiciones que agilicen o modernicen el marco jurídico del Sistema de Lisboa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12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solicitudes internacionales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25"/>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oficinas que proporcionan información actualizada sobre el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811500" w:rsidTr="00DC1333">
        <w:trPr>
          <w:cantSplit/>
          <w:trHeight w:val="43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participantes en las actividades del Sistema de Lisboa que están satisfechos y manifiestan haber mejorado sus conocimientos tras haber participado en las actividades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7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y proporción de registros en vigor del Sistema de Lisboa procedentes de países en desarrollo y PMA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83"/>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Disminución del número de irregularidades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811500" w:rsidTr="00DC1333">
        <w:trPr>
          <w:cantSplit/>
          <w:trHeight w:val="480"/>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solicitudes de los Sistemas de Madrid y de Lisboa procedentes de países con economías en transición y países desarrollados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589"/>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países que han formulado o adoptado políticas en las que se expone su adhesión al Protocolo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7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Porcentaje de participantes satisfechos en talleres/seminarios sobre temas relacionados con el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FF0000"/>
                <w:szCs w:val="22"/>
              </w:rPr>
              <w:sym w:font="Wingdings" w:char="F06C"/>
            </w:r>
            <w:r w:rsidRPr="00CC3F44">
              <w:rPr>
                <w:color w:val="008000"/>
                <w:szCs w:val="22"/>
              </w:rPr>
              <w:sym w:font="Wingdings" w:char="F06C"/>
            </w:r>
          </w:p>
        </w:tc>
      </w:tr>
      <w:tr w:rsidR="00FA423E" w:rsidRPr="00811500" w:rsidTr="00DC1333">
        <w:trPr>
          <w:cantSplit/>
          <w:trHeight w:val="34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Partes Contratantes del Protocolo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rPr>
                <w:color w:val="E26B0A"/>
              </w:rPr>
            </w:pPr>
            <w:r w:rsidRPr="00CC3F44">
              <w:rPr>
                <w:color w:val="E26B0A"/>
                <w:szCs w:val="22"/>
              </w:rPr>
              <w:sym w:font="Wingdings" w:char="F06C"/>
            </w:r>
          </w:p>
        </w:tc>
      </w:tr>
      <w:tr w:rsidR="00FA423E" w:rsidRPr="00811500" w:rsidTr="00DC1333">
        <w:trPr>
          <w:cantSplit/>
          <w:trHeight w:val="149"/>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nuevos registros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13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renovaciones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r w:rsidRPr="00CC3F44">
              <w:rPr>
                <w:color w:val="A6A6A6" w:themeColor="background1" w:themeShade="A6"/>
                <w:szCs w:val="22"/>
              </w:rPr>
              <w:sym w:font="Wingdings" w:char="F06C"/>
            </w:r>
          </w:p>
        </w:tc>
      </w:tr>
      <w:tr w:rsidR="00FA423E" w:rsidRPr="00811500" w:rsidTr="00DC1333">
        <w:trPr>
          <w:cantSplit/>
          <w:trHeight w:val="546"/>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II.7 Mejora de la productividad y de la calidad de los servicios en las operaciones de los Sistemas de Madrid y de Lisboa</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Avances en la agilización y simplificación del marco jurídico del Sistema de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742"/>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registros</w:t>
            </w:r>
            <w:r w:rsidRPr="007E4934">
              <w:rPr>
                <w:sz w:val="16"/>
                <w:szCs w:val="16"/>
              </w:rPr>
              <w:t xml:space="preserve"> </w:t>
            </w:r>
          </w:p>
          <w:p w:rsidR="00FA423E" w:rsidRPr="007E4934" w:rsidRDefault="00FA423E" w:rsidP="00DC1333">
            <w:pPr>
              <w:rPr>
                <w:sz w:val="16"/>
                <w:szCs w:val="16"/>
              </w:rPr>
            </w:pPr>
            <w:r w:rsidRPr="007E4934">
              <w:rPr>
                <w:sz w:val="16"/>
                <w:szCs w:val="16"/>
                <w:lang w:val="es-ES_tradnl"/>
              </w:rPr>
              <w:t>Número de renovaciones tramitadas</w:t>
            </w:r>
            <w:r w:rsidRPr="007E4934">
              <w:rPr>
                <w:sz w:val="16"/>
                <w:szCs w:val="16"/>
              </w:rPr>
              <w:t xml:space="preserve"> </w:t>
            </w:r>
          </w:p>
          <w:p w:rsidR="00FA423E" w:rsidRPr="007E4934" w:rsidRDefault="00FA423E" w:rsidP="00DC1333">
            <w:pPr>
              <w:rPr>
                <w:sz w:val="16"/>
                <w:szCs w:val="16"/>
              </w:rPr>
            </w:pPr>
            <w:r w:rsidRPr="007E4934">
              <w:rPr>
                <w:sz w:val="16"/>
                <w:szCs w:val="16"/>
                <w:lang w:val="es-ES_tradnl"/>
              </w:rPr>
              <w:t>Número de modificaciones, incluidas las designaciones posteriores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Default="00FA423E" w:rsidP="00DC1333">
            <w:pPr>
              <w:jc w:val="center"/>
              <w:rPr>
                <w:color w:val="008000"/>
                <w:szCs w:val="22"/>
              </w:rPr>
            </w:pP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p>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315"/>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Traducción de las solicitudes de manera puntual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28"/>
        </w:trPr>
        <w:tc>
          <w:tcPr>
            <w:tcW w:w="1424" w:type="pct"/>
            <w:shd w:val="clear" w:color="auto" w:fill="auto"/>
            <w:tcMar>
              <w:top w:w="57" w:type="dxa"/>
              <w:bottom w:w="57"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Disminución del número de correcciones (Madrid)</w:t>
            </w: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Mar>
              <w:top w:w="57" w:type="dxa"/>
              <w:bottom w:w="57" w:type="dxa"/>
            </w:tcMar>
          </w:tcPr>
          <w:p w:rsidR="00FA423E" w:rsidRPr="00CC3F44" w:rsidRDefault="00FA423E" w:rsidP="00DC1333">
            <w:pPr>
              <w:jc w:val="center"/>
            </w:pPr>
            <w:r w:rsidRPr="00CC3F44">
              <w:rPr>
                <w:color w:val="FF0000"/>
                <w:szCs w:val="22"/>
              </w:rPr>
              <w:sym w:font="Wingdings" w:char="F06C"/>
            </w:r>
          </w:p>
        </w:tc>
      </w:tr>
      <w:tr w:rsidR="00FA423E" w:rsidRPr="00811500" w:rsidTr="00DC1333">
        <w:trPr>
          <w:cantSplit/>
          <w:trHeight w:val="205"/>
        </w:trPr>
        <w:tc>
          <w:tcPr>
            <w:tcW w:w="1424" w:type="pct"/>
            <w:shd w:val="clear" w:color="auto" w:fill="auto"/>
            <w:tcMar>
              <w:top w:w="57" w:type="dxa"/>
              <w:bottom w:w="57"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Aumento de la satisfacción de los clientes (Madrid)</w:t>
            </w: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Mar>
              <w:top w:w="57" w:type="dxa"/>
              <w:bottom w:w="57" w:type="dxa"/>
            </w:tcMar>
          </w:tcPr>
          <w:p w:rsidR="00FA423E" w:rsidRPr="00CC3F44" w:rsidRDefault="00FA423E" w:rsidP="00DC1333">
            <w:pPr>
              <w:jc w:val="center"/>
            </w:pPr>
            <w:r w:rsidRPr="00CC3F44">
              <w:rPr>
                <w:color w:val="008000"/>
                <w:szCs w:val="22"/>
              </w:rPr>
              <w:sym w:font="Wingdings" w:char="F06C"/>
            </w:r>
            <w:r w:rsidRPr="00CC3F44">
              <w:rPr>
                <w:color w:val="A6A6A6" w:themeColor="background1" w:themeShade="A6"/>
                <w:szCs w:val="22"/>
              </w:rPr>
              <w:sym w:font="Wingdings" w:char="F06C"/>
            </w:r>
          </w:p>
        </w:tc>
      </w:tr>
      <w:tr w:rsidR="00FA423E" w:rsidRPr="00811500" w:rsidTr="00DC1333">
        <w:trPr>
          <w:cantSplit/>
          <w:trHeight w:val="131"/>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Aumento del uso del intercambio electrónico (Madrid)</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264"/>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Perfeccionamiento del Registro Internacional electrónico del Sistema de Lisboa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rPr>
                <w:color w:val="E26B0A"/>
              </w:rPr>
            </w:pPr>
            <w:r w:rsidRPr="00CC3F44">
              <w:rPr>
                <w:color w:val="E26B0A"/>
                <w:szCs w:val="22"/>
              </w:rPr>
              <w:sym w:font="Wingdings" w:char="F06C"/>
            </w:r>
          </w:p>
        </w:tc>
      </w:tr>
      <w:tr w:rsidR="00FA423E" w:rsidRPr="00811500" w:rsidTr="00DC1333">
        <w:trPr>
          <w:cantSplit/>
          <w:trHeight w:val="383"/>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Perfeccionamiento de los medios de comunicación y publicación electrónicos en el marco de los procedimientos del Arreglo de Lisboa</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6</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307"/>
        </w:trPr>
        <w:tc>
          <w:tcPr>
            <w:tcW w:w="1424" w:type="pct"/>
            <w:vMerge w:val="restar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tc>
        <w:tc>
          <w:tcPr>
            <w:tcW w:w="2247" w:type="pct"/>
            <w:vMerge w:val="restar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Cada vez más se considera la posibilidad de utilizar servicios extrajudiciales de solución de controversias en las transacciones sobre P.I., entre otras cosas, valiéndose de los procedimientos de la OMPI</w:t>
            </w:r>
            <w:r w:rsidRPr="007E4934">
              <w:rPr>
                <w:sz w:val="16"/>
                <w:szCs w:val="16"/>
              </w:rPr>
              <w:t xml:space="preserve"> </w:t>
            </w: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Mar>
              <w:top w:w="57" w:type="dxa"/>
              <w:bottom w:w="57" w:type="dxa"/>
            </w:tcMar>
          </w:tcPr>
          <w:p w:rsidR="00FA423E" w:rsidRDefault="00FA423E" w:rsidP="00DC1333">
            <w:pPr>
              <w:jc w:val="center"/>
              <w:rPr>
                <w:color w:val="008000"/>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p w:rsidR="00FA423E" w:rsidRPr="00CC3F44" w:rsidRDefault="00FA423E" w:rsidP="00DC1333">
            <w:pPr>
              <w:jc w:val="center"/>
              <w:rPr>
                <w:color w:val="008000"/>
                <w:szCs w:val="22"/>
              </w:rPr>
            </w:pPr>
            <w:r w:rsidRPr="00CC3F44">
              <w:rPr>
                <w:color w:val="008000"/>
                <w:szCs w:val="22"/>
              </w:rPr>
              <w:sym w:font="Wingdings" w:char="F06C"/>
            </w:r>
            <w:r w:rsidRPr="00CC3F44">
              <w:rPr>
                <w:color w:val="008000"/>
                <w:szCs w:val="22"/>
              </w:rPr>
              <w:sym w:font="Wingdings" w:char="F06C"/>
            </w:r>
          </w:p>
        </w:tc>
      </w:tr>
      <w:tr w:rsidR="00FA423E" w:rsidRPr="00811500" w:rsidTr="00DC1333">
        <w:trPr>
          <w:cantSplit/>
          <w:trHeight w:val="244"/>
        </w:trPr>
        <w:tc>
          <w:tcPr>
            <w:tcW w:w="1424" w:type="pct"/>
            <w:vMerge/>
            <w:shd w:val="clear" w:color="auto" w:fill="auto"/>
            <w:tcMar>
              <w:top w:w="113" w:type="dxa"/>
              <w:bottom w:w="113" w:type="dxa"/>
            </w:tcMar>
          </w:tcPr>
          <w:p w:rsidR="00FA423E" w:rsidRPr="007E4934" w:rsidRDefault="00FA423E" w:rsidP="00DC1333">
            <w:pPr>
              <w:rPr>
                <w:sz w:val="16"/>
                <w:szCs w:val="16"/>
              </w:rPr>
            </w:pPr>
          </w:p>
        </w:tc>
        <w:tc>
          <w:tcPr>
            <w:tcW w:w="2247" w:type="pct"/>
            <w:vMerge/>
            <w:shd w:val="clear" w:color="auto" w:fill="auto"/>
            <w:tcMar>
              <w:top w:w="57" w:type="dxa"/>
              <w:bottom w:w="57" w:type="dxa"/>
            </w:tcMar>
          </w:tcPr>
          <w:p w:rsidR="00FA423E" w:rsidRPr="007E4934" w:rsidRDefault="00FA423E" w:rsidP="00DC1333">
            <w:pPr>
              <w:rPr>
                <w:sz w:val="16"/>
                <w:szCs w:val="16"/>
              </w:rPr>
            </w:pP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20</w:t>
            </w:r>
          </w:p>
        </w:tc>
        <w:tc>
          <w:tcPr>
            <w:tcW w:w="475" w:type="pct"/>
            <w:shd w:val="clear" w:color="auto" w:fill="FFFFFF"/>
            <w:tcMar>
              <w:top w:w="57" w:type="dxa"/>
              <w:bottom w:w="57" w:type="dxa"/>
            </w:tcMar>
          </w:tcPr>
          <w:p w:rsidR="00FA423E" w:rsidRPr="00CC3F44" w:rsidRDefault="00FA423E" w:rsidP="00DC1333">
            <w:pPr>
              <w:jc w:val="center"/>
              <w:rPr>
                <w:color w:val="008000"/>
                <w:szCs w:val="22"/>
              </w:rPr>
            </w:pPr>
            <w:r w:rsidRPr="00CC3F44">
              <w:rPr>
                <w:color w:val="FF0000"/>
                <w:szCs w:val="22"/>
              </w:rPr>
              <w:sym w:font="Wingdings" w:char="F06C"/>
            </w:r>
          </w:p>
        </w:tc>
      </w:tr>
      <w:tr w:rsidR="00FA423E" w:rsidRPr="00811500" w:rsidTr="00DC1333">
        <w:trPr>
          <w:cantSplit/>
          <w:trHeight w:val="564"/>
        </w:trPr>
        <w:tc>
          <w:tcPr>
            <w:tcW w:w="1424" w:type="pct"/>
            <w:vMerge/>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57" w:type="dxa"/>
              <w:bottom w:w="57" w:type="dxa"/>
            </w:tcMar>
          </w:tcPr>
          <w:p w:rsidR="00FA423E" w:rsidRPr="007E4934" w:rsidRDefault="00FA423E" w:rsidP="00DC1333">
            <w:pPr>
              <w:rPr>
                <w:sz w:val="16"/>
                <w:szCs w:val="16"/>
              </w:rPr>
            </w:pPr>
            <w:r w:rsidRPr="007E4934">
              <w:rPr>
                <w:sz w:val="16"/>
                <w:szCs w:val="16"/>
                <w:lang w:val="es-ES_tradnl"/>
              </w:rPr>
              <w:t>Políticas de solución extrajudicial de controversias a cuyo desarrollo y aplicación ha contribuido el Centro de Arbitraje y Mediación de la OMPI</w:t>
            </w:r>
          </w:p>
        </w:tc>
        <w:tc>
          <w:tcPr>
            <w:tcW w:w="854" w:type="pct"/>
            <w:shd w:val="clear" w:color="auto" w:fill="FFFFFF"/>
            <w:tcMar>
              <w:top w:w="57" w:type="dxa"/>
              <w:bottom w:w="57"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811500" w:rsidTr="00DC1333">
        <w:trPr>
          <w:cantSplit/>
          <w:trHeight w:val="379"/>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usuarios de países con economías en transición y países desarrollados que utilizan los servicios del Centro de Arbitraje y Mediación</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89"/>
        </w:trPr>
        <w:tc>
          <w:tcPr>
            <w:tcW w:w="1424"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II.9 Protección eficaz de la propiedad intelectual en los gTLD y los ccTLD</w:t>
            </w: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procedimientos relativos a los gTLD administrados en virtud de la Política Uniforme</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226"/>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procedimientos relativos a los ccTLD administrados en virtud de la Política Uniforme</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566"/>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Políticas de solución de controversias en el sistema de nombres de dominio a cuyo desarrollo y aplicación ha contribuido el Centro de Arbitraje y Mediación de la OMPI</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811500" w:rsidTr="00DC1333">
        <w:trPr>
          <w:cantSplit/>
          <w:trHeight w:val="500"/>
        </w:trPr>
        <w:tc>
          <w:tcPr>
            <w:tcW w:w="1424" w:type="pct"/>
            <w:shd w:val="clear" w:color="auto" w:fill="auto"/>
            <w:tcMar>
              <w:top w:w="113" w:type="dxa"/>
              <w:bottom w:w="113" w:type="dxa"/>
            </w:tcMar>
          </w:tcPr>
          <w:p w:rsidR="00FA423E" w:rsidRPr="007E4934" w:rsidRDefault="00FA423E" w:rsidP="00DC1333">
            <w:pPr>
              <w:rPr>
                <w:sz w:val="16"/>
                <w:szCs w:val="16"/>
              </w:rPr>
            </w:pPr>
          </w:p>
        </w:tc>
        <w:tc>
          <w:tcPr>
            <w:tcW w:w="2247" w:type="pct"/>
            <w:shd w:val="clear" w:color="auto" w:fill="auto"/>
            <w:tcMar>
              <w:top w:w="113" w:type="dxa"/>
              <w:bottom w:w="113" w:type="dxa"/>
            </w:tcMar>
          </w:tcPr>
          <w:p w:rsidR="00FA423E" w:rsidRPr="007E4934" w:rsidRDefault="00FA423E" w:rsidP="00DC1333">
            <w:pPr>
              <w:rPr>
                <w:sz w:val="16"/>
                <w:szCs w:val="16"/>
              </w:rPr>
            </w:pPr>
            <w:r w:rsidRPr="007E4934">
              <w:rPr>
                <w:sz w:val="16"/>
                <w:szCs w:val="16"/>
                <w:lang w:val="es-ES_tradnl"/>
              </w:rPr>
              <w:t>Número de administradores de ccTLD que disponen de mecanismos de protección de P.I. concebidos o administrados por la OMPI de conformidad con las normas internacionales</w:t>
            </w:r>
          </w:p>
        </w:tc>
        <w:tc>
          <w:tcPr>
            <w:tcW w:w="854" w:type="pct"/>
            <w:shd w:val="clear" w:color="auto" w:fill="FFFFFF"/>
            <w:tcMar>
              <w:top w:w="113" w:type="dxa"/>
              <w:bottom w:w="113" w:type="dxa"/>
            </w:tcMar>
          </w:tcPr>
          <w:p w:rsidR="00FA423E" w:rsidRPr="007E4934" w:rsidRDefault="00FA423E" w:rsidP="00DC1333">
            <w:pPr>
              <w:ind w:left="441" w:hanging="413"/>
              <w:jc w:val="center"/>
              <w:rPr>
                <w:sz w:val="16"/>
                <w:szCs w:val="16"/>
                <w:lang w:bidi="th-TH"/>
              </w:rPr>
            </w:pPr>
            <w:r w:rsidRPr="007E4934">
              <w:rPr>
                <w:sz w:val="16"/>
                <w:szCs w:val="16"/>
                <w:lang w:val="es-ES_tradnl" w:bidi="th-TH"/>
              </w:rPr>
              <w:t>Programa 7</w:t>
            </w:r>
          </w:p>
        </w:tc>
        <w:tc>
          <w:tcPr>
            <w:tcW w:w="475" w:type="pct"/>
            <w:shd w:val="clear" w:color="auto" w:fill="FFFFFF"/>
          </w:tcPr>
          <w:p w:rsidR="00FA423E" w:rsidRPr="00CC3F44" w:rsidRDefault="00FA423E" w:rsidP="00DC1333">
            <w:pPr>
              <w:jc w:val="center"/>
              <w:rPr>
                <w:color w:val="E26B0A"/>
              </w:rPr>
            </w:pPr>
            <w:r w:rsidRPr="00CC3F44">
              <w:rPr>
                <w:color w:val="E26B0A"/>
                <w:szCs w:val="22"/>
              </w:rPr>
              <w:sym w:font="Wingdings" w:char="F06C"/>
            </w:r>
          </w:p>
        </w:tc>
      </w:tr>
    </w:tbl>
    <w:p w:rsidR="00FA423E" w:rsidRDefault="00FA423E" w:rsidP="00FA423E"/>
    <w:p w:rsidR="00CF11D1" w:rsidRDefault="00CF11D1">
      <w:r>
        <w:br w:type="page"/>
      </w:r>
    </w:p>
    <w:p w:rsidR="00CF11D1" w:rsidRPr="00CD2DE5" w:rsidRDefault="00CF11D1" w:rsidP="00CF11D1">
      <w:pPr>
        <w:pStyle w:val="Heading2"/>
        <w:tabs>
          <w:tab w:val="left" w:pos="2410"/>
        </w:tabs>
        <w:rPr>
          <w:b/>
        </w:rPr>
      </w:pPr>
      <w:bookmarkStart w:id="73" w:name="_Toc422927407"/>
      <w:bookmarkStart w:id="74" w:name="_Toc455159075"/>
      <w:r w:rsidRPr="00CD2DE5">
        <w:rPr>
          <w:b/>
        </w:rPr>
        <w:lastRenderedPageBreak/>
        <w:t>PROGRAMA 5</w:t>
      </w:r>
      <w:r w:rsidRPr="00CD2DE5">
        <w:rPr>
          <w:b/>
        </w:rPr>
        <w:tab/>
        <w:t>SISTEMA DEL PCT</w:t>
      </w:r>
      <w:bookmarkEnd w:id="73"/>
      <w:bookmarkEnd w:id="74"/>
    </w:p>
    <w:p w:rsidR="00CF11D1" w:rsidRPr="00CD2DE5" w:rsidRDefault="00CF11D1" w:rsidP="00CF11D1"/>
    <w:p w:rsidR="00CF11D1" w:rsidRPr="00CD2DE5" w:rsidRDefault="00CF11D1" w:rsidP="00CF11D1">
      <w:pPr>
        <w:tabs>
          <w:tab w:val="left" w:pos="2410"/>
        </w:tabs>
        <w:rPr>
          <w:b/>
          <w:sz w:val="20"/>
        </w:rPr>
      </w:pPr>
      <w:r w:rsidRPr="00CD2DE5">
        <w:rPr>
          <w:b/>
          <w:sz w:val="20"/>
        </w:rPr>
        <w:t>Director de programa</w:t>
      </w:r>
      <w:r w:rsidRPr="00CD2DE5">
        <w:rPr>
          <w:b/>
          <w:sz w:val="20"/>
        </w:rPr>
        <w:tab/>
        <w:t>Sr. J. Sandage</w:t>
      </w:r>
    </w:p>
    <w:p w:rsidR="00CF11D1" w:rsidRPr="00CD2DE5" w:rsidRDefault="00CF11D1" w:rsidP="00CF11D1"/>
    <w:p w:rsidR="00CF11D1" w:rsidRPr="00CD2DE5" w:rsidRDefault="00CF11D1" w:rsidP="00CF11D1"/>
    <w:p w:rsidR="00CF11D1" w:rsidRPr="00CD2DE5" w:rsidRDefault="008F7CBE" w:rsidP="00CF11D1">
      <w:pPr>
        <w:rPr>
          <w:bCs/>
          <w:szCs w:val="22"/>
        </w:rPr>
      </w:pPr>
      <w:r w:rsidRPr="008F7CBE">
        <w:rPr>
          <w:bCs/>
          <w:sz w:val="20"/>
          <w:szCs w:val="22"/>
        </w:rPr>
        <w:t>LOGROS ALCANZADOS EN EL BIENIO 2014/15</w:t>
      </w:r>
    </w:p>
    <w:p w:rsidR="00CF11D1" w:rsidRPr="00CD2DE5" w:rsidRDefault="00CF11D1" w:rsidP="00CF11D1">
      <w:pPr>
        <w:rPr>
          <w:b/>
        </w:rPr>
      </w:pPr>
    </w:p>
    <w:p w:rsidR="00CF11D1" w:rsidRPr="00CD2DE5" w:rsidRDefault="00CF11D1" w:rsidP="00CF11D1">
      <w:pPr>
        <w:pStyle w:val="ListParagraph"/>
        <w:numPr>
          <w:ilvl w:val="0"/>
          <w:numId w:val="17"/>
        </w:numPr>
        <w:tabs>
          <w:tab w:val="left" w:pos="709"/>
        </w:tabs>
        <w:ind w:left="0" w:firstLine="0"/>
        <w:jc w:val="both"/>
        <w:rPr>
          <w:rFonts w:cs="Arial"/>
          <w:lang w:val="es-ES"/>
        </w:rPr>
      </w:pPr>
      <w:r w:rsidRPr="00CD2DE5">
        <w:rPr>
          <w:rFonts w:cs="Arial"/>
          <w:lang w:val="es-ES"/>
        </w:rPr>
        <w:t>La Oficina Internacional recibió aproximadamente 217.000 ejemplares originales en 2015, lo que supone una disminución del 0,3% con respecto a 2014.  Una de las razones principales de este descenso fue el repunte de las solicitudes procedentes de los Estado</w:t>
      </w:r>
      <w:r>
        <w:rPr>
          <w:rFonts w:cs="Arial"/>
          <w:lang w:val="es-ES"/>
        </w:rPr>
        <w:t>s Unidos de América en marzo de </w:t>
      </w:r>
      <w:r w:rsidRPr="00CD2DE5">
        <w:rPr>
          <w:rFonts w:cs="Arial"/>
          <w:lang w:val="es-ES"/>
        </w:rPr>
        <w:t>2014, debido a que un año antes había entrado en vigor la Ley Leahy-Smith America Invents.  Durante el bienio 2014/15 se recibieron aproximadamente 435.000 ejemplares originales en total, lo que representa un aumento del 9% en comparación con los 399.000 que se alcanzar</w:t>
      </w:r>
      <w:r>
        <w:rPr>
          <w:rFonts w:cs="Arial"/>
          <w:lang w:val="es-ES"/>
        </w:rPr>
        <w:t>on aproximadamente en el bienio </w:t>
      </w:r>
      <w:r w:rsidRPr="00CD2DE5">
        <w:rPr>
          <w:rFonts w:cs="Arial"/>
          <w:lang w:val="es-ES"/>
        </w:rPr>
        <w:t>2012/13.  El porcentaje de solicitudes presentadas enteramente por medios electrónicos siguió aumentando en 2015, y actualmente constituye el 94% de todas las solicitudes que se presentan.  Aunque el porcentaje más alto de solicitudes se presentaron en inglés (48,6% en 2014/15), el porcentaje de solicitudes presentadas en idiomas asiáticos ha aumentado en el último decenio.  El porcentaje combinado de solicitudes PCT presentadas en japonés, chino y coreano ha pasado del 29,5% en 2009 al 37,6% en 2015.</w:t>
      </w:r>
    </w:p>
    <w:p w:rsidR="00CF11D1" w:rsidRPr="00CD2DE5" w:rsidRDefault="00CF11D1" w:rsidP="00CF11D1">
      <w:pPr>
        <w:pStyle w:val="ListParagraph"/>
        <w:tabs>
          <w:tab w:val="left" w:pos="709"/>
        </w:tabs>
        <w:ind w:left="0"/>
        <w:jc w:val="both"/>
        <w:rPr>
          <w:rFonts w:cs="Arial"/>
          <w:lang w:val="es-ES"/>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rPr>
      </w:pPr>
      <w:r w:rsidRPr="00CD2DE5">
        <w:rPr>
          <w:rFonts w:cs="Arial"/>
          <w:lang w:val="es-ES"/>
        </w:rPr>
        <w:t xml:space="preserve">Aumentó significativamente la utilización del sistema ePCT en 2014/15 y desde abril de 2015 la interfaz está disponible en los 10 idiomas de publicación, con lo que se simplifica el acceso a los solicitantes y las Oficinas de todo el mundo.  El acceso al sistema de presentación ePCT, que en 2013 solo estaba disponible para la Oficina receptora de la Oficina Internacional, se extendió en 2014/15 a todas las Oficinas receptoras deseosas de recibir y tramitar solicitudes internacionales.  A fines del bienio 2014/15 29 Oficinas receptoras habían comenzado, con la ayuda de la Oficina Internacional, a aceptar solicitudes internacionales presentadas mediante el sistema ePCT, incluso de países en desarrollo como la Arabia Saudita, Argelia, Azerbaiyán, el Brasil, Chile, Colombia, la India, Malasia, México y Sudáfrica, que hasta entonces no ofrecían a sus solicitantes la posibilidad de presentar solicitudes internacionales por Internet, de acuerdo con las recomendaciones de la A.D. recogidas en la Categoría A, relativa a la asistencia técnica y el fortalecimiento de capacidades.  Otros países se encontraban en diferentes etapas de prueba del sistema, y 34 Oficinas receptoras y 8 Administraciones internacionales permitían la presentación de documentos por el sistema ePCT posteriormente a la presentación de la solicitud internacional.  Además, la Oficina Internacional puso en marcha un nuevo servicio, eSearchCopy, que comenzó a funcionar en pruebas en 2014, para preparar y transmitir las copias para la búsqueda a la Administración encargada de la búsqueda internacional en nombre de la Oficina receptora con la finalidad de mejorar la puntualidad y la eficacia de </w:t>
      </w:r>
      <w:proofErr w:type="gramStart"/>
      <w:r w:rsidRPr="00CD2DE5">
        <w:rPr>
          <w:rFonts w:cs="Arial"/>
          <w:lang w:val="es-ES"/>
        </w:rPr>
        <w:t>las búsqueda</w:t>
      </w:r>
      <w:proofErr w:type="gramEnd"/>
      <w:r w:rsidRPr="00CD2DE5">
        <w:rPr>
          <w:rFonts w:cs="Arial"/>
          <w:lang w:val="es-ES"/>
        </w:rPr>
        <w:t xml:space="preserve"> internacionales.  A fines de 2015 el servicio lo utilizaban 28 pares de Oficinas, entre las que se encontraban 6 Administraciones encargadas de la búsqueda internacional y 15 Oficinas receptoras.</w:t>
      </w:r>
    </w:p>
    <w:p w:rsidR="00CF11D1" w:rsidRPr="00CD2DE5" w:rsidRDefault="00CF11D1" w:rsidP="00CF11D1">
      <w:pPr>
        <w:tabs>
          <w:tab w:val="left" w:pos="709"/>
        </w:tabs>
        <w:autoSpaceDE w:val="0"/>
        <w:autoSpaceDN w:val="0"/>
        <w:adjustRightInd w:val="0"/>
        <w:jc w:val="both"/>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rPr>
      </w:pPr>
      <w:r w:rsidRPr="00CD2DE5">
        <w:rPr>
          <w:rFonts w:cs="Arial"/>
          <w:lang w:val="es-ES"/>
        </w:rPr>
        <w:t xml:space="preserve">En </w:t>
      </w:r>
      <w:proofErr w:type="gramStart"/>
      <w:r w:rsidRPr="00CD2DE5">
        <w:rPr>
          <w:rFonts w:cs="Arial"/>
          <w:lang w:val="es-ES"/>
        </w:rPr>
        <w:t>sus reuniones séptima</w:t>
      </w:r>
      <w:proofErr w:type="gramEnd"/>
      <w:r w:rsidRPr="00CD2DE5">
        <w:rPr>
          <w:rFonts w:cs="Arial"/>
          <w:lang w:val="es-ES"/>
        </w:rPr>
        <w:t xml:space="preserve"> y octava, celebradas en junio de 2014 y 2015, el Grupo de Trabajo del PCT continuó los debates sobre algunas propuestas para mejorar el funcionamiento del Sistema del PCT.  Se debatió de conformidad con las recomendaciones respaldadas por el Grupo de Trabajo en su tercera reunión, entre las que figuran recomendacio</w:t>
      </w:r>
      <w:r>
        <w:rPr>
          <w:rFonts w:cs="Arial"/>
          <w:lang w:val="es-ES"/>
        </w:rPr>
        <w:t>nes relativas a cómo</w:t>
      </w:r>
      <w:r w:rsidRPr="00CD2DE5">
        <w:rPr>
          <w:rFonts w:cs="Arial"/>
          <w:lang w:val="es-ES"/>
        </w:rPr>
        <w:t xml:space="preserve"> armonizar el desarrollo futuro del PCT con las recomendaciones aplicables de la A.D., en particular las de las Categorías A y C.  Entre los logros de 2014 cabe mencionar los siguientes:  i) el acuerdo sobre los nuevos criterios que deben cumplir los solicitantes de determinados países para obtener una reducción de las tasas, en cuyo marco se amplió el número de países en desarrollo y de PMA que pueden acceder a dichas reducciones de las tasas, y ii) un procedimiento revisado para la designación de nuevas Administraciones encargadas de la búsqueda y del examen preliminar internacionales que ayude a garantizar que las Administraciones candidatas cuentan con las infraestructuras y los recursos necesarios para ejercer esta función.  Entre los logros de 2015 cabe mencionar los siguientes:  acuerdo a fin de transmitir los resultados de la búsqueda y clasificación de solicitudes anteriores a las Administraciones encargadas de la búsqueda internacional para seguir aumentando la eficacia de la búsqueda internacional y contribuir a mejorar su calidad, y ii) acuerdo para exigir a las Oficinas designadas que remitan puntualmente a la Oficina Internacional información acerca de las solicitudes en la fase nacional, lo que mejorará notablemente la información disponible </w:t>
      </w:r>
      <w:r w:rsidRPr="00CD2DE5">
        <w:rPr>
          <w:lang w:val="es-ES"/>
        </w:rPr>
        <w:t>sobre</w:t>
      </w:r>
      <w:r w:rsidRPr="00CD2DE5">
        <w:rPr>
          <w:rFonts w:cs="Arial"/>
          <w:lang w:val="es-ES"/>
        </w:rPr>
        <w:t xml:space="preserve"> los derechos nacionales de patente concedidos </w:t>
      </w:r>
      <w:r>
        <w:rPr>
          <w:rFonts w:cs="Arial"/>
          <w:lang w:val="es-ES"/>
        </w:rPr>
        <w:t>y</w:t>
      </w:r>
      <w:r w:rsidRPr="00CD2DE5">
        <w:rPr>
          <w:rFonts w:cs="Arial"/>
          <w:lang w:val="es-ES"/>
        </w:rPr>
        <w:t xml:space="preserve"> pendientes de concesión.  La Oficina Internacional presentó también información sobre en qué medida afectan a la presentación de solicitudes PCT los cambios que se producen en la tasa de presentación internacional, mediante simulaciones de la incidencia que, de producirse, tendría la reducción de las tasas para las universidades e instituciones públicas de investigación de los países desarrollados y en desarrollo.</w:t>
      </w:r>
    </w:p>
    <w:p w:rsidR="00CF11D1" w:rsidRPr="00CD2DE5" w:rsidRDefault="00CF11D1" w:rsidP="00CF11D1">
      <w:pPr>
        <w:tabs>
          <w:tab w:val="left" w:pos="709"/>
        </w:tabs>
        <w:jc w:val="both"/>
        <w:rPr>
          <w:b/>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rPr>
      </w:pPr>
      <w:r w:rsidRPr="00CD2DE5">
        <w:rPr>
          <w:lang w:val="es-ES"/>
        </w:rPr>
        <w:t>En el marco del programa, siguió dedicándose una parte importante de la labor y recursos a la cooperación y asistencia técnicas a los países en desarrollo y PMA.  Se llevaron a cab</w:t>
      </w:r>
      <w:r>
        <w:rPr>
          <w:lang w:val="es-ES"/>
        </w:rPr>
        <w:t xml:space="preserve">o actividades de formación y </w:t>
      </w:r>
      <w:r w:rsidRPr="00CD2DE5">
        <w:rPr>
          <w:lang w:val="es-ES"/>
        </w:rPr>
        <w:t>fortalecimiento de las capacidades con el fin de asistir tanto a los Estados miembros del PCT como los que estaban estudiando la posibilidad de adherirse a él en el fortalecimiento de la capacidad nacional para la protección de la creatividad y la innovación nacional, en consonancia con la recomendación 1 de la A.D.  Dichas actividades, efectuadas a petición de los interesados, estaban orientadas a la potenciación del desarrollo y eran transparentes.  Se concibieron en coordinación con organizadores locales teniendo en cuenta el grado de sensibilización o el conocimiento técnico sobre el PCT y las competencias de los participantes en relación con el PCT, y abarcaban una gran variedad de aspecto</w:t>
      </w:r>
      <w:r>
        <w:rPr>
          <w:lang w:val="es-ES"/>
        </w:rPr>
        <w:t>s</w:t>
      </w:r>
      <w:r w:rsidRPr="00CD2DE5">
        <w:rPr>
          <w:lang w:val="es-ES"/>
        </w:rPr>
        <w:t xml:space="preserve"> del Tratado</w:t>
      </w:r>
      <w:r>
        <w:rPr>
          <w:lang w:val="es-ES"/>
        </w:rPr>
        <w:t>,</w:t>
      </w:r>
      <w:r w:rsidRPr="00CD2DE5">
        <w:rPr>
          <w:lang w:val="es-ES"/>
        </w:rPr>
        <w:t xml:space="preserve"> </w:t>
      </w:r>
      <w:r w:rsidRPr="00CD2DE5">
        <w:rPr>
          <w:rFonts w:cs="Arial"/>
          <w:lang w:val="es-ES"/>
        </w:rPr>
        <w:t>como</w:t>
      </w:r>
      <w:r w:rsidRPr="00CD2DE5">
        <w:rPr>
          <w:lang w:val="es-ES"/>
        </w:rPr>
        <w:t xml:space="preserve"> el sistema ePCT y el examen posterior a la entrada en la fase nacional.  Dichas actividades contribuyeron además a fortalecer las capacidades de los Estados miembros del PCT y de los que estaban estudiando la posibilidad de adherirse al PCT mediante la mejora de los conocimientos y competencias locales en la utilización del Sistema del PCT.</w:t>
      </w:r>
    </w:p>
    <w:p w:rsidR="00CF11D1" w:rsidRPr="00CD2DE5" w:rsidRDefault="00CF11D1" w:rsidP="00CF11D1"/>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rPr>
      </w:pPr>
      <w:r w:rsidRPr="00CD2DE5">
        <w:rPr>
          <w:rFonts w:cs="Arial"/>
          <w:lang w:val="es-ES"/>
        </w:rPr>
        <w:t xml:space="preserve">En el bienio 2014/15 se fomentó el conocimiento del PCT entre los </w:t>
      </w:r>
      <w:r>
        <w:rPr>
          <w:rFonts w:cs="Arial"/>
          <w:lang w:val="es-ES"/>
        </w:rPr>
        <w:t>usuarios y potenciales usuarios</w:t>
      </w:r>
      <w:r w:rsidRPr="00CD2DE5">
        <w:rPr>
          <w:rFonts w:cs="Arial"/>
          <w:lang w:val="es-ES"/>
        </w:rPr>
        <w:t xml:space="preserve"> a través de diversas actividades de formación y divulgación, incluidos 111 seminarios, 101 presentaciones, 25 seminarios web y 67 visitas de usuarios.  Por otra parte, el Servicio de Información del PCT respondió a 23.618 consultas relacionadas con el PCT formuladas por sus usuarios y potenciales usuarios (una media de 49 consultas al día) y resolvió 2.408 casos “de tramitación especial” durante el año.</w:t>
      </w:r>
    </w:p>
    <w:p w:rsidR="00CF11D1" w:rsidRPr="00CD2DE5" w:rsidRDefault="00CF11D1" w:rsidP="00CF11D1"/>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lang w:val="es-ES"/>
        </w:rPr>
      </w:pPr>
      <w:r w:rsidRPr="00CD2DE5">
        <w:rPr>
          <w:rFonts w:cs="Arial"/>
          <w:lang w:val="es-ES"/>
        </w:rPr>
        <w:t>La Oficina Internacional siguió mejorando y ampliando la automatización de determinados procesos relativos al examen de forma de solicitudes internacionales PCT.  Además de las solicitudes presentadas electrónicamente en formatos XML y PDF, la Oficina Internacional hizo importantes avances en la tramitación automática de los informes de búsqueda internacional y las opiniones escritas que recibe de China, el Japón, la República de Corea y la Oficina Europea de Patentes, en formato XML y PDF.  Con ello se logró mejorar la productividad y la calidad del examen de forma de las solicitudes internacionales PCT durante el bienio, lo que permitió a la Oficina Internacional afrontar el incesante aumento del volumen de trabajo con menor número de miembros del personal, sin dejar de mantener la elevada calidad del servicio.  En el bienio 2014/15 se produjo un aumento notable, del 22%, de la productividad medida por el número de publicaciones del PCT dividido por el número de miembros del personal en comparación con el bien</w:t>
      </w:r>
      <w:r>
        <w:rPr>
          <w:rFonts w:cs="Arial"/>
          <w:lang w:val="es-ES"/>
        </w:rPr>
        <w:t>io 2012/</w:t>
      </w:r>
      <w:r w:rsidRPr="00CD2DE5">
        <w:rPr>
          <w:rFonts w:cs="Arial"/>
          <w:lang w:val="es-ES"/>
        </w:rPr>
        <w:t>13.  La calidad en general, medida por el índice agregado, mejoró considerablemente, un 5,8%, en el bienio 2014/15 en comparación con el bienio anterior.</w:t>
      </w:r>
    </w:p>
    <w:p w:rsidR="00CF11D1" w:rsidRPr="00CD2DE5" w:rsidRDefault="00CF11D1" w:rsidP="00CF11D1">
      <w:pPr>
        <w:tabs>
          <w:tab w:val="left" w:pos="709"/>
        </w:tabs>
        <w:autoSpaceDE w:val="0"/>
        <w:autoSpaceDN w:val="0"/>
        <w:adjustRightInd w:val="0"/>
        <w:jc w:val="both"/>
      </w:pPr>
    </w:p>
    <w:p w:rsidR="00CF11D1" w:rsidRPr="00CD2DE5" w:rsidRDefault="00CF11D1" w:rsidP="00CF11D1">
      <w:pPr>
        <w:tabs>
          <w:tab w:val="left" w:pos="8145"/>
        </w:tabs>
      </w:pPr>
    </w:p>
    <w:p w:rsidR="00CF11D1" w:rsidRPr="00CD2DE5" w:rsidRDefault="008F7CBE" w:rsidP="00CF11D1">
      <w:pPr>
        <w:rPr>
          <w:szCs w:val="22"/>
        </w:rPr>
      </w:pPr>
      <w:r w:rsidRPr="008F7CBE">
        <w:rPr>
          <w:sz w:val="20"/>
          <w:szCs w:val="22"/>
        </w:rPr>
        <w:t>DATOS SOBRE EL RENDIMIENTO</w:t>
      </w:r>
    </w:p>
    <w:p w:rsidR="00CF11D1" w:rsidRPr="00CD2DE5" w:rsidRDefault="00CF11D1" w:rsidP="00CF11D1">
      <w:pPr>
        <w:rPr>
          <w:b/>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5"/>
        <w:gridCol w:w="2247"/>
        <w:gridCol w:w="142"/>
        <w:gridCol w:w="1409"/>
        <w:gridCol w:w="140"/>
        <w:gridCol w:w="2111"/>
        <w:gridCol w:w="138"/>
        <w:gridCol w:w="1269"/>
      </w:tblGrid>
      <w:tr w:rsidR="00CF11D1" w:rsidRPr="00CD2DE5" w:rsidTr="00DC1333">
        <w:trPr>
          <w:trHeight w:val="336"/>
        </w:trPr>
        <w:tc>
          <w:tcPr>
            <w:tcW w:w="5000" w:type="pct"/>
            <w:gridSpan w:val="8"/>
            <w:tcBorders>
              <w:top w:val="single" w:sz="4" w:space="0" w:color="auto"/>
              <w:bottom w:val="single" w:sz="4" w:space="0" w:color="auto"/>
            </w:tcBorders>
            <w:shd w:val="clear" w:color="auto" w:fill="C6D9F1" w:themeFill="text2" w:themeFillTint="33"/>
            <w:vAlign w:val="center"/>
          </w:tcPr>
          <w:p w:rsidR="00CF11D1" w:rsidRPr="00CD2DE5" w:rsidRDefault="00CF11D1" w:rsidP="00DC1333">
            <w:pPr>
              <w:tabs>
                <w:tab w:val="left" w:pos="1452"/>
              </w:tabs>
              <w:ind w:left="2019" w:hanging="2019"/>
              <w:rPr>
                <w:b/>
                <w:bCs/>
                <w:sz w:val="16"/>
                <w:szCs w:val="16"/>
              </w:rPr>
            </w:pPr>
            <w:r w:rsidRPr="00CD2DE5">
              <w:rPr>
                <w:b/>
                <w:bCs/>
                <w:sz w:val="16"/>
                <w:szCs w:val="16"/>
              </w:rPr>
              <w:t>Resultado previsto:</w:t>
            </w:r>
            <w:r w:rsidRPr="00CD2DE5">
              <w:rPr>
                <w:bCs/>
                <w:sz w:val="16"/>
                <w:szCs w:val="16"/>
              </w:rPr>
              <w:tab/>
              <w:t>II.1 Fomento del uso de la vía del PCT para la presentación de solicitudes internacionales de patente</w:t>
            </w:r>
          </w:p>
        </w:tc>
      </w:tr>
      <w:tr w:rsidR="00CF11D1" w:rsidRPr="00CD2DE5" w:rsidTr="00DC1333">
        <w:tc>
          <w:tcPr>
            <w:tcW w:w="1105" w:type="pct"/>
            <w:tcBorders>
              <w:top w:val="single" w:sz="4" w:space="0" w:color="auto"/>
            </w:tcBorders>
            <w:shd w:val="clear" w:color="auto" w:fill="auto"/>
            <w:vAlign w:val="center"/>
          </w:tcPr>
          <w:p w:rsidR="00CF11D1" w:rsidRPr="00CD2DE5" w:rsidRDefault="00CF11D1" w:rsidP="00DC1333">
            <w:pPr>
              <w:rPr>
                <w:sz w:val="16"/>
                <w:szCs w:val="16"/>
              </w:rPr>
            </w:pPr>
            <w:r w:rsidRPr="00CD2DE5">
              <w:rPr>
                <w:b/>
                <w:sz w:val="16"/>
                <w:szCs w:val="16"/>
              </w:rPr>
              <w:t>Indicadores de rendimiento</w:t>
            </w:r>
          </w:p>
        </w:tc>
        <w:tc>
          <w:tcPr>
            <w:tcW w:w="1248" w:type="pct"/>
            <w:gridSpan w:val="2"/>
            <w:tcBorders>
              <w:top w:val="single" w:sz="4" w:space="0" w:color="auto"/>
            </w:tcBorders>
            <w:shd w:val="clear" w:color="auto" w:fill="auto"/>
            <w:vAlign w:val="center"/>
          </w:tcPr>
          <w:p w:rsidR="00CF11D1" w:rsidRPr="00CD2DE5" w:rsidRDefault="00CF11D1" w:rsidP="00DC1333">
            <w:pPr>
              <w:rPr>
                <w:b/>
                <w:bCs/>
                <w:sz w:val="16"/>
                <w:szCs w:val="16"/>
              </w:rPr>
            </w:pPr>
            <w:r w:rsidRPr="00CD2DE5">
              <w:rPr>
                <w:b/>
                <w:bCs/>
                <w:sz w:val="16"/>
                <w:szCs w:val="16"/>
              </w:rPr>
              <w:t>Referencia</w:t>
            </w:r>
          </w:p>
        </w:tc>
        <w:tc>
          <w:tcPr>
            <w:tcW w:w="809" w:type="pct"/>
            <w:gridSpan w:val="2"/>
            <w:tcBorders>
              <w:top w:val="single" w:sz="4" w:space="0" w:color="auto"/>
            </w:tcBorders>
            <w:shd w:val="clear" w:color="auto" w:fill="auto"/>
            <w:tcMar>
              <w:top w:w="110" w:type="dxa"/>
            </w:tcMar>
            <w:vAlign w:val="center"/>
          </w:tcPr>
          <w:p w:rsidR="00CF11D1" w:rsidRPr="00CD2DE5" w:rsidRDefault="00CF11D1" w:rsidP="00DC1333">
            <w:pPr>
              <w:rPr>
                <w:b/>
                <w:sz w:val="16"/>
                <w:szCs w:val="16"/>
              </w:rPr>
            </w:pPr>
            <w:r w:rsidRPr="00CD2DE5">
              <w:rPr>
                <w:b/>
                <w:sz w:val="16"/>
                <w:szCs w:val="16"/>
              </w:rPr>
              <w:t>Objetivos</w:t>
            </w:r>
          </w:p>
        </w:tc>
        <w:tc>
          <w:tcPr>
            <w:tcW w:w="1175" w:type="pct"/>
            <w:gridSpan w:val="2"/>
            <w:tcBorders>
              <w:top w:val="single" w:sz="4" w:space="0" w:color="auto"/>
            </w:tcBorders>
            <w:shd w:val="clear" w:color="auto" w:fill="FFFFFF"/>
            <w:tcMar>
              <w:top w:w="110" w:type="dxa"/>
            </w:tcMar>
            <w:vAlign w:val="center"/>
          </w:tcPr>
          <w:p w:rsidR="00CF11D1" w:rsidRPr="00CD2DE5" w:rsidRDefault="00CF11D1" w:rsidP="00DC1333">
            <w:pPr>
              <w:rPr>
                <w:sz w:val="16"/>
                <w:szCs w:val="16"/>
              </w:rPr>
            </w:pPr>
            <w:r w:rsidRPr="00CD2DE5">
              <w:rPr>
                <w:b/>
                <w:sz w:val="16"/>
                <w:szCs w:val="16"/>
              </w:rPr>
              <w:t>Datos sobre el rendimiento</w:t>
            </w:r>
          </w:p>
        </w:tc>
        <w:tc>
          <w:tcPr>
            <w:tcW w:w="663" w:type="pct"/>
            <w:tcBorders>
              <w:top w:val="single" w:sz="4" w:space="0" w:color="auto"/>
            </w:tcBorders>
            <w:shd w:val="clear" w:color="auto" w:fill="auto"/>
            <w:tcMar>
              <w:top w:w="110" w:type="dxa"/>
            </w:tcMar>
            <w:vAlign w:val="center"/>
          </w:tcPr>
          <w:p w:rsidR="00CF11D1" w:rsidRPr="00CD2DE5" w:rsidRDefault="00CF11D1" w:rsidP="00DC1333">
            <w:pPr>
              <w:ind w:left="-112"/>
              <w:jc w:val="center"/>
              <w:rPr>
                <w:b/>
                <w:bCs/>
                <w:sz w:val="16"/>
                <w:szCs w:val="16"/>
              </w:rPr>
            </w:pPr>
            <w:r w:rsidRPr="00CD2DE5">
              <w:rPr>
                <w:b/>
                <w:bCs/>
                <w:sz w:val="16"/>
                <w:szCs w:val="16"/>
              </w:rPr>
              <w:t>Clave de colores</w:t>
            </w:r>
          </w:p>
        </w:tc>
      </w:tr>
      <w:tr w:rsidR="00CF11D1" w:rsidRPr="00CD2DE5" w:rsidTr="00DC1333">
        <w:tc>
          <w:tcPr>
            <w:tcW w:w="1105" w:type="pct"/>
            <w:shd w:val="clear" w:color="auto" w:fill="auto"/>
          </w:tcPr>
          <w:p w:rsidR="00CF11D1" w:rsidRPr="00CD2DE5" w:rsidRDefault="00CF11D1" w:rsidP="00DC1333">
            <w:pPr>
              <w:rPr>
                <w:sz w:val="16"/>
                <w:szCs w:val="16"/>
              </w:rPr>
            </w:pPr>
            <w:r w:rsidRPr="00CD2DE5">
              <w:rPr>
                <w:sz w:val="16"/>
                <w:szCs w:val="16"/>
              </w:rPr>
              <w:t>Nivel de satisfacción de los usuarios del PCT respecto de los servicios de información y formación destinados a los usuarios</w:t>
            </w:r>
          </w:p>
        </w:tc>
        <w:tc>
          <w:tcPr>
            <w:tcW w:w="1248" w:type="pct"/>
            <w:gridSpan w:val="2"/>
            <w:shd w:val="clear" w:color="auto" w:fill="auto"/>
          </w:tcPr>
          <w:p w:rsidR="00CF11D1" w:rsidRPr="00CD2DE5" w:rsidRDefault="00CF11D1" w:rsidP="00DC1333">
            <w:pPr>
              <w:rPr>
                <w:sz w:val="16"/>
                <w:szCs w:val="16"/>
              </w:rPr>
            </w:pPr>
            <w:r w:rsidRPr="00CD2DE5">
              <w:rPr>
                <w:sz w:val="16"/>
                <w:szCs w:val="16"/>
              </w:rPr>
              <w:t>Nivel de satisfacción existente en 2009 entre los usuarios del PCT respecto de los servicios de información y formación destinados a los usuarios</w:t>
            </w:r>
          </w:p>
        </w:tc>
        <w:tc>
          <w:tcPr>
            <w:tcW w:w="809" w:type="pct"/>
            <w:gridSpan w:val="2"/>
            <w:shd w:val="clear" w:color="auto" w:fill="auto"/>
            <w:tcMar>
              <w:top w:w="110" w:type="dxa"/>
            </w:tcMar>
          </w:tcPr>
          <w:p w:rsidR="00CF11D1" w:rsidRPr="00CD2DE5" w:rsidRDefault="00CF11D1" w:rsidP="00DC1333">
            <w:pPr>
              <w:rPr>
                <w:sz w:val="16"/>
                <w:szCs w:val="16"/>
              </w:rPr>
            </w:pPr>
            <w:r w:rsidRPr="00CD2DE5">
              <w:rPr>
                <w:sz w:val="16"/>
                <w:szCs w:val="16"/>
              </w:rPr>
              <w:t>Mantenimiento o aumento del nivel de satisfacción existente en 2009 entre los usuarios del PCT</w:t>
            </w:r>
          </w:p>
        </w:tc>
        <w:tc>
          <w:tcPr>
            <w:tcW w:w="1175" w:type="pct"/>
            <w:gridSpan w:val="2"/>
            <w:shd w:val="clear" w:color="auto" w:fill="FFFFFF"/>
            <w:tcMar>
              <w:top w:w="110" w:type="dxa"/>
            </w:tcMar>
          </w:tcPr>
          <w:p w:rsidR="00CF11D1" w:rsidRPr="00CD2DE5" w:rsidRDefault="00CF11D1" w:rsidP="00DC1333">
            <w:pPr>
              <w:rPr>
                <w:sz w:val="16"/>
                <w:szCs w:val="16"/>
              </w:rPr>
            </w:pPr>
            <w:r w:rsidRPr="00CD2DE5">
              <w:rPr>
                <w:sz w:val="16"/>
                <w:szCs w:val="16"/>
              </w:rPr>
              <w:t>El nivel de satisfacción general de los usuarios con los servicios prestados por la</w:t>
            </w:r>
            <w:r w:rsidR="00CA2B81">
              <w:rPr>
                <w:sz w:val="16"/>
                <w:szCs w:val="16"/>
              </w:rPr>
              <w:t xml:space="preserve"> OMPI aumentó un 11% desde 2009</w:t>
            </w:r>
            <w:r w:rsidRPr="00CD2DE5">
              <w:rPr>
                <w:sz w:val="16"/>
                <w:szCs w:val="16"/>
              </w:rPr>
              <w:t xml:space="preserve"> hasta llegar al 89%.</w:t>
            </w:r>
          </w:p>
        </w:tc>
        <w:tc>
          <w:tcPr>
            <w:tcW w:w="663" w:type="pct"/>
            <w:shd w:val="clear" w:color="auto" w:fill="auto"/>
            <w:tcMar>
              <w:top w:w="110" w:type="dxa"/>
            </w:tcMar>
          </w:tcPr>
          <w:p w:rsidR="00CF11D1" w:rsidRPr="00CD2DE5" w:rsidRDefault="00CF11D1" w:rsidP="00DC1333">
            <w:pPr>
              <w:jc w:val="center"/>
              <w:rPr>
                <w:b/>
                <w:bCs/>
                <w:color w:val="0070C0"/>
                <w:sz w:val="16"/>
                <w:szCs w:val="16"/>
              </w:rPr>
            </w:pPr>
            <w:r w:rsidRPr="00CD2DE5">
              <w:rPr>
                <w:b/>
                <w:bCs/>
                <w:color w:val="00B050"/>
                <w:sz w:val="16"/>
                <w:szCs w:val="16"/>
              </w:rPr>
              <w:t>Plenamente logrado</w:t>
            </w:r>
          </w:p>
        </w:tc>
      </w:tr>
      <w:tr w:rsidR="00CF11D1" w:rsidRPr="00CD2DE5" w:rsidTr="00DC1333">
        <w:tc>
          <w:tcPr>
            <w:tcW w:w="1105" w:type="pct"/>
            <w:tcBorders>
              <w:bottom w:val="single" w:sz="4" w:space="0" w:color="auto"/>
            </w:tcBorders>
            <w:shd w:val="clear" w:color="auto" w:fill="auto"/>
          </w:tcPr>
          <w:p w:rsidR="00CF11D1" w:rsidRPr="00CD2DE5" w:rsidRDefault="00CF11D1" w:rsidP="00DC1333">
            <w:pPr>
              <w:rPr>
                <w:sz w:val="16"/>
                <w:szCs w:val="16"/>
              </w:rPr>
            </w:pPr>
            <w:r w:rsidRPr="00CD2DE5">
              <w:rPr>
                <w:sz w:val="16"/>
                <w:szCs w:val="16"/>
              </w:rPr>
              <w:t>Satisfacción de las oficinas y las administraciones internacionales respecto de las actividades de cooperación del PCT</w:t>
            </w:r>
          </w:p>
        </w:tc>
        <w:tc>
          <w:tcPr>
            <w:tcW w:w="1248" w:type="pct"/>
            <w:gridSpan w:val="2"/>
            <w:tcBorders>
              <w:bottom w:val="single" w:sz="4" w:space="0" w:color="auto"/>
            </w:tcBorders>
            <w:shd w:val="clear" w:color="auto" w:fill="auto"/>
          </w:tcPr>
          <w:p w:rsidR="00CF11D1" w:rsidRPr="00CD2DE5" w:rsidRDefault="00CF11D1" w:rsidP="00DC1333">
            <w:pPr>
              <w:rPr>
                <w:i/>
                <w:color w:val="002060"/>
                <w:sz w:val="8"/>
                <w:szCs w:val="8"/>
              </w:rPr>
            </w:pPr>
            <w:r w:rsidRPr="00CD2DE5">
              <w:rPr>
                <w:i/>
                <w:color w:val="002060"/>
                <w:sz w:val="16"/>
                <w:szCs w:val="16"/>
              </w:rPr>
              <w:t xml:space="preserve">Referencia actualizada a fines de 2013:  </w:t>
            </w:r>
            <w:r w:rsidRPr="00CD2DE5">
              <w:rPr>
                <w:color w:val="002060"/>
                <w:sz w:val="16"/>
                <w:szCs w:val="16"/>
              </w:rPr>
              <w:t>56 (95% de los 59 beneficiarios de las actividades de cooperación en el marco del PCT;  85% de los</w:t>
            </w:r>
          </w:p>
          <w:p w:rsidR="00CF11D1" w:rsidRPr="00CD2DE5" w:rsidRDefault="00CF11D1" w:rsidP="00DC1333">
            <w:pPr>
              <w:rPr>
                <w:color w:val="002060"/>
                <w:sz w:val="16"/>
                <w:szCs w:val="16"/>
              </w:rPr>
            </w:pPr>
            <w:r w:rsidRPr="00CD2DE5">
              <w:rPr>
                <w:color w:val="002060"/>
                <w:sz w:val="16"/>
                <w:szCs w:val="16"/>
              </w:rPr>
              <w:t>66 encuestados (encuesta de 2012)</w:t>
            </w:r>
          </w:p>
          <w:p w:rsidR="00CF11D1" w:rsidRPr="00CD2DE5" w:rsidRDefault="00CF11D1" w:rsidP="00DC1333">
            <w:pPr>
              <w:rPr>
                <w:color w:val="002060"/>
                <w:sz w:val="16"/>
                <w:szCs w:val="16"/>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59 encuestados expresaron satisfacción con las actividades en 2011 (95% de los 62 que participaron en las actividades / 86% de los 69 encuestados)</w:t>
            </w:r>
            <w:r w:rsidRPr="00CD2DE5">
              <w:rPr>
                <w:sz w:val="16"/>
                <w:szCs w:val="16"/>
              </w:rPr>
              <w:br/>
            </w:r>
          </w:p>
        </w:tc>
        <w:tc>
          <w:tcPr>
            <w:tcW w:w="809" w:type="pct"/>
            <w:gridSpan w:val="2"/>
            <w:tcBorders>
              <w:bottom w:val="single" w:sz="4" w:space="0" w:color="auto"/>
            </w:tcBorders>
            <w:shd w:val="clear" w:color="auto" w:fill="auto"/>
            <w:tcMar>
              <w:top w:w="110" w:type="dxa"/>
            </w:tcMar>
          </w:tcPr>
          <w:p w:rsidR="00CF11D1" w:rsidRPr="00CD2DE5" w:rsidRDefault="00CF11D1" w:rsidP="00DC1333">
            <w:pPr>
              <w:rPr>
                <w:sz w:val="16"/>
                <w:szCs w:val="16"/>
                <w:lang w:bidi="th-TH"/>
              </w:rPr>
            </w:pPr>
            <w:r w:rsidRPr="00CD2DE5">
              <w:rPr>
                <w:sz w:val="16"/>
                <w:szCs w:val="16"/>
                <w:lang w:bidi="th-TH"/>
              </w:rPr>
              <w:t>Mantenimiento del nivel de satisfacción existente en 2011 entre las Oficinas y las Administraciones internacionales</w:t>
            </w:r>
          </w:p>
        </w:tc>
        <w:tc>
          <w:tcPr>
            <w:tcW w:w="1175" w:type="pct"/>
            <w:gridSpan w:val="2"/>
            <w:tcBorders>
              <w:bottom w:val="single" w:sz="4" w:space="0" w:color="auto"/>
            </w:tcBorders>
            <w:shd w:val="clear" w:color="auto" w:fill="FFFFFF"/>
            <w:tcMar>
              <w:top w:w="110" w:type="dxa"/>
            </w:tcMar>
          </w:tcPr>
          <w:p w:rsidR="00CF11D1" w:rsidRPr="00CD2DE5" w:rsidRDefault="00CF11D1" w:rsidP="00DC1333">
            <w:pPr>
              <w:rPr>
                <w:sz w:val="16"/>
                <w:szCs w:val="16"/>
              </w:rPr>
            </w:pPr>
            <w:r w:rsidRPr="00CD2DE5">
              <w:rPr>
                <w:sz w:val="16"/>
                <w:szCs w:val="16"/>
              </w:rPr>
              <w:t>58 (el 96% de 60 beneficiarios de las actividades de cooperación en el marco del PCT;  el 95 de los encuestados (encuesta de 2016)</w:t>
            </w:r>
          </w:p>
        </w:tc>
        <w:tc>
          <w:tcPr>
            <w:tcW w:w="663" w:type="pct"/>
            <w:tcBorders>
              <w:bottom w:val="single" w:sz="4" w:space="0" w:color="auto"/>
            </w:tcBorders>
            <w:shd w:val="clear" w:color="auto" w:fill="auto"/>
            <w:tcMar>
              <w:top w:w="110" w:type="dxa"/>
            </w:tcMar>
          </w:tcPr>
          <w:p w:rsidR="00CF11D1" w:rsidRPr="00CD2DE5" w:rsidRDefault="00CF11D1" w:rsidP="00DC1333">
            <w:pPr>
              <w:jc w:val="center"/>
              <w:rPr>
                <w:b/>
                <w:bCs/>
                <w:color w:val="0070C0"/>
                <w:sz w:val="16"/>
                <w:szCs w:val="16"/>
              </w:rPr>
            </w:pPr>
            <w:r w:rsidRPr="00CD2DE5">
              <w:rPr>
                <w:b/>
                <w:bCs/>
                <w:color w:val="00B050"/>
                <w:sz w:val="16"/>
                <w:szCs w:val="16"/>
              </w:rPr>
              <w:t>Plenamente logrado</w:t>
            </w:r>
          </w:p>
        </w:tc>
      </w:tr>
      <w:tr w:rsidR="00CF11D1" w:rsidRPr="00CD2DE5" w:rsidTr="00DC1333">
        <w:trPr>
          <w:trHeight w:val="374"/>
        </w:trPr>
        <w:tc>
          <w:tcPr>
            <w:tcW w:w="5000" w:type="pct"/>
            <w:gridSpan w:val="8"/>
            <w:tcBorders>
              <w:top w:val="single" w:sz="4" w:space="0" w:color="auto"/>
              <w:bottom w:val="single" w:sz="4" w:space="0" w:color="auto"/>
            </w:tcBorders>
            <w:shd w:val="clear" w:color="auto" w:fill="C6D9F1" w:themeFill="text2" w:themeFillTint="33"/>
            <w:vAlign w:val="center"/>
          </w:tcPr>
          <w:p w:rsidR="00CF11D1" w:rsidRPr="00CD2DE5" w:rsidRDefault="00CF11D1" w:rsidP="00DC1333">
            <w:pPr>
              <w:keepNext/>
              <w:keepLines/>
              <w:tabs>
                <w:tab w:val="left" w:pos="-5495"/>
                <w:tab w:val="left" w:pos="-3794"/>
              </w:tabs>
              <w:ind w:left="2019" w:hanging="2019"/>
              <w:rPr>
                <w:b/>
                <w:bCs/>
                <w:sz w:val="16"/>
                <w:szCs w:val="16"/>
              </w:rPr>
            </w:pPr>
            <w:r w:rsidRPr="00CD2DE5">
              <w:rPr>
                <w:b/>
                <w:bCs/>
                <w:sz w:val="16"/>
                <w:szCs w:val="16"/>
              </w:rPr>
              <w:lastRenderedPageBreak/>
              <w:t>Resultado previsto:</w:t>
            </w:r>
            <w:r w:rsidRPr="00CD2DE5">
              <w:rPr>
                <w:bCs/>
                <w:sz w:val="16"/>
                <w:szCs w:val="16"/>
              </w:rPr>
              <w:tab/>
              <w:t>II.2 Mejora del Sistema del PCT</w:t>
            </w:r>
          </w:p>
        </w:tc>
      </w:tr>
      <w:tr w:rsidR="00CF11D1" w:rsidRPr="00CD2DE5" w:rsidTr="00DA11AF">
        <w:tc>
          <w:tcPr>
            <w:tcW w:w="1105" w:type="pct"/>
            <w:tcBorders>
              <w:top w:val="single" w:sz="4" w:space="0" w:color="auto"/>
            </w:tcBorders>
            <w:shd w:val="clear" w:color="auto" w:fill="auto"/>
            <w:vAlign w:val="center"/>
          </w:tcPr>
          <w:p w:rsidR="00CF11D1" w:rsidRPr="00CD2DE5" w:rsidRDefault="00CF11D1" w:rsidP="00DC1333">
            <w:pPr>
              <w:keepNext/>
              <w:keepLines/>
              <w:rPr>
                <w:sz w:val="16"/>
                <w:szCs w:val="16"/>
              </w:rPr>
            </w:pPr>
            <w:r w:rsidRPr="00CD2DE5">
              <w:rPr>
                <w:b/>
                <w:sz w:val="16"/>
                <w:szCs w:val="16"/>
              </w:rPr>
              <w:t>Indicadores de rendimiento</w:t>
            </w:r>
          </w:p>
        </w:tc>
        <w:tc>
          <w:tcPr>
            <w:tcW w:w="1174" w:type="pct"/>
            <w:tcBorders>
              <w:top w:val="single" w:sz="4" w:space="0" w:color="auto"/>
            </w:tcBorders>
            <w:shd w:val="clear" w:color="auto" w:fill="auto"/>
            <w:vAlign w:val="center"/>
          </w:tcPr>
          <w:p w:rsidR="00CF11D1" w:rsidRPr="00CD2DE5" w:rsidRDefault="00CF11D1" w:rsidP="00DC1333">
            <w:pPr>
              <w:keepNext/>
              <w:keepLines/>
              <w:rPr>
                <w:b/>
                <w:bCs/>
                <w:sz w:val="16"/>
                <w:szCs w:val="16"/>
              </w:rPr>
            </w:pPr>
            <w:r w:rsidRPr="00CD2DE5">
              <w:rPr>
                <w:b/>
                <w:bCs/>
                <w:sz w:val="16"/>
                <w:szCs w:val="16"/>
              </w:rPr>
              <w:t>Referencia</w:t>
            </w:r>
          </w:p>
        </w:tc>
        <w:tc>
          <w:tcPr>
            <w:tcW w:w="810" w:type="pct"/>
            <w:gridSpan w:val="2"/>
            <w:tcBorders>
              <w:top w:val="single" w:sz="4" w:space="0" w:color="auto"/>
            </w:tcBorders>
            <w:shd w:val="clear" w:color="auto" w:fill="auto"/>
            <w:tcMar>
              <w:top w:w="110" w:type="dxa"/>
            </w:tcMar>
            <w:vAlign w:val="center"/>
          </w:tcPr>
          <w:p w:rsidR="00CF11D1" w:rsidRPr="00CD2DE5" w:rsidRDefault="00CF11D1" w:rsidP="00DC1333">
            <w:pPr>
              <w:keepNext/>
              <w:keepLines/>
              <w:rPr>
                <w:b/>
                <w:sz w:val="16"/>
                <w:szCs w:val="16"/>
              </w:rPr>
            </w:pPr>
            <w:r w:rsidRPr="00CD2DE5">
              <w:rPr>
                <w:b/>
                <w:sz w:val="16"/>
                <w:szCs w:val="16"/>
              </w:rPr>
              <w:t>Objetivos</w:t>
            </w:r>
          </w:p>
        </w:tc>
        <w:tc>
          <w:tcPr>
            <w:tcW w:w="1176" w:type="pct"/>
            <w:gridSpan w:val="2"/>
            <w:tcBorders>
              <w:top w:val="single" w:sz="4" w:space="0" w:color="auto"/>
            </w:tcBorders>
            <w:shd w:val="clear" w:color="auto" w:fill="FFFFFF"/>
            <w:tcMar>
              <w:top w:w="110" w:type="dxa"/>
            </w:tcMar>
            <w:vAlign w:val="center"/>
          </w:tcPr>
          <w:p w:rsidR="00CF11D1" w:rsidRPr="00CD2DE5" w:rsidRDefault="00CF11D1" w:rsidP="00DC1333">
            <w:pPr>
              <w:keepNext/>
              <w:keepLines/>
              <w:rPr>
                <w:sz w:val="16"/>
                <w:szCs w:val="16"/>
              </w:rPr>
            </w:pPr>
            <w:r w:rsidRPr="00CD2DE5">
              <w:rPr>
                <w:b/>
                <w:sz w:val="16"/>
                <w:szCs w:val="16"/>
              </w:rPr>
              <w:t>Datos sobre el rendimiento</w:t>
            </w:r>
          </w:p>
        </w:tc>
        <w:tc>
          <w:tcPr>
            <w:tcW w:w="735" w:type="pct"/>
            <w:gridSpan w:val="2"/>
            <w:tcBorders>
              <w:top w:val="single" w:sz="4" w:space="0" w:color="auto"/>
            </w:tcBorders>
            <w:shd w:val="clear" w:color="auto" w:fill="auto"/>
            <w:tcMar>
              <w:top w:w="110" w:type="dxa"/>
            </w:tcMar>
            <w:vAlign w:val="center"/>
          </w:tcPr>
          <w:p w:rsidR="00CF11D1" w:rsidRPr="00CD2DE5" w:rsidRDefault="00CF11D1" w:rsidP="00DC1333">
            <w:pPr>
              <w:keepNext/>
              <w:keepLines/>
              <w:jc w:val="center"/>
              <w:rPr>
                <w:b/>
                <w:bCs/>
                <w:sz w:val="16"/>
                <w:szCs w:val="16"/>
              </w:rPr>
            </w:pPr>
            <w:r w:rsidRPr="00CD2DE5">
              <w:rPr>
                <w:b/>
                <w:bCs/>
                <w:sz w:val="16"/>
                <w:szCs w:val="16"/>
              </w:rPr>
              <w:t>Clave de colores</w:t>
            </w:r>
          </w:p>
        </w:tc>
      </w:tr>
      <w:tr w:rsidR="00CF11D1" w:rsidRPr="00CD2DE5" w:rsidTr="00DA11AF">
        <w:tc>
          <w:tcPr>
            <w:tcW w:w="1105" w:type="pct"/>
            <w:tcBorders>
              <w:bottom w:val="nil"/>
            </w:tcBorders>
            <w:shd w:val="clear" w:color="auto" w:fill="FFFFFF"/>
          </w:tcPr>
          <w:p w:rsidR="00CF11D1" w:rsidRPr="00CD2DE5" w:rsidRDefault="00CF11D1" w:rsidP="00DC1333">
            <w:pPr>
              <w:keepNext/>
              <w:keepLines/>
              <w:rPr>
                <w:sz w:val="16"/>
                <w:szCs w:val="16"/>
              </w:rPr>
            </w:pPr>
            <w:r w:rsidRPr="00CD2DE5">
              <w:rPr>
                <w:sz w:val="16"/>
                <w:szCs w:val="16"/>
              </w:rPr>
              <w:t xml:space="preserve">Continuo desarrollo del </w:t>
            </w:r>
            <w:r w:rsidRPr="00CD2DE5">
              <w:rPr>
                <w:sz w:val="16"/>
                <w:szCs w:val="16"/>
              </w:rPr>
              <w:br/>
              <w:t>Sistema del PCT, sobre todo gracias a la aplicación de las recomendaciones de la hoja de ruta del PCT suscritas por los Estados miembros del PCT</w:t>
            </w:r>
          </w:p>
        </w:tc>
        <w:tc>
          <w:tcPr>
            <w:tcW w:w="1174" w:type="pct"/>
            <w:tcBorders>
              <w:bottom w:val="nil"/>
            </w:tcBorders>
            <w:shd w:val="clear" w:color="auto" w:fill="auto"/>
          </w:tcPr>
          <w:p w:rsidR="00CF11D1" w:rsidRPr="00CD2DE5" w:rsidRDefault="00CF11D1" w:rsidP="00DC1333">
            <w:pPr>
              <w:keepNext/>
              <w:keepLines/>
              <w:rPr>
                <w:color w:val="002060"/>
                <w:sz w:val="16"/>
                <w:szCs w:val="16"/>
              </w:rPr>
            </w:pPr>
            <w:r w:rsidRPr="00CD2DE5">
              <w:rPr>
                <w:i/>
                <w:color w:val="002060"/>
                <w:sz w:val="16"/>
                <w:szCs w:val="16"/>
              </w:rPr>
              <w:t xml:space="preserve">Referencia actualizada a fines de 2013:  </w:t>
            </w:r>
            <w:r w:rsidRPr="00CD2DE5">
              <w:rPr>
                <w:color w:val="002060"/>
                <w:sz w:val="16"/>
                <w:szCs w:val="16"/>
              </w:rPr>
              <w:t>Situación del Sistema del PCT a fines de 2013</w:t>
            </w:r>
          </w:p>
          <w:p w:rsidR="00CF11D1" w:rsidRPr="00CD2DE5" w:rsidRDefault="00CF11D1" w:rsidP="00DC1333">
            <w:pPr>
              <w:keepNext/>
              <w:keepLines/>
              <w:rPr>
                <w:i/>
                <w:sz w:val="16"/>
                <w:szCs w:val="16"/>
              </w:rPr>
            </w:pPr>
          </w:p>
          <w:p w:rsidR="00CF11D1" w:rsidRPr="00CD2DE5" w:rsidRDefault="00CF11D1" w:rsidP="00DC1333">
            <w:pPr>
              <w:keepNext/>
              <w:keepLines/>
              <w:rPr>
                <w:sz w:val="16"/>
                <w:szCs w:val="16"/>
              </w:rPr>
            </w:pPr>
            <w:r w:rsidRPr="00CD2DE5">
              <w:rPr>
                <w:i/>
                <w:sz w:val="16"/>
                <w:szCs w:val="16"/>
              </w:rPr>
              <w:t>Referencia original en el presupuesto de 2014/15:</w:t>
            </w:r>
            <w:r w:rsidRPr="00CD2DE5">
              <w:rPr>
                <w:sz w:val="16"/>
                <w:szCs w:val="16"/>
              </w:rPr>
              <w:t xml:space="preserve">  Decisiones de los órganos pertinentes del PCT hasta el final de 2013</w:t>
            </w:r>
          </w:p>
        </w:tc>
        <w:tc>
          <w:tcPr>
            <w:tcW w:w="810" w:type="pct"/>
            <w:gridSpan w:val="2"/>
            <w:tcBorders>
              <w:bottom w:val="nil"/>
            </w:tcBorders>
            <w:shd w:val="clear" w:color="auto" w:fill="auto"/>
            <w:tcMar>
              <w:top w:w="110" w:type="dxa"/>
            </w:tcMar>
          </w:tcPr>
          <w:p w:rsidR="00CF11D1" w:rsidRPr="00CD2DE5" w:rsidRDefault="00CF11D1" w:rsidP="00DC1333">
            <w:pPr>
              <w:keepNext/>
              <w:keepLines/>
              <w:autoSpaceDE w:val="0"/>
              <w:autoSpaceDN w:val="0"/>
              <w:adjustRightInd w:val="0"/>
              <w:rPr>
                <w:sz w:val="16"/>
                <w:szCs w:val="16"/>
              </w:rPr>
            </w:pPr>
            <w:r w:rsidRPr="00CD2DE5">
              <w:rPr>
                <w:sz w:val="16"/>
                <w:szCs w:val="16"/>
              </w:rPr>
              <w:t>Progresos para alcanzar los objetivos del Tratado en beneficio de todas las partes interesadas, en sintonía con las recomendaciones de la hoja de ruta del PCT suscritas por los Estados miembros</w:t>
            </w:r>
            <w:r w:rsidRPr="00CD2DE5">
              <w:rPr>
                <w:rStyle w:val="FootnoteReference"/>
                <w:sz w:val="16"/>
                <w:szCs w:val="16"/>
              </w:rPr>
              <w:footnoteReference w:id="18"/>
            </w:r>
          </w:p>
        </w:tc>
        <w:tc>
          <w:tcPr>
            <w:tcW w:w="1176" w:type="pct"/>
            <w:gridSpan w:val="2"/>
            <w:tcBorders>
              <w:bottom w:val="nil"/>
            </w:tcBorders>
            <w:shd w:val="clear" w:color="auto" w:fill="FFFFFF"/>
            <w:tcMar>
              <w:top w:w="110" w:type="dxa"/>
            </w:tcMar>
          </w:tcPr>
          <w:p w:rsidR="00CF11D1" w:rsidRPr="00CD2DE5" w:rsidRDefault="00CF11D1" w:rsidP="00DA11AF">
            <w:pPr>
              <w:keepNext/>
              <w:keepLines/>
              <w:ind w:right="-91"/>
              <w:rPr>
                <w:sz w:val="16"/>
                <w:szCs w:val="16"/>
                <w:lang w:bidi="th-TH"/>
              </w:rPr>
            </w:pPr>
            <w:r w:rsidRPr="00CD2DE5">
              <w:rPr>
                <w:sz w:val="16"/>
                <w:szCs w:val="16"/>
                <w:lang w:bidi="th-TH"/>
              </w:rPr>
              <w:t>En 2014/15 se avanzó en el fomen</w:t>
            </w:r>
            <w:r>
              <w:rPr>
                <w:sz w:val="16"/>
                <w:szCs w:val="16"/>
                <w:lang w:bidi="th-TH"/>
              </w:rPr>
              <w:t>to de los objetivos del Tratado</w:t>
            </w:r>
            <w:r w:rsidRPr="00CD2DE5">
              <w:rPr>
                <w:sz w:val="16"/>
                <w:szCs w:val="16"/>
                <w:lang w:bidi="th-TH"/>
              </w:rPr>
              <w:t xml:space="preserve"> en favor de todos los sectores interesados, de conformidad con las recomendaciones de la hoja de ruta del PCT sus</w:t>
            </w:r>
            <w:r>
              <w:rPr>
                <w:sz w:val="16"/>
                <w:szCs w:val="16"/>
                <w:lang w:bidi="th-TH"/>
              </w:rPr>
              <w:t>critas por los Estados miembros</w:t>
            </w:r>
            <w:r w:rsidRPr="00CD2DE5">
              <w:rPr>
                <w:sz w:val="16"/>
                <w:szCs w:val="16"/>
                <w:lang w:bidi="th-TH"/>
              </w:rPr>
              <w:t xml:space="preserve"> con respecto</w:t>
            </w:r>
            <w:r>
              <w:rPr>
                <w:sz w:val="16"/>
                <w:szCs w:val="16"/>
                <w:lang w:bidi="th-TH"/>
              </w:rPr>
              <w:t xml:space="preserve"> a los siguientes asuntos:  a) a</w:t>
            </w:r>
            <w:r w:rsidRPr="00CD2DE5">
              <w:rPr>
                <w:sz w:val="16"/>
                <w:szCs w:val="16"/>
                <w:lang w:bidi="th-TH"/>
              </w:rPr>
              <w:t>cuerdo de los Estados miembros sobre los criterios que deben cumplirse para obtener una reducción de las tasas</w:t>
            </w:r>
            <w:r>
              <w:rPr>
                <w:sz w:val="16"/>
                <w:szCs w:val="16"/>
                <w:lang w:bidi="th-TH"/>
              </w:rPr>
              <w:t>;  b) a</w:t>
            </w:r>
            <w:r w:rsidRPr="00CD2DE5">
              <w:rPr>
                <w:sz w:val="16"/>
                <w:szCs w:val="16"/>
                <w:lang w:bidi="th-TH"/>
              </w:rPr>
              <w:t>cuerdo de los Estados miembros sobre el procedimiento revisado para la designación de las Administraciones encargadas de la búsqueda y el examen p</w:t>
            </w:r>
            <w:r>
              <w:rPr>
                <w:sz w:val="16"/>
                <w:szCs w:val="16"/>
                <w:lang w:bidi="th-TH"/>
              </w:rPr>
              <w:t>reliminar internacionales;  c) a</w:t>
            </w:r>
            <w:r w:rsidRPr="00CD2DE5">
              <w:rPr>
                <w:sz w:val="16"/>
                <w:szCs w:val="16"/>
                <w:lang w:bidi="th-TH"/>
              </w:rPr>
              <w:t xml:space="preserve">cuerdo de los Estados miembros para intercambiar los resultados de la labor de búsqueda sobre las solicitudes anteriores a fin de mejorar la calidad y puntualidad de los textos producidos en el marco del PCT;  </w:t>
            </w:r>
            <w:r>
              <w:rPr>
                <w:sz w:val="16"/>
                <w:szCs w:val="16"/>
                <w:lang w:bidi="th-TH"/>
              </w:rPr>
              <w:t>d) p</w:t>
            </w:r>
            <w:r w:rsidRPr="00CD2DE5">
              <w:rPr>
                <w:sz w:val="16"/>
                <w:szCs w:val="16"/>
                <w:lang w:bidi="th-TH"/>
              </w:rPr>
              <w:t>uesta en marcha de un nuevo servicio, eSearchCopy, para transmitir de forma más rápida y eficaz las solicitudes de búsqueda internacional, y</w:t>
            </w:r>
            <w:r w:rsidR="00DA11AF">
              <w:rPr>
                <w:sz w:val="16"/>
                <w:szCs w:val="16"/>
                <w:lang w:bidi="th-TH"/>
              </w:rPr>
              <w:t xml:space="preserve"> </w:t>
            </w:r>
            <w:r>
              <w:rPr>
                <w:sz w:val="16"/>
                <w:szCs w:val="16"/>
                <w:lang w:bidi="th-TH"/>
              </w:rPr>
              <w:t>e) a</w:t>
            </w:r>
            <w:r w:rsidRPr="00CD2DE5">
              <w:rPr>
                <w:sz w:val="16"/>
                <w:szCs w:val="16"/>
                <w:lang w:bidi="th-TH"/>
              </w:rPr>
              <w:t>cuerdo a fin de que las Oficinas remitan puntualmente a la Oficina Internacional datos acerca de las solicitudes en la fase nacional para mejorar la información sobre la situación jurídica de las patentes.</w:t>
            </w:r>
          </w:p>
        </w:tc>
        <w:tc>
          <w:tcPr>
            <w:tcW w:w="735" w:type="pct"/>
            <w:gridSpan w:val="2"/>
            <w:tcBorders>
              <w:bottom w:val="nil"/>
            </w:tcBorders>
            <w:shd w:val="clear" w:color="auto" w:fill="auto"/>
            <w:tcMar>
              <w:top w:w="110" w:type="dxa"/>
            </w:tcMar>
          </w:tcPr>
          <w:p w:rsidR="00CF11D1" w:rsidRPr="00CD2DE5" w:rsidRDefault="00CF11D1" w:rsidP="00DC1333">
            <w:pPr>
              <w:keepNext/>
              <w:keepLines/>
              <w:ind w:left="-109"/>
              <w:jc w:val="center"/>
              <w:rPr>
                <w:bCs/>
                <w:color w:val="008000"/>
                <w:sz w:val="16"/>
                <w:szCs w:val="16"/>
              </w:rPr>
            </w:pPr>
            <w:r w:rsidRPr="00CD2DE5">
              <w:rPr>
                <w:b/>
                <w:bCs/>
                <w:color w:val="00B050"/>
                <w:sz w:val="16"/>
                <w:szCs w:val="16"/>
              </w:rPr>
              <w:t>Plenamente logrado</w:t>
            </w:r>
          </w:p>
        </w:tc>
      </w:tr>
      <w:tr w:rsidR="00CF11D1" w:rsidRPr="00CD2DE5" w:rsidTr="00DA11AF">
        <w:tc>
          <w:tcPr>
            <w:tcW w:w="1105" w:type="pct"/>
            <w:tcBorders>
              <w:top w:val="nil"/>
              <w:bottom w:val="single" w:sz="4" w:space="0" w:color="auto"/>
            </w:tcBorders>
            <w:shd w:val="clear" w:color="auto" w:fill="auto"/>
          </w:tcPr>
          <w:p w:rsidR="00CF11D1" w:rsidRPr="00CD2DE5" w:rsidRDefault="00CF11D1" w:rsidP="00DC1333">
            <w:pPr>
              <w:rPr>
                <w:sz w:val="16"/>
                <w:szCs w:val="16"/>
              </w:rPr>
            </w:pPr>
            <w:r w:rsidRPr="00CD2DE5">
              <w:rPr>
                <w:sz w:val="16"/>
                <w:szCs w:val="16"/>
              </w:rPr>
              <w:t>Mejora de los servicios electrónicos dirigidos a solicitantes, terceros, oficinas y Administraciones</w:t>
            </w:r>
          </w:p>
        </w:tc>
        <w:tc>
          <w:tcPr>
            <w:tcW w:w="1174" w:type="pct"/>
            <w:tcBorders>
              <w:top w:val="nil"/>
              <w:bottom w:val="single" w:sz="4" w:space="0" w:color="auto"/>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Referencia actualizada a fines de 2013:</w:t>
            </w:r>
            <w:r w:rsidRPr="00CD2DE5">
              <w:rPr>
                <w:color w:val="943634" w:themeColor="accent2" w:themeShade="BF"/>
                <w:sz w:val="16"/>
                <w:szCs w:val="16"/>
                <w:lang w:val="es-ES"/>
              </w:rPr>
              <w:t xml:space="preserve">  </w:t>
            </w:r>
            <w:r w:rsidRPr="00CD2DE5">
              <w:rPr>
                <w:color w:val="002060"/>
                <w:sz w:val="16"/>
                <w:szCs w:val="16"/>
                <w:lang w:val="es-ES"/>
              </w:rPr>
              <w:t xml:space="preserve">Nº de transacciones efectuadas utilizando los servicios ePCT a fines de 2013 </w:t>
            </w:r>
            <w:r w:rsidR="00DA11AF">
              <w:rPr>
                <w:color w:val="002060"/>
                <w:sz w:val="16"/>
                <w:szCs w:val="16"/>
                <w:lang w:val="es-ES"/>
              </w:rPr>
              <w:t>par</w:t>
            </w:r>
            <w:r w:rsidRPr="00CD2DE5">
              <w:rPr>
                <w:color w:val="002060"/>
                <w:sz w:val="16"/>
                <w:szCs w:val="16"/>
                <w:lang w:val="es-ES"/>
              </w:rPr>
              <w:t xml:space="preserve">a:  </w:t>
            </w:r>
          </w:p>
          <w:p w:rsidR="00CF11D1" w:rsidRPr="00CD2DE5" w:rsidRDefault="00CF11D1" w:rsidP="00DC1333">
            <w:pPr>
              <w:pStyle w:val="Default"/>
              <w:rPr>
                <w:color w:val="002060"/>
                <w:sz w:val="16"/>
                <w:szCs w:val="16"/>
                <w:lang w:val="es-ES"/>
              </w:rPr>
            </w:pPr>
            <w:r w:rsidRPr="00CD2DE5">
              <w:rPr>
                <w:color w:val="002060"/>
                <w:sz w:val="16"/>
                <w:szCs w:val="16"/>
                <w:lang w:val="es-ES"/>
              </w:rPr>
              <w:t xml:space="preserve">-- 8.005 solicitantes del sector público;  </w:t>
            </w:r>
          </w:p>
          <w:p w:rsidR="00CF11D1" w:rsidRPr="00CD2DE5" w:rsidRDefault="00CF11D1" w:rsidP="00DC1333">
            <w:pPr>
              <w:pStyle w:val="Default"/>
              <w:rPr>
                <w:color w:val="002060"/>
                <w:sz w:val="16"/>
                <w:szCs w:val="16"/>
                <w:lang w:val="es-ES"/>
              </w:rPr>
            </w:pPr>
            <w:r w:rsidRPr="00CD2DE5">
              <w:rPr>
                <w:color w:val="002060"/>
                <w:sz w:val="16"/>
                <w:szCs w:val="16"/>
                <w:lang w:val="es-ES"/>
              </w:rPr>
              <w:t>-- 4.754 solicitantes del sector privado;</w:t>
            </w:r>
          </w:p>
          <w:p w:rsidR="00CF11D1" w:rsidRPr="00CD2DE5" w:rsidRDefault="00CF11D1" w:rsidP="00DC1333">
            <w:pPr>
              <w:pStyle w:val="Default"/>
              <w:rPr>
                <w:color w:val="002060"/>
                <w:sz w:val="16"/>
                <w:szCs w:val="16"/>
                <w:lang w:val="es-ES"/>
              </w:rPr>
            </w:pPr>
            <w:r w:rsidRPr="00CD2DE5">
              <w:rPr>
                <w:color w:val="002060"/>
                <w:sz w:val="16"/>
                <w:szCs w:val="16"/>
                <w:lang w:val="es-ES"/>
              </w:rPr>
              <w:t xml:space="preserve">-- 74 terceros;  </w:t>
            </w:r>
          </w:p>
          <w:p w:rsidR="00CF11D1" w:rsidRPr="00CD2DE5" w:rsidRDefault="00CF11D1" w:rsidP="00DC1333">
            <w:pPr>
              <w:pStyle w:val="Default"/>
              <w:rPr>
                <w:color w:val="002060"/>
                <w:sz w:val="16"/>
                <w:szCs w:val="16"/>
                <w:lang w:val="es-ES"/>
              </w:rPr>
            </w:pPr>
            <w:r w:rsidRPr="00CD2DE5">
              <w:rPr>
                <w:color w:val="002060"/>
                <w:sz w:val="16"/>
                <w:szCs w:val="16"/>
                <w:lang w:val="es-ES"/>
              </w:rPr>
              <w:t xml:space="preserve">-- 2.474 </w:t>
            </w:r>
            <w:r>
              <w:rPr>
                <w:color w:val="002060"/>
                <w:sz w:val="16"/>
                <w:szCs w:val="16"/>
                <w:lang w:val="es-ES"/>
              </w:rPr>
              <w:t xml:space="preserve">oficinas, </w:t>
            </w:r>
            <w:r w:rsidRPr="00CD2DE5">
              <w:rPr>
                <w:color w:val="002060"/>
                <w:sz w:val="16"/>
                <w:szCs w:val="16"/>
                <w:lang w:val="es-ES"/>
              </w:rPr>
              <w:t>y</w:t>
            </w:r>
          </w:p>
          <w:p w:rsidR="00CF11D1" w:rsidRPr="00CD2DE5" w:rsidRDefault="00CF11D1" w:rsidP="00DC1333">
            <w:pPr>
              <w:pStyle w:val="Default"/>
              <w:rPr>
                <w:color w:val="002060"/>
                <w:sz w:val="16"/>
                <w:szCs w:val="16"/>
                <w:lang w:val="es-ES"/>
              </w:rPr>
            </w:pPr>
            <w:r w:rsidRPr="00CD2DE5">
              <w:rPr>
                <w:color w:val="002060"/>
                <w:sz w:val="16"/>
                <w:szCs w:val="16"/>
                <w:lang w:val="es-ES"/>
              </w:rPr>
              <w:t>-- 2.398 Administraciones</w:t>
            </w:r>
          </w:p>
          <w:p w:rsidR="00CF11D1" w:rsidRPr="00CD2DE5" w:rsidRDefault="00CF11D1" w:rsidP="00DC1333">
            <w:pPr>
              <w:pStyle w:val="Default"/>
              <w:rPr>
                <w:color w:val="002060"/>
                <w:sz w:val="16"/>
                <w:szCs w:val="16"/>
                <w:lang w:val="es-ES"/>
              </w:rPr>
            </w:pPr>
            <w:r w:rsidRPr="00CD2DE5">
              <w:rPr>
                <w:color w:val="002060"/>
                <w:sz w:val="16"/>
                <w:szCs w:val="16"/>
                <w:lang w:val="es-ES"/>
              </w:rPr>
              <w:t>(en total)</w:t>
            </w:r>
          </w:p>
          <w:p w:rsidR="00CF11D1" w:rsidRPr="00CD2DE5" w:rsidRDefault="00CF11D1" w:rsidP="00DC1333">
            <w:pPr>
              <w:rPr>
                <w:i/>
                <w:sz w:val="8"/>
                <w:szCs w:val="8"/>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w:t>
            </w:r>
            <w:r w:rsidR="00DA11AF">
              <w:rPr>
                <w:sz w:val="16"/>
                <w:szCs w:val="16"/>
              </w:rPr>
              <w:t xml:space="preserve">N.º </w:t>
            </w:r>
            <w:r w:rsidRPr="00CD2DE5">
              <w:rPr>
                <w:sz w:val="16"/>
                <w:szCs w:val="16"/>
              </w:rPr>
              <w:t>de transacciones efectuadas medi</w:t>
            </w:r>
            <w:r w:rsidR="00DA11AF">
              <w:rPr>
                <w:sz w:val="16"/>
                <w:szCs w:val="16"/>
              </w:rPr>
              <w:t>ante</w:t>
            </w:r>
            <w:r w:rsidRPr="00CD2DE5">
              <w:rPr>
                <w:sz w:val="16"/>
                <w:szCs w:val="16"/>
              </w:rPr>
              <w:t xml:space="preserve"> los servicios ePCT al final de 2013 para:  </w:t>
            </w:r>
          </w:p>
          <w:p w:rsidR="00CF11D1" w:rsidRPr="00CD2DE5" w:rsidRDefault="00CF11D1" w:rsidP="00DC1333">
            <w:pPr>
              <w:rPr>
                <w:sz w:val="16"/>
                <w:szCs w:val="16"/>
              </w:rPr>
            </w:pPr>
            <w:r w:rsidRPr="00CD2DE5">
              <w:rPr>
                <w:sz w:val="16"/>
                <w:szCs w:val="16"/>
              </w:rPr>
              <w:t xml:space="preserve">--  solicitantes; </w:t>
            </w:r>
          </w:p>
          <w:p w:rsidR="00CF11D1" w:rsidRPr="00CD2DE5" w:rsidRDefault="00CF11D1" w:rsidP="00DC1333">
            <w:pPr>
              <w:rPr>
                <w:sz w:val="16"/>
                <w:szCs w:val="16"/>
              </w:rPr>
            </w:pPr>
            <w:r w:rsidRPr="00CD2DE5">
              <w:rPr>
                <w:sz w:val="16"/>
                <w:szCs w:val="16"/>
              </w:rPr>
              <w:t xml:space="preserve">--  terceros;  </w:t>
            </w:r>
          </w:p>
          <w:p w:rsidR="00CF11D1" w:rsidRPr="00CD2DE5" w:rsidRDefault="00CF11D1" w:rsidP="00DC1333">
            <w:pPr>
              <w:rPr>
                <w:sz w:val="16"/>
                <w:szCs w:val="16"/>
              </w:rPr>
            </w:pPr>
            <w:r>
              <w:rPr>
                <w:sz w:val="16"/>
                <w:szCs w:val="16"/>
              </w:rPr>
              <w:t xml:space="preserve">--  oficinas, </w:t>
            </w:r>
            <w:r w:rsidRPr="00CD2DE5">
              <w:rPr>
                <w:sz w:val="16"/>
                <w:szCs w:val="16"/>
              </w:rPr>
              <w:t xml:space="preserve">y </w:t>
            </w:r>
          </w:p>
          <w:p w:rsidR="00CF11D1" w:rsidRPr="00CD2DE5" w:rsidRDefault="00CF11D1" w:rsidP="00DC1333">
            <w:pPr>
              <w:rPr>
                <w:sz w:val="16"/>
                <w:szCs w:val="16"/>
              </w:rPr>
            </w:pPr>
            <w:r w:rsidRPr="00CD2DE5">
              <w:rPr>
                <w:sz w:val="16"/>
                <w:szCs w:val="16"/>
              </w:rPr>
              <w:t>--  Administraciones</w:t>
            </w:r>
          </w:p>
        </w:tc>
        <w:tc>
          <w:tcPr>
            <w:tcW w:w="810" w:type="pct"/>
            <w:gridSpan w:val="2"/>
            <w:tcBorders>
              <w:top w:val="nil"/>
              <w:bottom w:val="single" w:sz="4" w:space="0" w:color="auto"/>
            </w:tcBorders>
            <w:shd w:val="clear" w:color="auto" w:fill="auto"/>
            <w:tcMar>
              <w:top w:w="110" w:type="dxa"/>
            </w:tcMar>
          </w:tcPr>
          <w:p w:rsidR="00CF11D1" w:rsidRPr="00CD2DE5" w:rsidRDefault="00CF11D1" w:rsidP="00DC1333">
            <w:pPr>
              <w:rPr>
                <w:sz w:val="16"/>
                <w:szCs w:val="16"/>
              </w:rPr>
            </w:pPr>
            <w:r w:rsidRPr="00CD2DE5">
              <w:rPr>
                <w:sz w:val="16"/>
                <w:szCs w:val="16"/>
              </w:rPr>
              <w:t xml:space="preserve">Aumentar el nº de transacciones efectuadas mediante los servicios ePCT para: </w:t>
            </w:r>
          </w:p>
          <w:p w:rsidR="00CF11D1" w:rsidRPr="00CD2DE5" w:rsidRDefault="00CF11D1" w:rsidP="00DC1333">
            <w:pPr>
              <w:rPr>
                <w:sz w:val="16"/>
                <w:szCs w:val="16"/>
              </w:rPr>
            </w:pPr>
            <w:r w:rsidRPr="00CD2DE5">
              <w:rPr>
                <w:sz w:val="16"/>
                <w:szCs w:val="16"/>
              </w:rPr>
              <w:t xml:space="preserve">-- solicitantes;  </w:t>
            </w:r>
          </w:p>
          <w:p w:rsidR="00CF11D1" w:rsidRPr="00CD2DE5" w:rsidRDefault="00CF11D1" w:rsidP="00DC1333">
            <w:pPr>
              <w:rPr>
                <w:sz w:val="16"/>
                <w:szCs w:val="16"/>
              </w:rPr>
            </w:pPr>
            <w:r w:rsidRPr="00CD2DE5">
              <w:rPr>
                <w:sz w:val="16"/>
                <w:szCs w:val="16"/>
              </w:rPr>
              <w:t xml:space="preserve">-- terceros;  </w:t>
            </w:r>
          </w:p>
          <w:p w:rsidR="00CF11D1" w:rsidRPr="00CD2DE5" w:rsidRDefault="00CF11D1" w:rsidP="00DC1333">
            <w:pPr>
              <w:rPr>
                <w:sz w:val="16"/>
                <w:szCs w:val="16"/>
              </w:rPr>
            </w:pPr>
            <w:r>
              <w:rPr>
                <w:sz w:val="16"/>
                <w:szCs w:val="16"/>
              </w:rPr>
              <w:t xml:space="preserve">-- oficinas, </w:t>
            </w:r>
            <w:r w:rsidRPr="00CD2DE5">
              <w:rPr>
                <w:sz w:val="16"/>
                <w:szCs w:val="16"/>
              </w:rPr>
              <w:t xml:space="preserve">y </w:t>
            </w:r>
          </w:p>
          <w:p w:rsidR="00CF11D1" w:rsidRPr="00CD2DE5" w:rsidRDefault="00CF11D1" w:rsidP="00DC1333">
            <w:pPr>
              <w:rPr>
                <w:sz w:val="16"/>
                <w:szCs w:val="16"/>
                <w:lang w:bidi="th-TH"/>
              </w:rPr>
            </w:pPr>
            <w:r w:rsidRPr="00CD2DE5">
              <w:rPr>
                <w:sz w:val="16"/>
                <w:szCs w:val="16"/>
              </w:rPr>
              <w:t>-Administraciones</w:t>
            </w:r>
          </w:p>
        </w:tc>
        <w:tc>
          <w:tcPr>
            <w:tcW w:w="1176" w:type="pct"/>
            <w:gridSpan w:val="2"/>
            <w:tcBorders>
              <w:top w:val="nil"/>
              <w:bottom w:val="single" w:sz="4" w:space="0" w:color="auto"/>
            </w:tcBorders>
            <w:shd w:val="clear" w:color="auto" w:fill="FFFFFF"/>
            <w:tcMar>
              <w:top w:w="110" w:type="dxa"/>
            </w:tcMar>
          </w:tcPr>
          <w:p w:rsidR="00CF11D1" w:rsidRPr="00CD2DE5" w:rsidRDefault="00CF11D1" w:rsidP="00DC1333">
            <w:pPr>
              <w:rPr>
                <w:sz w:val="16"/>
                <w:szCs w:val="16"/>
                <w:lang w:bidi="th-TH"/>
              </w:rPr>
            </w:pPr>
            <w:r w:rsidRPr="00CD2DE5">
              <w:rPr>
                <w:sz w:val="16"/>
                <w:szCs w:val="16"/>
                <w:lang w:bidi="th-TH"/>
              </w:rPr>
              <w:t>A fines de 2015, con respecto a fines de 2013:</w:t>
            </w:r>
            <w:r>
              <w:rPr>
                <w:sz w:val="16"/>
                <w:szCs w:val="16"/>
                <w:lang w:bidi="th-TH"/>
              </w:rPr>
              <w:t xml:space="preserve">  </w:t>
            </w:r>
          </w:p>
          <w:p w:rsidR="00CF11D1" w:rsidRPr="00CD2DE5" w:rsidRDefault="00CF11D1" w:rsidP="00DC1333">
            <w:pPr>
              <w:pStyle w:val="ListParagraph"/>
              <w:numPr>
                <w:ilvl w:val="0"/>
                <w:numId w:val="16"/>
              </w:numPr>
              <w:rPr>
                <w:rFonts w:cs="Arial"/>
                <w:sz w:val="16"/>
                <w:szCs w:val="16"/>
                <w:lang w:val="es-ES" w:bidi="th-TH"/>
              </w:rPr>
            </w:pPr>
            <w:r w:rsidRPr="00CD2DE5">
              <w:rPr>
                <w:rFonts w:cs="Arial"/>
                <w:sz w:val="16"/>
                <w:szCs w:val="16"/>
                <w:lang w:val="es-ES" w:bidi="th-TH"/>
              </w:rPr>
              <w:t>11.242 solicitantes del sector público (+40%)</w:t>
            </w:r>
          </w:p>
          <w:p w:rsidR="00CF11D1" w:rsidRPr="00CD2DE5" w:rsidRDefault="00CF11D1" w:rsidP="00DC1333">
            <w:pPr>
              <w:pStyle w:val="ListParagraph"/>
              <w:numPr>
                <w:ilvl w:val="0"/>
                <w:numId w:val="16"/>
              </w:numPr>
              <w:rPr>
                <w:rFonts w:cs="Arial"/>
                <w:sz w:val="16"/>
                <w:szCs w:val="16"/>
                <w:lang w:val="es-ES" w:bidi="th-TH"/>
              </w:rPr>
            </w:pPr>
            <w:r w:rsidRPr="00CD2DE5">
              <w:rPr>
                <w:rFonts w:cs="Arial"/>
                <w:sz w:val="16"/>
                <w:szCs w:val="16"/>
                <w:lang w:val="es-ES" w:bidi="th-TH"/>
              </w:rPr>
              <w:t xml:space="preserve">29.590 solicitantes del sector privado (+522%) </w:t>
            </w:r>
          </w:p>
          <w:p w:rsidR="00CF11D1" w:rsidRPr="00CD2DE5" w:rsidRDefault="00CF11D1" w:rsidP="00DC1333">
            <w:pPr>
              <w:pStyle w:val="ListParagraph"/>
              <w:numPr>
                <w:ilvl w:val="0"/>
                <w:numId w:val="16"/>
              </w:numPr>
              <w:rPr>
                <w:rFonts w:cs="Arial"/>
                <w:sz w:val="16"/>
                <w:szCs w:val="16"/>
                <w:lang w:val="es-ES" w:bidi="th-TH"/>
              </w:rPr>
            </w:pPr>
            <w:r w:rsidRPr="00CD2DE5">
              <w:rPr>
                <w:rFonts w:cs="Arial"/>
                <w:sz w:val="16"/>
                <w:szCs w:val="16"/>
                <w:lang w:val="es-ES" w:bidi="th-TH"/>
              </w:rPr>
              <w:t xml:space="preserve">93 terceros que presentan observaciones (-5%);  </w:t>
            </w:r>
          </w:p>
          <w:p w:rsidR="00CF11D1" w:rsidRPr="00CD2DE5" w:rsidRDefault="00CF11D1" w:rsidP="00DC1333">
            <w:pPr>
              <w:pStyle w:val="ListParagraph"/>
              <w:numPr>
                <w:ilvl w:val="0"/>
                <w:numId w:val="16"/>
              </w:numPr>
              <w:rPr>
                <w:rFonts w:cs="Arial"/>
                <w:sz w:val="16"/>
                <w:szCs w:val="16"/>
                <w:lang w:val="es-ES" w:bidi="th-TH"/>
              </w:rPr>
            </w:pPr>
            <w:r w:rsidRPr="00CD2DE5">
              <w:rPr>
                <w:rFonts w:cs="Arial"/>
                <w:sz w:val="16"/>
                <w:szCs w:val="16"/>
                <w:lang w:val="es-ES" w:bidi="th-TH"/>
              </w:rPr>
              <w:t xml:space="preserve">9.085 Oficinas receptoras (+267%); </w:t>
            </w:r>
            <w:r>
              <w:rPr>
                <w:rFonts w:cs="Arial"/>
                <w:sz w:val="16"/>
                <w:szCs w:val="16"/>
                <w:lang w:val="es-ES" w:bidi="th-TH"/>
              </w:rPr>
              <w:t xml:space="preserve"> </w:t>
            </w:r>
          </w:p>
          <w:p w:rsidR="00CF11D1" w:rsidRPr="00CD2DE5" w:rsidRDefault="00CF11D1" w:rsidP="00DC1333">
            <w:pPr>
              <w:pStyle w:val="ListParagraph"/>
              <w:numPr>
                <w:ilvl w:val="0"/>
                <w:numId w:val="16"/>
              </w:numPr>
              <w:ind w:right="-80"/>
              <w:rPr>
                <w:rFonts w:cs="Arial"/>
                <w:sz w:val="16"/>
                <w:szCs w:val="16"/>
                <w:lang w:val="es-ES" w:bidi="th-TH"/>
              </w:rPr>
            </w:pPr>
            <w:r w:rsidRPr="00CD2DE5">
              <w:rPr>
                <w:rFonts w:cs="Arial"/>
                <w:sz w:val="16"/>
                <w:szCs w:val="16"/>
                <w:lang w:val="es-ES" w:bidi="th-TH"/>
              </w:rPr>
              <w:t>2.596 Administraciones internacionales (+8%) (en total)</w:t>
            </w:r>
          </w:p>
        </w:tc>
        <w:tc>
          <w:tcPr>
            <w:tcW w:w="735" w:type="pct"/>
            <w:gridSpan w:val="2"/>
            <w:tcBorders>
              <w:top w:val="nil"/>
              <w:bottom w:val="single" w:sz="4" w:space="0" w:color="auto"/>
            </w:tcBorders>
            <w:shd w:val="clear" w:color="auto" w:fill="auto"/>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C1333">
        <w:trPr>
          <w:trHeight w:val="423"/>
        </w:trPr>
        <w:tc>
          <w:tcPr>
            <w:tcW w:w="5000" w:type="pct"/>
            <w:gridSpan w:val="8"/>
            <w:tcBorders>
              <w:top w:val="single" w:sz="4" w:space="0" w:color="auto"/>
              <w:bottom w:val="single" w:sz="4" w:space="0" w:color="auto"/>
            </w:tcBorders>
            <w:shd w:val="clear" w:color="auto" w:fill="C6D9F1" w:themeFill="text2" w:themeFillTint="33"/>
            <w:vAlign w:val="center"/>
          </w:tcPr>
          <w:p w:rsidR="00CF11D1" w:rsidRPr="00CD2DE5" w:rsidRDefault="00CF11D1" w:rsidP="00DC1333">
            <w:pPr>
              <w:keepNext/>
              <w:keepLines/>
              <w:ind w:left="2019" w:hanging="2019"/>
              <w:rPr>
                <w:b/>
                <w:bCs/>
                <w:sz w:val="16"/>
                <w:szCs w:val="16"/>
              </w:rPr>
            </w:pPr>
            <w:r w:rsidRPr="00CD2DE5">
              <w:rPr>
                <w:b/>
                <w:bCs/>
                <w:sz w:val="16"/>
                <w:szCs w:val="16"/>
              </w:rPr>
              <w:lastRenderedPageBreak/>
              <w:t>Resultado previsto:</w:t>
            </w:r>
            <w:r w:rsidRPr="00CD2DE5">
              <w:rPr>
                <w:bCs/>
                <w:sz w:val="16"/>
                <w:szCs w:val="16"/>
              </w:rPr>
              <w:tab/>
              <w:t>II.3 Mejora de la productividad y de la calidad de los servicios en las operaciones del PCT</w:t>
            </w:r>
          </w:p>
        </w:tc>
      </w:tr>
      <w:tr w:rsidR="00CF11D1" w:rsidRPr="00CD2DE5" w:rsidTr="00DA11AF">
        <w:tc>
          <w:tcPr>
            <w:tcW w:w="1105" w:type="pct"/>
            <w:tcBorders>
              <w:top w:val="single" w:sz="4" w:space="0" w:color="auto"/>
              <w:left w:val="single" w:sz="4" w:space="0" w:color="auto"/>
              <w:bottom w:val="nil"/>
            </w:tcBorders>
            <w:shd w:val="clear" w:color="auto" w:fill="auto"/>
          </w:tcPr>
          <w:p w:rsidR="00CF11D1" w:rsidRPr="00CD2DE5" w:rsidRDefault="00CF11D1" w:rsidP="00DC1333">
            <w:pPr>
              <w:keepNext/>
              <w:keepLines/>
              <w:rPr>
                <w:sz w:val="16"/>
                <w:szCs w:val="16"/>
              </w:rPr>
            </w:pPr>
            <w:r w:rsidRPr="00CD2DE5">
              <w:rPr>
                <w:b/>
                <w:sz w:val="16"/>
                <w:szCs w:val="16"/>
              </w:rPr>
              <w:t>Indicadores de rendimiento</w:t>
            </w:r>
          </w:p>
        </w:tc>
        <w:tc>
          <w:tcPr>
            <w:tcW w:w="1248" w:type="pct"/>
            <w:gridSpan w:val="2"/>
            <w:tcBorders>
              <w:top w:val="single" w:sz="4" w:space="0" w:color="auto"/>
              <w:bottom w:val="nil"/>
            </w:tcBorders>
            <w:shd w:val="clear" w:color="auto" w:fill="auto"/>
          </w:tcPr>
          <w:p w:rsidR="00CF11D1" w:rsidRPr="00CD2DE5" w:rsidRDefault="00CF11D1" w:rsidP="00DC1333">
            <w:pPr>
              <w:keepNext/>
              <w:keepLines/>
              <w:rPr>
                <w:b/>
                <w:bCs/>
                <w:sz w:val="16"/>
                <w:szCs w:val="16"/>
              </w:rPr>
            </w:pPr>
            <w:r w:rsidRPr="00CD2DE5">
              <w:rPr>
                <w:b/>
                <w:bCs/>
                <w:sz w:val="16"/>
                <w:szCs w:val="16"/>
              </w:rPr>
              <w:t>Referencia</w:t>
            </w:r>
          </w:p>
        </w:tc>
        <w:tc>
          <w:tcPr>
            <w:tcW w:w="736" w:type="pct"/>
            <w:tcBorders>
              <w:top w:val="single" w:sz="4" w:space="0" w:color="auto"/>
              <w:bottom w:val="nil"/>
            </w:tcBorders>
            <w:shd w:val="clear" w:color="auto" w:fill="auto"/>
            <w:tcMar>
              <w:top w:w="110" w:type="dxa"/>
            </w:tcMar>
          </w:tcPr>
          <w:p w:rsidR="00CF11D1" w:rsidRPr="00CD2DE5" w:rsidRDefault="00CF11D1" w:rsidP="00DC1333">
            <w:pPr>
              <w:keepNext/>
              <w:keepLines/>
              <w:rPr>
                <w:b/>
                <w:sz w:val="16"/>
                <w:szCs w:val="16"/>
              </w:rPr>
            </w:pPr>
            <w:r w:rsidRPr="00CD2DE5">
              <w:rPr>
                <w:b/>
                <w:sz w:val="16"/>
                <w:szCs w:val="16"/>
              </w:rPr>
              <w:t>Objetivos</w:t>
            </w:r>
          </w:p>
        </w:tc>
        <w:tc>
          <w:tcPr>
            <w:tcW w:w="1176" w:type="pct"/>
            <w:gridSpan w:val="2"/>
            <w:tcBorders>
              <w:top w:val="single" w:sz="4" w:space="0" w:color="auto"/>
              <w:bottom w:val="nil"/>
            </w:tcBorders>
            <w:shd w:val="clear" w:color="auto" w:fill="FFFFFF"/>
            <w:tcMar>
              <w:top w:w="110" w:type="dxa"/>
            </w:tcMar>
          </w:tcPr>
          <w:p w:rsidR="00CF11D1" w:rsidRPr="00CD2DE5" w:rsidRDefault="00CF11D1" w:rsidP="00DC1333">
            <w:pPr>
              <w:keepNext/>
              <w:keepLines/>
              <w:rPr>
                <w:sz w:val="16"/>
                <w:szCs w:val="16"/>
              </w:rPr>
            </w:pPr>
            <w:r w:rsidRPr="00CD2DE5">
              <w:rPr>
                <w:b/>
                <w:sz w:val="16"/>
                <w:szCs w:val="16"/>
              </w:rPr>
              <w:t>Datos sobre el rendimiento</w:t>
            </w:r>
          </w:p>
        </w:tc>
        <w:tc>
          <w:tcPr>
            <w:tcW w:w="735" w:type="pct"/>
            <w:gridSpan w:val="2"/>
            <w:tcBorders>
              <w:top w:val="single" w:sz="4" w:space="0" w:color="auto"/>
              <w:bottom w:val="nil"/>
              <w:right w:val="single" w:sz="4" w:space="0" w:color="auto"/>
            </w:tcBorders>
            <w:shd w:val="clear" w:color="auto" w:fill="auto"/>
            <w:tcMar>
              <w:top w:w="110" w:type="dxa"/>
            </w:tcMar>
            <w:vAlign w:val="center"/>
          </w:tcPr>
          <w:p w:rsidR="00CF11D1" w:rsidRPr="00CD2DE5" w:rsidRDefault="00CF11D1" w:rsidP="00DC1333">
            <w:pPr>
              <w:keepNext/>
              <w:keepLines/>
              <w:jc w:val="center"/>
              <w:rPr>
                <w:b/>
                <w:bCs/>
                <w:sz w:val="16"/>
                <w:szCs w:val="16"/>
              </w:rPr>
            </w:pPr>
            <w:r w:rsidRPr="00CD2DE5">
              <w:rPr>
                <w:b/>
                <w:bCs/>
                <w:sz w:val="16"/>
                <w:szCs w:val="16"/>
              </w:rPr>
              <w:t>Clave de colores</w:t>
            </w: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keepNext/>
              <w:keepLines/>
              <w:rPr>
                <w:sz w:val="16"/>
                <w:szCs w:val="16"/>
              </w:rPr>
            </w:pPr>
            <w:r w:rsidRPr="00CD2DE5">
              <w:rPr>
                <w:sz w:val="16"/>
                <w:szCs w:val="16"/>
              </w:rPr>
              <w:t>Costo unitario de tramitación de las solicitudes</w:t>
            </w:r>
          </w:p>
        </w:tc>
        <w:tc>
          <w:tcPr>
            <w:tcW w:w="1248" w:type="pct"/>
            <w:gridSpan w:val="2"/>
            <w:tcBorders>
              <w:top w:val="nil"/>
              <w:bottom w:val="nil"/>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Referencia actualizada a fines de 2013:</w:t>
            </w:r>
            <w:r w:rsidRPr="00CD2DE5">
              <w:rPr>
                <w:color w:val="002060"/>
                <w:sz w:val="16"/>
                <w:szCs w:val="16"/>
                <w:lang w:val="es-ES"/>
              </w:rPr>
              <w:t xml:space="preserve">  722 francos suizos (2013)</w:t>
            </w:r>
          </w:p>
          <w:p w:rsidR="00CF11D1" w:rsidRPr="00CD2DE5" w:rsidRDefault="00CF11D1" w:rsidP="00DC1333">
            <w:pPr>
              <w:pStyle w:val="Default"/>
              <w:rPr>
                <w:color w:val="002060"/>
                <w:sz w:val="16"/>
                <w:szCs w:val="16"/>
                <w:lang w:val="es-ES"/>
              </w:rPr>
            </w:pPr>
          </w:p>
          <w:p w:rsidR="00CF11D1" w:rsidRPr="00CD2DE5" w:rsidRDefault="00CF11D1" w:rsidP="00DC1333">
            <w:pPr>
              <w:rPr>
                <w:sz w:val="16"/>
                <w:szCs w:val="16"/>
              </w:rPr>
            </w:pPr>
            <w:r w:rsidRPr="00CD2DE5">
              <w:rPr>
                <w:i/>
                <w:sz w:val="16"/>
                <w:szCs w:val="16"/>
              </w:rPr>
              <w:t xml:space="preserve">Referencia original en el presupuesto de 2014/15:  </w:t>
            </w:r>
            <w:r w:rsidRPr="00CD2DE5">
              <w:rPr>
                <w:sz w:val="16"/>
                <w:szCs w:val="16"/>
              </w:rPr>
              <w:t>Costo unitario en 2013</w:t>
            </w:r>
          </w:p>
        </w:tc>
        <w:tc>
          <w:tcPr>
            <w:tcW w:w="736" w:type="pct"/>
            <w:tcBorders>
              <w:top w:val="nil"/>
              <w:bottom w:val="nil"/>
            </w:tcBorders>
            <w:shd w:val="clear" w:color="auto" w:fill="auto"/>
            <w:tcMar>
              <w:top w:w="110" w:type="dxa"/>
            </w:tcMar>
          </w:tcPr>
          <w:p w:rsidR="00CF11D1" w:rsidRPr="00CD2DE5" w:rsidRDefault="00CF11D1" w:rsidP="00DC1333">
            <w:pPr>
              <w:keepNext/>
              <w:keepLines/>
              <w:autoSpaceDE w:val="0"/>
              <w:autoSpaceDN w:val="0"/>
              <w:adjustRightInd w:val="0"/>
              <w:rPr>
                <w:sz w:val="16"/>
                <w:szCs w:val="16"/>
              </w:rPr>
            </w:pPr>
            <w:r w:rsidRPr="00CD2DE5">
              <w:rPr>
                <w:sz w:val="16"/>
                <w:szCs w:val="16"/>
              </w:rPr>
              <w:t>Menor costo unitario</w:t>
            </w:r>
          </w:p>
        </w:tc>
        <w:tc>
          <w:tcPr>
            <w:tcW w:w="1176" w:type="pct"/>
            <w:gridSpan w:val="2"/>
            <w:tcBorders>
              <w:top w:val="nil"/>
              <w:bottom w:val="nil"/>
            </w:tcBorders>
            <w:shd w:val="clear" w:color="auto" w:fill="FFFFFF"/>
            <w:tcMar>
              <w:top w:w="110" w:type="dxa"/>
            </w:tcMar>
          </w:tcPr>
          <w:p w:rsidR="00CF11D1" w:rsidRPr="00CD2DE5" w:rsidRDefault="00CF11D1" w:rsidP="00DC1333">
            <w:pPr>
              <w:keepNext/>
              <w:keepLines/>
              <w:rPr>
                <w:sz w:val="16"/>
                <w:szCs w:val="16"/>
                <w:lang w:bidi="th-TH"/>
              </w:rPr>
            </w:pPr>
            <w:r w:rsidRPr="00CD2DE5">
              <w:rPr>
                <w:sz w:val="16"/>
                <w:szCs w:val="16"/>
                <w:lang w:bidi="th-TH"/>
              </w:rPr>
              <w:t>662 francos suizos en 2014</w:t>
            </w:r>
          </w:p>
          <w:p w:rsidR="00CF11D1" w:rsidRPr="00CD2DE5" w:rsidRDefault="00CF11D1" w:rsidP="00DC1333">
            <w:pPr>
              <w:keepNext/>
              <w:keepLines/>
              <w:rPr>
                <w:sz w:val="16"/>
                <w:szCs w:val="16"/>
                <w:lang w:bidi="th-TH"/>
              </w:rPr>
            </w:pPr>
          </w:p>
          <w:p w:rsidR="00CF11D1" w:rsidRPr="00CD2DE5" w:rsidRDefault="00CF11D1" w:rsidP="00DC1333">
            <w:pPr>
              <w:keepNext/>
              <w:keepLines/>
              <w:rPr>
                <w:sz w:val="16"/>
                <w:szCs w:val="16"/>
                <w:lang w:bidi="th-TH"/>
              </w:rPr>
            </w:pPr>
            <w:r w:rsidRPr="00CD2DE5">
              <w:rPr>
                <w:sz w:val="16"/>
                <w:szCs w:val="16"/>
                <w:lang w:bidi="th-TH"/>
              </w:rPr>
              <w:t>735 francos suizos en 2015</w:t>
            </w:r>
            <w:r w:rsidRPr="00CD2DE5">
              <w:rPr>
                <w:rStyle w:val="FootnoteReference"/>
                <w:sz w:val="16"/>
                <w:szCs w:val="16"/>
                <w:lang w:bidi="th-TH"/>
              </w:rPr>
              <w:footnoteReference w:id="19"/>
            </w:r>
          </w:p>
          <w:p w:rsidR="00CF11D1" w:rsidRPr="00CD2DE5" w:rsidRDefault="00CF11D1" w:rsidP="00DC1333">
            <w:pPr>
              <w:keepNext/>
              <w:keepLines/>
              <w:rPr>
                <w:sz w:val="16"/>
                <w:szCs w:val="16"/>
                <w:lang w:bidi="th-TH"/>
              </w:rPr>
            </w:pPr>
          </w:p>
          <w:p w:rsidR="00CF11D1" w:rsidRPr="00CD2DE5" w:rsidRDefault="00CF11D1" w:rsidP="00DC1333">
            <w:pPr>
              <w:keepNext/>
              <w:keepLines/>
              <w:rPr>
                <w:sz w:val="16"/>
                <w:szCs w:val="16"/>
                <w:lang w:bidi="th-TH"/>
              </w:rPr>
            </w:pPr>
            <w:r w:rsidRPr="00CD2DE5">
              <w:rPr>
                <w:sz w:val="16"/>
                <w:szCs w:val="16"/>
                <w:lang w:bidi="th-TH"/>
              </w:rPr>
              <w:t>Promedio de 698 francos suizos en el bienio 2014/15, un 2,7% por debajo del promedio de 717 francos suizos en el bienio 2012/13</w:t>
            </w:r>
          </w:p>
          <w:p w:rsidR="00CF11D1" w:rsidRPr="00CD2DE5" w:rsidRDefault="00CF11D1" w:rsidP="00DC1333">
            <w:pPr>
              <w:keepNext/>
              <w:keepLines/>
              <w:rPr>
                <w:sz w:val="16"/>
                <w:szCs w:val="16"/>
                <w:lang w:bidi="th-TH"/>
              </w:rPr>
            </w:pP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p w:rsidR="00CF11D1" w:rsidRPr="00CD2DE5" w:rsidRDefault="00CF11D1" w:rsidP="00DC1333">
            <w:pPr>
              <w:keepNext/>
              <w:keepLines/>
              <w:ind w:left="-109"/>
              <w:jc w:val="center"/>
              <w:rPr>
                <w:b/>
                <w:bCs/>
                <w:color w:val="00B050"/>
                <w:sz w:val="16"/>
                <w:szCs w:val="16"/>
              </w:rPr>
            </w:pPr>
          </w:p>
          <w:p w:rsidR="00CF11D1" w:rsidRPr="00CD2DE5" w:rsidRDefault="00CF11D1" w:rsidP="00DC1333">
            <w:pPr>
              <w:keepNext/>
              <w:keepLines/>
              <w:ind w:left="-109"/>
              <w:jc w:val="center"/>
              <w:rPr>
                <w:b/>
                <w:color w:val="FF0000"/>
                <w:sz w:val="16"/>
                <w:szCs w:val="16"/>
              </w:rPr>
            </w:pPr>
            <w:r w:rsidRPr="00CD2DE5">
              <w:rPr>
                <w:b/>
                <w:color w:val="FF0000"/>
                <w:sz w:val="16"/>
                <w:szCs w:val="16"/>
              </w:rPr>
              <w:t>No logrado</w:t>
            </w:r>
          </w:p>
          <w:p w:rsidR="00CF11D1" w:rsidRPr="00CD2DE5" w:rsidRDefault="00CF11D1" w:rsidP="00DC1333">
            <w:pPr>
              <w:keepNext/>
              <w:keepLines/>
              <w:ind w:left="-109"/>
              <w:jc w:val="center"/>
              <w:rPr>
                <w:b/>
                <w:color w:val="FF0000"/>
                <w:sz w:val="16"/>
                <w:szCs w:val="16"/>
              </w:rPr>
            </w:pPr>
          </w:p>
          <w:p w:rsidR="00CF11D1" w:rsidRPr="00CD2DE5" w:rsidRDefault="00CF11D1" w:rsidP="00DC1333">
            <w:pPr>
              <w:keepNext/>
              <w:keepLines/>
              <w:ind w:left="-109"/>
              <w:jc w:val="center"/>
              <w:rPr>
                <w:b/>
                <w:color w:val="FF0000"/>
                <w:sz w:val="16"/>
                <w:szCs w:val="16"/>
              </w:rPr>
            </w:pPr>
          </w:p>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p w:rsidR="00CF11D1" w:rsidRPr="00CD2DE5" w:rsidRDefault="00CF11D1" w:rsidP="00DC1333">
            <w:pPr>
              <w:keepNext/>
              <w:keepLines/>
              <w:ind w:left="-109"/>
              <w:jc w:val="center"/>
              <w:rPr>
                <w:b/>
                <w:bCs/>
                <w:color w:val="00B050"/>
                <w:sz w:val="16"/>
                <w:szCs w:val="16"/>
              </w:rPr>
            </w:pP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rPr>
                <w:sz w:val="16"/>
                <w:szCs w:val="16"/>
              </w:rPr>
            </w:pPr>
            <w:r w:rsidRPr="00CD2DE5">
              <w:rPr>
                <w:sz w:val="16"/>
                <w:szCs w:val="16"/>
              </w:rPr>
              <w:t>Calidad global del examen de forma (incluido el tiempo empleado)</w:t>
            </w:r>
          </w:p>
        </w:tc>
        <w:tc>
          <w:tcPr>
            <w:tcW w:w="1248" w:type="pct"/>
            <w:gridSpan w:val="2"/>
            <w:tcBorders>
              <w:top w:val="nil"/>
              <w:bottom w:val="nil"/>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Referencia actualizada a fines de 2013:</w:t>
            </w:r>
            <w:r w:rsidRPr="00CD2DE5">
              <w:rPr>
                <w:color w:val="002060"/>
                <w:sz w:val="16"/>
                <w:szCs w:val="16"/>
                <w:lang w:val="es-ES"/>
              </w:rPr>
              <w:t xml:space="preserve">  88,74% (promedio 2011-13)</w:t>
            </w:r>
          </w:p>
          <w:p w:rsidR="00CF11D1" w:rsidRPr="00CD2DE5" w:rsidRDefault="00CF11D1" w:rsidP="00DC1333">
            <w:pPr>
              <w:pStyle w:val="Default"/>
              <w:rPr>
                <w:color w:val="002060"/>
                <w:sz w:val="16"/>
                <w:szCs w:val="16"/>
                <w:lang w:val="es-ES"/>
              </w:rPr>
            </w:pPr>
          </w:p>
          <w:p w:rsidR="00CF11D1" w:rsidRPr="00CD2DE5" w:rsidRDefault="00CF11D1" w:rsidP="00DC1333">
            <w:pPr>
              <w:pStyle w:val="Default"/>
              <w:rPr>
                <w:i/>
                <w:color w:val="auto"/>
                <w:sz w:val="16"/>
                <w:szCs w:val="16"/>
                <w:lang w:val="es-ES"/>
              </w:rPr>
            </w:pPr>
            <w:r w:rsidRPr="00CD2DE5">
              <w:rPr>
                <w:i/>
                <w:color w:val="auto"/>
                <w:sz w:val="16"/>
                <w:szCs w:val="16"/>
                <w:lang w:val="es-ES"/>
              </w:rPr>
              <w:t>Referencia original en el presupuesto de 2014/15:</w:t>
            </w:r>
            <w:r w:rsidRPr="00CD2DE5">
              <w:rPr>
                <w:color w:val="auto"/>
                <w:sz w:val="16"/>
                <w:szCs w:val="16"/>
                <w:lang w:val="es-ES"/>
              </w:rPr>
              <w:t xml:space="preserve"> Promedio de los últimos 3 años</w:t>
            </w:r>
          </w:p>
        </w:tc>
        <w:tc>
          <w:tcPr>
            <w:tcW w:w="736" w:type="pct"/>
            <w:tcBorders>
              <w:top w:val="nil"/>
              <w:bottom w:val="nil"/>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Mayor calidad</w:t>
            </w:r>
          </w:p>
        </w:tc>
        <w:tc>
          <w:tcPr>
            <w:tcW w:w="1176" w:type="pct"/>
            <w:gridSpan w:val="2"/>
            <w:tcBorders>
              <w:top w:val="nil"/>
              <w:bottom w:val="nil"/>
            </w:tcBorders>
            <w:shd w:val="clear" w:color="auto" w:fill="FFFFFF"/>
            <w:tcMar>
              <w:top w:w="110" w:type="dxa"/>
            </w:tcMar>
          </w:tcPr>
          <w:p w:rsidR="00CF11D1" w:rsidRPr="00CD2DE5" w:rsidRDefault="00CF11D1" w:rsidP="00DC1333">
            <w:pPr>
              <w:rPr>
                <w:sz w:val="16"/>
                <w:szCs w:val="16"/>
              </w:rPr>
            </w:pPr>
            <w:r w:rsidRPr="00CD2DE5">
              <w:rPr>
                <w:sz w:val="16"/>
                <w:szCs w:val="16"/>
              </w:rPr>
              <w:t>89,60% (2012-2014)</w:t>
            </w:r>
          </w:p>
          <w:p w:rsidR="00CF11D1" w:rsidRPr="00CD2DE5" w:rsidRDefault="00CF11D1" w:rsidP="00DC1333">
            <w:pPr>
              <w:rPr>
                <w:sz w:val="16"/>
                <w:szCs w:val="16"/>
              </w:rPr>
            </w:pPr>
            <w:r w:rsidRPr="00CD2DE5">
              <w:rPr>
                <w:sz w:val="16"/>
                <w:szCs w:val="16"/>
              </w:rPr>
              <w:t>91,13% (2013-2015)</w:t>
            </w: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rPr>
                <w:sz w:val="16"/>
                <w:szCs w:val="16"/>
              </w:rPr>
            </w:pPr>
            <w:r w:rsidRPr="00CD2DE5">
              <w:rPr>
                <w:sz w:val="16"/>
                <w:szCs w:val="16"/>
              </w:rPr>
              <w:t>Calidad de las traducciones</w:t>
            </w:r>
          </w:p>
        </w:tc>
        <w:tc>
          <w:tcPr>
            <w:tcW w:w="1248" w:type="pct"/>
            <w:gridSpan w:val="2"/>
            <w:tcBorders>
              <w:top w:val="nil"/>
              <w:bottom w:val="nil"/>
            </w:tcBorders>
            <w:shd w:val="clear" w:color="auto" w:fill="auto"/>
          </w:tcPr>
          <w:p w:rsidR="00CF11D1" w:rsidRPr="00CD2DE5" w:rsidRDefault="00CF11D1" w:rsidP="00DC1333">
            <w:pPr>
              <w:rPr>
                <w:rFonts w:eastAsia="Batang"/>
                <w:color w:val="002060"/>
                <w:sz w:val="16"/>
                <w:szCs w:val="16"/>
                <w:lang w:eastAsia="ja-JP"/>
              </w:rPr>
            </w:pPr>
            <w:r w:rsidRPr="00CD2DE5">
              <w:rPr>
                <w:rFonts w:eastAsia="Batang"/>
                <w:i/>
                <w:color w:val="002060"/>
                <w:sz w:val="16"/>
                <w:szCs w:val="16"/>
                <w:lang w:eastAsia="ja-JP"/>
              </w:rPr>
              <w:t>Referencia actu</w:t>
            </w:r>
            <w:r>
              <w:rPr>
                <w:rFonts w:eastAsia="Batang"/>
                <w:i/>
                <w:color w:val="002060"/>
                <w:sz w:val="16"/>
                <w:szCs w:val="16"/>
                <w:lang w:eastAsia="ja-JP"/>
              </w:rPr>
              <w:t xml:space="preserve">alizada a fines de 2013:  86,23% </w:t>
            </w:r>
            <w:r w:rsidRPr="00CD2DE5">
              <w:rPr>
                <w:rFonts w:eastAsia="Batang"/>
                <w:i/>
                <w:color w:val="002060"/>
                <w:sz w:val="16"/>
                <w:szCs w:val="16"/>
                <w:lang w:eastAsia="ja-JP"/>
              </w:rPr>
              <w:t>(2011-2013</w:t>
            </w:r>
            <w:r w:rsidRPr="00CD2DE5">
              <w:rPr>
                <w:rFonts w:eastAsia="Batang"/>
                <w:color w:val="002060"/>
                <w:sz w:val="16"/>
                <w:szCs w:val="16"/>
                <w:lang w:eastAsia="ja-JP"/>
              </w:rPr>
              <w:t>)</w:t>
            </w:r>
          </w:p>
          <w:p w:rsidR="00CF11D1" w:rsidRPr="00CD2DE5" w:rsidRDefault="00CF11D1" w:rsidP="00DC1333">
            <w:pPr>
              <w:rPr>
                <w:rFonts w:eastAsia="Batang"/>
                <w:color w:val="002060"/>
                <w:sz w:val="16"/>
                <w:szCs w:val="16"/>
                <w:lang w:eastAsia="ja-JP"/>
              </w:rPr>
            </w:pPr>
          </w:p>
          <w:p w:rsidR="00CF11D1" w:rsidRPr="00CD2DE5" w:rsidRDefault="00CF11D1" w:rsidP="00DC1333">
            <w:pPr>
              <w:pStyle w:val="Default"/>
              <w:rPr>
                <w:i/>
                <w:color w:val="auto"/>
                <w:sz w:val="16"/>
                <w:szCs w:val="16"/>
                <w:lang w:val="es-ES"/>
              </w:rPr>
            </w:pPr>
            <w:r w:rsidRPr="00CD2DE5">
              <w:rPr>
                <w:i/>
                <w:color w:val="auto"/>
                <w:sz w:val="16"/>
                <w:szCs w:val="16"/>
                <w:lang w:val="es-ES"/>
              </w:rPr>
              <w:t>Referencia original en el presupuesto de 2014/15:</w:t>
            </w:r>
            <w:r w:rsidRPr="00CD2DE5">
              <w:rPr>
                <w:color w:val="auto"/>
                <w:sz w:val="16"/>
                <w:szCs w:val="16"/>
                <w:lang w:val="es-ES"/>
              </w:rPr>
              <w:t xml:space="preserve"> </w:t>
            </w:r>
            <w:r>
              <w:rPr>
                <w:color w:val="auto"/>
                <w:sz w:val="16"/>
                <w:szCs w:val="16"/>
                <w:lang w:val="es-ES"/>
              </w:rPr>
              <w:t xml:space="preserve"> </w:t>
            </w:r>
            <w:r w:rsidRPr="00CD2DE5">
              <w:rPr>
                <w:color w:val="auto"/>
                <w:sz w:val="16"/>
                <w:szCs w:val="16"/>
                <w:lang w:val="es-ES"/>
              </w:rPr>
              <w:t>Promedio de los últimos 3 años</w:t>
            </w:r>
          </w:p>
        </w:tc>
        <w:tc>
          <w:tcPr>
            <w:tcW w:w="736" w:type="pct"/>
            <w:tcBorders>
              <w:top w:val="nil"/>
              <w:bottom w:val="nil"/>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Mayor calidad</w:t>
            </w:r>
          </w:p>
        </w:tc>
        <w:tc>
          <w:tcPr>
            <w:tcW w:w="1176" w:type="pct"/>
            <w:gridSpan w:val="2"/>
            <w:tcBorders>
              <w:top w:val="nil"/>
              <w:bottom w:val="nil"/>
            </w:tcBorders>
            <w:shd w:val="clear" w:color="auto" w:fill="FFFFFF"/>
            <w:tcMar>
              <w:top w:w="110" w:type="dxa"/>
            </w:tcMar>
          </w:tcPr>
          <w:p w:rsidR="00CF11D1" w:rsidRPr="00CD2DE5" w:rsidRDefault="00CF11D1" w:rsidP="00DC1333">
            <w:pPr>
              <w:rPr>
                <w:sz w:val="16"/>
                <w:szCs w:val="16"/>
              </w:rPr>
            </w:pPr>
            <w:r w:rsidRPr="00CD2DE5">
              <w:rPr>
                <w:sz w:val="16"/>
                <w:szCs w:val="16"/>
              </w:rPr>
              <w:t>86,77% (2012-2014)</w:t>
            </w:r>
          </w:p>
          <w:p w:rsidR="00CF11D1" w:rsidRPr="00CD2DE5" w:rsidRDefault="00CF11D1" w:rsidP="00DC1333">
            <w:pPr>
              <w:rPr>
                <w:sz w:val="16"/>
                <w:szCs w:val="16"/>
              </w:rPr>
            </w:pPr>
            <w:r w:rsidRPr="00CD2DE5">
              <w:rPr>
                <w:sz w:val="16"/>
                <w:szCs w:val="16"/>
              </w:rPr>
              <w:t>86,90% (2013-2015)</w:t>
            </w: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rPr>
                <w:sz w:val="16"/>
                <w:szCs w:val="16"/>
              </w:rPr>
            </w:pPr>
            <w:r w:rsidRPr="00CD2DE5">
              <w:rPr>
                <w:sz w:val="16"/>
                <w:szCs w:val="16"/>
              </w:rPr>
              <w:t>Plazos de traducción de los informes</w:t>
            </w:r>
          </w:p>
        </w:tc>
        <w:tc>
          <w:tcPr>
            <w:tcW w:w="1248" w:type="pct"/>
            <w:gridSpan w:val="2"/>
            <w:tcBorders>
              <w:top w:val="nil"/>
              <w:bottom w:val="nil"/>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Referencia actualizada a fines de 2013:</w:t>
            </w:r>
            <w:r w:rsidRPr="00CD2DE5">
              <w:rPr>
                <w:color w:val="002060"/>
                <w:sz w:val="16"/>
                <w:szCs w:val="16"/>
                <w:lang w:val="es-ES"/>
              </w:rPr>
              <w:t xml:space="preserve">  64% a tiempo (2013)</w:t>
            </w:r>
          </w:p>
          <w:p w:rsidR="00CF11D1" w:rsidRPr="00CD2DE5" w:rsidRDefault="00CF11D1" w:rsidP="00DC1333">
            <w:pPr>
              <w:pStyle w:val="Default"/>
              <w:rPr>
                <w:color w:val="002060"/>
                <w:sz w:val="16"/>
                <w:szCs w:val="16"/>
                <w:lang w:val="es-ES"/>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Plazos de 2013</w:t>
            </w:r>
          </w:p>
        </w:tc>
        <w:tc>
          <w:tcPr>
            <w:tcW w:w="736" w:type="pct"/>
            <w:tcBorders>
              <w:top w:val="nil"/>
              <w:bottom w:val="nil"/>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Mejora</w:t>
            </w:r>
          </w:p>
        </w:tc>
        <w:tc>
          <w:tcPr>
            <w:tcW w:w="1176" w:type="pct"/>
            <w:gridSpan w:val="2"/>
            <w:tcBorders>
              <w:top w:val="nil"/>
              <w:bottom w:val="nil"/>
            </w:tcBorders>
            <w:shd w:val="clear" w:color="auto" w:fill="FFFFFF"/>
            <w:tcMar>
              <w:top w:w="110" w:type="dxa"/>
            </w:tcMar>
          </w:tcPr>
          <w:p w:rsidR="00CF11D1" w:rsidRPr="00CD2DE5" w:rsidRDefault="00CF11D1" w:rsidP="00DC1333">
            <w:pPr>
              <w:rPr>
                <w:sz w:val="16"/>
                <w:szCs w:val="16"/>
              </w:rPr>
            </w:pPr>
            <w:r w:rsidRPr="00CD2DE5">
              <w:rPr>
                <w:sz w:val="16"/>
                <w:szCs w:val="16"/>
              </w:rPr>
              <w:t>82,5% (2014)</w:t>
            </w:r>
          </w:p>
          <w:p w:rsidR="00CF11D1" w:rsidRPr="00CD2DE5" w:rsidRDefault="00CF11D1" w:rsidP="00DC1333">
            <w:pPr>
              <w:rPr>
                <w:sz w:val="16"/>
                <w:szCs w:val="16"/>
              </w:rPr>
            </w:pPr>
            <w:r w:rsidRPr="00CD2DE5">
              <w:rPr>
                <w:sz w:val="16"/>
                <w:szCs w:val="16"/>
              </w:rPr>
              <w:t>90,0% (2015)</w:t>
            </w: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A11AF">
        <w:tc>
          <w:tcPr>
            <w:tcW w:w="1105" w:type="pct"/>
            <w:tcBorders>
              <w:top w:val="nil"/>
              <w:left w:val="single" w:sz="4" w:space="0" w:color="auto"/>
              <w:bottom w:val="nil"/>
            </w:tcBorders>
            <w:shd w:val="clear" w:color="auto" w:fill="FFFFFF"/>
          </w:tcPr>
          <w:p w:rsidR="00CF11D1" w:rsidRPr="00CD2DE5" w:rsidRDefault="00CF11D1" w:rsidP="00DC1333">
            <w:pPr>
              <w:rPr>
                <w:sz w:val="16"/>
                <w:szCs w:val="16"/>
              </w:rPr>
            </w:pPr>
            <w:r w:rsidRPr="00CD2DE5">
              <w:rPr>
                <w:sz w:val="16"/>
                <w:szCs w:val="16"/>
              </w:rPr>
              <w:t>Calidad del desarrollo de programas informáticos</w:t>
            </w:r>
          </w:p>
        </w:tc>
        <w:tc>
          <w:tcPr>
            <w:tcW w:w="1248" w:type="pct"/>
            <w:gridSpan w:val="2"/>
            <w:tcBorders>
              <w:top w:val="nil"/>
              <w:bottom w:val="nil"/>
            </w:tcBorders>
            <w:shd w:val="clear" w:color="auto" w:fill="auto"/>
          </w:tcPr>
          <w:p w:rsidR="00CF11D1" w:rsidRPr="00CD2DE5" w:rsidRDefault="00CF11D1" w:rsidP="00DC1333">
            <w:pPr>
              <w:pStyle w:val="Default"/>
              <w:rPr>
                <w:color w:val="002060"/>
                <w:sz w:val="16"/>
                <w:szCs w:val="16"/>
                <w:lang w:val="es-ES"/>
              </w:rPr>
            </w:pPr>
            <w:r w:rsidRPr="00CD2DE5">
              <w:rPr>
                <w:i/>
                <w:color w:val="002060"/>
                <w:sz w:val="16"/>
                <w:szCs w:val="16"/>
                <w:lang w:val="es-ES"/>
              </w:rPr>
              <w:t xml:space="preserve">Referencia actualizada a fines de 2013:  </w:t>
            </w:r>
            <w:r w:rsidRPr="00CD2DE5">
              <w:rPr>
                <w:color w:val="002060"/>
                <w:sz w:val="16"/>
                <w:szCs w:val="16"/>
                <w:lang w:val="es-ES"/>
              </w:rPr>
              <w:t>89,4% (2013)</w:t>
            </w:r>
          </w:p>
          <w:p w:rsidR="00CF11D1" w:rsidRPr="00CD2DE5" w:rsidRDefault="00CF11D1" w:rsidP="00DC1333">
            <w:pPr>
              <w:pStyle w:val="Default"/>
              <w:rPr>
                <w:color w:val="002060"/>
                <w:sz w:val="16"/>
                <w:szCs w:val="16"/>
                <w:lang w:val="es-ES"/>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Calidad del desarrollo de las aplicaciones informáticas más recientes de ePCT y eDossier en 2013</w:t>
            </w:r>
          </w:p>
        </w:tc>
        <w:tc>
          <w:tcPr>
            <w:tcW w:w="736" w:type="pct"/>
            <w:tcBorders>
              <w:top w:val="nil"/>
              <w:bottom w:val="nil"/>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Mayor calidad</w:t>
            </w:r>
          </w:p>
        </w:tc>
        <w:tc>
          <w:tcPr>
            <w:tcW w:w="1176" w:type="pct"/>
            <w:gridSpan w:val="2"/>
            <w:tcBorders>
              <w:top w:val="nil"/>
              <w:bottom w:val="nil"/>
            </w:tcBorders>
            <w:shd w:val="clear" w:color="auto" w:fill="FFFFFF"/>
            <w:tcMar>
              <w:top w:w="110" w:type="dxa"/>
            </w:tcMar>
          </w:tcPr>
          <w:p w:rsidR="00CF11D1" w:rsidRPr="00CD2DE5" w:rsidRDefault="00CF11D1" w:rsidP="00DC1333">
            <w:pPr>
              <w:rPr>
                <w:sz w:val="16"/>
                <w:szCs w:val="16"/>
              </w:rPr>
            </w:pPr>
            <w:r w:rsidRPr="00CD2DE5">
              <w:rPr>
                <w:sz w:val="16"/>
                <w:szCs w:val="16"/>
              </w:rPr>
              <w:t>94,5% (2014)</w:t>
            </w:r>
          </w:p>
          <w:p w:rsidR="00CF11D1" w:rsidRPr="00CD2DE5" w:rsidRDefault="00CF11D1" w:rsidP="00DC1333">
            <w:pPr>
              <w:rPr>
                <w:sz w:val="16"/>
                <w:szCs w:val="16"/>
              </w:rPr>
            </w:pPr>
            <w:r w:rsidRPr="00CD2DE5">
              <w:rPr>
                <w:sz w:val="16"/>
                <w:szCs w:val="16"/>
              </w:rPr>
              <w:t>91,9% (2015)</w:t>
            </w:r>
          </w:p>
        </w:tc>
        <w:tc>
          <w:tcPr>
            <w:tcW w:w="735" w:type="pct"/>
            <w:gridSpan w:val="2"/>
            <w:tcBorders>
              <w:top w:val="nil"/>
              <w:bottom w:val="nil"/>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r w:rsidR="00CF11D1" w:rsidRPr="00CD2DE5" w:rsidTr="00DA11AF">
        <w:tc>
          <w:tcPr>
            <w:tcW w:w="1105" w:type="pct"/>
            <w:tcBorders>
              <w:top w:val="nil"/>
              <w:left w:val="single" w:sz="4" w:space="0" w:color="auto"/>
              <w:bottom w:val="single" w:sz="4" w:space="0" w:color="auto"/>
            </w:tcBorders>
            <w:shd w:val="clear" w:color="auto" w:fill="FFFFFF"/>
          </w:tcPr>
          <w:p w:rsidR="00CF11D1" w:rsidRPr="00CD2DE5" w:rsidRDefault="00CF11D1" w:rsidP="00DC1333">
            <w:pPr>
              <w:rPr>
                <w:sz w:val="16"/>
                <w:szCs w:val="16"/>
              </w:rPr>
            </w:pPr>
            <w:r w:rsidRPr="00CD2DE5">
              <w:rPr>
                <w:sz w:val="16"/>
                <w:szCs w:val="16"/>
              </w:rPr>
              <w:t>Niveles de los servicios prestados por los sistemas de información</w:t>
            </w:r>
          </w:p>
        </w:tc>
        <w:tc>
          <w:tcPr>
            <w:tcW w:w="1248" w:type="pct"/>
            <w:gridSpan w:val="2"/>
            <w:tcBorders>
              <w:top w:val="nil"/>
              <w:bottom w:val="single" w:sz="4" w:space="0" w:color="auto"/>
            </w:tcBorders>
            <w:shd w:val="clear" w:color="auto" w:fill="auto"/>
          </w:tcPr>
          <w:p w:rsidR="00CF11D1" w:rsidRPr="00CD2DE5" w:rsidRDefault="00CF11D1" w:rsidP="00DC1333">
            <w:pPr>
              <w:rPr>
                <w:rFonts w:eastAsia="Batang"/>
                <w:color w:val="002060"/>
                <w:sz w:val="16"/>
                <w:szCs w:val="16"/>
                <w:lang w:eastAsia="ja-JP"/>
              </w:rPr>
            </w:pPr>
            <w:r w:rsidRPr="00CD2DE5">
              <w:rPr>
                <w:i/>
                <w:color w:val="002060"/>
                <w:sz w:val="16"/>
                <w:szCs w:val="16"/>
              </w:rPr>
              <w:t>Referencia actualizada a fines de </w:t>
            </w:r>
            <w:r w:rsidRPr="00CD2DE5">
              <w:rPr>
                <w:rFonts w:eastAsia="Batang"/>
                <w:i/>
                <w:color w:val="002060"/>
                <w:sz w:val="16"/>
                <w:szCs w:val="16"/>
                <w:lang w:eastAsia="ja-JP"/>
              </w:rPr>
              <w:t xml:space="preserve"> 2013:  </w:t>
            </w:r>
            <w:r w:rsidRPr="00CD2DE5">
              <w:rPr>
                <w:rFonts w:eastAsia="Batang"/>
                <w:color w:val="002060"/>
                <w:sz w:val="16"/>
                <w:szCs w:val="16"/>
                <w:lang w:eastAsia="ja-JP"/>
              </w:rPr>
              <w:t>93,0% (2013)</w:t>
            </w:r>
          </w:p>
          <w:p w:rsidR="00CF11D1" w:rsidRPr="00CD2DE5" w:rsidRDefault="00CF11D1" w:rsidP="00DC1333">
            <w:pPr>
              <w:rPr>
                <w:rFonts w:eastAsia="Batang"/>
                <w:color w:val="002060"/>
                <w:sz w:val="16"/>
                <w:szCs w:val="16"/>
                <w:lang w:eastAsia="ja-JP"/>
              </w:rPr>
            </w:pPr>
          </w:p>
          <w:p w:rsidR="00CF11D1" w:rsidRPr="00CD2DE5" w:rsidRDefault="00CF11D1" w:rsidP="00DC1333">
            <w:pPr>
              <w:rPr>
                <w:sz w:val="16"/>
                <w:szCs w:val="16"/>
              </w:rPr>
            </w:pPr>
            <w:r w:rsidRPr="00CD2DE5">
              <w:rPr>
                <w:i/>
                <w:sz w:val="16"/>
                <w:szCs w:val="16"/>
              </w:rPr>
              <w:t>Referencia original en el presupuesto de 2014/15:</w:t>
            </w:r>
            <w:r w:rsidRPr="00CD2DE5">
              <w:rPr>
                <w:sz w:val="16"/>
                <w:szCs w:val="16"/>
              </w:rPr>
              <w:t xml:space="preserve">  Niveles de los servicios prestados por los sistemas de información en 2013</w:t>
            </w:r>
          </w:p>
        </w:tc>
        <w:tc>
          <w:tcPr>
            <w:tcW w:w="736" w:type="pct"/>
            <w:tcBorders>
              <w:top w:val="nil"/>
              <w:bottom w:val="single" w:sz="4" w:space="0" w:color="auto"/>
            </w:tcBorders>
            <w:shd w:val="clear" w:color="auto" w:fill="auto"/>
            <w:tcMar>
              <w:top w:w="110" w:type="dxa"/>
            </w:tcMar>
          </w:tcPr>
          <w:p w:rsidR="00CF11D1" w:rsidRPr="00CD2DE5" w:rsidRDefault="00CF11D1" w:rsidP="00DC1333">
            <w:pPr>
              <w:autoSpaceDE w:val="0"/>
              <w:autoSpaceDN w:val="0"/>
              <w:adjustRightInd w:val="0"/>
              <w:rPr>
                <w:sz w:val="16"/>
                <w:szCs w:val="16"/>
              </w:rPr>
            </w:pPr>
            <w:r w:rsidRPr="00CD2DE5">
              <w:rPr>
                <w:sz w:val="16"/>
                <w:szCs w:val="16"/>
              </w:rPr>
              <w:t>Niveles más elevados de los servicios prestados por los sistemas de información</w:t>
            </w:r>
          </w:p>
        </w:tc>
        <w:tc>
          <w:tcPr>
            <w:tcW w:w="1176" w:type="pct"/>
            <w:gridSpan w:val="2"/>
            <w:tcBorders>
              <w:top w:val="nil"/>
              <w:bottom w:val="single" w:sz="4" w:space="0" w:color="auto"/>
            </w:tcBorders>
            <w:shd w:val="clear" w:color="auto" w:fill="FFFFFF"/>
            <w:tcMar>
              <w:top w:w="110" w:type="dxa"/>
            </w:tcMar>
          </w:tcPr>
          <w:p w:rsidR="00CF11D1" w:rsidRPr="00CD2DE5" w:rsidRDefault="00CF11D1" w:rsidP="00DC1333">
            <w:pPr>
              <w:rPr>
                <w:sz w:val="16"/>
                <w:szCs w:val="16"/>
              </w:rPr>
            </w:pPr>
            <w:r w:rsidRPr="00CD2DE5">
              <w:rPr>
                <w:sz w:val="16"/>
                <w:szCs w:val="16"/>
              </w:rPr>
              <w:t>95,1%</w:t>
            </w:r>
            <w:r w:rsidRPr="00CD2DE5">
              <w:rPr>
                <w:rStyle w:val="FootnoteReference"/>
                <w:sz w:val="16"/>
                <w:szCs w:val="16"/>
              </w:rPr>
              <w:footnoteReference w:id="20"/>
            </w:r>
            <w:r w:rsidRPr="00CD2DE5">
              <w:rPr>
                <w:sz w:val="16"/>
                <w:szCs w:val="16"/>
              </w:rPr>
              <w:t xml:space="preserve"> (2014)</w:t>
            </w:r>
          </w:p>
          <w:p w:rsidR="00CF11D1" w:rsidRPr="00CD2DE5" w:rsidRDefault="00CF11D1" w:rsidP="00DC1333">
            <w:pPr>
              <w:rPr>
                <w:sz w:val="16"/>
                <w:szCs w:val="16"/>
              </w:rPr>
            </w:pPr>
            <w:r w:rsidRPr="00CD2DE5">
              <w:rPr>
                <w:sz w:val="16"/>
                <w:szCs w:val="16"/>
              </w:rPr>
              <w:t>96,5% (2015)</w:t>
            </w:r>
          </w:p>
        </w:tc>
        <w:tc>
          <w:tcPr>
            <w:tcW w:w="735" w:type="pct"/>
            <w:gridSpan w:val="2"/>
            <w:tcBorders>
              <w:top w:val="nil"/>
              <w:bottom w:val="single" w:sz="4" w:space="0" w:color="auto"/>
              <w:right w:val="single" w:sz="4" w:space="0" w:color="auto"/>
            </w:tcBorders>
            <w:shd w:val="clear" w:color="auto" w:fill="auto"/>
            <w:tcMar>
              <w:top w:w="110" w:type="dxa"/>
            </w:tcMar>
          </w:tcPr>
          <w:p w:rsidR="00CF11D1" w:rsidRPr="00CD2DE5" w:rsidRDefault="00CF11D1" w:rsidP="00DC1333">
            <w:pPr>
              <w:keepNext/>
              <w:keepLines/>
              <w:ind w:left="-109"/>
              <w:jc w:val="center"/>
              <w:rPr>
                <w:b/>
                <w:bCs/>
                <w:color w:val="00B050"/>
                <w:sz w:val="16"/>
                <w:szCs w:val="16"/>
              </w:rPr>
            </w:pPr>
            <w:r w:rsidRPr="00CD2DE5">
              <w:rPr>
                <w:b/>
                <w:bCs/>
                <w:color w:val="00B050"/>
                <w:sz w:val="16"/>
                <w:szCs w:val="16"/>
              </w:rPr>
              <w:t>Plenamente logrado</w:t>
            </w:r>
          </w:p>
        </w:tc>
      </w:tr>
    </w:tbl>
    <w:p w:rsidR="00CF11D1" w:rsidRDefault="00CF11D1" w:rsidP="00CF11D1">
      <w:pPr>
        <w:tabs>
          <w:tab w:val="left" w:pos="1155"/>
        </w:tabs>
        <w:rPr>
          <w:bCs/>
          <w:szCs w:val="22"/>
        </w:rPr>
      </w:pPr>
    </w:p>
    <w:p w:rsidR="00CF11D1" w:rsidRPr="00CD2DE5" w:rsidRDefault="00CF11D1" w:rsidP="00CF11D1">
      <w:pPr>
        <w:tabs>
          <w:tab w:val="left" w:pos="1155"/>
        </w:tabs>
        <w:rPr>
          <w:bCs/>
          <w:szCs w:val="22"/>
        </w:rPr>
      </w:pPr>
    </w:p>
    <w:p w:rsidR="00CF11D1" w:rsidRPr="00CD2DE5" w:rsidRDefault="008F7CBE" w:rsidP="00CF11D1">
      <w:pPr>
        <w:keepNext/>
        <w:rPr>
          <w:color w:val="000000"/>
          <w:szCs w:val="22"/>
        </w:rPr>
      </w:pPr>
      <w:r w:rsidRPr="008F7CBE">
        <w:rPr>
          <w:sz w:val="20"/>
        </w:rPr>
        <w:lastRenderedPageBreak/>
        <w:t>INFORMACIÓN SOBRE LOS RIESGOS PLANTEADOS EN EL BIENIO</w:t>
      </w:r>
    </w:p>
    <w:p w:rsidR="00CF11D1" w:rsidRPr="00CD2DE5" w:rsidRDefault="00CF11D1" w:rsidP="00CF11D1">
      <w:pPr>
        <w:keepNext/>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CF11D1" w:rsidRPr="00CD2DE5" w:rsidTr="00DC1333">
        <w:trPr>
          <w:trHeight w:val="514"/>
          <w:tblHeader/>
        </w:trPr>
        <w:tc>
          <w:tcPr>
            <w:tcW w:w="2420" w:type="dxa"/>
            <w:tcBorders>
              <w:top w:val="single" w:sz="4" w:space="0" w:color="auto"/>
              <w:bottom w:val="single" w:sz="4" w:space="0" w:color="auto"/>
            </w:tcBorders>
            <w:shd w:val="clear" w:color="auto" w:fill="C6D9F1" w:themeFill="text2" w:themeFillTint="33"/>
            <w:tcMar>
              <w:top w:w="113" w:type="dxa"/>
            </w:tcMar>
            <w:vAlign w:val="center"/>
          </w:tcPr>
          <w:p w:rsidR="00CF11D1" w:rsidRPr="00CD2DE5" w:rsidRDefault="00CF11D1" w:rsidP="00DC1333">
            <w:pPr>
              <w:keepNext/>
              <w:autoSpaceDE w:val="0"/>
              <w:autoSpaceDN w:val="0"/>
              <w:adjustRightInd w:val="0"/>
              <w:ind w:right="-59"/>
              <w:jc w:val="center"/>
              <w:rPr>
                <w:b/>
                <w:sz w:val="18"/>
                <w:szCs w:val="18"/>
              </w:rPr>
            </w:pPr>
            <w:r w:rsidRPr="00CD2DE5">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tcMar>
            <w:vAlign w:val="center"/>
          </w:tcPr>
          <w:p w:rsidR="00CF11D1" w:rsidRPr="00CD2DE5" w:rsidRDefault="00CF11D1" w:rsidP="00DC1333">
            <w:pPr>
              <w:keepNext/>
              <w:autoSpaceDE w:val="0"/>
              <w:autoSpaceDN w:val="0"/>
              <w:adjustRightInd w:val="0"/>
              <w:ind w:right="-59"/>
              <w:jc w:val="center"/>
              <w:rPr>
                <w:b/>
                <w:sz w:val="18"/>
                <w:szCs w:val="18"/>
              </w:rPr>
            </w:pPr>
            <w:r w:rsidRPr="00CD2DE5">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CF11D1" w:rsidRPr="00CD2DE5" w:rsidRDefault="00CF11D1" w:rsidP="00DC1333">
            <w:pPr>
              <w:keepNext/>
              <w:jc w:val="center"/>
              <w:rPr>
                <w:b/>
                <w:bCs/>
                <w:sz w:val="18"/>
                <w:szCs w:val="18"/>
              </w:rPr>
            </w:pPr>
            <w:r w:rsidRPr="00CD2DE5">
              <w:rPr>
                <w:b/>
                <w:bCs/>
                <w:iCs/>
                <w:sz w:val="18"/>
                <w:szCs w:val="18"/>
              </w:rPr>
              <w:t>Evolución de los riesgos y estrategias de mitigación durante el bienio</w:t>
            </w:r>
          </w:p>
        </w:tc>
        <w:tc>
          <w:tcPr>
            <w:tcW w:w="2306" w:type="dxa"/>
            <w:tcBorders>
              <w:top w:val="single" w:sz="4" w:space="0" w:color="auto"/>
              <w:bottom w:val="single" w:sz="4" w:space="0" w:color="auto"/>
            </w:tcBorders>
            <w:shd w:val="clear" w:color="auto" w:fill="C6D9F1" w:themeFill="text2" w:themeFillTint="33"/>
          </w:tcPr>
          <w:p w:rsidR="00CF11D1" w:rsidRPr="00CD2DE5" w:rsidRDefault="00CF11D1" w:rsidP="00DC1333">
            <w:pPr>
              <w:keepNext/>
              <w:jc w:val="center"/>
              <w:rPr>
                <w:b/>
                <w:bCs/>
                <w:sz w:val="18"/>
                <w:szCs w:val="18"/>
              </w:rPr>
            </w:pPr>
            <w:r w:rsidRPr="00CD2DE5">
              <w:rPr>
                <w:b/>
                <w:bCs/>
                <w:sz w:val="18"/>
                <w:szCs w:val="18"/>
              </w:rPr>
              <w:t>Incidencia en el rendimiento del programa</w:t>
            </w:r>
          </w:p>
        </w:tc>
      </w:tr>
      <w:tr w:rsidR="00CF11D1" w:rsidRPr="00CD2DE5" w:rsidTr="00DC1333">
        <w:trPr>
          <w:trHeight w:val="668"/>
        </w:trPr>
        <w:tc>
          <w:tcPr>
            <w:tcW w:w="2420" w:type="dxa"/>
            <w:tcBorders>
              <w:top w:val="single" w:sz="4" w:space="0" w:color="auto"/>
              <w:bottom w:val="nil"/>
            </w:tcBorders>
            <w:shd w:val="clear" w:color="auto" w:fill="auto"/>
            <w:tcMar>
              <w:top w:w="113" w:type="dxa"/>
            </w:tcMar>
          </w:tcPr>
          <w:p w:rsidR="00CF11D1" w:rsidRPr="00CD2DE5" w:rsidRDefault="00CF11D1" w:rsidP="00DC1333">
            <w:pPr>
              <w:keepNext/>
              <w:rPr>
                <w:sz w:val="16"/>
                <w:szCs w:val="16"/>
              </w:rPr>
            </w:pPr>
            <w:r w:rsidRPr="00CD2DE5">
              <w:rPr>
                <w:sz w:val="16"/>
                <w:szCs w:val="16"/>
              </w:rPr>
              <w:t>Disminución del número de solicitudes presentadas en virtud del PCT, en términos absolutos o relativos con respecto a las solicitudes presentadas mediante el Convenio de París</w:t>
            </w:r>
          </w:p>
        </w:tc>
        <w:tc>
          <w:tcPr>
            <w:tcW w:w="2200" w:type="dxa"/>
            <w:tcBorders>
              <w:top w:val="single" w:sz="4" w:space="0" w:color="auto"/>
              <w:bottom w:val="nil"/>
            </w:tcBorders>
            <w:shd w:val="clear" w:color="auto" w:fill="auto"/>
            <w:tcMar>
              <w:top w:w="113" w:type="dxa"/>
            </w:tcMar>
          </w:tcPr>
          <w:p w:rsidR="00CF11D1" w:rsidRPr="00CD2DE5" w:rsidRDefault="00CF11D1" w:rsidP="00DC1333">
            <w:pPr>
              <w:keepNext/>
              <w:rPr>
                <w:sz w:val="16"/>
                <w:szCs w:val="16"/>
              </w:rPr>
            </w:pPr>
            <w:r w:rsidRPr="00CD2DE5">
              <w:rPr>
                <w:sz w:val="16"/>
                <w:szCs w:val="16"/>
              </w:rPr>
              <w:t>Se seguirá fomentando el PCT entre todos los usuarios como el instrumento más útil y eficiente para proteger la innovación en los mercados internacionales</w:t>
            </w:r>
          </w:p>
        </w:tc>
        <w:tc>
          <w:tcPr>
            <w:tcW w:w="2310" w:type="dxa"/>
            <w:tcBorders>
              <w:top w:val="single" w:sz="4" w:space="0" w:color="auto"/>
              <w:bottom w:val="nil"/>
            </w:tcBorders>
          </w:tcPr>
          <w:p w:rsidR="00CF11D1" w:rsidRPr="00CD2DE5" w:rsidRDefault="00DA11AF" w:rsidP="00DA11AF">
            <w:pPr>
              <w:keepNext/>
              <w:rPr>
                <w:sz w:val="16"/>
                <w:szCs w:val="16"/>
              </w:rPr>
            </w:pPr>
            <w:r>
              <w:rPr>
                <w:sz w:val="16"/>
                <w:szCs w:val="16"/>
              </w:rPr>
              <w:t>Se trata de un</w:t>
            </w:r>
            <w:r w:rsidR="00CF11D1" w:rsidRPr="00CD2DE5">
              <w:rPr>
                <w:sz w:val="16"/>
                <w:szCs w:val="16"/>
              </w:rPr>
              <w:t xml:space="preserve"> riesgo</w:t>
            </w:r>
            <w:r>
              <w:rPr>
                <w:sz w:val="16"/>
                <w:szCs w:val="16"/>
              </w:rPr>
              <w:t xml:space="preserve"> continuo para el programa, pero </w:t>
            </w:r>
            <w:r w:rsidR="00CF11D1" w:rsidRPr="00CD2DE5">
              <w:rPr>
                <w:sz w:val="16"/>
                <w:szCs w:val="16"/>
              </w:rPr>
              <w:t>su evolución no perjudicó al PCT en 2014/15.  La</w:t>
            </w:r>
            <w:r>
              <w:rPr>
                <w:sz w:val="16"/>
                <w:szCs w:val="16"/>
              </w:rPr>
              <w:t>s</w:t>
            </w:r>
            <w:r w:rsidR="00CF11D1" w:rsidRPr="00CD2DE5">
              <w:rPr>
                <w:sz w:val="16"/>
                <w:szCs w:val="16"/>
              </w:rPr>
              <w:t xml:space="preserve"> estrategias de mitigación siguieron aplic</w:t>
            </w:r>
            <w:r>
              <w:rPr>
                <w:sz w:val="16"/>
                <w:szCs w:val="16"/>
              </w:rPr>
              <w:t>á</w:t>
            </w:r>
            <w:r w:rsidR="00CF11D1" w:rsidRPr="00CD2DE5">
              <w:rPr>
                <w:sz w:val="16"/>
                <w:szCs w:val="16"/>
              </w:rPr>
              <w:t>ndo</w:t>
            </w:r>
            <w:r>
              <w:rPr>
                <w:sz w:val="16"/>
                <w:szCs w:val="16"/>
              </w:rPr>
              <w:t>se</w:t>
            </w:r>
            <w:r w:rsidR="00CF11D1" w:rsidRPr="00CD2DE5">
              <w:rPr>
                <w:sz w:val="16"/>
                <w:szCs w:val="16"/>
              </w:rPr>
              <w:t>.</w:t>
            </w:r>
          </w:p>
        </w:tc>
        <w:tc>
          <w:tcPr>
            <w:tcW w:w="2306" w:type="dxa"/>
            <w:tcBorders>
              <w:top w:val="single" w:sz="4" w:space="0" w:color="auto"/>
              <w:bottom w:val="nil"/>
            </w:tcBorders>
          </w:tcPr>
          <w:p w:rsidR="00CF11D1" w:rsidRPr="00CD2DE5" w:rsidRDefault="00CF11D1" w:rsidP="00DC1333">
            <w:pPr>
              <w:keepNext/>
              <w:rPr>
                <w:sz w:val="16"/>
                <w:szCs w:val="16"/>
              </w:rPr>
            </w:pPr>
            <w:r w:rsidRPr="00CD2DE5">
              <w:rPr>
                <w:sz w:val="16"/>
                <w:szCs w:val="16"/>
              </w:rPr>
              <w:t>Sin incidencia mensurable</w:t>
            </w:r>
          </w:p>
        </w:tc>
      </w:tr>
      <w:tr w:rsidR="00CF11D1" w:rsidRPr="00CD2DE5" w:rsidTr="00DC1333">
        <w:trPr>
          <w:trHeight w:val="1574"/>
        </w:trPr>
        <w:tc>
          <w:tcPr>
            <w:tcW w:w="2420" w:type="dxa"/>
            <w:tcBorders>
              <w:top w:val="nil"/>
              <w:bottom w:val="nil"/>
            </w:tcBorders>
            <w:shd w:val="clear" w:color="auto" w:fill="auto"/>
            <w:tcMar>
              <w:top w:w="113" w:type="dxa"/>
            </w:tcMar>
          </w:tcPr>
          <w:p w:rsidR="00CF11D1" w:rsidRPr="00CD2DE5" w:rsidRDefault="00CF11D1" w:rsidP="00DC1333">
            <w:pPr>
              <w:rPr>
                <w:sz w:val="16"/>
                <w:szCs w:val="16"/>
              </w:rPr>
            </w:pPr>
            <w:r w:rsidRPr="00CD2DE5">
              <w:rPr>
                <w:sz w:val="16"/>
                <w:szCs w:val="16"/>
              </w:rPr>
              <w:t>Interrupción prolongada de las actividades del PCT</w:t>
            </w: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r w:rsidRPr="00CD2DE5">
              <w:rPr>
                <w:sz w:val="16"/>
                <w:szCs w:val="16"/>
              </w:rPr>
              <w:t>Si la Oficina Internacional no puede tramitar documentos, incluso durante un plazo breve, el volumen de trabajo acumulado aumenta rápidamente.  Unos pocos días de interrupción de la actividad pueden ocasionar varias semanas de trabajo atrasado.</w:t>
            </w:r>
          </w:p>
        </w:tc>
        <w:tc>
          <w:tcPr>
            <w:tcW w:w="2200" w:type="dxa"/>
            <w:tcBorders>
              <w:top w:val="nil"/>
              <w:bottom w:val="nil"/>
            </w:tcBorders>
            <w:shd w:val="clear" w:color="auto" w:fill="auto"/>
            <w:tcMar>
              <w:top w:w="113" w:type="dxa"/>
            </w:tcMar>
          </w:tcPr>
          <w:p w:rsidR="00CF11D1" w:rsidRPr="00CD2DE5" w:rsidRDefault="00CF11D1" w:rsidP="00DC1333">
            <w:pPr>
              <w:rPr>
                <w:sz w:val="16"/>
                <w:szCs w:val="16"/>
              </w:rPr>
            </w:pPr>
            <w:r w:rsidRPr="00CD2DE5">
              <w:rPr>
                <w:sz w:val="16"/>
                <w:szCs w:val="16"/>
              </w:rPr>
              <w:t>Aplicación y ejecución periódica de pruebas del plan de gestión de la continuidad de las operaciones</w:t>
            </w:r>
          </w:p>
          <w:p w:rsidR="00CF11D1" w:rsidRPr="00CD2DE5" w:rsidRDefault="00CF11D1" w:rsidP="00DC1333">
            <w:pPr>
              <w:rPr>
                <w:sz w:val="16"/>
                <w:szCs w:val="16"/>
              </w:rPr>
            </w:pPr>
          </w:p>
          <w:p w:rsidR="00CF11D1" w:rsidRPr="00CD2DE5" w:rsidRDefault="00CF11D1" w:rsidP="00DC1333">
            <w:pPr>
              <w:autoSpaceDE w:val="0"/>
              <w:autoSpaceDN w:val="0"/>
              <w:adjustRightInd w:val="0"/>
              <w:ind w:right="-59"/>
              <w:rPr>
                <w:sz w:val="16"/>
                <w:szCs w:val="16"/>
              </w:rPr>
            </w:pPr>
          </w:p>
          <w:p w:rsidR="00CF11D1" w:rsidRPr="00CD2DE5" w:rsidRDefault="00CF11D1" w:rsidP="00DC1333">
            <w:pPr>
              <w:autoSpaceDE w:val="0"/>
              <w:autoSpaceDN w:val="0"/>
              <w:adjustRightInd w:val="0"/>
              <w:ind w:right="-59"/>
              <w:rPr>
                <w:sz w:val="16"/>
                <w:szCs w:val="16"/>
              </w:rPr>
            </w:pPr>
          </w:p>
          <w:p w:rsidR="00CF11D1" w:rsidRPr="00CD2DE5" w:rsidRDefault="00CF11D1" w:rsidP="00DC1333">
            <w:pPr>
              <w:autoSpaceDE w:val="0"/>
              <w:autoSpaceDN w:val="0"/>
              <w:adjustRightInd w:val="0"/>
              <w:ind w:right="-59"/>
              <w:rPr>
                <w:sz w:val="16"/>
                <w:szCs w:val="16"/>
              </w:rPr>
            </w:pPr>
          </w:p>
          <w:p w:rsidR="00CF11D1" w:rsidRPr="00CD2DE5" w:rsidRDefault="00CF11D1" w:rsidP="00DC1333">
            <w:pPr>
              <w:autoSpaceDE w:val="0"/>
              <w:autoSpaceDN w:val="0"/>
              <w:adjustRightInd w:val="0"/>
              <w:ind w:right="-59"/>
              <w:rPr>
                <w:sz w:val="16"/>
                <w:szCs w:val="16"/>
              </w:rPr>
            </w:pPr>
          </w:p>
          <w:p w:rsidR="00CF11D1" w:rsidRPr="00CD2DE5" w:rsidRDefault="00CF11D1" w:rsidP="00DC1333">
            <w:pPr>
              <w:autoSpaceDE w:val="0"/>
              <w:autoSpaceDN w:val="0"/>
              <w:adjustRightInd w:val="0"/>
              <w:ind w:right="-59"/>
              <w:rPr>
                <w:sz w:val="16"/>
                <w:szCs w:val="16"/>
              </w:rPr>
            </w:pPr>
            <w:r w:rsidRPr="00CD2DE5">
              <w:rPr>
                <w:sz w:val="16"/>
                <w:szCs w:val="16"/>
              </w:rPr>
              <w:t>La finalidad del plan de gestión de la continuidad de las operaciones es asegurar que, en los períodos de interrupción, la labor de la Oficina Internacional pueda efectuarse en la medida suficiente como para evitar que la calidad de los servicios prestados a los usuarios y oficinas del PCT se degrade a niveles inaceptables</w:t>
            </w:r>
          </w:p>
        </w:tc>
        <w:tc>
          <w:tcPr>
            <w:tcW w:w="2310" w:type="dxa"/>
            <w:tcBorders>
              <w:top w:val="nil"/>
              <w:bottom w:val="nil"/>
            </w:tcBorders>
          </w:tcPr>
          <w:p w:rsidR="00CF11D1" w:rsidRPr="00CD2DE5" w:rsidRDefault="00CF11D1" w:rsidP="00DC1333">
            <w:pPr>
              <w:rPr>
                <w:sz w:val="16"/>
                <w:szCs w:val="16"/>
              </w:rPr>
            </w:pPr>
            <w:r w:rsidRPr="00CD2DE5">
              <w:rPr>
                <w:sz w:val="16"/>
                <w:szCs w:val="16"/>
              </w:rPr>
              <w:t>El riesgo no se materializó.  Se iniciaron los preparativos para diseñar una arquitectura de plataforma resiliente y segura para los sistemas de información del PCT como medida de mitigación.</w:t>
            </w:r>
          </w:p>
          <w:p w:rsidR="00CF11D1" w:rsidRPr="00CD2DE5" w:rsidRDefault="00CF11D1" w:rsidP="00DC1333">
            <w:pPr>
              <w:rPr>
                <w:sz w:val="16"/>
                <w:szCs w:val="16"/>
              </w:rPr>
            </w:pPr>
          </w:p>
          <w:p w:rsidR="00CF11D1" w:rsidRPr="00CD2DE5" w:rsidRDefault="00CF11D1" w:rsidP="00DC1333">
            <w:pPr>
              <w:rPr>
                <w:sz w:val="16"/>
                <w:szCs w:val="16"/>
              </w:rPr>
            </w:pPr>
            <w:r w:rsidRPr="00CD2DE5">
              <w:rPr>
                <w:sz w:val="16"/>
                <w:szCs w:val="16"/>
              </w:rPr>
              <w:t>El riesgo no se materializó.  Se crearon nuevos indicadores del volumen de trabajo para mejorar los procedimientos de control de la calidad de las medidas de mitigación.</w:t>
            </w:r>
          </w:p>
        </w:tc>
        <w:tc>
          <w:tcPr>
            <w:tcW w:w="2306" w:type="dxa"/>
            <w:tcBorders>
              <w:top w:val="nil"/>
              <w:bottom w:val="nil"/>
            </w:tcBorders>
          </w:tcPr>
          <w:p w:rsidR="00CF11D1" w:rsidRPr="00CD2DE5" w:rsidRDefault="00CF11D1" w:rsidP="00DC1333">
            <w:pPr>
              <w:autoSpaceDE w:val="0"/>
              <w:autoSpaceDN w:val="0"/>
              <w:adjustRightInd w:val="0"/>
              <w:ind w:right="-59"/>
              <w:rPr>
                <w:sz w:val="16"/>
                <w:szCs w:val="16"/>
              </w:rPr>
            </w:pPr>
            <w:r w:rsidRPr="00CD2DE5">
              <w:rPr>
                <w:sz w:val="16"/>
                <w:szCs w:val="16"/>
              </w:rPr>
              <w:t>Este riesgo y su evolución no incidieron sustancialmente en el rendimiento del programa en 2014/15.</w:t>
            </w: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p>
          <w:p w:rsidR="00CF11D1" w:rsidRPr="00CD2DE5" w:rsidRDefault="00CF11D1" w:rsidP="00DC1333">
            <w:pPr>
              <w:rPr>
                <w:sz w:val="16"/>
                <w:szCs w:val="16"/>
              </w:rPr>
            </w:pPr>
            <w:r w:rsidRPr="00CD2DE5">
              <w:rPr>
                <w:sz w:val="16"/>
                <w:szCs w:val="16"/>
              </w:rPr>
              <w:t>Mejoría de la calidad del examen de forma.</w:t>
            </w:r>
          </w:p>
        </w:tc>
      </w:tr>
      <w:tr w:rsidR="00CF11D1" w:rsidRPr="00CD2DE5" w:rsidTr="00DC1333">
        <w:trPr>
          <w:trHeight w:val="1031"/>
        </w:trPr>
        <w:tc>
          <w:tcPr>
            <w:tcW w:w="2420" w:type="dxa"/>
            <w:tcBorders>
              <w:top w:val="nil"/>
              <w:bottom w:val="single" w:sz="4" w:space="0" w:color="auto"/>
            </w:tcBorders>
            <w:shd w:val="clear" w:color="auto" w:fill="auto"/>
            <w:tcMar>
              <w:top w:w="113" w:type="dxa"/>
            </w:tcMar>
          </w:tcPr>
          <w:p w:rsidR="00CF11D1" w:rsidRPr="00CD2DE5" w:rsidRDefault="00CF11D1" w:rsidP="00DC1333">
            <w:pPr>
              <w:rPr>
                <w:sz w:val="16"/>
                <w:szCs w:val="16"/>
              </w:rPr>
            </w:pPr>
            <w:r w:rsidRPr="00CD2DE5">
              <w:rPr>
                <w:sz w:val="16"/>
                <w:szCs w:val="16"/>
              </w:rPr>
              <w:t>Divulgación intencionada o involuntaria de información confidencial</w:t>
            </w:r>
          </w:p>
        </w:tc>
        <w:tc>
          <w:tcPr>
            <w:tcW w:w="2200" w:type="dxa"/>
            <w:tcBorders>
              <w:top w:val="nil"/>
              <w:bottom w:val="single" w:sz="4" w:space="0" w:color="auto"/>
            </w:tcBorders>
            <w:shd w:val="clear" w:color="auto" w:fill="auto"/>
            <w:tcMar>
              <w:top w:w="113" w:type="dxa"/>
            </w:tcMar>
          </w:tcPr>
          <w:p w:rsidR="00CF11D1" w:rsidRPr="00CD2DE5" w:rsidDel="00C266CB" w:rsidRDefault="00CF11D1" w:rsidP="00DC1333">
            <w:pPr>
              <w:rPr>
                <w:sz w:val="16"/>
                <w:szCs w:val="16"/>
              </w:rPr>
            </w:pPr>
            <w:r w:rsidRPr="00CD2DE5">
              <w:rPr>
                <w:sz w:val="16"/>
                <w:szCs w:val="16"/>
              </w:rPr>
              <w:t>Programa continuo de sensibilización destinado al personal competente:  seguir aplicando los más modernos mecanismos de control del entorno físico y electrónico;  seguir mejorando la vigilancia estratégica;  mantener un alto grado de supervisión de los proveedores de servicios de traducción subcontratados</w:t>
            </w:r>
          </w:p>
        </w:tc>
        <w:tc>
          <w:tcPr>
            <w:tcW w:w="2310" w:type="dxa"/>
            <w:tcBorders>
              <w:top w:val="nil"/>
              <w:bottom w:val="single" w:sz="4" w:space="0" w:color="auto"/>
            </w:tcBorders>
          </w:tcPr>
          <w:p w:rsidR="00CF11D1" w:rsidRPr="00CD2DE5" w:rsidRDefault="00CF11D1" w:rsidP="00DC1333">
            <w:pPr>
              <w:rPr>
                <w:sz w:val="16"/>
                <w:szCs w:val="16"/>
              </w:rPr>
            </w:pPr>
            <w:r w:rsidRPr="00CD2DE5">
              <w:rPr>
                <w:sz w:val="16"/>
                <w:szCs w:val="16"/>
              </w:rPr>
              <w:t>El riesgo no se materializó.  Se iniciaron los preparativos para diseñar una arquitectura de plataforma resiliente y segura para los sistemas de información del PCT como medida de mitigación.</w:t>
            </w:r>
          </w:p>
        </w:tc>
        <w:tc>
          <w:tcPr>
            <w:tcW w:w="2306" w:type="dxa"/>
            <w:tcBorders>
              <w:top w:val="nil"/>
              <w:bottom w:val="single" w:sz="4" w:space="0" w:color="auto"/>
            </w:tcBorders>
          </w:tcPr>
          <w:p w:rsidR="00CF11D1" w:rsidRPr="00CD2DE5" w:rsidRDefault="00CF11D1" w:rsidP="00DC1333">
            <w:pPr>
              <w:autoSpaceDE w:val="0"/>
              <w:autoSpaceDN w:val="0"/>
              <w:adjustRightInd w:val="0"/>
              <w:ind w:right="-59"/>
              <w:rPr>
                <w:sz w:val="16"/>
                <w:szCs w:val="16"/>
              </w:rPr>
            </w:pPr>
            <w:r w:rsidRPr="00CD2DE5">
              <w:rPr>
                <w:sz w:val="16"/>
                <w:szCs w:val="16"/>
              </w:rPr>
              <w:t>Este riesgo y su evolución no incidieron sustancialmente en el rendimiento del programa en 2014/15.</w:t>
            </w:r>
          </w:p>
          <w:p w:rsidR="00CF11D1" w:rsidRPr="00CD2DE5" w:rsidRDefault="00CF11D1" w:rsidP="00DC1333">
            <w:pPr>
              <w:rPr>
                <w:sz w:val="16"/>
                <w:szCs w:val="16"/>
              </w:rPr>
            </w:pPr>
          </w:p>
        </w:tc>
      </w:tr>
    </w:tbl>
    <w:p w:rsidR="00CF11D1" w:rsidRDefault="00CF11D1" w:rsidP="00CF11D1">
      <w:pPr>
        <w:rPr>
          <w:bCs/>
          <w:szCs w:val="22"/>
        </w:rPr>
      </w:pPr>
    </w:p>
    <w:p w:rsidR="00CF11D1" w:rsidRPr="00CD2DE5" w:rsidRDefault="00CF11D1" w:rsidP="00CF11D1">
      <w:pPr>
        <w:rPr>
          <w:bCs/>
          <w:szCs w:val="22"/>
        </w:rPr>
      </w:pPr>
    </w:p>
    <w:p w:rsidR="00CF11D1" w:rsidRPr="00CD2DE5" w:rsidRDefault="00403D2C" w:rsidP="00CF11D1">
      <w:pPr>
        <w:keepNext/>
        <w:rPr>
          <w:b/>
          <w:sz w:val="18"/>
          <w:szCs w:val="18"/>
        </w:rPr>
      </w:pPr>
      <w:r w:rsidRPr="00403D2C">
        <w:rPr>
          <w:color w:val="000000"/>
          <w:sz w:val="20"/>
          <w:szCs w:val="22"/>
        </w:rPr>
        <w:lastRenderedPageBreak/>
        <w:t>UTILIZACIÓN DE LOS RECURSOS</w:t>
      </w:r>
    </w:p>
    <w:p w:rsidR="00CF11D1" w:rsidRPr="00CD2DE5" w:rsidRDefault="00CF11D1" w:rsidP="00CF11D1">
      <w:pPr>
        <w:keepNext/>
      </w:pPr>
    </w:p>
    <w:p w:rsidR="00CF11D1" w:rsidRPr="00CD2DE5" w:rsidRDefault="00CF11D1" w:rsidP="00CF11D1">
      <w:pPr>
        <w:pStyle w:val="NormalWeb"/>
        <w:keepNext/>
        <w:spacing w:before="0" w:beforeAutospacing="0" w:after="0" w:afterAutospacing="0"/>
        <w:jc w:val="center"/>
        <w:rPr>
          <w:sz w:val="20"/>
          <w:szCs w:val="20"/>
          <w:lang w:val="es-ES"/>
        </w:rPr>
      </w:pPr>
      <w:r w:rsidRPr="00CD2DE5">
        <w:rPr>
          <w:sz w:val="20"/>
          <w:szCs w:val="20"/>
          <w:lang w:val="es-ES"/>
        </w:rPr>
        <w:t xml:space="preserve">Presupuesto y gastos reales (por resultado) </w:t>
      </w:r>
    </w:p>
    <w:p w:rsidR="00CF11D1" w:rsidRPr="00CD2DE5" w:rsidRDefault="00CF11D1" w:rsidP="00CF11D1">
      <w:pPr>
        <w:pStyle w:val="NormalWeb"/>
        <w:keepNext/>
        <w:spacing w:before="0" w:beforeAutospacing="0" w:after="0" w:afterAutospacing="0"/>
        <w:jc w:val="center"/>
        <w:rPr>
          <w:i/>
          <w:iCs/>
          <w:sz w:val="20"/>
          <w:szCs w:val="20"/>
          <w:lang w:val="es-ES"/>
        </w:rPr>
      </w:pPr>
      <w:r w:rsidRPr="00CD2DE5">
        <w:rPr>
          <w:i/>
          <w:iCs/>
          <w:sz w:val="20"/>
          <w:szCs w:val="20"/>
          <w:lang w:val="es-ES"/>
        </w:rPr>
        <w:t>(</w:t>
      </w:r>
      <w:proofErr w:type="gramStart"/>
      <w:r w:rsidRPr="00CD2DE5">
        <w:rPr>
          <w:i/>
          <w:iCs/>
          <w:sz w:val="20"/>
          <w:szCs w:val="20"/>
          <w:lang w:val="es-ES"/>
        </w:rPr>
        <w:t>en</w:t>
      </w:r>
      <w:proofErr w:type="gramEnd"/>
      <w:r w:rsidRPr="00CD2DE5">
        <w:rPr>
          <w:i/>
          <w:iCs/>
          <w:sz w:val="20"/>
          <w:szCs w:val="20"/>
          <w:lang w:val="es-ES"/>
        </w:rPr>
        <w:t xml:space="preserve"> miles de francos suizos)</w:t>
      </w:r>
    </w:p>
    <w:p w:rsidR="00CF11D1" w:rsidRPr="00CD2DE5" w:rsidRDefault="00CF11D1" w:rsidP="00CF11D1">
      <w:pPr>
        <w:pStyle w:val="NormalWeb"/>
        <w:keepNext/>
        <w:spacing w:before="0" w:beforeAutospacing="0" w:after="0" w:afterAutospacing="0"/>
        <w:jc w:val="center"/>
        <w:rPr>
          <w:i/>
          <w:iCs/>
          <w:color w:val="000000"/>
          <w:sz w:val="20"/>
          <w:szCs w:val="20"/>
          <w:lang w:val="es-ES"/>
        </w:rPr>
      </w:pPr>
    </w:p>
    <w:p w:rsidR="00CF11D1" w:rsidRPr="00CD2DE5" w:rsidRDefault="00CF11D1" w:rsidP="00CF11D1">
      <w:pPr>
        <w:jc w:val="center"/>
      </w:pPr>
      <w:bookmarkStart w:id="75" w:name="Bm5"/>
      <w:bookmarkStart w:id="76" w:name="Punto5"/>
      <w:r>
        <w:rPr>
          <w:noProof/>
          <w:lang w:val="en-US" w:eastAsia="en-US"/>
        </w:rPr>
        <w:drawing>
          <wp:inline distT="0" distB="0" distL="0" distR="0" wp14:anchorId="79D7F213" wp14:editId="6C6EC49A">
            <wp:extent cx="5676900" cy="2790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6900" cy="2790825"/>
                    </a:xfrm>
                    <a:prstGeom prst="rect">
                      <a:avLst/>
                    </a:prstGeom>
                    <a:noFill/>
                    <a:ln>
                      <a:noFill/>
                    </a:ln>
                  </pic:spPr>
                </pic:pic>
              </a:graphicData>
            </a:graphic>
          </wp:inline>
        </w:drawing>
      </w:r>
      <w:bookmarkEnd w:id="75"/>
      <w:bookmarkEnd w:id="76"/>
    </w:p>
    <w:p w:rsidR="00CF11D1" w:rsidRDefault="00CF11D1" w:rsidP="00CF11D1"/>
    <w:p w:rsidR="00CF11D1" w:rsidRPr="00CD2DE5" w:rsidRDefault="00CF11D1" w:rsidP="00CF11D1"/>
    <w:p w:rsidR="00CF11D1" w:rsidRPr="00CD2DE5" w:rsidRDefault="00CF11D1" w:rsidP="00CF11D1">
      <w:pPr>
        <w:pStyle w:val="NormalWeb"/>
        <w:keepNext/>
        <w:keepLines/>
        <w:spacing w:before="0" w:beforeAutospacing="0" w:after="0" w:afterAutospacing="0"/>
        <w:jc w:val="center"/>
        <w:rPr>
          <w:sz w:val="20"/>
          <w:szCs w:val="20"/>
          <w:lang w:val="es-ES"/>
        </w:rPr>
      </w:pPr>
      <w:r w:rsidRPr="00CD2DE5">
        <w:rPr>
          <w:sz w:val="20"/>
          <w:szCs w:val="20"/>
          <w:lang w:val="es-ES"/>
        </w:rPr>
        <w:t xml:space="preserve">Presupuesto y gastos reales (de personal y no relativos a personal) </w:t>
      </w:r>
    </w:p>
    <w:p w:rsidR="00CF11D1" w:rsidRPr="00CD2DE5" w:rsidRDefault="00CF11D1" w:rsidP="00CF11D1">
      <w:pPr>
        <w:pStyle w:val="NormalWeb"/>
        <w:keepNext/>
        <w:keepLines/>
        <w:spacing w:before="0" w:beforeAutospacing="0" w:after="0" w:afterAutospacing="0"/>
        <w:jc w:val="center"/>
        <w:rPr>
          <w:i/>
          <w:iCs/>
          <w:sz w:val="20"/>
          <w:szCs w:val="20"/>
          <w:lang w:val="es-ES"/>
        </w:rPr>
      </w:pPr>
      <w:r w:rsidRPr="00CD2DE5">
        <w:rPr>
          <w:i/>
          <w:iCs/>
          <w:sz w:val="20"/>
          <w:szCs w:val="20"/>
          <w:lang w:val="es-ES"/>
        </w:rPr>
        <w:t>(</w:t>
      </w:r>
      <w:proofErr w:type="gramStart"/>
      <w:r w:rsidRPr="00CD2DE5">
        <w:rPr>
          <w:i/>
          <w:iCs/>
          <w:sz w:val="20"/>
          <w:szCs w:val="20"/>
          <w:lang w:val="es-ES"/>
        </w:rPr>
        <w:t>en</w:t>
      </w:r>
      <w:proofErr w:type="gramEnd"/>
      <w:r w:rsidRPr="00CD2DE5">
        <w:rPr>
          <w:i/>
          <w:iCs/>
          <w:sz w:val="20"/>
          <w:szCs w:val="20"/>
          <w:lang w:val="es-ES"/>
        </w:rPr>
        <w:t xml:space="preserve"> miles de francos suizos)</w:t>
      </w:r>
    </w:p>
    <w:p w:rsidR="00CF11D1" w:rsidRPr="00CD2DE5" w:rsidRDefault="00CF11D1" w:rsidP="00CF11D1">
      <w:pPr>
        <w:pStyle w:val="NormalWeb"/>
        <w:keepNext/>
        <w:keepLines/>
        <w:spacing w:before="0" w:beforeAutospacing="0" w:after="0" w:afterAutospacing="0"/>
        <w:jc w:val="center"/>
        <w:rPr>
          <w:lang w:val="es-ES"/>
        </w:rPr>
      </w:pPr>
    </w:p>
    <w:p w:rsidR="00CF11D1" w:rsidRPr="00CD2DE5" w:rsidRDefault="00CF11D1" w:rsidP="00CF11D1">
      <w:pPr>
        <w:jc w:val="center"/>
      </w:pPr>
      <w:bookmarkStart w:id="77" w:name="Point5"/>
      <w:r>
        <w:rPr>
          <w:noProof/>
          <w:lang w:val="en-US" w:eastAsia="en-US"/>
        </w:rPr>
        <w:drawing>
          <wp:inline distT="0" distB="0" distL="0" distR="0" wp14:anchorId="707931F7" wp14:editId="747ED1D4">
            <wp:extent cx="5940425" cy="982455"/>
            <wp:effectExtent l="0" t="0" r="317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982455"/>
                    </a:xfrm>
                    <a:prstGeom prst="rect">
                      <a:avLst/>
                    </a:prstGeom>
                    <a:noFill/>
                    <a:ln>
                      <a:noFill/>
                    </a:ln>
                  </pic:spPr>
                </pic:pic>
              </a:graphicData>
            </a:graphic>
          </wp:inline>
        </w:drawing>
      </w:r>
      <w:bookmarkEnd w:id="77"/>
    </w:p>
    <w:p w:rsidR="00CF11D1" w:rsidRPr="00CD2DE5" w:rsidRDefault="00CF11D1" w:rsidP="00CF11D1">
      <w:pPr>
        <w:keepNext/>
        <w:autoSpaceDE w:val="0"/>
        <w:autoSpaceDN w:val="0"/>
        <w:rPr>
          <w:sz w:val="16"/>
          <w:szCs w:val="16"/>
        </w:rPr>
      </w:pPr>
    </w:p>
    <w:p w:rsidR="00CF11D1" w:rsidRPr="00CD2DE5" w:rsidRDefault="00CF11D1" w:rsidP="00CF11D1">
      <w:pPr>
        <w:rPr>
          <w:sz w:val="24"/>
        </w:rPr>
      </w:pPr>
      <w:r w:rsidRPr="00CD2DE5">
        <w:rPr>
          <w:i/>
          <w:sz w:val="16"/>
          <w:szCs w:val="16"/>
        </w:rPr>
        <w:t>NOTA</w:t>
      </w:r>
      <w:proofErr w:type="gramStart"/>
      <w:r w:rsidRPr="00CD2DE5">
        <w:rPr>
          <w:i/>
          <w:sz w:val="16"/>
          <w:szCs w:val="16"/>
        </w:rPr>
        <w:t>:  Los</w:t>
      </w:r>
      <w:proofErr w:type="gramEnd"/>
      <w:r w:rsidRPr="00CD2DE5">
        <w:rPr>
          <w:i/>
          <w:sz w:val="16"/>
          <w:szCs w:val="16"/>
        </w:rPr>
        <w:t xml:space="preserve"> recursos para los proyectos de la A.D. “P.I. y transferencia de tecnología” y “Proyectos de colaboración abierta” (280.000 y 153.000 francos suizos respectivamente) se recogen bajo los resultados previstos IV.2 y VII.3.  Los proyectos se culminaron en 2015;  en el programa 30 se recoge un informe sustantivo de ambos proyectos.</w:t>
      </w:r>
    </w:p>
    <w:p w:rsidR="00CF11D1" w:rsidRDefault="00CF11D1" w:rsidP="00CF11D1">
      <w:pPr>
        <w:widowControl w:val="0"/>
        <w:autoSpaceDE w:val="0"/>
        <w:autoSpaceDN w:val="0"/>
        <w:adjustRightInd w:val="0"/>
        <w:rPr>
          <w:sz w:val="20"/>
        </w:rPr>
      </w:pPr>
    </w:p>
    <w:p w:rsidR="00CF11D1" w:rsidRPr="00CD2DE5" w:rsidRDefault="00CF11D1" w:rsidP="00CF11D1">
      <w:pPr>
        <w:widowControl w:val="0"/>
        <w:autoSpaceDE w:val="0"/>
        <w:autoSpaceDN w:val="0"/>
        <w:adjustRightInd w:val="0"/>
        <w:rPr>
          <w:sz w:val="20"/>
        </w:rPr>
      </w:pPr>
    </w:p>
    <w:p w:rsidR="00CF11D1" w:rsidRPr="00CD2DE5" w:rsidRDefault="00403D2C" w:rsidP="00CF11D1">
      <w:pPr>
        <w:rPr>
          <w:sz w:val="20"/>
          <w:u w:val="single"/>
        </w:rPr>
      </w:pPr>
      <w:r w:rsidRPr="00403D2C">
        <w:rPr>
          <w:sz w:val="20"/>
        </w:rPr>
        <w:t>A.</w:t>
      </w:r>
      <w:r w:rsidRPr="00403D2C">
        <w:rPr>
          <w:sz w:val="20"/>
        </w:rPr>
        <w:tab/>
      </w:r>
      <w:r w:rsidRPr="00403D2C">
        <w:rPr>
          <w:sz w:val="20"/>
          <w:u w:val="single"/>
        </w:rPr>
        <w:t>Presupuesto final de 2014/15 tras las transferencias</w:t>
      </w:r>
    </w:p>
    <w:p w:rsidR="00CF11D1" w:rsidRPr="00CD2DE5" w:rsidRDefault="00CF11D1" w:rsidP="00CF11D1">
      <w:pPr>
        <w:autoSpaceDE w:val="0"/>
        <w:autoSpaceDN w:val="0"/>
        <w:jc w:val="both"/>
        <w:rPr>
          <w:sz w:val="20"/>
          <w:lang w:eastAsia="ko-KR"/>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lang w:val="es-ES" w:eastAsia="ko-KR"/>
        </w:rPr>
      </w:pPr>
      <w:r w:rsidRPr="00CD2DE5">
        <w:rPr>
          <w:rFonts w:cs="Arial"/>
          <w:lang w:val="es-ES"/>
        </w:rPr>
        <w:t>La disminución general en el presupuesto final tras las transferencias se debe principalmente a</w:t>
      </w:r>
      <w:r w:rsidRPr="00CD2DE5">
        <w:rPr>
          <w:rFonts w:cs="Arial"/>
          <w:lang w:val="es-ES" w:eastAsia="ko-KR"/>
        </w:rPr>
        <w:t>l aumento de</w:t>
      </w:r>
      <w:r w:rsidRPr="00CD2DE5">
        <w:rPr>
          <w:lang w:val="es-ES" w:eastAsia="ko-KR"/>
        </w:rPr>
        <w:t xml:space="preserve"> la productividad que se registró durante el bienio en la tramitación de las solicitudes internacionales.  Por otra parte, la mejora de los flujos de trabajo y d</w:t>
      </w:r>
      <w:r w:rsidRPr="00CD2DE5">
        <w:rPr>
          <w:lang w:val="es-ES"/>
        </w:rPr>
        <w:t>e la tramitación de los compromisos financieros con respecto a los servicios de traducción contribuyeron a una utilización más eficaz de los recursos.</w:t>
      </w:r>
    </w:p>
    <w:p w:rsidR="00CF11D1" w:rsidRPr="00CD2DE5" w:rsidRDefault="00CF11D1" w:rsidP="00CF11D1">
      <w:pPr>
        <w:tabs>
          <w:tab w:val="left" w:pos="709"/>
        </w:tabs>
        <w:autoSpaceDE w:val="0"/>
        <w:autoSpaceDN w:val="0"/>
        <w:adjustRightInd w:val="0"/>
        <w:jc w:val="both"/>
        <w:rPr>
          <w:lang w:eastAsia="ko-KR"/>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eastAsia="ko-KR"/>
        </w:rPr>
      </w:pPr>
      <w:r w:rsidRPr="00CD2DE5">
        <w:rPr>
          <w:rFonts w:cs="Arial"/>
          <w:lang w:val="es-ES" w:eastAsia="ko-KR"/>
        </w:rPr>
        <w:t>Esta disminución general se vio compensada parcialmente por el aumento neto del presupuesto asignado a apoyar las nuevas mejoras de los sistemas de información del PCT.</w:t>
      </w:r>
    </w:p>
    <w:p w:rsidR="00CF11D1" w:rsidRPr="00CD2DE5" w:rsidRDefault="00CF11D1" w:rsidP="00CF11D1">
      <w:pPr>
        <w:pStyle w:val="ListParagraph"/>
        <w:ind w:left="0"/>
        <w:rPr>
          <w:rFonts w:cs="Arial"/>
          <w:lang w:val="es-ES" w:eastAsia="ko-KR"/>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cs="Arial"/>
          <w:lang w:val="es-ES" w:eastAsia="ko-KR"/>
        </w:rPr>
      </w:pPr>
      <w:r w:rsidRPr="00CD2DE5">
        <w:rPr>
          <w:rFonts w:cs="Arial"/>
          <w:lang w:val="es-ES" w:eastAsia="ko-KR"/>
        </w:rPr>
        <w:t>Los ajustes efectuados entre los resultados en el presupuesto final tras las transferencias se deben principalmente a la reasignación de recursos de personal.</w:t>
      </w:r>
    </w:p>
    <w:p w:rsidR="00CF11D1" w:rsidRPr="00CD2DE5" w:rsidRDefault="00CF11D1" w:rsidP="00CF11D1">
      <w:pPr>
        <w:autoSpaceDE w:val="0"/>
        <w:autoSpaceDN w:val="0"/>
        <w:jc w:val="both"/>
        <w:rPr>
          <w:sz w:val="20"/>
          <w:lang w:eastAsia="ko-KR"/>
        </w:rPr>
      </w:pPr>
    </w:p>
    <w:p w:rsidR="00CF11D1" w:rsidRPr="00CD2DE5" w:rsidRDefault="00403D2C" w:rsidP="00CF11D1">
      <w:pPr>
        <w:jc w:val="both"/>
        <w:rPr>
          <w:sz w:val="20"/>
          <w:u w:val="single"/>
          <w:lang w:eastAsia="ko-KR"/>
        </w:rPr>
      </w:pPr>
      <w:r w:rsidRPr="00403D2C">
        <w:rPr>
          <w:sz w:val="20"/>
          <w:lang w:eastAsia="ko-KR"/>
        </w:rPr>
        <w:t>B.</w:t>
      </w:r>
      <w:r w:rsidRPr="00403D2C">
        <w:rPr>
          <w:color w:val="FF00FF"/>
          <w:sz w:val="20"/>
          <w:lang w:eastAsia="ko-KR"/>
        </w:rPr>
        <w:tab/>
      </w:r>
      <w:r w:rsidRPr="00403D2C">
        <w:rPr>
          <w:sz w:val="20"/>
          <w:u w:val="single"/>
          <w:lang w:eastAsia="ko-KR"/>
        </w:rPr>
        <w:t>Utilización del presupuesto en 2014/15</w:t>
      </w:r>
    </w:p>
    <w:p w:rsidR="00CF11D1" w:rsidRPr="00CD2DE5" w:rsidRDefault="00CF11D1" w:rsidP="00CF11D1">
      <w:pPr>
        <w:jc w:val="both"/>
        <w:rPr>
          <w:sz w:val="20"/>
          <w:u w:val="single"/>
          <w:lang w:eastAsia="ko-KR"/>
        </w:rPr>
      </w:pPr>
    </w:p>
    <w:p w:rsidR="00CF11D1" w:rsidRPr="00CD2DE5" w:rsidRDefault="00CF11D1" w:rsidP="00CF11D1">
      <w:pPr>
        <w:pStyle w:val="ListParagraph"/>
        <w:numPr>
          <w:ilvl w:val="0"/>
          <w:numId w:val="17"/>
        </w:numPr>
        <w:tabs>
          <w:tab w:val="left" w:pos="709"/>
        </w:tabs>
        <w:autoSpaceDE w:val="0"/>
        <w:autoSpaceDN w:val="0"/>
        <w:adjustRightInd w:val="0"/>
        <w:ind w:left="0" w:firstLine="0"/>
        <w:jc w:val="both"/>
        <w:rPr>
          <w:rFonts w:ascii="Calibri" w:hAnsi="Calibri"/>
          <w:lang w:val="es-ES"/>
        </w:rPr>
      </w:pPr>
      <w:r w:rsidRPr="00CD2DE5">
        <w:rPr>
          <w:rFonts w:cs="Arial"/>
          <w:lang w:val="es-ES" w:eastAsia="ko-KR"/>
        </w:rPr>
        <w:t>La utilización general del presupuesto durante el bienio fue del 95% debido a:</w:t>
      </w:r>
    </w:p>
    <w:p w:rsidR="00CF11D1" w:rsidRPr="00CD2DE5" w:rsidRDefault="00CF11D1" w:rsidP="00CF11D1"/>
    <w:p w:rsidR="00CF11D1" w:rsidRPr="00A02A1F" w:rsidRDefault="00CF11D1" w:rsidP="00CF11D1">
      <w:pPr>
        <w:pStyle w:val="ListParagraph"/>
        <w:numPr>
          <w:ilvl w:val="0"/>
          <w:numId w:val="18"/>
        </w:numPr>
        <w:autoSpaceDE w:val="0"/>
        <w:autoSpaceDN w:val="0"/>
        <w:ind w:left="1134" w:hanging="567"/>
        <w:jc w:val="both"/>
        <w:rPr>
          <w:lang w:val="es-ES"/>
        </w:rPr>
      </w:pPr>
      <w:r w:rsidRPr="00CD2DE5">
        <w:rPr>
          <w:rFonts w:cs="Arial"/>
          <w:lang w:val="es-ES" w:eastAsia="ko-KR"/>
        </w:rPr>
        <w:t xml:space="preserve">el aumento de la productividad en la tramitación de las solicitudes internacionales que se consiguió durante el bienio y la reducción de los costos de traducción, lo que se tradujo en </w:t>
      </w:r>
      <w:r w:rsidRPr="00CD2DE5">
        <w:rPr>
          <w:rFonts w:cs="Arial"/>
          <w:lang w:val="es-ES" w:eastAsia="ko-KR"/>
        </w:rPr>
        <w:lastRenderedPageBreak/>
        <w:t>una mejora de la eficacia en las operaciones del PCT, y la aplicación en curso de determinados proyectos del sistema de información del PCT que se habían iniciado y no se completaron en 2015, y que continuará durante el bienio próximo.</w:t>
      </w:r>
    </w:p>
    <w:p w:rsidR="00CF11D1" w:rsidRDefault="00CF11D1" w:rsidP="00CF11D1">
      <w:pPr>
        <w:autoSpaceDE w:val="0"/>
        <w:autoSpaceDN w:val="0"/>
        <w:jc w:val="both"/>
      </w:pPr>
    </w:p>
    <w:p w:rsidR="00CF11D1" w:rsidRPr="00A02A1F" w:rsidRDefault="00CF11D1" w:rsidP="00CF11D1">
      <w:pPr>
        <w:autoSpaceDE w:val="0"/>
        <w:autoSpaceDN w:val="0"/>
        <w:jc w:val="both"/>
      </w:pPr>
    </w:p>
    <w:p w:rsidR="00CF11D1" w:rsidRDefault="00CF11D1" w:rsidP="00CF11D1">
      <w:pPr>
        <w:rPr>
          <w:b/>
          <w:bCs/>
          <w:i/>
          <w:szCs w:val="22"/>
          <w:lang w:eastAsia="en-US"/>
        </w:rPr>
      </w:pPr>
      <w:bookmarkStart w:id="78" w:name="_Toc422927408"/>
      <w:r>
        <w:rPr>
          <w:b/>
          <w:szCs w:val="22"/>
        </w:rPr>
        <w:br w:type="page"/>
      </w:r>
    </w:p>
    <w:p w:rsidR="00CF11D1" w:rsidRPr="00F22588" w:rsidRDefault="00CF11D1" w:rsidP="00CF11D1">
      <w:pPr>
        <w:pStyle w:val="StyleHeading3BoldNounderline"/>
        <w:rPr>
          <w:b/>
          <w:szCs w:val="22"/>
          <w:lang w:val="es-ES"/>
        </w:rPr>
      </w:pPr>
      <w:bookmarkStart w:id="79" w:name="_Toc455159076"/>
      <w:r w:rsidRPr="00F22588">
        <w:rPr>
          <w:b/>
          <w:szCs w:val="22"/>
          <w:lang w:val="es-ES"/>
        </w:rPr>
        <w:lastRenderedPageBreak/>
        <w:t>Programa 5, Anexo</w:t>
      </w:r>
      <w:proofErr w:type="gramStart"/>
      <w:r w:rsidRPr="00F22588">
        <w:rPr>
          <w:b/>
          <w:szCs w:val="22"/>
          <w:lang w:val="es-ES"/>
        </w:rPr>
        <w:t>:  Indicadores</w:t>
      </w:r>
      <w:proofErr w:type="gramEnd"/>
      <w:r w:rsidRPr="00F22588">
        <w:rPr>
          <w:b/>
          <w:szCs w:val="22"/>
          <w:lang w:val="es-ES"/>
        </w:rPr>
        <w:t xml:space="preserve"> de las operaciones del PCT</w:t>
      </w:r>
      <w:bookmarkEnd w:id="78"/>
      <w:bookmarkEnd w:id="79"/>
    </w:p>
    <w:p w:rsidR="00CF11D1" w:rsidRPr="00F22588" w:rsidRDefault="00CF11D1" w:rsidP="00CF11D1">
      <w:pPr>
        <w:widowControl w:val="0"/>
        <w:rPr>
          <w:sz w:val="20"/>
        </w:rPr>
      </w:pPr>
    </w:p>
    <w:p w:rsidR="00CF11D1" w:rsidRPr="00F22588" w:rsidRDefault="00CF11D1" w:rsidP="00CF11D1">
      <w:pPr>
        <w:widowControl w:val="0"/>
        <w:rPr>
          <w:sz w:val="20"/>
        </w:rPr>
      </w:pPr>
    </w:p>
    <w:p w:rsidR="00CF11D1" w:rsidRPr="00F22588" w:rsidRDefault="00CF11D1" w:rsidP="00CF11D1">
      <w:pPr>
        <w:widowControl w:val="0"/>
        <w:rPr>
          <w:sz w:val="20"/>
        </w:rPr>
      </w:pPr>
      <w:r w:rsidRPr="00F22588">
        <w:rPr>
          <w:sz w:val="20"/>
        </w:rPr>
        <w:t>INDICADORES DE RENDIMIENTO CON RESPECTO AL RESULTADO PREVISTO</w:t>
      </w:r>
    </w:p>
    <w:p w:rsidR="00CF11D1" w:rsidRPr="00F22588" w:rsidRDefault="00CF11D1" w:rsidP="00CF11D1">
      <w:pPr>
        <w:widowControl w:val="0"/>
        <w:rPr>
          <w:sz w:val="20"/>
        </w:rPr>
      </w:pPr>
      <w:r w:rsidRPr="00F22588">
        <w:rPr>
          <w:sz w:val="20"/>
        </w:rPr>
        <w:t>“MEJORA DE LA PRODUCTIVIDAD Y DE LA CALIDAD DE LOS SERVICIOS EN LAS OPERACIONES DEL SISTEMA DEL PCT”</w:t>
      </w:r>
    </w:p>
    <w:p w:rsidR="00CF11D1" w:rsidRPr="00F22588" w:rsidRDefault="00CF11D1" w:rsidP="00CF11D1">
      <w:pPr>
        <w:widowControl w:val="0"/>
        <w:rPr>
          <w:bCs/>
          <w:sz w:val="20"/>
        </w:rPr>
      </w:pPr>
    </w:p>
    <w:p w:rsidR="00CF11D1" w:rsidRPr="00F22588" w:rsidRDefault="00CF11D1" w:rsidP="00CF11D1">
      <w:pPr>
        <w:widowControl w:val="0"/>
        <w:rPr>
          <w:b/>
          <w:sz w:val="20"/>
        </w:rPr>
      </w:pPr>
      <w:r w:rsidRPr="00F22588">
        <w:rPr>
          <w:b/>
          <w:sz w:val="20"/>
        </w:rPr>
        <w:t>Generalidades</w:t>
      </w:r>
    </w:p>
    <w:p w:rsidR="00CF11D1" w:rsidRPr="00F22588" w:rsidRDefault="00CF11D1" w:rsidP="00CF11D1">
      <w:pPr>
        <w:widowControl w:val="0"/>
        <w:rPr>
          <w:b/>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Como referencia de los indicadores de rendimiento en lo que respecta al resultado previsto “Mejora de la productividad y de la calidad de los servicios en las operaciones del Sistema del PCT”, es necesario considerar la evolución de los siguientes factores:</w:t>
      </w:r>
    </w:p>
    <w:p w:rsidR="00CF11D1" w:rsidRPr="00F22588" w:rsidRDefault="00CF11D1" w:rsidP="00CF11D1">
      <w:pPr>
        <w:widowControl w:val="0"/>
        <w:rPr>
          <w:sz w:val="20"/>
        </w:rPr>
      </w:pPr>
    </w:p>
    <w:p w:rsidR="00CF11D1" w:rsidRPr="00F22588" w:rsidRDefault="00CF11D1" w:rsidP="00CF11D1">
      <w:pPr>
        <w:widowControl w:val="0"/>
        <w:numPr>
          <w:ilvl w:val="0"/>
          <w:numId w:val="20"/>
        </w:numPr>
        <w:tabs>
          <w:tab w:val="clear" w:pos="720"/>
          <w:tab w:val="num" w:pos="1100"/>
        </w:tabs>
        <w:spacing w:after="60"/>
        <w:ind w:left="1208" w:hanging="658"/>
        <w:rPr>
          <w:sz w:val="20"/>
        </w:rPr>
      </w:pPr>
      <w:r w:rsidRPr="00F22588">
        <w:rPr>
          <w:sz w:val="20"/>
        </w:rPr>
        <w:t>volúmenes de trabajo del PCT;</w:t>
      </w:r>
    </w:p>
    <w:p w:rsidR="00CF11D1" w:rsidRPr="00F22588" w:rsidRDefault="00CF11D1" w:rsidP="00CF11D1">
      <w:pPr>
        <w:widowControl w:val="0"/>
        <w:numPr>
          <w:ilvl w:val="0"/>
          <w:numId w:val="20"/>
        </w:numPr>
        <w:tabs>
          <w:tab w:val="clear" w:pos="720"/>
          <w:tab w:val="num" w:pos="1100"/>
        </w:tabs>
        <w:spacing w:after="60"/>
        <w:ind w:left="1208" w:hanging="658"/>
        <w:rPr>
          <w:sz w:val="20"/>
        </w:rPr>
      </w:pPr>
      <w:r w:rsidRPr="00F22588">
        <w:rPr>
          <w:sz w:val="20"/>
        </w:rPr>
        <w:t>distribución de idiomas con respecto al volumen de trabajo;</w:t>
      </w:r>
    </w:p>
    <w:p w:rsidR="00CF11D1" w:rsidRPr="00F22588" w:rsidRDefault="00CF11D1" w:rsidP="00CF11D1">
      <w:pPr>
        <w:widowControl w:val="0"/>
        <w:numPr>
          <w:ilvl w:val="0"/>
          <w:numId w:val="20"/>
        </w:numPr>
        <w:tabs>
          <w:tab w:val="clear" w:pos="720"/>
          <w:tab w:val="num" w:pos="1100"/>
        </w:tabs>
        <w:spacing w:after="60"/>
        <w:ind w:left="1208" w:hanging="658"/>
        <w:rPr>
          <w:sz w:val="20"/>
        </w:rPr>
      </w:pPr>
      <w:r w:rsidRPr="00F22588">
        <w:rPr>
          <w:sz w:val="20"/>
        </w:rPr>
        <w:t>personal asignado para gestionar el volumen de trabajo;  y</w:t>
      </w:r>
    </w:p>
    <w:p w:rsidR="00CF11D1" w:rsidRPr="00F22588" w:rsidRDefault="00CF11D1" w:rsidP="00CF11D1">
      <w:pPr>
        <w:widowControl w:val="0"/>
        <w:numPr>
          <w:ilvl w:val="0"/>
          <w:numId w:val="20"/>
        </w:numPr>
        <w:tabs>
          <w:tab w:val="clear" w:pos="720"/>
          <w:tab w:val="num" w:pos="1100"/>
        </w:tabs>
        <w:ind w:left="1210" w:hanging="660"/>
        <w:rPr>
          <w:sz w:val="20"/>
        </w:rPr>
      </w:pPr>
      <w:r w:rsidRPr="00F22588">
        <w:rPr>
          <w:sz w:val="20"/>
        </w:rPr>
        <w:t>nivel de automatización.</w:t>
      </w:r>
    </w:p>
    <w:p w:rsidR="00CF11D1" w:rsidRPr="00F22588" w:rsidRDefault="00CF11D1" w:rsidP="00CF11D1">
      <w:pPr>
        <w:widowControl w:val="0"/>
        <w:tabs>
          <w:tab w:val="num" w:pos="1100"/>
        </w:tabs>
        <w:rPr>
          <w:sz w:val="20"/>
        </w:rPr>
      </w:pPr>
    </w:p>
    <w:p w:rsidR="00CF11D1" w:rsidRPr="00F22588" w:rsidRDefault="00CF11D1" w:rsidP="00CF11D1">
      <w:pPr>
        <w:widowControl w:val="0"/>
        <w:rPr>
          <w:i/>
          <w:sz w:val="20"/>
        </w:rPr>
      </w:pPr>
      <w:r w:rsidRPr="00F22588">
        <w:rPr>
          <w:i/>
          <w:sz w:val="20"/>
        </w:rPr>
        <w:t>Volúmenes de trabajo</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La evolución de los volúmenes de trabajo se analiza a partir del número de ejemplares originales que la Oficina Internacional</w:t>
      </w:r>
      <w:r w:rsidRPr="00F22588">
        <w:rPr>
          <w:rStyle w:val="FootnoteReference"/>
          <w:sz w:val="20"/>
        </w:rPr>
        <w:footnoteReference w:id="21"/>
      </w:r>
      <w:r w:rsidRPr="00F22588">
        <w:rPr>
          <w:sz w:val="20"/>
        </w:rPr>
        <w:t xml:space="preserve"> recibe anualmente.</w:t>
      </w:r>
    </w:p>
    <w:p w:rsidR="00CF11D1" w:rsidRPr="00F22588" w:rsidRDefault="00CF11D1" w:rsidP="00CF11D1">
      <w:pPr>
        <w:widowControl w:val="0"/>
        <w:rPr>
          <w:b/>
          <w:bCs/>
          <w:sz w:val="20"/>
        </w:rPr>
      </w:pPr>
    </w:p>
    <w:p w:rsidR="00CF11D1" w:rsidRPr="00F22588" w:rsidRDefault="00CF11D1" w:rsidP="00CF11D1">
      <w:pPr>
        <w:widowControl w:val="0"/>
        <w:jc w:val="center"/>
        <w:rPr>
          <w:b/>
          <w:bCs/>
          <w:sz w:val="18"/>
          <w:szCs w:val="18"/>
        </w:rPr>
      </w:pPr>
      <w:r w:rsidRPr="00F22588">
        <w:rPr>
          <w:b/>
          <w:bCs/>
          <w:sz w:val="18"/>
          <w:szCs w:val="18"/>
        </w:rPr>
        <w:t>Evolución del número de ejemplares originales por medio de presentación</w:t>
      </w:r>
    </w:p>
    <w:p w:rsidR="00CF11D1" w:rsidRPr="00F22588" w:rsidRDefault="00CF11D1" w:rsidP="00CF11D1">
      <w:pPr>
        <w:widowControl w:val="0"/>
        <w:jc w:val="center"/>
        <w:rPr>
          <w:b/>
          <w:bCs/>
          <w:sz w:val="18"/>
          <w:szCs w:val="18"/>
        </w:rPr>
      </w:pPr>
      <w:r w:rsidRPr="00C12A7E">
        <w:rPr>
          <w:noProof/>
          <w:lang w:val="en-US" w:eastAsia="en-US"/>
        </w:rPr>
        <w:drawing>
          <wp:inline distT="0" distB="0" distL="0" distR="0" wp14:anchorId="4044B105" wp14:editId="2647E229">
            <wp:extent cx="5940425" cy="238648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0425" cy="2386480"/>
                    </a:xfrm>
                    <a:prstGeom prst="rect">
                      <a:avLst/>
                    </a:prstGeom>
                    <a:noFill/>
                    <a:ln>
                      <a:noFill/>
                    </a:ln>
                  </pic:spPr>
                </pic:pic>
              </a:graphicData>
            </a:graphic>
          </wp:inline>
        </w:drawing>
      </w:r>
    </w:p>
    <w:p w:rsidR="00CF11D1" w:rsidRPr="00F22588" w:rsidRDefault="00CF11D1" w:rsidP="00CF11D1">
      <w:pPr>
        <w:widowControl w:val="0"/>
        <w:jc w:val="center"/>
        <w:rPr>
          <w:b/>
          <w:bCs/>
          <w:sz w:val="18"/>
          <w:szCs w:val="18"/>
        </w:rPr>
      </w:pPr>
    </w:p>
    <w:p w:rsidR="00CF11D1" w:rsidRPr="00F22588" w:rsidRDefault="00CF11D1" w:rsidP="00CF11D1">
      <w:pPr>
        <w:pStyle w:val="BodyText2"/>
        <w:widowControl w:val="0"/>
        <w:numPr>
          <w:ilvl w:val="0"/>
          <w:numId w:val="22"/>
        </w:numPr>
        <w:tabs>
          <w:tab w:val="clear" w:pos="720"/>
          <w:tab w:val="num" w:pos="1134"/>
        </w:tabs>
        <w:spacing w:after="60" w:line="240" w:lineRule="auto"/>
        <w:ind w:left="1134" w:hanging="567"/>
        <w:jc w:val="both"/>
        <w:rPr>
          <w:rFonts w:cs="Arial"/>
          <w:szCs w:val="20"/>
          <w:lang w:val="es-ES"/>
        </w:rPr>
      </w:pPr>
      <w:r w:rsidRPr="00F22588">
        <w:rPr>
          <w:rFonts w:cs="Arial"/>
          <w:szCs w:val="20"/>
          <w:highlight w:val="white"/>
          <w:lang w:val="es-ES"/>
        </w:rPr>
        <w:t>La Oficina Internacional recibió aproximadamente</w:t>
      </w:r>
      <w:r w:rsidRPr="00F22588">
        <w:rPr>
          <w:rFonts w:cs="Arial"/>
          <w:szCs w:val="20"/>
          <w:lang w:val="es-ES"/>
        </w:rPr>
        <w:t xml:space="preserve"> 217.000 ejemplares originales</w:t>
      </w:r>
      <w:r w:rsidRPr="00F22588">
        <w:rPr>
          <w:rFonts w:cs="Arial"/>
          <w:szCs w:val="20"/>
          <w:highlight w:val="white"/>
          <w:lang w:val="es-ES"/>
        </w:rPr>
        <w:t xml:space="preserve"> en</w:t>
      </w:r>
      <w:r w:rsidRPr="00F22588">
        <w:rPr>
          <w:rFonts w:cs="Arial"/>
          <w:szCs w:val="20"/>
          <w:lang w:val="es-ES"/>
        </w:rPr>
        <w:t xml:space="preserve"> 2015, </w:t>
      </w:r>
      <w:r w:rsidRPr="00F22588">
        <w:rPr>
          <w:rFonts w:cs="Arial"/>
          <w:szCs w:val="20"/>
          <w:highlight w:val="white"/>
          <w:lang w:val="es-ES"/>
        </w:rPr>
        <w:t>lo que representa una pequeña disminución del</w:t>
      </w:r>
      <w:r w:rsidRPr="00F22588">
        <w:rPr>
          <w:rFonts w:cs="Arial"/>
          <w:szCs w:val="20"/>
          <w:lang w:val="es-ES"/>
        </w:rPr>
        <w:t> </w:t>
      </w:r>
      <w:r w:rsidRPr="00F22588">
        <w:rPr>
          <w:rFonts w:cs="Arial"/>
          <w:szCs w:val="20"/>
          <w:highlight w:val="white"/>
          <w:lang w:val="es-ES"/>
        </w:rPr>
        <w:t>0,3%</w:t>
      </w:r>
      <w:r w:rsidRPr="00F22588">
        <w:rPr>
          <w:rFonts w:cs="Arial"/>
          <w:szCs w:val="20"/>
          <w:lang w:val="es-ES"/>
        </w:rPr>
        <w:t xml:space="preserve"> con respecto a 2014.  Una de las razones principales de esta disminución es el repunte de las solicitudes procedentes de los Estados Unidos de América en marzo de 2014, </w:t>
      </w:r>
      <w:r w:rsidRPr="00F22588">
        <w:rPr>
          <w:rFonts w:cs="Arial"/>
          <w:lang w:val="es-ES"/>
        </w:rPr>
        <w:t>debido a que un año antes había entrado en vigor la Ley Leahy-Smith America Invents.  Aun así, el total de ejemplares originales recibidas durante el bienio 2014/15 aumentó un 9% en comparación con el bienio 2012/13.</w:t>
      </w:r>
    </w:p>
    <w:p w:rsidR="00CF11D1" w:rsidRPr="00F22588" w:rsidRDefault="00CF11D1" w:rsidP="00CF11D1">
      <w:pPr>
        <w:pStyle w:val="BodyText2"/>
        <w:widowControl w:val="0"/>
        <w:numPr>
          <w:ilvl w:val="0"/>
          <w:numId w:val="22"/>
        </w:numPr>
        <w:tabs>
          <w:tab w:val="clear" w:pos="720"/>
          <w:tab w:val="num" w:pos="1134"/>
        </w:tabs>
        <w:spacing w:after="60" w:line="240" w:lineRule="auto"/>
        <w:ind w:left="1134" w:hanging="567"/>
        <w:jc w:val="both"/>
        <w:rPr>
          <w:rFonts w:cs="Arial"/>
          <w:szCs w:val="20"/>
          <w:lang w:val="es-ES"/>
        </w:rPr>
      </w:pPr>
      <w:r w:rsidRPr="00F22588">
        <w:rPr>
          <w:rFonts w:cs="Arial"/>
          <w:szCs w:val="20"/>
          <w:lang w:val="es-ES"/>
        </w:rPr>
        <w:t>En 2015 siguió aumentando el porcentaje de solicitudes presentadas enteramente por medios electrónicos, que actualmente constituye el 94% de todas las solicitudes que se presentan.</w:t>
      </w:r>
    </w:p>
    <w:p w:rsidR="00CF11D1" w:rsidRPr="00F22588" w:rsidRDefault="00CF11D1" w:rsidP="00CF11D1">
      <w:pPr>
        <w:pStyle w:val="BodyText2"/>
        <w:keepNext/>
        <w:keepLines/>
        <w:widowControl w:val="0"/>
        <w:spacing w:after="0" w:line="240" w:lineRule="auto"/>
        <w:rPr>
          <w:rFonts w:cs="Arial"/>
          <w:i/>
          <w:szCs w:val="20"/>
          <w:lang w:val="es-ES"/>
        </w:rPr>
      </w:pPr>
      <w:r w:rsidRPr="00F22588">
        <w:rPr>
          <w:rFonts w:cs="Arial"/>
          <w:i/>
          <w:szCs w:val="20"/>
          <w:lang w:val="es-ES"/>
        </w:rPr>
        <w:lastRenderedPageBreak/>
        <w:t>Distribución de idiomas</w:t>
      </w:r>
    </w:p>
    <w:p w:rsidR="00CF11D1" w:rsidRPr="00F22588" w:rsidRDefault="00CF11D1" w:rsidP="00CF11D1">
      <w:pPr>
        <w:pStyle w:val="BodyText2"/>
        <w:keepNext/>
        <w:keepLines/>
        <w:widowControl w:val="0"/>
        <w:spacing w:after="0" w:line="240" w:lineRule="auto"/>
        <w:rPr>
          <w:rFonts w:cs="Arial"/>
          <w:szCs w:val="20"/>
          <w:lang w:val="es-ES"/>
        </w:rPr>
      </w:pPr>
    </w:p>
    <w:p w:rsidR="00CF11D1" w:rsidRPr="00F22588" w:rsidRDefault="00CF11D1" w:rsidP="00CF11D1">
      <w:pPr>
        <w:keepNext/>
        <w:keepLines/>
        <w:widowControl w:val="0"/>
        <w:numPr>
          <w:ilvl w:val="0"/>
          <w:numId w:val="21"/>
        </w:numPr>
        <w:tabs>
          <w:tab w:val="clear" w:pos="709"/>
          <w:tab w:val="num" w:pos="567"/>
        </w:tabs>
        <w:ind w:left="0"/>
        <w:jc w:val="both"/>
        <w:rPr>
          <w:sz w:val="20"/>
        </w:rPr>
      </w:pPr>
      <w:r w:rsidRPr="00F22588">
        <w:rPr>
          <w:sz w:val="20"/>
        </w:rPr>
        <w:t>Uno de los factores fundamentales del cambio en el funcionamiento de la Oficina Internacional es la creciente diversidad lingüística de las solicitudes presentadas, que es consecuencia, principalmente, del aumento continuo en el uso del Sistema del PCT en los países de Asia oriental.</w:t>
      </w:r>
    </w:p>
    <w:p w:rsidR="00CF11D1" w:rsidRPr="00F22588" w:rsidRDefault="00CF11D1" w:rsidP="00CF11D1">
      <w:pPr>
        <w:keepNext/>
        <w:keepLines/>
        <w:widowControl w:val="0"/>
        <w:jc w:val="both"/>
        <w:rPr>
          <w:sz w:val="20"/>
          <w:highlight w:val="yellow"/>
        </w:rPr>
      </w:pPr>
    </w:p>
    <w:p w:rsidR="00CF11D1" w:rsidRPr="00F22588" w:rsidRDefault="00CF11D1" w:rsidP="00CF11D1">
      <w:pPr>
        <w:widowControl w:val="0"/>
        <w:spacing w:after="120"/>
        <w:jc w:val="center"/>
        <w:rPr>
          <w:i/>
          <w:sz w:val="20"/>
        </w:rPr>
      </w:pPr>
      <w:r w:rsidRPr="00F22588">
        <w:rPr>
          <w:b/>
          <w:bCs/>
          <w:sz w:val="20"/>
          <w:highlight w:val="white"/>
        </w:rPr>
        <w:t>Idiomas de presentación</w:t>
      </w:r>
      <w:r w:rsidRPr="00F22588">
        <w:rPr>
          <w:sz w:val="20"/>
        </w:rPr>
        <w:t xml:space="preserve"> </w:t>
      </w:r>
      <w:r w:rsidRPr="00F22588">
        <w:rPr>
          <w:i/>
          <w:sz w:val="20"/>
        </w:rPr>
        <w:t>(todos)</w:t>
      </w:r>
    </w:p>
    <w:p w:rsidR="00CF11D1" w:rsidRPr="00F22588" w:rsidRDefault="00CF11D1" w:rsidP="00CF11D1">
      <w:pPr>
        <w:widowControl w:val="0"/>
        <w:spacing w:after="120"/>
        <w:jc w:val="center"/>
        <w:rPr>
          <w:i/>
          <w:sz w:val="18"/>
          <w:szCs w:val="18"/>
        </w:rPr>
      </w:pPr>
      <w:r w:rsidRPr="00C12A7E">
        <w:rPr>
          <w:noProof/>
          <w:lang w:val="en-US" w:eastAsia="en-US"/>
        </w:rPr>
        <w:drawing>
          <wp:inline distT="0" distB="0" distL="0" distR="0" wp14:anchorId="2EBC1477" wp14:editId="0069DD58">
            <wp:extent cx="5940425" cy="2928217"/>
            <wp:effectExtent l="0" t="0" r="317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928217"/>
                    </a:xfrm>
                    <a:prstGeom prst="rect">
                      <a:avLst/>
                    </a:prstGeom>
                    <a:noFill/>
                    <a:ln>
                      <a:noFill/>
                    </a:ln>
                  </pic:spPr>
                </pic:pic>
              </a:graphicData>
            </a:graphic>
          </wp:inline>
        </w:drawing>
      </w: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Como puede observarse en el gráfico</w:t>
      </w:r>
      <w:r w:rsidRPr="00F22588">
        <w:rPr>
          <w:sz w:val="20"/>
          <w:highlight w:val="white"/>
        </w:rPr>
        <w:t>, si bien en</w:t>
      </w:r>
      <w:r w:rsidRPr="00F22588">
        <w:rPr>
          <w:sz w:val="20"/>
        </w:rPr>
        <w:t xml:space="preserve"> 2015 </w:t>
      </w:r>
      <w:r w:rsidRPr="00F22588">
        <w:rPr>
          <w:sz w:val="20"/>
          <w:highlight w:val="white"/>
        </w:rPr>
        <w:t xml:space="preserve">el porcentaje más alto de solicitudes corresponde a las que se presentaron en inglés, a saber, el </w:t>
      </w:r>
      <w:r w:rsidRPr="00F22588">
        <w:rPr>
          <w:sz w:val="20"/>
        </w:rPr>
        <w:t xml:space="preserve">48,6%, en el último decenio aumentó la proporción de idiomas asiáticos.  El porcentaje combinado de solicitudes PCT presentadas en chino, coreano y japonés aumentó, pasando del </w:t>
      </w:r>
      <w:r w:rsidRPr="00F22588">
        <w:rPr>
          <w:sz w:val="20"/>
          <w:highlight w:val="white"/>
        </w:rPr>
        <w:t>29,5%</w:t>
      </w:r>
      <w:r w:rsidRPr="00F22588">
        <w:rPr>
          <w:sz w:val="20"/>
        </w:rPr>
        <w:t xml:space="preserve"> e</w:t>
      </w:r>
      <w:r w:rsidRPr="00F22588">
        <w:rPr>
          <w:sz w:val="20"/>
          <w:highlight w:val="white"/>
        </w:rPr>
        <w:t>n 2009 al</w:t>
      </w:r>
      <w:r w:rsidRPr="00F22588">
        <w:rPr>
          <w:sz w:val="20"/>
        </w:rPr>
        <w:t xml:space="preserve"> 37,6%</w:t>
      </w:r>
      <w:r w:rsidRPr="00F22588">
        <w:rPr>
          <w:sz w:val="20"/>
          <w:highlight w:val="white"/>
        </w:rPr>
        <w:t xml:space="preserve"> en 201</w:t>
      </w:r>
      <w:r w:rsidRPr="00F22588">
        <w:rPr>
          <w:sz w:val="20"/>
        </w:rPr>
        <w:t>5.  En el siguiente gráfico se presenta la evolución de idiomas distintos al inglés en la presentación de solicitudes:</w:t>
      </w:r>
    </w:p>
    <w:p w:rsidR="00CF11D1" w:rsidRPr="00F22588" w:rsidRDefault="00CF11D1" w:rsidP="00CF11D1">
      <w:pPr>
        <w:widowControl w:val="0"/>
        <w:spacing w:after="120"/>
        <w:rPr>
          <w:sz w:val="20"/>
        </w:rPr>
      </w:pPr>
    </w:p>
    <w:p w:rsidR="00CF11D1" w:rsidRPr="00F22588" w:rsidRDefault="00CF11D1" w:rsidP="00CF11D1">
      <w:pPr>
        <w:widowControl w:val="0"/>
        <w:spacing w:after="120"/>
        <w:jc w:val="center"/>
        <w:rPr>
          <w:sz w:val="20"/>
        </w:rPr>
      </w:pPr>
      <w:r w:rsidRPr="00F22588">
        <w:rPr>
          <w:b/>
          <w:bCs/>
          <w:sz w:val="20"/>
          <w:highlight w:val="white"/>
        </w:rPr>
        <w:t>Idiomas de presentación</w:t>
      </w:r>
      <w:r w:rsidRPr="00F22588">
        <w:rPr>
          <w:b/>
          <w:bCs/>
          <w:sz w:val="20"/>
        </w:rPr>
        <w:t xml:space="preserve"> </w:t>
      </w:r>
      <w:r w:rsidRPr="00F22588">
        <w:rPr>
          <w:sz w:val="20"/>
        </w:rPr>
        <w:t>(</w:t>
      </w:r>
      <w:r w:rsidRPr="00F22588">
        <w:rPr>
          <w:i/>
          <w:sz w:val="20"/>
        </w:rPr>
        <w:t>todos excepto el inglés</w:t>
      </w:r>
      <w:r w:rsidRPr="00F22588">
        <w:rPr>
          <w:sz w:val="20"/>
        </w:rPr>
        <w:t>)</w:t>
      </w:r>
    </w:p>
    <w:p w:rsidR="00CF11D1" w:rsidRPr="00F22588" w:rsidRDefault="00CF11D1" w:rsidP="00CF11D1">
      <w:pPr>
        <w:widowControl w:val="0"/>
        <w:spacing w:after="120"/>
        <w:jc w:val="center"/>
        <w:rPr>
          <w:sz w:val="20"/>
        </w:rPr>
      </w:pPr>
      <w:r w:rsidRPr="00857060">
        <w:rPr>
          <w:noProof/>
          <w:lang w:val="en-US" w:eastAsia="en-US"/>
        </w:rPr>
        <w:drawing>
          <wp:inline distT="0" distB="0" distL="0" distR="0" wp14:anchorId="785D30B6" wp14:editId="2A22BBB8">
            <wp:extent cx="5940425" cy="3174463"/>
            <wp:effectExtent l="0" t="0" r="317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3174463"/>
                    </a:xfrm>
                    <a:prstGeom prst="rect">
                      <a:avLst/>
                    </a:prstGeom>
                    <a:noFill/>
                    <a:ln>
                      <a:noFill/>
                    </a:ln>
                  </pic:spPr>
                </pic:pic>
              </a:graphicData>
            </a:graphic>
          </wp:inline>
        </w:drawing>
      </w:r>
    </w:p>
    <w:p w:rsidR="00CF11D1" w:rsidRPr="00F22588" w:rsidRDefault="00CF11D1" w:rsidP="00CF11D1">
      <w:pPr>
        <w:keepNext/>
        <w:keepLines/>
        <w:widowControl w:val="0"/>
        <w:numPr>
          <w:ilvl w:val="0"/>
          <w:numId w:val="21"/>
        </w:numPr>
        <w:tabs>
          <w:tab w:val="clear" w:pos="709"/>
          <w:tab w:val="num" w:pos="567"/>
        </w:tabs>
        <w:ind w:left="0"/>
        <w:jc w:val="both"/>
        <w:rPr>
          <w:sz w:val="20"/>
        </w:rPr>
      </w:pPr>
      <w:r w:rsidRPr="00F22588">
        <w:rPr>
          <w:sz w:val="20"/>
          <w:highlight w:val="white"/>
        </w:rPr>
        <w:lastRenderedPageBreak/>
        <w:t xml:space="preserve">El marcado aumento de las solicitudes presentadas en idiomas asiáticos en los últimos cinco años ha supuesto </w:t>
      </w:r>
      <w:r w:rsidRPr="00F22588">
        <w:rPr>
          <w:sz w:val="20"/>
        </w:rPr>
        <w:t>una carga de trabajo considerable para la Oficina Internacional</w:t>
      </w:r>
      <w:r w:rsidRPr="00F22588">
        <w:rPr>
          <w:sz w:val="20"/>
          <w:highlight w:val="white"/>
        </w:rPr>
        <w:t xml:space="preserve"> debido al número limitado de recursos de personal disponibles para trabajar en esos idiomas</w:t>
      </w:r>
      <w:r w:rsidRPr="00F22588">
        <w:rPr>
          <w:sz w:val="20"/>
        </w:rPr>
        <w:t>.  La solución a ese problema está dada por la automatización de determinadas tareas y la contratación de personal que pueda trabajar en dichos idiomas.</w:t>
      </w:r>
    </w:p>
    <w:p w:rsidR="00CF11D1" w:rsidRPr="00F22588" w:rsidRDefault="00CF11D1" w:rsidP="00CF11D1">
      <w:pPr>
        <w:widowControl w:val="0"/>
        <w:spacing w:after="120"/>
        <w:rPr>
          <w:i/>
          <w:sz w:val="20"/>
        </w:rPr>
      </w:pPr>
    </w:p>
    <w:p w:rsidR="00CF11D1" w:rsidRPr="00F22588" w:rsidRDefault="00CF11D1" w:rsidP="00CF11D1">
      <w:pPr>
        <w:widowControl w:val="0"/>
        <w:spacing w:after="120"/>
        <w:rPr>
          <w:i/>
          <w:sz w:val="20"/>
        </w:rPr>
      </w:pPr>
      <w:r w:rsidRPr="00F22588">
        <w:rPr>
          <w:i/>
          <w:sz w:val="20"/>
        </w:rPr>
        <w:t>Personal</w:t>
      </w:r>
    </w:p>
    <w:p w:rsidR="00CF11D1" w:rsidRDefault="00CF11D1" w:rsidP="00CF11D1">
      <w:pPr>
        <w:widowControl w:val="0"/>
        <w:numPr>
          <w:ilvl w:val="0"/>
          <w:numId w:val="21"/>
        </w:numPr>
        <w:tabs>
          <w:tab w:val="clear" w:pos="709"/>
          <w:tab w:val="num" w:pos="567"/>
        </w:tabs>
        <w:ind w:left="0"/>
        <w:jc w:val="both"/>
        <w:rPr>
          <w:sz w:val="20"/>
        </w:rPr>
      </w:pPr>
      <w:r w:rsidRPr="00F22588">
        <w:rPr>
          <w:sz w:val="20"/>
        </w:rPr>
        <w:t>El siguiente gráfico muestra el número de miembros del personal encargados de las operaciones del PCT desde 2001, expresado en equivalente de puestos a jornada completa (número de miembros del personal a jornada completa más el equivalente de puestos a jornada completa de miembros del personal a jornada parcial).</w:t>
      </w:r>
    </w:p>
    <w:p w:rsidR="00CF11D1" w:rsidRDefault="00CF11D1" w:rsidP="00CF11D1">
      <w:pPr>
        <w:widowControl w:val="0"/>
        <w:jc w:val="both"/>
        <w:rPr>
          <w:sz w:val="20"/>
        </w:rPr>
      </w:pPr>
    </w:p>
    <w:p w:rsidR="00CF11D1" w:rsidRPr="00F22588" w:rsidRDefault="00CF11D1" w:rsidP="00CF11D1">
      <w:pPr>
        <w:widowControl w:val="0"/>
        <w:spacing w:after="120"/>
        <w:jc w:val="center"/>
        <w:rPr>
          <w:sz w:val="20"/>
        </w:rPr>
      </w:pPr>
      <w:r>
        <w:rPr>
          <w:b/>
          <w:bCs/>
          <w:sz w:val="20"/>
        </w:rPr>
        <w:t>Número de miembros del personal del PCT</w:t>
      </w:r>
    </w:p>
    <w:p w:rsidR="00CF11D1" w:rsidRDefault="00CF11D1" w:rsidP="00CF11D1">
      <w:pPr>
        <w:widowControl w:val="0"/>
        <w:jc w:val="both"/>
        <w:rPr>
          <w:sz w:val="20"/>
        </w:rPr>
      </w:pPr>
    </w:p>
    <w:p w:rsidR="00CF11D1" w:rsidRPr="00F22588" w:rsidRDefault="00CF11D1" w:rsidP="00CF11D1">
      <w:pPr>
        <w:widowControl w:val="0"/>
        <w:jc w:val="center"/>
        <w:rPr>
          <w:sz w:val="20"/>
        </w:rPr>
      </w:pPr>
      <w:r w:rsidRPr="00275971">
        <w:rPr>
          <w:noProof/>
          <w:lang w:val="en-US" w:eastAsia="en-US"/>
        </w:rPr>
        <w:drawing>
          <wp:inline distT="0" distB="0" distL="0" distR="0" wp14:anchorId="11883E77" wp14:editId="32D10CAF">
            <wp:extent cx="5624502" cy="384735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24912" cy="3847639"/>
                    </a:xfrm>
                    <a:prstGeom prst="rect">
                      <a:avLst/>
                    </a:prstGeom>
                    <a:noFill/>
                    <a:ln>
                      <a:noFill/>
                    </a:ln>
                  </pic:spPr>
                </pic:pic>
              </a:graphicData>
            </a:graphic>
          </wp:inline>
        </w:drawing>
      </w:r>
    </w:p>
    <w:p w:rsidR="00CF11D1" w:rsidRPr="00F22588" w:rsidRDefault="00CF11D1" w:rsidP="00CF11D1">
      <w:pPr>
        <w:widowControl w:val="0"/>
        <w:numPr>
          <w:ilvl w:val="0"/>
          <w:numId w:val="19"/>
        </w:numPr>
        <w:tabs>
          <w:tab w:val="num" w:pos="1100"/>
        </w:tabs>
        <w:ind w:left="1100" w:hanging="550"/>
        <w:rPr>
          <w:sz w:val="20"/>
        </w:rPr>
      </w:pPr>
      <w:r w:rsidRPr="00F22588">
        <w:rPr>
          <w:sz w:val="20"/>
          <w:highlight w:val="white"/>
        </w:rPr>
        <w:t>El número de miembros del personal de la División de Operaciones del PCT siguió disminuyendo en 201</w:t>
      </w:r>
      <w:r w:rsidRPr="00F22588">
        <w:rPr>
          <w:sz w:val="20"/>
        </w:rPr>
        <w:t>5.</w:t>
      </w:r>
    </w:p>
    <w:p w:rsidR="00CF11D1" w:rsidRPr="00F22588" w:rsidRDefault="00CF11D1" w:rsidP="00CF11D1">
      <w:pPr>
        <w:widowControl w:val="0"/>
        <w:spacing w:after="120"/>
        <w:rPr>
          <w:sz w:val="20"/>
          <w:u w:val="single"/>
        </w:rPr>
      </w:pPr>
    </w:p>
    <w:p w:rsidR="00CF11D1" w:rsidRPr="00F22588" w:rsidRDefault="00CF11D1" w:rsidP="00CF11D1">
      <w:pPr>
        <w:widowControl w:val="0"/>
        <w:rPr>
          <w:i/>
          <w:sz w:val="20"/>
        </w:rPr>
      </w:pPr>
      <w:r w:rsidRPr="00F22588">
        <w:rPr>
          <w:i/>
          <w:sz w:val="20"/>
        </w:rPr>
        <w:t>Costo unitario de tramitación de las solicitudes</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La eficacia de la Oficina Internacional en cuanto a la tramitación de las solicitudes PCT puede medirse por el costo unitario, que se define como el costo medio de producción de una unidad de producto.  El costo total de la producción comprende el gasto relacionado exclusivamente con el Sistema del PCT y el gasto en concepto de actividades de apoyo al Sistema.</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En el gasto relacionado exclusivamente con el Sistema del PCT se incluyen los gastos del programa 5 (Sistema del PCT).</w:t>
      </w:r>
    </w:p>
    <w:p w:rsidR="00CF11D1" w:rsidRPr="00F22588" w:rsidRDefault="00CF11D1" w:rsidP="00CF11D1">
      <w:pPr>
        <w:pStyle w:val="ListParagraph"/>
        <w:ind w:left="0"/>
        <w:rPr>
          <w:lang w:val="es-ES"/>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El gasto en concepto de actividades de apoyo al Sistema comprende los gastos derivados de las actividades siguientes</w:t>
      </w:r>
      <w:proofErr w:type="gramStart"/>
      <w:r w:rsidRPr="00F22588">
        <w:rPr>
          <w:sz w:val="20"/>
        </w:rPr>
        <w:t>:  servicio</w:t>
      </w:r>
      <w:proofErr w:type="gramEnd"/>
      <w:r w:rsidRPr="00F22588">
        <w:rPr>
          <w:sz w:val="20"/>
        </w:rPr>
        <w:t xml:space="preserve"> de conferencias y lingüísticos, construcción, gestión ejecutiva, finanzas y presupuesto, servicios generales de apoyo, gestión de los recursos humanos, supervisión interna, T.I. y seguridad y vigilancia.  Una pequeña parte de estos gastos (el costo del alojamiento del servidor en el </w:t>
      </w:r>
      <w:r w:rsidRPr="00F22588">
        <w:rPr>
          <w:rStyle w:val="preferred"/>
          <w:sz w:val="20"/>
        </w:rPr>
        <w:t xml:space="preserve">Centro Internacional de Cálculo de las Naciones Unidas, el costo estimado de la fuente auténtica de publicación de las solicitudes PCT (PATENTSCOPE) </w:t>
      </w:r>
      <w:r w:rsidRPr="00F22588">
        <w:rPr>
          <w:sz w:val="20"/>
        </w:rPr>
        <w:t xml:space="preserve">y el porcentaje del costo de la Sección de Ingresos </w:t>
      </w:r>
      <w:r w:rsidRPr="00F22588">
        <w:rPr>
          <w:sz w:val="20"/>
        </w:rPr>
        <w:lastRenderedPageBreak/>
        <w:t xml:space="preserve">dentro del Departamento de Finanzas) </w:t>
      </w:r>
      <w:r w:rsidRPr="00F22588">
        <w:rPr>
          <w:noProof/>
          <w:sz w:val="20"/>
          <w:lang w:eastAsia="es-ES"/>
        </w:rPr>
        <w:t>se atribuyen directamente al Sistema del PCT, pero el resto de gastos que se pueden atribuir al Sistema se calculan en función de la dotación de personal (incluyendo el personal de plazo fijo, el personal temporal y los becarios).</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 xml:space="preserve">El método para calcular el costo unitario fue revisado en 2013 para ponerlo en sintonía con los cálculos de costos relativos a otras unidades/uniones de la OMPI y para tener mejor en cuenta un entorno en rápida evolución.  </w:t>
      </w:r>
      <w:r w:rsidRPr="00F22588">
        <w:rPr>
          <w:sz w:val="20"/>
          <w:highlight w:val="white"/>
        </w:rPr>
        <w:t xml:space="preserve">Por ejemplo, </w:t>
      </w:r>
      <w:r w:rsidRPr="00F22588">
        <w:rPr>
          <w:sz w:val="20"/>
        </w:rPr>
        <w:t>conforme al método antiguo, concebido en 2007, se tenía en cuenta un costo de almacenamiento (por más de 30 años) en depósitos;  sin embargo, la presentación en papel (incluidas las presentaciones de solicitudes mediante el sistema PCT EASY) representó menos del 10% de las solicitudes presentadas en 2013.  El costo unitario de 2012 fue calculado con arreglo a ambos métodos.  Dicho costo fue de 680 francos suizos conforme al método antiguo y de 712 francos suizos conforme al nuevo método.  La diferencia de 32 francos suizos se debe al nuevo método de atribución de los costos indirectos.</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rPr>
          <w:sz w:val="20"/>
        </w:rPr>
      </w:pPr>
      <w:r w:rsidRPr="00F22588">
        <w:rPr>
          <w:sz w:val="20"/>
        </w:rPr>
        <w:t>Formalmente, el costo unitario se define de la siguiente manera:</w:t>
      </w:r>
    </w:p>
    <w:p w:rsidR="00CF11D1" w:rsidRPr="00F22588" w:rsidRDefault="00CF11D1" w:rsidP="00CF11D1">
      <w:pPr>
        <w:widowControl w:val="0"/>
      </w:pPr>
    </w:p>
    <w:p w:rsidR="00CF11D1" w:rsidRPr="00F22588" w:rsidRDefault="00CF11D1" w:rsidP="00CF11D1">
      <w:pPr>
        <w:widowControl w:val="0"/>
        <w:jc w:val="center"/>
      </w:pPr>
      <w:r w:rsidRPr="00F22588">
        <w:rPr>
          <w:noProof/>
          <w:lang w:val="en-US" w:eastAsia="en-US"/>
        </w:rPr>
        <w:drawing>
          <wp:inline distT="0" distB="0" distL="0" distR="0" wp14:anchorId="18E06AEC" wp14:editId="74728EF0">
            <wp:extent cx="2484120" cy="344805"/>
            <wp:effectExtent l="0" t="0" r="0" b="0"/>
            <wp:docPr id="104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84120" cy="344805"/>
                    </a:xfrm>
                    <a:prstGeom prst="rect">
                      <a:avLst/>
                    </a:prstGeom>
                    <a:noFill/>
                    <a:ln>
                      <a:noFill/>
                    </a:ln>
                  </pic:spPr>
                </pic:pic>
              </a:graphicData>
            </a:graphic>
          </wp:inline>
        </w:drawing>
      </w:r>
    </w:p>
    <w:p w:rsidR="00CF11D1" w:rsidRPr="00F22588" w:rsidRDefault="00CF11D1" w:rsidP="00CF11D1">
      <w:pPr>
        <w:widowControl w:val="0"/>
        <w:rPr>
          <w:sz w:val="20"/>
          <w:highlight w:val="yellow"/>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En los gráficos que figuran a continuación se ilustra la evolución del costo unitario de tramitación desde 2004 hasta 2012, utilizando el método antiguo, y desde</w:t>
      </w:r>
      <w:r w:rsidRPr="00F22588">
        <w:rPr>
          <w:sz w:val="20"/>
          <w:highlight w:val="white"/>
        </w:rPr>
        <w:t xml:space="preserve"> 2012 hasta 2015 utilizando el nuevo método</w:t>
      </w:r>
      <w:r w:rsidRPr="00F22588">
        <w:rPr>
          <w:sz w:val="20"/>
        </w:rPr>
        <w:t>, incluido un desglose de la parte correspondiente a los costos directos e indirectos.</w:t>
      </w:r>
    </w:p>
    <w:p w:rsidR="00CF11D1" w:rsidRPr="00F22588" w:rsidRDefault="00CF11D1" w:rsidP="00CF11D1">
      <w:pPr>
        <w:widowControl w:val="0"/>
        <w:rPr>
          <w:sz w:val="20"/>
        </w:rPr>
      </w:pPr>
    </w:p>
    <w:p w:rsidR="00CF11D1" w:rsidRPr="00F22588" w:rsidRDefault="00CF11D1" w:rsidP="00CF11D1">
      <w:pPr>
        <w:widowControl w:val="0"/>
        <w:jc w:val="center"/>
        <w:rPr>
          <w:b/>
          <w:sz w:val="20"/>
        </w:rPr>
      </w:pPr>
      <w:r w:rsidRPr="00F22588">
        <w:rPr>
          <w:b/>
          <w:sz w:val="20"/>
        </w:rPr>
        <w:t>Costo de tramitación de una solicitud PCT publicada</w:t>
      </w:r>
    </w:p>
    <w:p w:rsidR="00CF11D1" w:rsidRPr="00F22588" w:rsidRDefault="00CF11D1" w:rsidP="00CF11D1">
      <w:pPr>
        <w:widowControl w:val="0"/>
        <w:jc w:val="center"/>
        <w:rPr>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5"/>
        <w:gridCol w:w="4516"/>
      </w:tblGrid>
      <w:tr w:rsidR="00CF11D1" w:rsidRPr="00F22588" w:rsidTr="00DC1333">
        <w:tc>
          <w:tcPr>
            <w:tcW w:w="4832" w:type="dxa"/>
            <w:shd w:val="clear" w:color="auto" w:fill="auto"/>
          </w:tcPr>
          <w:p w:rsidR="00CF11D1" w:rsidRPr="00F22588" w:rsidRDefault="00CF11D1" w:rsidP="00DC1333">
            <w:pPr>
              <w:widowControl w:val="0"/>
              <w:jc w:val="center"/>
              <w:rPr>
                <w:sz w:val="20"/>
                <w:highlight w:val="yellow"/>
              </w:rPr>
            </w:pPr>
            <w:r w:rsidRPr="00F22588">
              <w:rPr>
                <w:sz w:val="20"/>
              </w:rPr>
              <w:t>Método antiguo</w:t>
            </w:r>
          </w:p>
        </w:tc>
        <w:tc>
          <w:tcPr>
            <w:tcW w:w="4433" w:type="dxa"/>
            <w:shd w:val="clear" w:color="auto" w:fill="auto"/>
          </w:tcPr>
          <w:p w:rsidR="00CF11D1" w:rsidRPr="00F22588" w:rsidRDefault="00CF11D1" w:rsidP="00DC1333">
            <w:pPr>
              <w:widowControl w:val="0"/>
              <w:jc w:val="center"/>
              <w:rPr>
                <w:sz w:val="20"/>
              </w:rPr>
            </w:pPr>
            <w:r w:rsidRPr="00F22588">
              <w:rPr>
                <w:sz w:val="20"/>
              </w:rPr>
              <w:t>Método nuevo</w:t>
            </w:r>
          </w:p>
        </w:tc>
      </w:tr>
      <w:tr w:rsidR="00CF11D1" w:rsidRPr="00F22588" w:rsidTr="00DC1333">
        <w:tc>
          <w:tcPr>
            <w:tcW w:w="4832" w:type="dxa"/>
            <w:shd w:val="clear" w:color="auto" w:fill="auto"/>
          </w:tcPr>
          <w:p w:rsidR="00CF11D1" w:rsidRPr="00F22588" w:rsidRDefault="00CF11D1" w:rsidP="00DC1333">
            <w:pPr>
              <w:widowControl w:val="0"/>
            </w:pPr>
            <w:r>
              <w:rPr>
                <w:noProof/>
                <w:lang w:val="en-US" w:eastAsia="en-US"/>
              </w:rPr>
              <w:drawing>
                <wp:inline distT="0" distB="0" distL="0" distR="0" wp14:anchorId="69E277A9" wp14:editId="30156C95">
                  <wp:extent cx="3110899" cy="18343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1775" cy="1840720"/>
                          </a:xfrm>
                          <a:prstGeom prst="rect">
                            <a:avLst/>
                          </a:prstGeom>
                          <a:noFill/>
                          <a:ln>
                            <a:noFill/>
                          </a:ln>
                        </pic:spPr>
                      </pic:pic>
                    </a:graphicData>
                  </a:graphic>
                </wp:inline>
              </w:drawing>
            </w:r>
          </w:p>
        </w:tc>
        <w:tc>
          <w:tcPr>
            <w:tcW w:w="4433" w:type="dxa"/>
            <w:shd w:val="clear" w:color="auto" w:fill="auto"/>
          </w:tcPr>
          <w:p w:rsidR="00CF11D1" w:rsidRPr="00F22588" w:rsidRDefault="00CF11D1" w:rsidP="00DC1333">
            <w:pPr>
              <w:widowControl w:val="0"/>
            </w:pPr>
            <w:r>
              <w:rPr>
                <w:noProof/>
                <w:lang w:val="en-US" w:eastAsia="en-US"/>
              </w:rPr>
              <w:drawing>
                <wp:inline distT="0" distB="0" distL="0" distR="0" wp14:anchorId="40F34FF8" wp14:editId="514FADA4">
                  <wp:extent cx="2764838" cy="17970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72703" cy="1802199"/>
                          </a:xfrm>
                          <a:prstGeom prst="rect">
                            <a:avLst/>
                          </a:prstGeom>
                          <a:noFill/>
                          <a:ln>
                            <a:noFill/>
                          </a:ln>
                        </pic:spPr>
                      </pic:pic>
                    </a:graphicData>
                  </a:graphic>
                </wp:inline>
              </w:drawing>
            </w:r>
          </w:p>
        </w:tc>
      </w:tr>
    </w:tbl>
    <w:p w:rsidR="00CF11D1" w:rsidRPr="00F22588" w:rsidRDefault="00CF11D1" w:rsidP="00CF11D1">
      <w:pPr>
        <w:widowControl w:val="0"/>
        <w:ind w:left="1134"/>
        <w:jc w:val="both"/>
        <w:rPr>
          <w:sz w:val="20"/>
        </w:rPr>
      </w:pPr>
    </w:p>
    <w:p w:rsidR="00CF11D1" w:rsidRPr="00F22588" w:rsidRDefault="00CF11D1" w:rsidP="00CF11D1">
      <w:pPr>
        <w:widowControl w:val="0"/>
        <w:numPr>
          <w:ilvl w:val="0"/>
          <w:numId w:val="19"/>
        </w:numPr>
        <w:tabs>
          <w:tab w:val="num" w:pos="1134"/>
        </w:tabs>
        <w:ind w:left="1134" w:hanging="567"/>
        <w:jc w:val="both"/>
        <w:rPr>
          <w:sz w:val="20"/>
        </w:rPr>
      </w:pPr>
      <w:r w:rsidRPr="00F22588">
        <w:rPr>
          <w:sz w:val="20"/>
        </w:rPr>
        <w:t>El costo medio de tramitación de una solicitud PCT publicada fue de 735 francos suizos en 2015, lo que representa un aumento del 11% en comparación con 2014.  Este aumento se debió a al aumento de los gastos directos e indirectos unido a la disminución del número de solicitudes publicadas en comparación con 2014.  Este aumento registrado en 2015 en comparación con 2014 se debió principalmente a que en 2014 el costo unitario fue excepcionalmente bajo y la eficacia aumentó de forma notable, debido a:  i) el repunte de las solicitudes procedentes de los Estados Unidos de América en marzo de 2014, debido a que un año antes había entrado en vigor la Ley Leahy-Smith America Invents, y ii) el hecho de que en 2014, tal como sucede cada cinco o seis años, el número de semanas de publicación fue 53 en vez de 52, con lo que se produjo un aumento del número de publicaciones llevadas a cabo en 2014.  Además, normalmente los gastos son mayores durante el segundo año de un bienio.  Por otra parte, en 2015 el costo de las traducciones del PCT aumentó un 7,3% en comparación con 2014 debido al incremento del porcentaje de solicitudes presentadas en idiomas asiáticos, así como el mayor volumen de los informes que se tradujeron.  Este aumento se desglosa de la manera siguiente</w:t>
      </w:r>
      <w:proofErr w:type="gramStart"/>
      <w:r w:rsidRPr="00F22588">
        <w:rPr>
          <w:sz w:val="20"/>
        </w:rPr>
        <w:t>:  el</w:t>
      </w:r>
      <w:proofErr w:type="gramEnd"/>
      <w:r w:rsidRPr="00F22588">
        <w:rPr>
          <w:sz w:val="20"/>
        </w:rPr>
        <w:t xml:space="preserve"> 44% es atribuible a la disminución mencionada de las publicaciones, el 18,7% al aumento de los costos de traducción, el 4,4% al costo de los servicios de información del PCT, el 5,5% a la tramitación en sí de las solicitudes y el resto es atribuible a los costos indirectos.  Aun así, comparándolo con bienios anteriores, el costo unitario medio de tramitación de una solicitud procesada durante el bienio 2014/15 (698 francos suizos) se redujo un 2,7% en comparación con el bienio 2012/13 (717 francos suizos).</w:t>
      </w:r>
    </w:p>
    <w:p w:rsidR="00CF11D1" w:rsidRPr="00F22588" w:rsidRDefault="00CF11D1" w:rsidP="00CF11D1">
      <w:pPr>
        <w:pStyle w:val="ListParagraph"/>
        <w:widowControl w:val="0"/>
        <w:tabs>
          <w:tab w:val="num" w:pos="1134"/>
        </w:tabs>
        <w:ind w:left="1134" w:hanging="567"/>
        <w:jc w:val="center"/>
        <w:rPr>
          <w:lang w:val="es-ES"/>
        </w:rPr>
      </w:pPr>
    </w:p>
    <w:p w:rsidR="00CF11D1" w:rsidRPr="00F22588" w:rsidRDefault="00CF11D1" w:rsidP="00CF11D1">
      <w:pPr>
        <w:widowControl w:val="0"/>
        <w:numPr>
          <w:ilvl w:val="0"/>
          <w:numId w:val="19"/>
        </w:numPr>
        <w:tabs>
          <w:tab w:val="num" w:pos="1134"/>
        </w:tabs>
        <w:ind w:left="1134" w:hanging="567"/>
        <w:jc w:val="both"/>
        <w:rPr>
          <w:sz w:val="20"/>
        </w:rPr>
      </w:pPr>
      <w:r w:rsidRPr="00F22588">
        <w:rPr>
          <w:sz w:val="20"/>
          <w:highlight w:val="white"/>
        </w:rPr>
        <w:lastRenderedPageBreak/>
        <w:t>El costo medio de tramitación de una solicitud PCT publicada, calculado conforme al método antiguo disminuyó del 5</w:t>
      </w:r>
      <w:r w:rsidRPr="00F22588">
        <w:rPr>
          <w:sz w:val="20"/>
        </w:rPr>
        <w:t>% anual en promedio, pasando de</w:t>
      </w:r>
      <w:r w:rsidRPr="00F22588">
        <w:rPr>
          <w:sz w:val="20"/>
          <w:highlight w:val="white"/>
        </w:rPr>
        <w:t xml:space="preserve"> 1.042 francos suizos en 2004 a 680 francos suizos en 2012</w:t>
      </w:r>
      <w:r w:rsidRPr="00F22588">
        <w:rPr>
          <w:sz w:val="20"/>
        </w:rPr>
        <w:t>.</w:t>
      </w:r>
    </w:p>
    <w:p w:rsidR="00CF11D1" w:rsidRPr="00F22588" w:rsidRDefault="00CF11D1" w:rsidP="00CF11D1">
      <w:pPr>
        <w:widowControl w:val="0"/>
        <w:rPr>
          <w:i/>
          <w:sz w:val="20"/>
          <w:highlight w:val="yellow"/>
        </w:rPr>
      </w:pPr>
    </w:p>
    <w:p w:rsidR="00CF11D1" w:rsidRPr="00F22588" w:rsidRDefault="00CF11D1" w:rsidP="00CF11D1">
      <w:pPr>
        <w:widowControl w:val="0"/>
        <w:rPr>
          <w:i/>
          <w:sz w:val="20"/>
        </w:rPr>
      </w:pPr>
      <w:r w:rsidRPr="00F22588">
        <w:rPr>
          <w:i/>
          <w:sz w:val="20"/>
        </w:rPr>
        <w:t>Productividad en el examen de forma</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La definición de productividad del personal consiste en el valor de la producción (esto es, el número de publicaciones del PCT) dividido entre el número de miembros del personal encargados del examen de forma.</w:t>
      </w:r>
    </w:p>
    <w:p w:rsidR="00CF11D1" w:rsidRPr="00F22588" w:rsidRDefault="00CF11D1" w:rsidP="00CF11D1">
      <w:pPr>
        <w:widowControl w:val="0"/>
        <w:rPr>
          <w:sz w:val="20"/>
        </w:rPr>
      </w:pPr>
    </w:p>
    <w:p w:rsidR="00CF11D1" w:rsidRPr="00F22588" w:rsidRDefault="00CF11D1" w:rsidP="00CF11D1">
      <w:pPr>
        <w:keepNext/>
        <w:widowControl w:val="0"/>
        <w:jc w:val="center"/>
        <w:rPr>
          <w:b/>
          <w:sz w:val="20"/>
        </w:rPr>
      </w:pPr>
      <w:r w:rsidRPr="00F22588">
        <w:rPr>
          <w:b/>
          <w:sz w:val="20"/>
        </w:rPr>
        <w:t>Productividad en el examen de forma</w:t>
      </w:r>
    </w:p>
    <w:p w:rsidR="00CF11D1" w:rsidRDefault="00CF11D1" w:rsidP="00CF11D1">
      <w:pPr>
        <w:widowControl w:val="0"/>
        <w:jc w:val="center"/>
        <w:rPr>
          <w:b/>
          <w:noProof/>
          <w:sz w:val="20"/>
          <w:lang w:val="en-US" w:eastAsia="en-US"/>
        </w:rPr>
      </w:pPr>
      <w:r w:rsidRPr="00FC41B9">
        <w:rPr>
          <w:noProof/>
          <w:lang w:val="en-US" w:eastAsia="en-US"/>
        </w:rPr>
        <w:drawing>
          <wp:inline distT="0" distB="0" distL="0" distR="0" wp14:anchorId="78C55088" wp14:editId="44AF5716">
            <wp:extent cx="5940425" cy="2702275"/>
            <wp:effectExtent l="0" t="0" r="317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0425" cy="2702275"/>
                    </a:xfrm>
                    <a:prstGeom prst="rect">
                      <a:avLst/>
                    </a:prstGeom>
                    <a:noFill/>
                    <a:ln>
                      <a:noFill/>
                    </a:ln>
                  </pic:spPr>
                </pic:pic>
              </a:graphicData>
            </a:graphic>
          </wp:inline>
        </w:drawing>
      </w:r>
    </w:p>
    <w:p w:rsidR="00CF11D1" w:rsidRPr="00F22588" w:rsidRDefault="00CF11D1" w:rsidP="00CF11D1">
      <w:pPr>
        <w:widowControl w:val="0"/>
        <w:jc w:val="center"/>
        <w:rPr>
          <w:b/>
          <w:sz w:val="20"/>
        </w:rPr>
      </w:pPr>
    </w:p>
    <w:p w:rsidR="00CF11D1" w:rsidRDefault="00CF11D1" w:rsidP="00CF11D1">
      <w:pPr>
        <w:pStyle w:val="ListParagraph"/>
        <w:keepNext/>
        <w:widowControl w:val="0"/>
        <w:numPr>
          <w:ilvl w:val="0"/>
          <w:numId w:val="19"/>
        </w:numPr>
        <w:tabs>
          <w:tab w:val="num" w:pos="1134"/>
        </w:tabs>
        <w:spacing w:after="200"/>
        <w:ind w:left="1134" w:hanging="567"/>
        <w:contextualSpacing/>
        <w:jc w:val="both"/>
        <w:rPr>
          <w:lang w:val="es-ES"/>
        </w:rPr>
      </w:pPr>
      <w:r w:rsidRPr="00F22588">
        <w:rPr>
          <w:highlight w:val="white"/>
          <w:lang w:val="es-ES"/>
        </w:rPr>
        <w:t>Históricamente, la productividad del examen de forma ha aumentado a lo largo del tiempo debido, principalmente, a la automatización que ha permitido que un menor o igual número de miembros del personal pueda tramitar un volumen de trabajo mucho mayor</w:t>
      </w:r>
      <w:r w:rsidRPr="00F22588">
        <w:rPr>
          <w:lang w:val="es-ES"/>
        </w:rPr>
        <w:t>.</w:t>
      </w:r>
    </w:p>
    <w:p w:rsidR="00CF11D1" w:rsidRPr="00F22588" w:rsidRDefault="00CF11D1" w:rsidP="00CF11D1">
      <w:pPr>
        <w:pStyle w:val="ListParagraph"/>
        <w:keepNext/>
        <w:widowControl w:val="0"/>
        <w:spacing w:after="200"/>
        <w:ind w:left="1134"/>
        <w:contextualSpacing/>
        <w:jc w:val="both"/>
        <w:rPr>
          <w:lang w:val="es-ES"/>
        </w:rPr>
      </w:pPr>
    </w:p>
    <w:p w:rsidR="00CF11D1" w:rsidRPr="00F22588" w:rsidRDefault="00CF11D1" w:rsidP="00CF11D1">
      <w:pPr>
        <w:pStyle w:val="ListParagraph"/>
        <w:keepNext/>
        <w:widowControl w:val="0"/>
        <w:numPr>
          <w:ilvl w:val="0"/>
          <w:numId w:val="19"/>
        </w:numPr>
        <w:tabs>
          <w:tab w:val="num" w:pos="1134"/>
        </w:tabs>
        <w:spacing w:after="200"/>
        <w:ind w:left="1134" w:hanging="567"/>
        <w:contextualSpacing/>
        <w:jc w:val="both"/>
        <w:rPr>
          <w:lang w:val="es-ES"/>
        </w:rPr>
      </w:pPr>
      <w:r w:rsidRPr="00F22588">
        <w:rPr>
          <w:lang w:val="es-ES"/>
        </w:rPr>
        <w:t xml:space="preserve">En 2015, a pesar de la disminución del 4% en el personal encargado del examen de forma, se produjo un descenso del 1% de la productividad de </w:t>
      </w:r>
      <w:r>
        <w:rPr>
          <w:lang w:val="es-ES"/>
        </w:rPr>
        <w:t>dicho examen en comparación con </w:t>
      </w:r>
      <w:r w:rsidRPr="00F22588">
        <w:rPr>
          <w:lang w:val="es-ES"/>
        </w:rPr>
        <w:t>2014 debido a que se redujo el número de solicitudes PCT que hubo que preparar para su publicación.  Las razones principales de esta disminución fueron</w:t>
      </w:r>
      <w:proofErr w:type="gramStart"/>
      <w:r w:rsidRPr="00F22588">
        <w:rPr>
          <w:lang w:val="es-ES"/>
        </w:rPr>
        <w:t>:  i</w:t>
      </w:r>
      <w:proofErr w:type="gramEnd"/>
      <w:r w:rsidRPr="00F22588">
        <w:rPr>
          <w:lang w:val="es-ES"/>
        </w:rPr>
        <w:t xml:space="preserve">) el repunte de </w:t>
      </w:r>
      <w:r w:rsidRPr="00F22588">
        <w:rPr>
          <w:rFonts w:cs="Arial"/>
          <w:lang w:val="es-ES"/>
        </w:rPr>
        <w:t>las solicitudes procedentes de los Estados Unidos de América en marzo de 2014, debido a que un año antes había entrado en vigor la Ley Leahy-Smith America Invents</w:t>
      </w:r>
      <w:r w:rsidRPr="00F22588">
        <w:rPr>
          <w:lang w:val="es-ES"/>
        </w:rPr>
        <w:t>, y ii) el hecho de que en 2014, tal como sucede cada cinco o seis años, el número de semanas de publicación fue 53 en vez de 52, con lo que se produjo un aumento del número de publicaciones llevadas a cabo en ese año.  Aun así, comparándolo con bienios anteriores, la productividad total del examen formal durante el bienio 2014/15 aumentó un 22% en comparación con el bienio 2012/13.</w:t>
      </w:r>
    </w:p>
    <w:p w:rsidR="00CF11D1" w:rsidRPr="00F22588" w:rsidRDefault="00CF11D1" w:rsidP="00CF11D1">
      <w:pPr>
        <w:widowControl w:val="0"/>
        <w:rPr>
          <w:bCs/>
          <w:sz w:val="20"/>
        </w:rPr>
      </w:pPr>
    </w:p>
    <w:p w:rsidR="00CF11D1" w:rsidRPr="00F22588" w:rsidRDefault="00CF11D1" w:rsidP="00CF11D1">
      <w:pPr>
        <w:widowControl w:val="0"/>
        <w:rPr>
          <w:i/>
          <w:sz w:val="20"/>
        </w:rPr>
      </w:pPr>
      <w:r w:rsidRPr="00F22588">
        <w:rPr>
          <w:i/>
          <w:sz w:val="20"/>
        </w:rPr>
        <w:t>Calidad global del examen de forma</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Con el fin de medir la calidad del trabajo realizado por la Oficina Internacional de una manera sencilla e integral, la Oficina Internacional ha elaborado un indicador de calidad global, que es el promedio de cuatro indicadores de calidad principales.   Tres de ellos se basan en el tiempo necesario para efectuar las transacciones fundamentales</w:t>
      </w:r>
      <w:proofErr w:type="gramStart"/>
      <w:r w:rsidRPr="00F22588">
        <w:rPr>
          <w:sz w:val="20"/>
        </w:rPr>
        <w:t>:  acuse</w:t>
      </w:r>
      <w:proofErr w:type="gramEnd"/>
      <w:r w:rsidRPr="00F22588">
        <w:rPr>
          <w:sz w:val="20"/>
        </w:rPr>
        <w:t xml:space="preserve"> de recibo de la solicitud PCT, publicación y nueva publicación.  El cuarto indicador da cuenta de los errores cometidos en el curso de la tramitación de solicitudes PCT.</w:t>
      </w:r>
    </w:p>
    <w:p w:rsidR="00CF11D1" w:rsidRPr="00F22588" w:rsidRDefault="00CF11D1" w:rsidP="00CF11D1">
      <w:pPr>
        <w:widowControl w:val="0"/>
        <w:rPr>
          <w:sz w:val="20"/>
        </w:rPr>
      </w:pPr>
    </w:p>
    <w:p w:rsidR="00CF11D1" w:rsidRDefault="00CF11D1" w:rsidP="00CF11D1">
      <w:pPr>
        <w:pStyle w:val="BodyText2"/>
        <w:keepNext/>
        <w:keepLines/>
        <w:widowControl w:val="0"/>
        <w:spacing w:line="240" w:lineRule="auto"/>
        <w:jc w:val="center"/>
        <w:rPr>
          <w:rFonts w:cs="Arial"/>
          <w:b/>
          <w:bCs/>
          <w:szCs w:val="18"/>
          <w:lang w:val="es-ES"/>
        </w:rPr>
      </w:pPr>
      <w:r w:rsidRPr="00F22588">
        <w:rPr>
          <w:rFonts w:cs="Arial"/>
          <w:b/>
          <w:bCs/>
          <w:szCs w:val="18"/>
          <w:lang w:val="es-ES"/>
        </w:rPr>
        <w:lastRenderedPageBreak/>
        <w:t>Indicador de calidad del examen de forma</w:t>
      </w:r>
    </w:p>
    <w:p w:rsidR="00CF11D1" w:rsidRDefault="00CF11D1" w:rsidP="00CF11D1">
      <w:pPr>
        <w:pStyle w:val="BodyText2"/>
        <w:keepNext/>
        <w:keepLines/>
        <w:widowControl w:val="0"/>
        <w:spacing w:line="240" w:lineRule="auto"/>
        <w:jc w:val="center"/>
        <w:rPr>
          <w:rFonts w:cs="Arial"/>
          <w:b/>
          <w:bCs/>
          <w:szCs w:val="18"/>
          <w:lang w:val="es-ES"/>
        </w:rPr>
      </w:pPr>
    </w:p>
    <w:p w:rsidR="00CF11D1" w:rsidRPr="00F22588" w:rsidRDefault="00CF11D1" w:rsidP="00CF11D1">
      <w:pPr>
        <w:pStyle w:val="BodyText2"/>
        <w:keepNext/>
        <w:keepLines/>
        <w:widowControl w:val="0"/>
        <w:spacing w:line="240" w:lineRule="auto"/>
        <w:jc w:val="center"/>
        <w:rPr>
          <w:rFonts w:cs="Arial"/>
          <w:b/>
          <w:bCs/>
          <w:szCs w:val="18"/>
          <w:lang w:val="es-ES"/>
        </w:rPr>
      </w:pPr>
      <w:r w:rsidRPr="00067B9F">
        <w:rPr>
          <w:noProof/>
        </w:rPr>
        <w:drawing>
          <wp:inline distT="0" distB="0" distL="0" distR="0" wp14:anchorId="15ACAD34" wp14:editId="1C7D5EF0">
            <wp:extent cx="5940425" cy="2721157"/>
            <wp:effectExtent l="0" t="0" r="317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721157"/>
                    </a:xfrm>
                    <a:prstGeom prst="rect">
                      <a:avLst/>
                    </a:prstGeom>
                    <a:noFill/>
                    <a:ln>
                      <a:noFill/>
                    </a:ln>
                  </pic:spPr>
                </pic:pic>
              </a:graphicData>
            </a:graphic>
          </wp:inline>
        </w:drawing>
      </w:r>
    </w:p>
    <w:p w:rsidR="00CF11D1" w:rsidRPr="00F22588" w:rsidRDefault="00CF11D1" w:rsidP="00CF11D1">
      <w:pPr>
        <w:keepNext/>
        <w:keepLines/>
        <w:widowControl w:val="0"/>
        <w:numPr>
          <w:ilvl w:val="0"/>
          <w:numId w:val="23"/>
        </w:numPr>
        <w:ind w:left="1134" w:hanging="584"/>
        <w:jc w:val="both"/>
        <w:rPr>
          <w:sz w:val="20"/>
        </w:rPr>
      </w:pPr>
      <w:r w:rsidRPr="00F22588">
        <w:rPr>
          <w:sz w:val="20"/>
        </w:rPr>
        <w:t xml:space="preserve">La calidad general, de acuerdo con el indicador global, ha mejorado notablemente, pasando del </w:t>
      </w:r>
      <w:r w:rsidRPr="00F22588">
        <w:rPr>
          <w:sz w:val="20"/>
          <w:highlight w:val="white"/>
        </w:rPr>
        <w:t>81%</w:t>
      </w:r>
      <w:r w:rsidRPr="00F22588">
        <w:rPr>
          <w:sz w:val="20"/>
        </w:rPr>
        <w:t>, en promedio, en 2007 al 92,8%</w:t>
      </w:r>
      <w:r w:rsidRPr="00F22588">
        <w:rPr>
          <w:sz w:val="20"/>
          <w:highlight w:val="white"/>
        </w:rPr>
        <w:t xml:space="preserve"> en 201</w:t>
      </w:r>
      <w:r w:rsidRPr="00F22588">
        <w:rPr>
          <w:sz w:val="20"/>
        </w:rPr>
        <w:t>5.</w:t>
      </w:r>
    </w:p>
    <w:p w:rsidR="00CF11D1" w:rsidRPr="00F22588" w:rsidRDefault="00CF11D1" w:rsidP="00CF11D1">
      <w:pPr>
        <w:keepLines/>
        <w:widowControl w:val="0"/>
        <w:ind w:left="1134"/>
        <w:jc w:val="both"/>
        <w:rPr>
          <w:sz w:val="20"/>
        </w:rPr>
      </w:pPr>
    </w:p>
    <w:p w:rsidR="00CF11D1" w:rsidRPr="00F22588" w:rsidRDefault="00CF11D1" w:rsidP="00CF11D1">
      <w:pPr>
        <w:keepLines/>
        <w:widowControl w:val="0"/>
        <w:numPr>
          <w:ilvl w:val="0"/>
          <w:numId w:val="23"/>
        </w:numPr>
        <w:ind w:left="1134" w:hanging="584"/>
        <w:jc w:val="both"/>
        <w:rPr>
          <w:sz w:val="20"/>
        </w:rPr>
      </w:pPr>
      <w:r w:rsidRPr="00F22588">
        <w:rPr>
          <w:sz w:val="20"/>
        </w:rPr>
        <w:t>La pequeña disminución del 0,3% del indicador de calidad en</w:t>
      </w:r>
      <w:r w:rsidRPr="00F22588">
        <w:rPr>
          <w:sz w:val="20"/>
          <w:highlight w:val="white"/>
        </w:rPr>
        <w:t xml:space="preserve"> 2015 </w:t>
      </w:r>
      <w:r>
        <w:rPr>
          <w:sz w:val="20"/>
          <w:highlight w:val="white"/>
        </w:rPr>
        <w:t>en comparación con </w:t>
      </w:r>
      <w:r w:rsidRPr="00F22588">
        <w:rPr>
          <w:sz w:val="20"/>
          <w:highlight w:val="white"/>
        </w:rPr>
        <w:t>2014 se debe a los retrasos en la nueva publicación de las solicitudes PCT junto con los informes de búsqueda internacional</w:t>
      </w:r>
      <w:r w:rsidRPr="00F22588">
        <w:rPr>
          <w:sz w:val="20"/>
        </w:rPr>
        <w:t xml:space="preserve"> en un plazo de dos </w:t>
      </w:r>
      <w:r>
        <w:rPr>
          <w:sz w:val="20"/>
        </w:rPr>
        <w:t>meses, que se redujo del 77% en </w:t>
      </w:r>
      <w:r w:rsidRPr="00F22588">
        <w:rPr>
          <w:sz w:val="20"/>
        </w:rPr>
        <w:t>2014 al 74% en 2015.  Las otras tres transacciones fundamentales que se emplean para computar este indicador de calidad global mejoraron en 2015 en comparación con 2014.  Durante el bienio 2014/15 el indicador de calidad (93%) mejoró casi cinco puntos porcentuales con respecto al bienio 2012/13 (88,1%).</w:t>
      </w:r>
    </w:p>
    <w:p w:rsidR="00CF11D1" w:rsidRPr="00F22588" w:rsidRDefault="00CF11D1" w:rsidP="00CF11D1">
      <w:pPr>
        <w:pStyle w:val="ListParagraph"/>
        <w:widowControl w:val="0"/>
        <w:ind w:left="0"/>
        <w:rPr>
          <w:rFonts w:cs="Arial"/>
          <w:lang w:val="es-ES"/>
        </w:rPr>
      </w:pPr>
    </w:p>
    <w:p w:rsidR="00CF11D1" w:rsidRPr="00F22588" w:rsidRDefault="00CF11D1" w:rsidP="00CF11D1">
      <w:pPr>
        <w:widowControl w:val="0"/>
        <w:rPr>
          <w:i/>
          <w:sz w:val="20"/>
        </w:rPr>
      </w:pPr>
      <w:r w:rsidRPr="00F22588">
        <w:rPr>
          <w:i/>
          <w:sz w:val="20"/>
        </w:rPr>
        <w:t>Tiempo necesario para el examen de forma</w:t>
      </w:r>
    </w:p>
    <w:p w:rsidR="00CF11D1" w:rsidRPr="00F22588" w:rsidRDefault="00CF11D1" w:rsidP="00CF11D1">
      <w:pPr>
        <w:widowControl w:val="0"/>
        <w:rPr>
          <w:b/>
          <w:sz w:val="20"/>
        </w:rPr>
      </w:pPr>
    </w:p>
    <w:p w:rsidR="00CF11D1" w:rsidRPr="004B1B8C" w:rsidRDefault="00CF11D1" w:rsidP="00CF11D1">
      <w:pPr>
        <w:widowControl w:val="0"/>
        <w:numPr>
          <w:ilvl w:val="0"/>
          <w:numId w:val="21"/>
        </w:numPr>
        <w:tabs>
          <w:tab w:val="clear" w:pos="709"/>
          <w:tab w:val="num" w:pos="567"/>
        </w:tabs>
        <w:ind w:left="0"/>
        <w:jc w:val="both"/>
        <w:rPr>
          <w:b/>
          <w:sz w:val="20"/>
        </w:rPr>
      </w:pPr>
      <w:r w:rsidRPr="00F22588">
        <w:rPr>
          <w:sz w:val="20"/>
        </w:rPr>
        <w:t>Este indicador refleja más detalladamente uno de los componentes del indicador global de calidad, esto es el tiempo que necesita la Oficina Internacional para enviar el formulario 301.   Este formulario es expedido una vez completado el examen de forma de la solicitud.  Los solicitantes agradecen que se les envíe ese formulario lo antes posible, puesto que constituye un acuse de recibo de la solicitud en la Oficina Internacional y les permite saber si su solicitud presenta errores formales.</w:t>
      </w:r>
    </w:p>
    <w:p w:rsidR="00CF11D1" w:rsidRPr="00F22588" w:rsidRDefault="00CF11D1" w:rsidP="00CF11D1">
      <w:pPr>
        <w:widowControl w:val="0"/>
        <w:jc w:val="both"/>
        <w:rPr>
          <w:b/>
          <w:sz w:val="20"/>
        </w:rPr>
      </w:pPr>
    </w:p>
    <w:p w:rsidR="00CF11D1" w:rsidRPr="004B1B8C" w:rsidRDefault="00CF11D1" w:rsidP="00CF11D1">
      <w:pPr>
        <w:widowControl w:val="0"/>
        <w:jc w:val="center"/>
        <w:rPr>
          <w:b/>
          <w:sz w:val="16"/>
          <w:szCs w:val="16"/>
        </w:rPr>
      </w:pPr>
      <w:r w:rsidRPr="004B1B8C">
        <w:rPr>
          <w:b/>
          <w:sz w:val="16"/>
          <w:szCs w:val="16"/>
        </w:rPr>
        <w:t>Tiempo necesario para el examen de forma</w:t>
      </w:r>
    </w:p>
    <w:p w:rsidR="00CF11D1" w:rsidRPr="00F22588" w:rsidRDefault="00CF11D1" w:rsidP="00CF11D1">
      <w:pPr>
        <w:widowControl w:val="0"/>
        <w:rPr>
          <w:b/>
        </w:rPr>
      </w:pPr>
      <w:r w:rsidRPr="004F5F6E">
        <w:rPr>
          <w:noProof/>
          <w:lang w:val="en-US" w:eastAsia="en-US"/>
        </w:rPr>
        <w:drawing>
          <wp:inline distT="0" distB="0" distL="0" distR="0" wp14:anchorId="10AFD5C3" wp14:editId="44A852A3">
            <wp:extent cx="5940425" cy="2509607"/>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509607"/>
                    </a:xfrm>
                    <a:prstGeom prst="rect">
                      <a:avLst/>
                    </a:prstGeom>
                    <a:noFill/>
                    <a:ln>
                      <a:noFill/>
                    </a:ln>
                  </pic:spPr>
                </pic:pic>
              </a:graphicData>
            </a:graphic>
          </wp:inline>
        </w:drawing>
      </w:r>
    </w:p>
    <w:p w:rsidR="00CF11D1" w:rsidRPr="00F22588" w:rsidRDefault="00CF11D1" w:rsidP="00CF11D1">
      <w:pPr>
        <w:widowControl w:val="0"/>
        <w:rPr>
          <w:b/>
          <w:sz w:val="20"/>
        </w:rPr>
      </w:pPr>
    </w:p>
    <w:p w:rsidR="00CF11D1" w:rsidRPr="00F22588" w:rsidRDefault="00CF11D1" w:rsidP="00CF11D1">
      <w:pPr>
        <w:keepNext/>
        <w:widowControl w:val="0"/>
        <w:rPr>
          <w:i/>
          <w:sz w:val="20"/>
        </w:rPr>
      </w:pPr>
      <w:r w:rsidRPr="00F22588">
        <w:rPr>
          <w:i/>
          <w:sz w:val="20"/>
        </w:rPr>
        <w:lastRenderedPageBreak/>
        <w:t>Tiempo necesario para la publicación</w:t>
      </w:r>
    </w:p>
    <w:p w:rsidR="00CF11D1" w:rsidRPr="00F22588" w:rsidRDefault="00CF11D1" w:rsidP="00CF11D1">
      <w:pPr>
        <w:keepNext/>
        <w:widowControl w:val="0"/>
        <w:rPr>
          <w:sz w:val="20"/>
        </w:rPr>
      </w:pPr>
    </w:p>
    <w:p w:rsidR="00CF11D1" w:rsidRDefault="00CF11D1" w:rsidP="00CF11D1">
      <w:pPr>
        <w:keepNext/>
        <w:widowControl w:val="0"/>
        <w:numPr>
          <w:ilvl w:val="0"/>
          <w:numId w:val="21"/>
        </w:numPr>
        <w:tabs>
          <w:tab w:val="clear" w:pos="709"/>
          <w:tab w:val="num" w:pos="567"/>
        </w:tabs>
        <w:ind w:left="0"/>
        <w:jc w:val="both"/>
        <w:rPr>
          <w:sz w:val="20"/>
        </w:rPr>
      </w:pPr>
      <w:r w:rsidRPr="00F22588">
        <w:rPr>
          <w:sz w:val="20"/>
        </w:rPr>
        <w:t>Este indicador refleja con más detalle uno de los componentes del indicador global de calidad, esto es, el tiempo que tarda la Oficina Internaci</w:t>
      </w:r>
      <w:r>
        <w:rPr>
          <w:sz w:val="20"/>
        </w:rPr>
        <w:t xml:space="preserve">onal en publicar la solicitud. </w:t>
      </w:r>
      <w:r w:rsidRPr="00F22588">
        <w:rPr>
          <w:sz w:val="20"/>
        </w:rPr>
        <w:t xml:space="preserve"> El artículo 21.2)a) del PCT </w:t>
      </w:r>
      <w:r>
        <w:rPr>
          <w:sz w:val="20"/>
        </w:rPr>
        <w:t>establece que</w:t>
      </w:r>
      <w:r w:rsidRPr="00F22588">
        <w:rPr>
          <w:sz w:val="20"/>
        </w:rPr>
        <w:t xml:space="preserve"> “[…] la publicación internacional de la solicitud internacional se efectuará rápidamente tras el vencimiento de un plazo de 18 meses desde la fecha de prioridad de esa solicitud”.</w:t>
      </w:r>
    </w:p>
    <w:p w:rsidR="00CF11D1" w:rsidRDefault="00CF11D1" w:rsidP="00CF11D1">
      <w:pPr>
        <w:widowControl w:val="0"/>
        <w:jc w:val="both"/>
        <w:rPr>
          <w:sz w:val="20"/>
        </w:rPr>
      </w:pPr>
    </w:p>
    <w:p w:rsidR="00CF11D1" w:rsidRPr="0039161D" w:rsidRDefault="00CF11D1" w:rsidP="00CF11D1">
      <w:pPr>
        <w:widowControl w:val="0"/>
        <w:jc w:val="center"/>
        <w:rPr>
          <w:b/>
          <w:sz w:val="16"/>
          <w:szCs w:val="16"/>
        </w:rPr>
      </w:pPr>
      <w:r w:rsidRPr="0039161D">
        <w:rPr>
          <w:b/>
          <w:sz w:val="16"/>
          <w:szCs w:val="16"/>
        </w:rPr>
        <w:t>Tiempo necesario para la publicación</w:t>
      </w:r>
    </w:p>
    <w:p w:rsidR="00CF11D1" w:rsidRPr="00F22588" w:rsidRDefault="00CF11D1" w:rsidP="00CF11D1">
      <w:pPr>
        <w:pStyle w:val="BodyText2"/>
        <w:widowControl w:val="0"/>
        <w:spacing w:line="240" w:lineRule="auto"/>
        <w:rPr>
          <w:rFonts w:cs="Arial"/>
          <w:szCs w:val="20"/>
          <w:lang w:val="es-ES"/>
        </w:rPr>
      </w:pPr>
      <w:r w:rsidRPr="00792FE2">
        <w:rPr>
          <w:noProof/>
        </w:rPr>
        <w:drawing>
          <wp:inline distT="0" distB="0" distL="0" distR="0" wp14:anchorId="087704EB" wp14:editId="59046CB5">
            <wp:extent cx="5940425" cy="2651672"/>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651672"/>
                    </a:xfrm>
                    <a:prstGeom prst="rect">
                      <a:avLst/>
                    </a:prstGeom>
                    <a:noFill/>
                    <a:ln>
                      <a:noFill/>
                    </a:ln>
                  </pic:spPr>
                </pic:pic>
              </a:graphicData>
            </a:graphic>
          </wp:inline>
        </w:drawing>
      </w:r>
    </w:p>
    <w:p w:rsidR="00CF11D1" w:rsidRPr="00F22588" w:rsidRDefault="00CF11D1" w:rsidP="00CF11D1">
      <w:pPr>
        <w:keepNext/>
        <w:keepLines/>
        <w:widowControl w:val="0"/>
        <w:rPr>
          <w:i/>
          <w:sz w:val="20"/>
        </w:rPr>
      </w:pPr>
      <w:r w:rsidRPr="00F22588">
        <w:rPr>
          <w:i/>
          <w:sz w:val="20"/>
        </w:rPr>
        <w:t>Tiempo necesario para una nueva publicación</w:t>
      </w:r>
    </w:p>
    <w:p w:rsidR="00CF11D1" w:rsidRPr="00F22588" w:rsidRDefault="00CF11D1" w:rsidP="00CF11D1">
      <w:pPr>
        <w:keepNext/>
        <w:keepLines/>
        <w:widowControl w:val="0"/>
        <w:rPr>
          <w:sz w:val="20"/>
        </w:rPr>
      </w:pPr>
    </w:p>
    <w:p w:rsidR="00CF11D1" w:rsidRPr="00F22588" w:rsidRDefault="00CF11D1" w:rsidP="00CF11D1">
      <w:pPr>
        <w:keepNext/>
        <w:keepLines/>
        <w:widowControl w:val="0"/>
        <w:numPr>
          <w:ilvl w:val="0"/>
          <w:numId w:val="21"/>
        </w:numPr>
        <w:tabs>
          <w:tab w:val="clear" w:pos="709"/>
          <w:tab w:val="num" w:pos="567"/>
        </w:tabs>
        <w:ind w:left="0"/>
        <w:jc w:val="both"/>
        <w:rPr>
          <w:sz w:val="20"/>
        </w:rPr>
      </w:pPr>
      <w:r w:rsidRPr="00F22588">
        <w:rPr>
          <w:sz w:val="20"/>
          <w:highlight w:val="white"/>
        </w:rPr>
        <w:t xml:space="preserve">Este indicador refleja con más detalle uno de los componentes del indicador global de calidad, esto es, el tiempo que tarda la Oficina Internacional </w:t>
      </w:r>
      <w:r w:rsidRPr="00F22588">
        <w:rPr>
          <w:sz w:val="20"/>
        </w:rPr>
        <w:t>en llevar a cabo la nueva publicación de</w:t>
      </w:r>
      <w:r w:rsidRPr="00F22588">
        <w:rPr>
          <w:sz w:val="20"/>
          <w:highlight w:val="white"/>
        </w:rPr>
        <w:t xml:space="preserve"> la solicitud, junto con el informe de búsqueda internacional</w:t>
      </w:r>
      <w:r w:rsidRPr="00F22588">
        <w:rPr>
          <w:sz w:val="20"/>
        </w:rPr>
        <w:t>.  Algunas solicitudes internacionales se publican sin su informe de búsqueda internacional, ya que las Administraciones encargadas de la búsqueda internacional los comunican con retraso.</w:t>
      </w:r>
    </w:p>
    <w:p w:rsidR="00CF11D1" w:rsidRDefault="00CF11D1" w:rsidP="00CF11D1">
      <w:pPr>
        <w:widowControl w:val="0"/>
        <w:rPr>
          <w:sz w:val="20"/>
        </w:rPr>
      </w:pPr>
    </w:p>
    <w:p w:rsidR="00CF11D1" w:rsidRPr="00AA1815" w:rsidRDefault="00CF11D1" w:rsidP="00CF11D1">
      <w:pPr>
        <w:widowControl w:val="0"/>
        <w:jc w:val="center"/>
        <w:rPr>
          <w:b/>
          <w:sz w:val="16"/>
          <w:szCs w:val="16"/>
        </w:rPr>
      </w:pPr>
      <w:r w:rsidRPr="00AA1815">
        <w:rPr>
          <w:b/>
          <w:sz w:val="16"/>
          <w:szCs w:val="16"/>
        </w:rPr>
        <w:t>Tiempo necesario para una nueva publicación</w:t>
      </w:r>
    </w:p>
    <w:p w:rsidR="00CF11D1" w:rsidRPr="00F22588" w:rsidRDefault="00CF11D1" w:rsidP="00CF11D1">
      <w:pPr>
        <w:widowControl w:val="0"/>
        <w:rPr>
          <w:sz w:val="20"/>
        </w:rPr>
      </w:pPr>
      <w:r w:rsidRPr="00BE4C1F">
        <w:rPr>
          <w:noProof/>
          <w:lang w:val="en-US" w:eastAsia="en-US"/>
        </w:rPr>
        <w:drawing>
          <wp:inline distT="0" distB="0" distL="0" distR="0" wp14:anchorId="19CB4495" wp14:editId="2612C007">
            <wp:extent cx="5940425" cy="2651672"/>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651672"/>
                    </a:xfrm>
                    <a:prstGeom prst="rect">
                      <a:avLst/>
                    </a:prstGeom>
                    <a:noFill/>
                    <a:ln>
                      <a:noFill/>
                    </a:ln>
                  </pic:spPr>
                </pic:pic>
              </a:graphicData>
            </a:graphic>
          </wp:inline>
        </w:drawing>
      </w:r>
    </w:p>
    <w:p w:rsidR="00CF11D1" w:rsidRPr="00F22588" w:rsidRDefault="00CF11D1" w:rsidP="00CF11D1">
      <w:pPr>
        <w:widowControl w:val="0"/>
        <w:rPr>
          <w:i/>
          <w:sz w:val="20"/>
        </w:rPr>
      </w:pPr>
    </w:p>
    <w:p w:rsidR="00CF11D1" w:rsidRPr="00F22588" w:rsidRDefault="00CF11D1" w:rsidP="00CF11D1">
      <w:pPr>
        <w:widowControl w:val="0"/>
        <w:rPr>
          <w:i/>
          <w:sz w:val="20"/>
        </w:rPr>
      </w:pPr>
      <w:r w:rsidRPr="00F22588">
        <w:rPr>
          <w:i/>
          <w:sz w:val="20"/>
        </w:rPr>
        <w:t xml:space="preserve">Calidad de la traducción </w:t>
      </w:r>
    </w:p>
    <w:p w:rsidR="00CF11D1" w:rsidRPr="00F22588" w:rsidRDefault="00CF11D1" w:rsidP="00CF11D1">
      <w:pPr>
        <w:widowControl w:val="0"/>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 xml:space="preserve">Con el fin de evaluar la calidad de la traducción, se extrae una muestra aleatoria de los extractos y de los informes de patentabilidad preparados bajo la responsabilidad de la Oficina;  la muestra está compuesta por un número de documentos calculado estadísticamente.  La evaluación permite determinar si una traducción es </w:t>
      </w:r>
      <w:r>
        <w:rPr>
          <w:sz w:val="20"/>
        </w:rPr>
        <w:t xml:space="preserve">"aceptable" o "no aceptable".  </w:t>
      </w:r>
      <w:r w:rsidRPr="00F22588">
        <w:rPr>
          <w:sz w:val="20"/>
        </w:rPr>
        <w:t xml:space="preserve">El indicador engloba los resultados del control de calidad realizado por la Oficina Internacional respecto de todas las combinaciones lingüísticas </w:t>
      </w:r>
      <w:r w:rsidRPr="00F22588">
        <w:rPr>
          <w:sz w:val="20"/>
        </w:rPr>
        <w:lastRenderedPageBreak/>
        <w:t>y todos los tipos de documentos.  Se interrumpe la colaboración con aquellas agencias cuya tasa de traducciones consideradas "aceptables" sea sistemáticamente inferior al 80%.  El porcentaje del 87,6% de traducciones aceptables alcanzado en 2015 es el más alto que se ha obtenido jamás, y superó el porcentaje de 2014 por 1,6 puntos porcentuales.</w:t>
      </w:r>
    </w:p>
    <w:p w:rsidR="00CF11D1" w:rsidRPr="00F22588" w:rsidRDefault="00CF11D1" w:rsidP="00CF11D1">
      <w:pPr>
        <w:widowControl w:val="0"/>
        <w:jc w:val="center"/>
        <w:rPr>
          <w:sz w:val="20"/>
          <w:highlight w:val="yellow"/>
        </w:rPr>
      </w:pPr>
    </w:p>
    <w:p w:rsidR="00CF11D1" w:rsidRDefault="00CF11D1" w:rsidP="00CF11D1">
      <w:pPr>
        <w:keepNext/>
        <w:widowControl w:val="0"/>
        <w:jc w:val="center"/>
        <w:rPr>
          <w:b/>
          <w:sz w:val="20"/>
        </w:rPr>
      </w:pPr>
      <w:r w:rsidRPr="00F22588">
        <w:rPr>
          <w:b/>
          <w:sz w:val="20"/>
          <w:highlight w:val="white"/>
        </w:rPr>
        <w:t>Calidad de la traducción en el PCT</w:t>
      </w:r>
    </w:p>
    <w:p w:rsidR="00CF11D1" w:rsidRPr="00F22588" w:rsidRDefault="00CF11D1" w:rsidP="00CF11D1">
      <w:pPr>
        <w:keepNext/>
        <w:widowControl w:val="0"/>
        <w:jc w:val="center"/>
        <w:rPr>
          <w:b/>
          <w:sz w:val="20"/>
        </w:rPr>
      </w:pPr>
    </w:p>
    <w:p w:rsidR="00CF11D1" w:rsidRPr="00F22588" w:rsidRDefault="00CF11D1" w:rsidP="00CF11D1">
      <w:pPr>
        <w:keepNext/>
        <w:widowControl w:val="0"/>
        <w:jc w:val="center"/>
        <w:rPr>
          <w:b/>
          <w:sz w:val="20"/>
        </w:rPr>
      </w:pPr>
      <w:r w:rsidRPr="00A133DB">
        <w:rPr>
          <w:noProof/>
          <w:lang w:val="en-US" w:eastAsia="en-US"/>
        </w:rPr>
        <w:drawing>
          <wp:inline distT="0" distB="0" distL="0" distR="0" wp14:anchorId="385D935A" wp14:editId="78EAB01E">
            <wp:extent cx="5940425" cy="3252002"/>
            <wp:effectExtent l="0" t="0" r="317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3252002"/>
                    </a:xfrm>
                    <a:prstGeom prst="rect">
                      <a:avLst/>
                    </a:prstGeom>
                    <a:noFill/>
                    <a:ln>
                      <a:noFill/>
                    </a:ln>
                  </pic:spPr>
                </pic:pic>
              </a:graphicData>
            </a:graphic>
          </wp:inline>
        </w:drawing>
      </w:r>
    </w:p>
    <w:p w:rsidR="00CF11D1" w:rsidRPr="00F22588" w:rsidRDefault="00CF11D1" w:rsidP="00CF11D1">
      <w:pPr>
        <w:keepNext/>
        <w:widowControl w:val="0"/>
        <w:rPr>
          <w:sz w:val="20"/>
          <w:highlight w:val="yellow"/>
        </w:rPr>
      </w:pPr>
    </w:p>
    <w:p w:rsidR="00CF11D1" w:rsidRPr="00F22588" w:rsidRDefault="00CF11D1" w:rsidP="00CF11D1">
      <w:pPr>
        <w:keepNext/>
        <w:widowControl w:val="0"/>
        <w:rPr>
          <w:i/>
          <w:sz w:val="20"/>
        </w:rPr>
      </w:pPr>
      <w:r w:rsidRPr="00F22588">
        <w:rPr>
          <w:i/>
          <w:sz w:val="20"/>
        </w:rPr>
        <w:t>Tiempo necesario para la traducción de informes</w:t>
      </w:r>
    </w:p>
    <w:p w:rsidR="00CF11D1" w:rsidRPr="00F22588" w:rsidRDefault="00CF11D1" w:rsidP="00CF11D1">
      <w:pPr>
        <w:keepNext/>
        <w:widowControl w:val="0"/>
        <w:rPr>
          <w:sz w:val="20"/>
        </w:rPr>
      </w:pPr>
    </w:p>
    <w:p w:rsidR="00CF11D1" w:rsidRPr="00F22588" w:rsidRDefault="00CF11D1" w:rsidP="00CF11D1">
      <w:pPr>
        <w:keepNext/>
        <w:widowControl w:val="0"/>
        <w:numPr>
          <w:ilvl w:val="0"/>
          <w:numId w:val="21"/>
        </w:numPr>
        <w:tabs>
          <w:tab w:val="clear" w:pos="709"/>
          <w:tab w:val="num" w:pos="567"/>
        </w:tabs>
        <w:ind w:left="0"/>
        <w:jc w:val="both"/>
        <w:rPr>
          <w:sz w:val="20"/>
        </w:rPr>
      </w:pPr>
      <w:r w:rsidRPr="00F22588">
        <w:rPr>
          <w:sz w:val="20"/>
        </w:rPr>
        <w:t>Este indicador proporciona información sobre el tiempo necesario para que la Oficina Internacional ponga la traducción del informe sobre la patentabilidad a disposición de los solicitantes y las Oficinas.  Desde 2010, no ha dejado de aumentar la proporción de traducciones de informes sobre la patentabilidad entregadas dentro de los 30 meses contados a partir de la fecha de prioridad de la solicitud internacional.  En 2014, el 82,5%</w:t>
      </w:r>
      <w:r w:rsidRPr="00F22588">
        <w:rPr>
          <w:sz w:val="20"/>
          <w:highlight w:val="white"/>
        </w:rPr>
        <w:t xml:space="preserve"> de las traducciones de informes sobre la patentabilidad se entregó dentro de los 30 meses contados a partir de la fecha de prioridad</w:t>
      </w:r>
      <w:r w:rsidRPr="00F22588">
        <w:rPr>
          <w:sz w:val="20"/>
        </w:rPr>
        <w:t>.  En 2015 el porcentaje de traducciones de informes sobre la patentabilidad entregadas dentr</w:t>
      </w:r>
      <w:r>
        <w:rPr>
          <w:sz w:val="20"/>
        </w:rPr>
        <w:t>o de esos 30 meses aumentó a un </w:t>
      </w:r>
      <w:r w:rsidRPr="00F22588">
        <w:rPr>
          <w:sz w:val="20"/>
        </w:rPr>
        <w:t>90%, y el 99% se entregaron en un plazo de 31 meses.</w:t>
      </w:r>
    </w:p>
    <w:p w:rsidR="00CF11D1" w:rsidRPr="00F22588" w:rsidRDefault="00CF11D1" w:rsidP="00CF11D1">
      <w:pPr>
        <w:widowControl w:val="0"/>
        <w:ind w:left="142"/>
        <w:jc w:val="both"/>
        <w:rPr>
          <w:sz w:val="20"/>
        </w:rPr>
      </w:pPr>
    </w:p>
    <w:p w:rsidR="00CF11D1" w:rsidRPr="00F22588" w:rsidRDefault="00CF11D1" w:rsidP="00CF11D1">
      <w:pPr>
        <w:widowControl w:val="0"/>
        <w:ind w:left="142"/>
        <w:jc w:val="center"/>
        <w:rPr>
          <w:b/>
          <w:sz w:val="20"/>
        </w:rPr>
      </w:pPr>
      <w:r w:rsidRPr="00F22588">
        <w:rPr>
          <w:b/>
          <w:sz w:val="20"/>
        </w:rPr>
        <w:t>Tiempo necesario para la traducción de informes</w:t>
      </w:r>
    </w:p>
    <w:p w:rsidR="00CF11D1" w:rsidRDefault="00CF11D1" w:rsidP="00CF11D1">
      <w:pPr>
        <w:widowControl w:val="0"/>
        <w:ind w:left="142"/>
        <w:jc w:val="center"/>
        <w:rPr>
          <w:b/>
          <w:noProof/>
          <w:sz w:val="20"/>
          <w:lang w:val="en-US" w:eastAsia="en-US"/>
        </w:rPr>
      </w:pPr>
      <w:r w:rsidRPr="00150B98">
        <w:rPr>
          <w:noProof/>
          <w:lang w:val="en-US" w:eastAsia="en-US"/>
        </w:rPr>
        <w:drawing>
          <wp:inline distT="0" distB="0" distL="0" distR="0" wp14:anchorId="5E737997" wp14:editId="0F0C7817">
            <wp:extent cx="5940425" cy="2562507"/>
            <wp:effectExtent l="0" t="0" r="317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2562507"/>
                    </a:xfrm>
                    <a:prstGeom prst="rect">
                      <a:avLst/>
                    </a:prstGeom>
                    <a:noFill/>
                    <a:ln>
                      <a:noFill/>
                    </a:ln>
                  </pic:spPr>
                </pic:pic>
              </a:graphicData>
            </a:graphic>
          </wp:inline>
        </w:drawing>
      </w:r>
    </w:p>
    <w:p w:rsidR="00CF11D1" w:rsidRPr="00F22588" w:rsidRDefault="00CF11D1" w:rsidP="00CF11D1">
      <w:pPr>
        <w:widowControl w:val="0"/>
        <w:ind w:left="142"/>
        <w:jc w:val="center"/>
        <w:rPr>
          <w:b/>
          <w:sz w:val="20"/>
        </w:rPr>
      </w:pPr>
    </w:p>
    <w:p w:rsidR="00CF11D1" w:rsidRPr="00F22588" w:rsidRDefault="00CF11D1" w:rsidP="00CF11D1">
      <w:pPr>
        <w:keepNext/>
        <w:widowControl w:val="0"/>
        <w:rPr>
          <w:i/>
          <w:sz w:val="20"/>
        </w:rPr>
      </w:pPr>
      <w:r w:rsidRPr="00F22588">
        <w:rPr>
          <w:i/>
          <w:sz w:val="20"/>
        </w:rPr>
        <w:lastRenderedPageBreak/>
        <w:t>Calidad del desarrollo de programas informáticos</w:t>
      </w:r>
    </w:p>
    <w:p w:rsidR="00CF11D1" w:rsidRPr="00F22588" w:rsidRDefault="00CF11D1" w:rsidP="00CF11D1">
      <w:pPr>
        <w:keepNext/>
        <w:widowControl w:val="0"/>
        <w:jc w:val="both"/>
        <w:rPr>
          <w:b/>
          <w:sz w:val="20"/>
        </w:rPr>
      </w:pPr>
    </w:p>
    <w:p w:rsidR="00CF11D1" w:rsidRPr="00F22588" w:rsidRDefault="00CF11D1" w:rsidP="00CF11D1">
      <w:pPr>
        <w:keepNext/>
        <w:widowControl w:val="0"/>
        <w:numPr>
          <w:ilvl w:val="0"/>
          <w:numId w:val="21"/>
        </w:numPr>
        <w:tabs>
          <w:tab w:val="clear" w:pos="709"/>
          <w:tab w:val="num" w:pos="567"/>
        </w:tabs>
        <w:ind w:left="0"/>
        <w:jc w:val="both"/>
        <w:rPr>
          <w:sz w:val="20"/>
        </w:rPr>
      </w:pPr>
      <w:r w:rsidRPr="00F22588">
        <w:rPr>
          <w:sz w:val="20"/>
          <w:highlight w:val="white"/>
        </w:rPr>
        <w:t xml:space="preserve">El indicador de calidad del desarrollo de programas informáticos proporciona una medida de la calidad de las principales versiones de </w:t>
      </w:r>
      <w:r w:rsidRPr="00F22588">
        <w:rPr>
          <w:i/>
          <w:sz w:val="20"/>
          <w:highlight w:val="white"/>
        </w:rPr>
        <w:t>software</w:t>
      </w:r>
      <w:r w:rsidRPr="00F22588">
        <w:rPr>
          <w:sz w:val="20"/>
          <w:highlight w:val="white"/>
        </w:rPr>
        <w:t xml:space="preserve"> para</w:t>
      </w:r>
      <w:r w:rsidRPr="00F22588">
        <w:rPr>
          <w:sz w:val="20"/>
        </w:rPr>
        <w:t xml:space="preserve"> los proyectos </w:t>
      </w:r>
      <w:r w:rsidRPr="00F22588">
        <w:rPr>
          <w:i/>
          <w:sz w:val="20"/>
        </w:rPr>
        <w:t>eDossier</w:t>
      </w:r>
      <w:r w:rsidRPr="00F22588">
        <w:rPr>
          <w:sz w:val="20"/>
        </w:rPr>
        <w:t xml:space="preserve"> y </w:t>
      </w:r>
      <w:r w:rsidRPr="00F22588">
        <w:rPr>
          <w:i/>
          <w:sz w:val="20"/>
        </w:rPr>
        <w:t>ePCT</w:t>
      </w:r>
      <w:r w:rsidRPr="00F22588">
        <w:rPr>
          <w:sz w:val="20"/>
        </w:rPr>
        <w:t>.  La calidad del desarrollo de programas informáticos refleja el porcentaje de tiempo dedicado a aportar nuevas funciones a las versiones (es decir, trabajo), sobre el total de tiempo utilizado (es decir, trabajo + modificaciones).  Las modificaciones representan el tiempo dedicado a corregir el trabajo defectuoso detectado en el entorno de producción.</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En el marco de este enfoque, los productos desarrollados que solo requieran ligeras modificaciones se considerarán de alta calidad, pues reflejan la extensión del valor añadido al producto mediante la incorporación de nuevas funciones.</w:t>
      </w:r>
    </w:p>
    <w:p w:rsidR="00CF11D1" w:rsidRPr="00F22588" w:rsidRDefault="00CF11D1" w:rsidP="00CF11D1">
      <w:pPr>
        <w:widowControl w:val="0"/>
        <w:jc w:val="both"/>
        <w:rPr>
          <w:sz w:val="20"/>
        </w:rPr>
      </w:pPr>
    </w:p>
    <w:p w:rsidR="00CF11D1" w:rsidRPr="00F22588" w:rsidRDefault="00CF11D1" w:rsidP="00CF11D1">
      <w:pPr>
        <w:widowControl w:val="0"/>
        <w:numPr>
          <w:ilvl w:val="0"/>
          <w:numId w:val="21"/>
        </w:numPr>
        <w:tabs>
          <w:tab w:val="clear" w:pos="709"/>
          <w:tab w:val="num" w:pos="567"/>
        </w:tabs>
        <w:ind w:left="0"/>
        <w:rPr>
          <w:sz w:val="20"/>
        </w:rPr>
      </w:pPr>
      <w:r w:rsidRPr="00F22588">
        <w:rPr>
          <w:sz w:val="20"/>
        </w:rPr>
        <w:t>La calidad del desarrollo de programas informáticos se define de la manera siguiente:</w:t>
      </w:r>
    </w:p>
    <w:p w:rsidR="00CF11D1" w:rsidRPr="00F22588" w:rsidRDefault="00CF11D1" w:rsidP="00CF11D1">
      <w:pPr>
        <w:pStyle w:val="ListParagraph"/>
        <w:widowControl w:val="0"/>
        <w:ind w:left="0"/>
        <w:rPr>
          <w:rFonts w:cs="Arial"/>
          <w:lang w:val="es-ES"/>
        </w:rPr>
      </w:pPr>
    </w:p>
    <w:p w:rsidR="00CF11D1" w:rsidRPr="00F22588" w:rsidRDefault="00CF11D1" w:rsidP="00CF11D1">
      <w:pPr>
        <w:widowControl w:val="0"/>
        <w:jc w:val="center"/>
        <w:rPr>
          <w:sz w:val="20"/>
        </w:rPr>
      </w:pPr>
      <w:r w:rsidRPr="00F22588">
        <w:rPr>
          <w:noProof/>
          <w:sz w:val="20"/>
          <w:lang w:val="en-US" w:eastAsia="en-US"/>
        </w:rPr>
        <w:drawing>
          <wp:inline distT="0" distB="0" distL="0" distR="0" wp14:anchorId="6C67C2D9" wp14:editId="63AAFD62">
            <wp:extent cx="4614545" cy="351155"/>
            <wp:effectExtent l="0" t="0" r="0" b="0"/>
            <wp:docPr id="805" name="Imagen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14545" cy="351155"/>
                    </a:xfrm>
                    <a:prstGeom prst="rect">
                      <a:avLst/>
                    </a:prstGeom>
                    <a:noFill/>
                    <a:ln>
                      <a:noFill/>
                    </a:ln>
                  </pic:spPr>
                </pic:pic>
              </a:graphicData>
            </a:graphic>
          </wp:inline>
        </w:drawing>
      </w:r>
    </w:p>
    <w:p w:rsidR="00CF11D1" w:rsidRPr="00F22588" w:rsidRDefault="00CF11D1" w:rsidP="00CF11D1">
      <w:pPr>
        <w:pStyle w:val="BodyText2"/>
        <w:widowControl w:val="0"/>
        <w:spacing w:after="0" w:line="240" w:lineRule="auto"/>
        <w:jc w:val="both"/>
        <w:rPr>
          <w:rFonts w:cs="Arial"/>
          <w:szCs w:val="20"/>
          <w:lang w:val="es-ES"/>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highlight w:val="white"/>
        </w:rPr>
        <w:t>En 2014, la calidad de las principales versiones</w:t>
      </w:r>
      <w:r w:rsidRPr="00F22588">
        <w:rPr>
          <w:sz w:val="20"/>
        </w:rPr>
        <w:t>, definida por la calidad del desarrollo de programas informáticos, fue del 94,5%, prácticamente cinco puntos porcentuales más que en 2013.</w:t>
      </w:r>
      <w:r>
        <w:rPr>
          <w:sz w:val="20"/>
        </w:rPr>
        <w:t xml:space="preserve">  En </w:t>
      </w:r>
      <w:r w:rsidRPr="00F22588">
        <w:rPr>
          <w:sz w:val="20"/>
        </w:rPr>
        <w:t xml:space="preserve">2015 se registró una ligera reducción en comparación con 2014, pasando al 91,9%.  No obstante, los objetivos de rendimiento se cumplieron los dos años, ya que en ambos se superó </w:t>
      </w:r>
      <w:r>
        <w:rPr>
          <w:sz w:val="20"/>
        </w:rPr>
        <w:t>la referencia del </w:t>
      </w:r>
      <w:r w:rsidRPr="00F22588">
        <w:rPr>
          <w:sz w:val="20"/>
        </w:rPr>
        <w:t>89,4%.</w:t>
      </w:r>
    </w:p>
    <w:p w:rsidR="00CF11D1" w:rsidRPr="00F22588" w:rsidRDefault="00CF11D1" w:rsidP="00CF11D1">
      <w:pPr>
        <w:widowControl w:val="0"/>
        <w:rPr>
          <w:sz w:val="20"/>
        </w:rPr>
      </w:pPr>
    </w:p>
    <w:p w:rsidR="00CF11D1" w:rsidRPr="00F22588" w:rsidRDefault="00CF11D1" w:rsidP="00CF11D1">
      <w:pPr>
        <w:keepNext/>
        <w:widowControl w:val="0"/>
        <w:jc w:val="center"/>
        <w:rPr>
          <w:b/>
          <w:sz w:val="20"/>
        </w:rPr>
      </w:pPr>
      <w:r w:rsidRPr="00F22588">
        <w:rPr>
          <w:b/>
          <w:sz w:val="20"/>
        </w:rPr>
        <w:t>Calidad del desarrollo de programas informáticos</w:t>
      </w:r>
    </w:p>
    <w:p w:rsidR="00CF11D1" w:rsidRPr="00F22588" w:rsidRDefault="00CF11D1" w:rsidP="00CF11D1">
      <w:pPr>
        <w:widowControl w:val="0"/>
        <w:jc w:val="center"/>
        <w:rPr>
          <w:b/>
          <w:sz w:val="20"/>
        </w:rPr>
      </w:pPr>
      <w:r w:rsidRPr="00B45E18">
        <w:rPr>
          <w:noProof/>
          <w:lang w:val="en-US" w:eastAsia="en-US"/>
        </w:rPr>
        <w:drawing>
          <wp:inline distT="0" distB="0" distL="0" distR="0" wp14:anchorId="31C790DD" wp14:editId="500D3637">
            <wp:extent cx="5352156" cy="3391253"/>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52709" cy="3391603"/>
                    </a:xfrm>
                    <a:prstGeom prst="rect">
                      <a:avLst/>
                    </a:prstGeom>
                    <a:noFill/>
                    <a:ln>
                      <a:noFill/>
                    </a:ln>
                  </pic:spPr>
                </pic:pic>
              </a:graphicData>
            </a:graphic>
          </wp:inline>
        </w:drawing>
      </w:r>
    </w:p>
    <w:p w:rsidR="00CF11D1" w:rsidRPr="00F22588" w:rsidRDefault="00CF11D1" w:rsidP="00CF11D1">
      <w:pPr>
        <w:widowControl w:val="0"/>
        <w:rPr>
          <w:i/>
          <w:sz w:val="20"/>
        </w:rPr>
      </w:pPr>
      <w:r w:rsidRPr="00F22588">
        <w:rPr>
          <w:i/>
          <w:sz w:val="20"/>
        </w:rPr>
        <w:t>Niveles de los servicios prestados por los sistemas de Información</w:t>
      </w:r>
    </w:p>
    <w:p w:rsidR="00CF11D1" w:rsidRPr="00F22588" w:rsidRDefault="00CF11D1" w:rsidP="00CF11D1">
      <w:pPr>
        <w:pStyle w:val="BodyText2"/>
        <w:widowControl w:val="0"/>
        <w:spacing w:after="0" w:line="240" w:lineRule="auto"/>
        <w:rPr>
          <w:rFonts w:cs="Arial"/>
          <w:szCs w:val="20"/>
          <w:lang w:val="es-ES"/>
        </w:rPr>
      </w:pPr>
    </w:p>
    <w:p w:rsidR="00CF11D1" w:rsidRPr="00F22588" w:rsidRDefault="00CF11D1" w:rsidP="00CF11D1">
      <w:pPr>
        <w:widowControl w:val="0"/>
        <w:numPr>
          <w:ilvl w:val="0"/>
          <w:numId w:val="21"/>
        </w:numPr>
        <w:tabs>
          <w:tab w:val="clear" w:pos="709"/>
          <w:tab w:val="num" w:pos="567"/>
        </w:tabs>
        <w:ind w:left="0"/>
        <w:jc w:val="both"/>
        <w:rPr>
          <w:sz w:val="20"/>
          <w:lang w:eastAsia="en-GB"/>
        </w:rPr>
      </w:pPr>
      <w:r w:rsidRPr="00F22588">
        <w:rPr>
          <w:sz w:val="20"/>
        </w:rPr>
        <w:t xml:space="preserve">El indicador de rendimiento denominado niveles de los servicios prestados por los sistemas de Información </w:t>
      </w:r>
      <w:r w:rsidRPr="00F22588">
        <w:rPr>
          <w:sz w:val="20"/>
          <w:lang w:eastAsia="en-GB"/>
        </w:rPr>
        <w:t>refleja el rendimiento del servicio prestado a los usuarios por el Servicio de Sistemas de Información del PCT</w:t>
      </w:r>
      <w:r w:rsidRPr="00F22588">
        <w:rPr>
          <w:sz w:val="20"/>
          <w:highlight w:val="white"/>
          <w:lang w:eastAsia="en-GB"/>
        </w:rPr>
        <w:t>, sobre la base de su capacidad de cumplir con los objetivos acordados</w:t>
      </w:r>
      <w:r w:rsidRPr="00F22588">
        <w:rPr>
          <w:sz w:val="20"/>
          <w:lang w:eastAsia="en-GB"/>
        </w:rPr>
        <w:t>.</w:t>
      </w:r>
    </w:p>
    <w:p w:rsidR="00CF11D1" w:rsidRPr="00F22588" w:rsidRDefault="00CF11D1" w:rsidP="00CF11D1">
      <w:pPr>
        <w:pStyle w:val="BodyText2"/>
        <w:widowControl w:val="0"/>
        <w:spacing w:after="0" w:line="240" w:lineRule="auto"/>
        <w:rPr>
          <w:rFonts w:cs="Arial"/>
          <w:szCs w:val="20"/>
          <w:lang w:val="es-ES"/>
        </w:rPr>
      </w:pPr>
    </w:p>
    <w:p w:rsidR="00CF11D1" w:rsidRPr="00F22588" w:rsidRDefault="00CF11D1" w:rsidP="00CF11D1">
      <w:pPr>
        <w:widowControl w:val="0"/>
        <w:numPr>
          <w:ilvl w:val="0"/>
          <w:numId w:val="21"/>
        </w:numPr>
        <w:tabs>
          <w:tab w:val="clear" w:pos="709"/>
          <w:tab w:val="num" w:pos="567"/>
        </w:tabs>
        <w:ind w:left="0"/>
        <w:jc w:val="both"/>
        <w:rPr>
          <w:sz w:val="20"/>
          <w:lang w:eastAsia="en-GB"/>
        </w:rPr>
      </w:pPr>
      <w:r w:rsidRPr="00F22588">
        <w:rPr>
          <w:sz w:val="20"/>
          <w:highlight w:val="white"/>
        </w:rPr>
        <w:t xml:space="preserve">Este indicador compuesto se calcula </w:t>
      </w:r>
      <w:r w:rsidRPr="00F22588">
        <w:rPr>
          <w:sz w:val="20"/>
        </w:rPr>
        <w:t xml:space="preserve">a partir del promedio ponderado de cinco indicadores de </w:t>
      </w:r>
      <w:r w:rsidRPr="00F22588">
        <w:rPr>
          <w:sz w:val="20"/>
          <w:highlight w:val="white"/>
        </w:rPr>
        <w:t>rendimiento basados en objetivos</w:t>
      </w:r>
      <w:r w:rsidRPr="00F22588">
        <w:rPr>
          <w:rStyle w:val="FootnoteReference"/>
          <w:sz w:val="20"/>
        </w:rPr>
        <w:footnoteReference w:id="22"/>
      </w:r>
      <w:r w:rsidRPr="00F22588">
        <w:rPr>
          <w:sz w:val="20"/>
          <w:lang w:eastAsia="en-GB"/>
        </w:rPr>
        <w:t xml:space="preserve">.  Cada </w:t>
      </w:r>
      <w:r w:rsidRPr="00F22588">
        <w:rPr>
          <w:sz w:val="20"/>
          <w:highlight w:val="white"/>
          <w:lang w:eastAsia="en-GB"/>
        </w:rPr>
        <w:t>indicador se expresa como porcentaje del objetivo efectivamente cumplido</w:t>
      </w:r>
      <w:r w:rsidRPr="00F22588">
        <w:rPr>
          <w:sz w:val="20"/>
          <w:lang w:eastAsia="en-GB"/>
        </w:rPr>
        <w:t>.</w:t>
      </w:r>
    </w:p>
    <w:p w:rsidR="00CF11D1" w:rsidRPr="00F22588" w:rsidRDefault="00CF11D1" w:rsidP="00CF11D1">
      <w:pPr>
        <w:widowControl w:val="0"/>
        <w:autoSpaceDE w:val="0"/>
        <w:autoSpaceDN w:val="0"/>
        <w:adjustRightInd w:val="0"/>
        <w:jc w:val="both"/>
        <w:rPr>
          <w:sz w:val="20"/>
          <w:lang w:eastAsia="en-GB"/>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 xml:space="preserve">En 2014, el nivel general de servicios fue del </w:t>
      </w:r>
      <w:r w:rsidRPr="00F22588">
        <w:rPr>
          <w:sz w:val="20"/>
          <w:highlight w:val="white"/>
        </w:rPr>
        <w:t>95,1%</w:t>
      </w:r>
      <w:r w:rsidRPr="00F22588">
        <w:rPr>
          <w:sz w:val="20"/>
        </w:rPr>
        <w:t xml:space="preserve"> en relación con el cumplimiento de los niveles de rendimiento prefijados como objetivo.  En 2015 también se produjo una mejoría, y el nivel general de servicios alcanzó el 95,6%, con lo que los dos años se consiguió el objetivo bienal de superar la referencia del 93% de 2013.</w:t>
      </w:r>
    </w:p>
    <w:p w:rsidR="00CF11D1" w:rsidRPr="00F22588" w:rsidRDefault="00CF11D1" w:rsidP="00CF11D1">
      <w:pPr>
        <w:widowControl w:val="0"/>
        <w:autoSpaceDE w:val="0"/>
        <w:autoSpaceDN w:val="0"/>
        <w:adjustRightInd w:val="0"/>
        <w:jc w:val="both"/>
        <w:rPr>
          <w:sz w:val="20"/>
        </w:rPr>
      </w:pPr>
    </w:p>
    <w:p w:rsidR="00CF11D1" w:rsidRPr="00F22588" w:rsidRDefault="00CF11D1" w:rsidP="00CF11D1">
      <w:pPr>
        <w:widowControl w:val="0"/>
        <w:jc w:val="center"/>
        <w:rPr>
          <w:b/>
          <w:sz w:val="20"/>
        </w:rPr>
      </w:pPr>
    </w:p>
    <w:p w:rsidR="00CF11D1" w:rsidRPr="00F22588" w:rsidRDefault="00CF11D1" w:rsidP="00CF11D1">
      <w:pPr>
        <w:keepNext/>
        <w:widowControl w:val="0"/>
        <w:jc w:val="center"/>
        <w:rPr>
          <w:b/>
          <w:sz w:val="20"/>
        </w:rPr>
      </w:pPr>
      <w:r w:rsidRPr="00F22588">
        <w:rPr>
          <w:b/>
          <w:sz w:val="20"/>
        </w:rPr>
        <w:t>Niveles de los servicios prestados por los sistemas de información</w:t>
      </w:r>
    </w:p>
    <w:p w:rsidR="00CF11D1" w:rsidRPr="00F22588" w:rsidRDefault="00CF11D1" w:rsidP="00CF11D1">
      <w:pPr>
        <w:keepNext/>
        <w:widowControl w:val="0"/>
        <w:autoSpaceDE w:val="0"/>
        <w:autoSpaceDN w:val="0"/>
        <w:adjustRightInd w:val="0"/>
        <w:rPr>
          <w:sz w:val="20"/>
          <w:lang w:eastAsia="en-GB"/>
        </w:rPr>
      </w:pPr>
    </w:p>
    <w:tbl>
      <w:tblPr>
        <w:tblW w:w="9309" w:type="dxa"/>
        <w:tblInd w:w="103" w:type="dxa"/>
        <w:tblLook w:val="04A0" w:firstRow="1" w:lastRow="0" w:firstColumn="1" w:lastColumn="0" w:noHBand="0" w:noVBand="1"/>
      </w:tblPr>
      <w:tblGrid>
        <w:gridCol w:w="400"/>
        <w:gridCol w:w="3149"/>
        <w:gridCol w:w="1788"/>
        <w:gridCol w:w="1692"/>
        <w:gridCol w:w="760"/>
        <w:gridCol w:w="781"/>
        <w:gridCol w:w="760"/>
      </w:tblGrid>
      <w:tr w:rsidR="00CF11D1" w:rsidRPr="00F22588" w:rsidTr="00DC1333">
        <w:trPr>
          <w:trHeight w:val="255"/>
        </w:trPr>
        <w:tc>
          <w:tcPr>
            <w:tcW w:w="400" w:type="dxa"/>
            <w:vMerge w:val="restart"/>
            <w:tcBorders>
              <w:top w:val="single" w:sz="4" w:space="0" w:color="auto"/>
              <w:left w:val="single" w:sz="4" w:space="0" w:color="auto"/>
              <w:bottom w:val="nil"/>
              <w:right w:val="nil"/>
            </w:tcBorders>
            <w:shd w:val="clear" w:color="000000" w:fill="FABF8F"/>
            <w:vAlign w:val="center"/>
            <w:hideMark/>
          </w:tcPr>
          <w:p w:rsidR="00CF11D1" w:rsidRPr="00F22588" w:rsidRDefault="00CF11D1" w:rsidP="00DC1333">
            <w:pPr>
              <w:keepNext/>
              <w:keepLines/>
              <w:jc w:val="center"/>
              <w:rPr>
                <w:b/>
                <w:bCs/>
                <w:color w:val="000000"/>
                <w:sz w:val="18"/>
              </w:rPr>
            </w:pPr>
            <w:r w:rsidRPr="00F22588">
              <w:rPr>
                <w:b/>
                <w:bCs/>
                <w:color w:val="000000"/>
                <w:sz w:val="18"/>
              </w:rPr>
              <w:t>Id</w:t>
            </w:r>
          </w:p>
        </w:tc>
        <w:tc>
          <w:tcPr>
            <w:tcW w:w="3149" w:type="dxa"/>
            <w:tcBorders>
              <w:top w:val="single" w:sz="4" w:space="0" w:color="auto"/>
              <w:left w:val="single" w:sz="4" w:space="0" w:color="auto"/>
              <w:bottom w:val="nil"/>
              <w:right w:val="single" w:sz="4" w:space="0" w:color="auto"/>
            </w:tcBorders>
            <w:shd w:val="clear" w:color="000000" w:fill="FABF8F"/>
            <w:vAlign w:val="center"/>
            <w:hideMark/>
          </w:tcPr>
          <w:p w:rsidR="00CF11D1" w:rsidRPr="00F22588" w:rsidRDefault="00CF11D1" w:rsidP="00DC1333">
            <w:pPr>
              <w:keepNext/>
              <w:keepLines/>
              <w:jc w:val="center"/>
              <w:rPr>
                <w:b/>
                <w:bCs/>
                <w:color w:val="000000"/>
                <w:sz w:val="18"/>
              </w:rPr>
            </w:pPr>
            <w:r w:rsidRPr="00F22588">
              <w:rPr>
                <w:b/>
                <w:bCs/>
                <w:color w:val="000000"/>
                <w:sz w:val="18"/>
              </w:rPr>
              <w:t>Indicadores de rendimiento</w:t>
            </w:r>
          </w:p>
        </w:tc>
        <w:tc>
          <w:tcPr>
            <w:tcW w:w="1788"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CF11D1" w:rsidRPr="00F22588" w:rsidRDefault="00CF11D1" w:rsidP="00DC1333">
            <w:pPr>
              <w:keepNext/>
              <w:keepLines/>
              <w:jc w:val="center"/>
              <w:rPr>
                <w:b/>
                <w:bCs/>
                <w:color w:val="000000"/>
                <w:sz w:val="18"/>
              </w:rPr>
            </w:pPr>
            <w:r w:rsidRPr="00F22588">
              <w:rPr>
                <w:b/>
                <w:bCs/>
                <w:color w:val="000000"/>
                <w:sz w:val="18"/>
              </w:rPr>
              <w:t>Objetivos</w:t>
            </w:r>
          </w:p>
        </w:tc>
        <w:tc>
          <w:tcPr>
            <w:tcW w:w="1692" w:type="dxa"/>
            <w:vMerge w:val="restart"/>
            <w:tcBorders>
              <w:top w:val="single" w:sz="4" w:space="0" w:color="auto"/>
              <w:left w:val="single" w:sz="4" w:space="0" w:color="auto"/>
              <w:bottom w:val="single" w:sz="4" w:space="0" w:color="000000"/>
              <w:right w:val="single" w:sz="4" w:space="0" w:color="auto"/>
            </w:tcBorders>
            <w:shd w:val="clear" w:color="000000" w:fill="FABF8F"/>
            <w:vAlign w:val="center"/>
            <w:hideMark/>
          </w:tcPr>
          <w:p w:rsidR="00CF11D1" w:rsidRPr="00F22588" w:rsidRDefault="00CF11D1" w:rsidP="00DC1333">
            <w:pPr>
              <w:keepNext/>
              <w:keepLines/>
              <w:jc w:val="center"/>
              <w:rPr>
                <w:b/>
                <w:bCs/>
                <w:color w:val="000000"/>
                <w:sz w:val="18"/>
              </w:rPr>
            </w:pPr>
            <w:r w:rsidRPr="00F22588">
              <w:rPr>
                <w:b/>
                <w:bCs/>
                <w:color w:val="000000"/>
                <w:sz w:val="18"/>
              </w:rPr>
              <w:t>Condiciones</w:t>
            </w:r>
          </w:p>
        </w:tc>
        <w:tc>
          <w:tcPr>
            <w:tcW w:w="2280" w:type="dxa"/>
            <w:gridSpan w:val="3"/>
            <w:tcBorders>
              <w:top w:val="single" w:sz="4" w:space="0" w:color="auto"/>
              <w:left w:val="nil"/>
              <w:bottom w:val="single" w:sz="4" w:space="0" w:color="auto"/>
              <w:right w:val="single" w:sz="4" w:space="0" w:color="000000"/>
            </w:tcBorders>
            <w:shd w:val="clear" w:color="000000" w:fill="FABF8F"/>
            <w:vAlign w:val="center"/>
            <w:hideMark/>
          </w:tcPr>
          <w:p w:rsidR="00CF11D1" w:rsidRPr="00F22588" w:rsidRDefault="00CF11D1" w:rsidP="00DC1333">
            <w:pPr>
              <w:keepNext/>
              <w:keepLines/>
              <w:jc w:val="center"/>
              <w:rPr>
                <w:b/>
                <w:bCs/>
                <w:sz w:val="18"/>
              </w:rPr>
            </w:pPr>
            <w:r w:rsidRPr="00F22588">
              <w:rPr>
                <w:b/>
                <w:bCs/>
                <w:sz w:val="18"/>
              </w:rPr>
              <w:t>Resultados</w:t>
            </w:r>
          </w:p>
        </w:tc>
      </w:tr>
      <w:tr w:rsidR="00CF11D1" w:rsidRPr="00F22588" w:rsidTr="00DC1333">
        <w:trPr>
          <w:trHeight w:val="255"/>
        </w:trPr>
        <w:tc>
          <w:tcPr>
            <w:tcW w:w="400" w:type="dxa"/>
            <w:vMerge/>
            <w:tcBorders>
              <w:top w:val="single" w:sz="4" w:space="0" w:color="auto"/>
              <w:left w:val="single" w:sz="4" w:space="0" w:color="auto"/>
              <w:bottom w:val="nil"/>
              <w:right w:val="nil"/>
            </w:tcBorders>
            <w:vAlign w:val="center"/>
            <w:hideMark/>
          </w:tcPr>
          <w:p w:rsidR="00CF11D1" w:rsidRPr="00F22588" w:rsidRDefault="00CF11D1" w:rsidP="00DC1333">
            <w:pPr>
              <w:keepNext/>
              <w:keepLines/>
              <w:rPr>
                <w:b/>
                <w:bCs/>
                <w:color w:val="000000"/>
                <w:sz w:val="18"/>
              </w:rPr>
            </w:pPr>
          </w:p>
        </w:tc>
        <w:tc>
          <w:tcPr>
            <w:tcW w:w="3149" w:type="dxa"/>
            <w:tcBorders>
              <w:top w:val="nil"/>
              <w:left w:val="single" w:sz="4" w:space="0" w:color="auto"/>
              <w:bottom w:val="single" w:sz="4" w:space="0" w:color="auto"/>
              <w:right w:val="single" w:sz="4" w:space="0" w:color="auto"/>
            </w:tcBorders>
            <w:shd w:val="clear" w:color="000000" w:fill="FABF8F"/>
            <w:vAlign w:val="center"/>
            <w:hideMark/>
          </w:tcPr>
          <w:p w:rsidR="00CF11D1" w:rsidRPr="00F22588" w:rsidRDefault="00CF11D1" w:rsidP="00DC1333">
            <w:pPr>
              <w:keepNext/>
              <w:keepLines/>
              <w:jc w:val="center"/>
              <w:rPr>
                <w:b/>
                <w:bCs/>
                <w:i/>
                <w:iCs/>
                <w:color w:val="000000"/>
                <w:sz w:val="18"/>
              </w:rPr>
            </w:pPr>
            <w:r w:rsidRPr="00F22588">
              <w:rPr>
                <w:b/>
                <w:bCs/>
                <w:i/>
                <w:iCs/>
                <w:color w:val="000000"/>
                <w:sz w:val="18"/>
              </w:rPr>
              <w:t>Descripción breve</w:t>
            </w:r>
          </w:p>
        </w:tc>
        <w:tc>
          <w:tcPr>
            <w:tcW w:w="1788" w:type="dxa"/>
            <w:vMerge/>
            <w:tcBorders>
              <w:top w:val="single" w:sz="4" w:space="0" w:color="auto"/>
              <w:left w:val="single" w:sz="4" w:space="0" w:color="auto"/>
              <w:bottom w:val="single" w:sz="4" w:space="0" w:color="000000"/>
              <w:right w:val="single" w:sz="4" w:space="0" w:color="auto"/>
            </w:tcBorders>
            <w:vAlign w:val="center"/>
            <w:hideMark/>
          </w:tcPr>
          <w:p w:rsidR="00CF11D1" w:rsidRPr="00F22588" w:rsidRDefault="00CF11D1" w:rsidP="00DC1333">
            <w:pPr>
              <w:keepNext/>
              <w:keepLines/>
              <w:rPr>
                <w:b/>
                <w:bCs/>
                <w:color w:val="000000"/>
                <w:sz w:val="18"/>
              </w:rPr>
            </w:pPr>
          </w:p>
        </w:tc>
        <w:tc>
          <w:tcPr>
            <w:tcW w:w="1692" w:type="dxa"/>
            <w:vMerge/>
            <w:tcBorders>
              <w:top w:val="single" w:sz="4" w:space="0" w:color="auto"/>
              <w:left w:val="single" w:sz="4" w:space="0" w:color="auto"/>
              <w:bottom w:val="single" w:sz="4" w:space="0" w:color="000000"/>
              <w:right w:val="single" w:sz="4" w:space="0" w:color="auto"/>
            </w:tcBorders>
            <w:vAlign w:val="center"/>
            <w:hideMark/>
          </w:tcPr>
          <w:p w:rsidR="00CF11D1" w:rsidRPr="00F22588" w:rsidRDefault="00CF11D1" w:rsidP="00DC1333">
            <w:pPr>
              <w:keepNext/>
              <w:keepLines/>
              <w:rPr>
                <w:b/>
                <w:bCs/>
                <w:color w:val="000000"/>
                <w:sz w:val="18"/>
              </w:rPr>
            </w:pPr>
          </w:p>
        </w:tc>
        <w:tc>
          <w:tcPr>
            <w:tcW w:w="760" w:type="dxa"/>
            <w:tcBorders>
              <w:top w:val="nil"/>
              <w:left w:val="nil"/>
              <w:bottom w:val="nil"/>
              <w:right w:val="nil"/>
            </w:tcBorders>
            <w:shd w:val="clear" w:color="000000" w:fill="FABF8F"/>
            <w:vAlign w:val="center"/>
            <w:hideMark/>
          </w:tcPr>
          <w:p w:rsidR="00CF11D1" w:rsidRPr="00F22588" w:rsidRDefault="00CF11D1" w:rsidP="00DC1333">
            <w:pPr>
              <w:keepNext/>
              <w:keepLines/>
              <w:jc w:val="center"/>
              <w:rPr>
                <w:b/>
                <w:bCs/>
                <w:sz w:val="18"/>
              </w:rPr>
            </w:pPr>
            <w:r w:rsidRPr="00F22588">
              <w:rPr>
                <w:b/>
                <w:bCs/>
                <w:sz w:val="18"/>
              </w:rPr>
              <w:t>2013</w:t>
            </w:r>
          </w:p>
        </w:tc>
        <w:tc>
          <w:tcPr>
            <w:tcW w:w="760" w:type="dxa"/>
            <w:tcBorders>
              <w:top w:val="nil"/>
              <w:left w:val="single" w:sz="4" w:space="0" w:color="auto"/>
              <w:bottom w:val="single" w:sz="4" w:space="0" w:color="auto"/>
              <w:right w:val="single" w:sz="4" w:space="0" w:color="auto"/>
            </w:tcBorders>
            <w:shd w:val="clear" w:color="000000" w:fill="FABF8F"/>
            <w:vAlign w:val="center"/>
            <w:hideMark/>
          </w:tcPr>
          <w:p w:rsidR="00CF11D1" w:rsidRPr="00F22588" w:rsidRDefault="00CF11D1" w:rsidP="00DC1333">
            <w:pPr>
              <w:keepNext/>
              <w:keepLines/>
              <w:jc w:val="center"/>
              <w:rPr>
                <w:b/>
                <w:bCs/>
                <w:sz w:val="18"/>
              </w:rPr>
            </w:pPr>
            <w:r w:rsidRPr="00F22588">
              <w:rPr>
                <w:b/>
                <w:bCs/>
                <w:sz w:val="18"/>
              </w:rPr>
              <w:t>2014</w:t>
            </w:r>
          </w:p>
        </w:tc>
        <w:tc>
          <w:tcPr>
            <w:tcW w:w="760" w:type="dxa"/>
            <w:tcBorders>
              <w:top w:val="nil"/>
              <w:left w:val="nil"/>
              <w:bottom w:val="nil"/>
              <w:right w:val="single" w:sz="4" w:space="0" w:color="auto"/>
            </w:tcBorders>
            <w:shd w:val="clear" w:color="000000" w:fill="FABF8F"/>
            <w:vAlign w:val="center"/>
            <w:hideMark/>
          </w:tcPr>
          <w:p w:rsidR="00CF11D1" w:rsidRPr="00F22588" w:rsidRDefault="00CF11D1" w:rsidP="00DC1333">
            <w:pPr>
              <w:keepNext/>
              <w:keepLines/>
              <w:jc w:val="center"/>
              <w:rPr>
                <w:b/>
                <w:bCs/>
                <w:sz w:val="20"/>
              </w:rPr>
            </w:pPr>
            <w:r w:rsidRPr="00F22588">
              <w:rPr>
                <w:b/>
                <w:bCs/>
                <w:sz w:val="20"/>
              </w:rPr>
              <w:t>2015</w:t>
            </w:r>
          </w:p>
        </w:tc>
      </w:tr>
      <w:tr w:rsidR="00CF11D1" w:rsidRPr="00F22588" w:rsidTr="00DC1333">
        <w:trPr>
          <w:trHeight w:val="255"/>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w:t>
            </w:r>
          </w:p>
        </w:tc>
        <w:tc>
          <w:tcPr>
            <w:tcW w:w="3149" w:type="dxa"/>
            <w:tcBorders>
              <w:top w:val="nil"/>
              <w:left w:val="nil"/>
              <w:bottom w:val="nil"/>
              <w:right w:val="single" w:sz="4" w:space="0" w:color="auto"/>
            </w:tcBorders>
            <w:shd w:val="clear" w:color="auto" w:fill="auto"/>
            <w:vAlign w:val="center"/>
            <w:hideMark/>
          </w:tcPr>
          <w:p w:rsidR="00CF11D1" w:rsidRPr="00F22588" w:rsidRDefault="00CF11D1" w:rsidP="00DC1333">
            <w:pPr>
              <w:keepNext/>
              <w:widowControl w:val="0"/>
              <w:rPr>
                <w:sz w:val="16"/>
                <w:szCs w:val="16"/>
                <w:lang w:eastAsia="en-GB"/>
              </w:rPr>
            </w:pPr>
            <w:r w:rsidRPr="00F22588">
              <w:rPr>
                <w:sz w:val="16"/>
                <w:szCs w:val="16"/>
                <w:lang w:eastAsia="en-GB"/>
              </w:rPr>
              <w:t>Tiempo de solución de incidentes</w:t>
            </w:r>
          </w:p>
        </w:tc>
        <w:tc>
          <w:tcPr>
            <w:tcW w:w="1788" w:type="dxa"/>
            <w:tcBorders>
              <w:top w:val="nil"/>
              <w:left w:val="nil"/>
              <w:bottom w:val="nil"/>
              <w:right w:val="single" w:sz="4" w:space="0" w:color="auto"/>
            </w:tcBorders>
            <w:shd w:val="clear" w:color="auto" w:fill="auto"/>
            <w:vAlign w:val="center"/>
            <w:hideMark/>
          </w:tcPr>
          <w:p w:rsidR="00CF11D1" w:rsidRPr="00F22588" w:rsidRDefault="00CF11D1" w:rsidP="00DC1333">
            <w:pPr>
              <w:keepNext/>
              <w:widowControl w:val="0"/>
              <w:autoSpaceDE w:val="0"/>
              <w:autoSpaceDN w:val="0"/>
              <w:adjustRightInd w:val="0"/>
              <w:rPr>
                <w:sz w:val="16"/>
                <w:szCs w:val="16"/>
                <w:lang w:eastAsia="en-GB"/>
              </w:rPr>
            </w:pPr>
            <w:r w:rsidRPr="00F22588">
              <w:rPr>
                <w:sz w:val="16"/>
                <w:szCs w:val="16"/>
                <w:lang w:eastAsia="en-GB"/>
              </w:rPr>
              <w:t>Gravedad 1:  4 horas</w:t>
            </w:r>
          </w:p>
        </w:tc>
        <w:tc>
          <w:tcPr>
            <w:tcW w:w="1692"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 xml:space="preserve">Tickets de producción y asistencia </w:t>
            </w:r>
            <w:r w:rsidRPr="00F22588">
              <w:rPr>
                <w:sz w:val="16"/>
                <w:szCs w:val="16"/>
                <w:highlight w:val="white"/>
                <w:lang w:eastAsia="en-GB"/>
              </w:rPr>
              <w:t xml:space="preserve">resueltos por el equipo de </w:t>
            </w:r>
            <w:r w:rsidRPr="00F22588">
              <w:rPr>
                <w:sz w:val="16"/>
                <w:szCs w:val="16"/>
                <w:lang w:eastAsia="en-GB"/>
              </w:rPr>
              <w:t>asistencia</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85,5%</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87,6%</w:t>
            </w:r>
            <w:r w:rsidRPr="00F22588">
              <w:rPr>
                <w:rStyle w:val="FootnoteReference"/>
                <w:sz w:val="16"/>
                <w:szCs w:val="16"/>
              </w:rPr>
              <w:footnoteReference w:id="23"/>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93,6%</w:t>
            </w:r>
          </w:p>
        </w:tc>
      </w:tr>
      <w:tr w:rsidR="00CF11D1" w:rsidRPr="00F22588" w:rsidTr="00DC1333">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3149" w:type="dxa"/>
            <w:vMerge w:val="restart"/>
            <w:tcBorders>
              <w:top w:val="nil"/>
              <w:left w:val="single" w:sz="4" w:space="0" w:color="auto"/>
              <w:bottom w:val="nil"/>
              <w:right w:val="single" w:sz="4" w:space="0" w:color="auto"/>
            </w:tcBorders>
            <w:shd w:val="clear" w:color="auto" w:fill="auto"/>
            <w:vAlign w:val="center"/>
            <w:hideMark/>
          </w:tcPr>
          <w:p w:rsidR="00CF11D1" w:rsidRPr="00F22588" w:rsidRDefault="00CF11D1" w:rsidP="00DC1333">
            <w:pPr>
              <w:keepNext/>
            </w:pPr>
            <w:r w:rsidRPr="00F22588">
              <w:rPr>
                <w:i/>
                <w:sz w:val="16"/>
                <w:szCs w:val="16"/>
                <w:lang w:eastAsia="en-GB"/>
              </w:rPr>
              <w:t>Horas de trabajo (de 7 a 19, en días laborables en la OMPI) entre la creación de un ticket y la solución.</w:t>
            </w:r>
          </w:p>
        </w:tc>
        <w:tc>
          <w:tcPr>
            <w:tcW w:w="1788" w:type="dxa"/>
            <w:tcBorders>
              <w:top w:val="nil"/>
              <w:left w:val="nil"/>
              <w:bottom w:val="nil"/>
              <w:right w:val="single" w:sz="4" w:space="0" w:color="auto"/>
            </w:tcBorders>
            <w:shd w:val="clear" w:color="auto" w:fill="auto"/>
            <w:vAlign w:val="center"/>
            <w:hideMark/>
          </w:tcPr>
          <w:p w:rsidR="00CF11D1" w:rsidRPr="00F22588" w:rsidRDefault="00CF11D1" w:rsidP="00DC1333">
            <w:pPr>
              <w:keepNext/>
              <w:widowControl w:val="0"/>
              <w:autoSpaceDE w:val="0"/>
              <w:autoSpaceDN w:val="0"/>
              <w:adjustRightInd w:val="0"/>
              <w:rPr>
                <w:sz w:val="16"/>
                <w:szCs w:val="16"/>
                <w:lang w:eastAsia="en-GB"/>
              </w:rPr>
            </w:pPr>
            <w:r w:rsidRPr="00F22588">
              <w:rPr>
                <w:sz w:val="16"/>
                <w:szCs w:val="16"/>
                <w:lang w:eastAsia="en-GB"/>
              </w:rPr>
              <w:t>Gravedad 2:  2 días</w:t>
            </w:r>
          </w:p>
        </w:tc>
        <w:tc>
          <w:tcPr>
            <w:tcW w:w="1692"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r>
      <w:tr w:rsidR="00CF11D1" w:rsidRPr="00F22588" w:rsidTr="00DC1333">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3149" w:type="dxa"/>
            <w:vMerge/>
            <w:tcBorders>
              <w:top w:val="nil"/>
              <w:left w:val="single" w:sz="4" w:space="0" w:color="auto"/>
              <w:bottom w:val="nil"/>
              <w:right w:val="single" w:sz="4" w:space="0" w:color="auto"/>
            </w:tcBorders>
            <w:vAlign w:val="center"/>
            <w:hideMark/>
          </w:tcPr>
          <w:p w:rsidR="00CF11D1" w:rsidRPr="00F22588" w:rsidRDefault="00CF11D1" w:rsidP="00DC1333">
            <w:pPr>
              <w:keepNext/>
              <w:keepLines/>
              <w:rPr>
                <w:i/>
                <w:iCs/>
                <w:sz w:val="16"/>
                <w:szCs w:val="16"/>
              </w:rPr>
            </w:pPr>
          </w:p>
        </w:tc>
        <w:tc>
          <w:tcPr>
            <w:tcW w:w="1788" w:type="dxa"/>
            <w:tcBorders>
              <w:top w:val="nil"/>
              <w:left w:val="nil"/>
              <w:bottom w:val="nil"/>
              <w:right w:val="single" w:sz="4" w:space="0" w:color="auto"/>
            </w:tcBorders>
            <w:shd w:val="clear" w:color="auto" w:fill="auto"/>
            <w:vAlign w:val="center"/>
            <w:hideMark/>
          </w:tcPr>
          <w:p w:rsidR="00CF11D1" w:rsidRPr="00F22588" w:rsidRDefault="00CF11D1" w:rsidP="00DC1333">
            <w:pPr>
              <w:widowControl w:val="0"/>
              <w:autoSpaceDE w:val="0"/>
              <w:autoSpaceDN w:val="0"/>
              <w:adjustRightInd w:val="0"/>
              <w:rPr>
                <w:sz w:val="16"/>
                <w:szCs w:val="16"/>
                <w:lang w:eastAsia="en-GB"/>
              </w:rPr>
            </w:pPr>
            <w:r w:rsidRPr="00F22588">
              <w:rPr>
                <w:sz w:val="16"/>
                <w:szCs w:val="16"/>
                <w:lang w:eastAsia="en-GB"/>
              </w:rPr>
              <w:t xml:space="preserve">Gravedad </w:t>
            </w:r>
            <w:r w:rsidRPr="00F22588">
              <w:rPr>
                <w:sz w:val="16"/>
                <w:szCs w:val="16"/>
                <w:highlight w:val="white"/>
                <w:lang w:eastAsia="en-GB"/>
              </w:rPr>
              <w:t>3:  5 días</w:t>
            </w:r>
          </w:p>
        </w:tc>
        <w:tc>
          <w:tcPr>
            <w:tcW w:w="1692"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r>
      <w:tr w:rsidR="00CF11D1" w:rsidRPr="00F22588" w:rsidTr="00DC1333">
        <w:trPr>
          <w:trHeight w:val="255"/>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3149" w:type="dxa"/>
            <w:vMerge/>
            <w:tcBorders>
              <w:top w:val="nil"/>
              <w:left w:val="single" w:sz="4" w:space="0" w:color="auto"/>
              <w:bottom w:val="nil"/>
              <w:right w:val="single" w:sz="4" w:space="0" w:color="auto"/>
            </w:tcBorders>
            <w:vAlign w:val="center"/>
            <w:hideMark/>
          </w:tcPr>
          <w:p w:rsidR="00CF11D1" w:rsidRPr="00F22588" w:rsidRDefault="00CF11D1" w:rsidP="00DC1333">
            <w:pPr>
              <w:keepNext/>
              <w:keepLines/>
              <w:rPr>
                <w:i/>
                <w:iCs/>
                <w:sz w:val="16"/>
                <w:szCs w:val="16"/>
              </w:rPr>
            </w:pPr>
          </w:p>
        </w:tc>
        <w:tc>
          <w:tcPr>
            <w:tcW w:w="1788" w:type="dxa"/>
            <w:tcBorders>
              <w:top w:val="nil"/>
              <w:left w:val="nil"/>
              <w:bottom w:val="nil"/>
              <w:right w:val="single" w:sz="4" w:space="0" w:color="auto"/>
            </w:tcBorders>
            <w:shd w:val="clear" w:color="auto" w:fill="auto"/>
            <w:vAlign w:val="center"/>
            <w:hideMark/>
          </w:tcPr>
          <w:p w:rsidR="00CF11D1" w:rsidRPr="00F22588" w:rsidRDefault="00CF11D1" w:rsidP="00DC1333">
            <w:r w:rsidRPr="00F22588">
              <w:rPr>
                <w:sz w:val="16"/>
                <w:szCs w:val="16"/>
                <w:lang w:eastAsia="en-GB"/>
              </w:rPr>
              <w:t>Gravedad 4:  10 días</w:t>
            </w:r>
          </w:p>
        </w:tc>
        <w:tc>
          <w:tcPr>
            <w:tcW w:w="1692"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r>
      <w:tr w:rsidR="00CF11D1" w:rsidRPr="00F22588" w:rsidTr="00DC1333">
        <w:trPr>
          <w:trHeight w:val="49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2</w:t>
            </w:r>
          </w:p>
        </w:tc>
        <w:tc>
          <w:tcPr>
            <w:tcW w:w="3149" w:type="dxa"/>
            <w:tcBorders>
              <w:top w:val="single" w:sz="4" w:space="0" w:color="auto"/>
              <w:left w:val="nil"/>
              <w:bottom w:val="nil"/>
              <w:right w:val="single" w:sz="4" w:space="0" w:color="auto"/>
            </w:tcBorders>
            <w:shd w:val="clear" w:color="auto" w:fill="auto"/>
            <w:vAlign w:val="center"/>
            <w:hideMark/>
          </w:tcPr>
          <w:p w:rsidR="00CF11D1" w:rsidRPr="00F22588" w:rsidRDefault="00CF11D1" w:rsidP="00DC1333">
            <w:pPr>
              <w:widowControl w:val="0"/>
              <w:rPr>
                <w:sz w:val="16"/>
                <w:szCs w:val="16"/>
                <w:lang w:eastAsia="en-GB"/>
              </w:rPr>
            </w:pPr>
            <w:r w:rsidRPr="00F22588">
              <w:rPr>
                <w:sz w:val="16"/>
                <w:szCs w:val="16"/>
                <w:lang w:eastAsia="en-GB"/>
              </w:rPr>
              <w:t>Tiempo necesario para cargar documentos</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8 horas</w:t>
            </w:r>
          </w:p>
        </w:tc>
        <w:tc>
          <w:tcPr>
            <w:tcW w:w="16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Documentos cargados mediante un proceso total o parcialmente automatizado</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80,0%</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88,2%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89,5%</w:t>
            </w:r>
          </w:p>
        </w:tc>
      </w:tr>
      <w:tr w:rsidR="00CF11D1" w:rsidRPr="00F22588" w:rsidTr="00DC1333">
        <w:trPr>
          <w:trHeight w:val="967"/>
        </w:trPr>
        <w:tc>
          <w:tcPr>
            <w:tcW w:w="40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3149" w:type="dxa"/>
            <w:tcBorders>
              <w:top w:val="nil"/>
              <w:left w:val="nil"/>
              <w:bottom w:val="single" w:sz="4" w:space="0" w:color="auto"/>
              <w:right w:val="single" w:sz="4" w:space="0" w:color="auto"/>
            </w:tcBorders>
            <w:shd w:val="clear" w:color="auto" w:fill="auto"/>
            <w:hideMark/>
          </w:tcPr>
          <w:p w:rsidR="00CF11D1" w:rsidRPr="00F22588" w:rsidRDefault="00CF11D1" w:rsidP="00DC1333">
            <w:r w:rsidRPr="00F22588">
              <w:rPr>
                <w:i/>
                <w:sz w:val="16"/>
                <w:szCs w:val="16"/>
                <w:lang w:eastAsia="en-GB"/>
              </w:rPr>
              <w:t>Tiempo transcurrido entre la recepción del documento en la Oficina Internacional</w:t>
            </w:r>
            <w:r w:rsidRPr="00F22588">
              <w:rPr>
                <w:i/>
                <w:sz w:val="16"/>
                <w:szCs w:val="16"/>
                <w:highlight w:val="white"/>
                <w:lang w:eastAsia="en-GB"/>
              </w:rPr>
              <w:t xml:space="preserve"> y su disponibilidad en </w:t>
            </w:r>
            <w:r w:rsidRPr="00F22588">
              <w:rPr>
                <w:sz w:val="16"/>
                <w:szCs w:val="16"/>
                <w:lang w:eastAsia="en-GB"/>
              </w:rPr>
              <w:t>eDossier</w:t>
            </w:r>
          </w:p>
        </w:tc>
        <w:tc>
          <w:tcPr>
            <w:tcW w:w="1788"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color w:val="000000"/>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CF11D1" w:rsidRPr="00F22588" w:rsidRDefault="00CF11D1" w:rsidP="00DC1333">
            <w:pPr>
              <w:keepNext/>
              <w:keepLines/>
              <w:rPr>
                <w:sz w:val="16"/>
                <w:szCs w:val="16"/>
              </w:rPr>
            </w:pPr>
          </w:p>
        </w:tc>
      </w:tr>
      <w:tr w:rsidR="00CF11D1" w:rsidRPr="00F22588" w:rsidTr="00DC1333">
        <w:trPr>
          <w:trHeight w:val="90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color w:val="000000"/>
                <w:sz w:val="16"/>
                <w:szCs w:val="16"/>
              </w:rPr>
            </w:pPr>
            <w:r w:rsidRPr="00F22588">
              <w:rPr>
                <w:color w:val="000000"/>
                <w:sz w:val="16"/>
                <w:szCs w:val="16"/>
              </w:rPr>
              <w:t>3</w:t>
            </w:r>
          </w:p>
        </w:tc>
        <w:tc>
          <w:tcPr>
            <w:tcW w:w="3149"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Índice de éxito para el tratamiento de trabajos en lote</w:t>
            </w:r>
          </w:p>
        </w:tc>
        <w:tc>
          <w:tcPr>
            <w:tcW w:w="1788"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100%</w:t>
            </w:r>
          </w:p>
        </w:tc>
        <w:tc>
          <w:tcPr>
            <w:tcW w:w="1692"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Los trabajos en lote se completan antes de la hora de cierre en la fecha prevista</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99,6%</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99,5%</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99,6%</w:t>
            </w:r>
          </w:p>
        </w:tc>
      </w:tr>
      <w:tr w:rsidR="00CF11D1" w:rsidRPr="00F22588" w:rsidTr="00DC1333">
        <w:trPr>
          <w:trHeight w:val="450"/>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color w:val="000000"/>
                <w:sz w:val="16"/>
                <w:szCs w:val="16"/>
              </w:rPr>
            </w:pPr>
            <w:r w:rsidRPr="00F22588">
              <w:rPr>
                <w:color w:val="000000"/>
                <w:sz w:val="16"/>
                <w:szCs w:val="16"/>
              </w:rPr>
              <w:t>4</w:t>
            </w:r>
          </w:p>
        </w:tc>
        <w:tc>
          <w:tcPr>
            <w:tcW w:w="3149"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 xml:space="preserve">Disponibilidad del sistema </w:t>
            </w:r>
            <w:r w:rsidRPr="00F22588">
              <w:rPr>
                <w:i/>
                <w:sz w:val="16"/>
                <w:szCs w:val="16"/>
                <w:lang w:eastAsia="en-GB"/>
              </w:rPr>
              <w:t>eDossier</w:t>
            </w:r>
          </w:p>
        </w:tc>
        <w:tc>
          <w:tcPr>
            <w:tcW w:w="1788"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99%</w:t>
            </w:r>
          </w:p>
        </w:tc>
        <w:tc>
          <w:tcPr>
            <w:tcW w:w="1692"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De 7 a 19, en días laborables</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r>
      <w:tr w:rsidR="00CF11D1" w:rsidRPr="00F22588" w:rsidTr="00DC1333">
        <w:trPr>
          <w:trHeight w:val="318"/>
        </w:trPr>
        <w:tc>
          <w:tcPr>
            <w:tcW w:w="400" w:type="dxa"/>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color w:val="000000"/>
                <w:sz w:val="16"/>
                <w:szCs w:val="16"/>
              </w:rPr>
            </w:pPr>
            <w:r w:rsidRPr="00F22588">
              <w:rPr>
                <w:color w:val="000000"/>
                <w:sz w:val="16"/>
                <w:szCs w:val="16"/>
              </w:rPr>
              <w:t>5</w:t>
            </w:r>
          </w:p>
        </w:tc>
        <w:tc>
          <w:tcPr>
            <w:tcW w:w="3149"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sz w:val="16"/>
                <w:szCs w:val="16"/>
                <w:lang w:eastAsia="en-GB"/>
              </w:rPr>
              <w:t xml:space="preserve">Disponibilidad del sistema </w:t>
            </w:r>
            <w:r w:rsidRPr="00F22588">
              <w:rPr>
                <w:i/>
                <w:sz w:val="16"/>
                <w:szCs w:val="16"/>
                <w:lang w:eastAsia="en-GB"/>
              </w:rPr>
              <w:t>ePCT</w:t>
            </w:r>
          </w:p>
        </w:tc>
        <w:tc>
          <w:tcPr>
            <w:tcW w:w="1788"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99%</w:t>
            </w:r>
          </w:p>
        </w:tc>
        <w:tc>
          <w:tcPr>
            <w:tcW w:w="1692"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rPr>
                <w:color w:val="000000"/>
                <w:sz w:val="16"/>
                <w:szCs w:val="16"/>
              </w:rPr>
            </w:pPr>
            <w:r w:rsidRPr="00F22588">
              <w:rPr>
                <w:color w:val="000000"/>
                <w:sz w:val="16"/>
                <w:szCs w:val="16"/>
              </w:rPr>
              <w:t>24 horas</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c>
          <w:tcPr>
            <w:tcW w:w="760" w:type="dxa"/>
            <w:tcBorders>
              <w:top w:val="nil"/>
              <w:left w:val="nil"/>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sz w:val="16"/>
                <w:szCs w:val="16"/>
              </w:rPr>
            </w:pPr>
            <w:r w:rsidRPr="00F22588">
              <w:rPr>
                <w:sz w:val="16"/>
                <w:szCs w:val="16"/>
              </w:rPr>
              <w:t>100,0%</w:t>
            </w:r>
          </w:p>
        </w:tc>
      </w:tr>
      <w:tr w:rsidR="00CF11D1" w:rsidRPr="00F22588" w:rsidTr="00DC1333">
        <w:trPr>
          <w:trHeight w:val="450"/>
        </w:trPr>
        <w:tc>
          <w:tcPr>
            <w:tcW w:w="40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b/>
                <w:bCs/>
                <w:color w:val="000000"/>
                <w:sz w:val="16"/>
                <w:szCs w:val="16"/>
              </w:rPr>
            </w:pPr>
            <w:r w:rsidRPr="00F22588">
              <w:rPr>
                <w:b/>
                <w:bCs/>
                <w:color w:val="000000"/>
                <w:sz w:val="16"/>
                <w:szCs w:val="16"/>
              </w:rPr>
              <w:t> </w:t>
            </w:r>
          </w:p>
        </w:tc>
        <w:tc>
          <w:tcPr>
            <w:tcW w:w="3149" w:type="dxa"/>
            <w:tcBorders>
              <w:top w:val="nil"/>
              <w:left w:val="nil"/>
              <w:bottom w:val="nil"/>
              <w:right w:val="single" w:sz="4" w:space="0" w:color="auto"/>
            </w:tcBorders>
            <w:shd w:val="clear" w:color="auto" w:fill="auto"/>
            <w:vAlign w:val="center"/>
            <w:hideMark/>
          </w:tcPr>
          <w:p w:rsidR="00CF11D1" w:rsidRPr="00F22588" w:rsidRDefault="00CF11D1" w:rsidP="00DC1333">
            <w:pPr>
              <w:widowControl w:val="0"/>
              <w:autoSpaceDE w:val="0"/>
              <w:autoSpaceDN w:val="0"/>
              <w:adjustRightInd w:val="0"/>
              <w:rPr>
                <w:b/>
                <w:sz w:val="16"/>
                <w:szCs w:val="16"/>
                <w:lang w:eastAsia="en-GB"/>
              </w:rPr>
            </w:pPr>
            <w:r w:rsidRPr="00F22588">
              <w:rPr>
                <w:b/>
                <w:sz w:val="16"/>
                <w:szCs w:val="16"/>
                <w:highlight w:val="white"/>
                <w:lang w:eastAsia="en-GB"/>
              </w:rPr>
              <w:t>Niveles de los servicios prestados por los sistemas de Información</w:t>
            </w:r>
          </w:p>
        </w:tc>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b/>
                <w:bCs/>
                <w:color w:val="000000"/>
                <w:sz w:val="16"/>
                <w:szCs w:val="16"/>
              </w:rPr>
            </w:pPr>
            <w:r w:rsidRPr="00F22588">
              <w:rPr>
                <w:b/>
                <w:bCs/>
                <w:color w:val="000000"/>
                <w:sz w:val="16"/>
                <w:szCs w:val="16"/>
              </w:rPr>
              <w:t> </w:t>
            </w:r>
          </w:p>
        </w:tc>
        <w:tc>
          <w:tcPr>
            <w:tcW w:w="1692"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rPr>
                <w:b/>
                <w:bCs/>
                <w:color w:val="000000"/>
                <w:sz w:val="16"/>
                <w:szCs w:val="16"/>
              </w:rPr>
            </w:pPr>
            <w:r w:rsidRPr="00F22588">
              <w:rPr>
                <w:b/>
                <w:bCs/>
                <w:color w:val="000000"/>
                <w:sz w:val="16"/>
                <w:szCs w:val="16"/>
              </w:rPr>
              <w:t> </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b/>
                <w:bCs/>
                <w:sz w:val="16"/>
                <w:szCs w:val="16"/>
              </w:rPr>
            </w:pPr>
            <w:r w:rsidRPr="00F22588">
              <w:rPr>
                <w:b/>
                <w:bCs/>
                <w:sz w:val="16"/>
                <w:szCs w:val="16"/>
              </w:rPr>
              <w:t>93,0%</w:t>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b/>
                <w:bCs/>
                <w:sz w:val="16"/>
                <w:szCs w:val="16"/>
              </w:rPr>
            </w:pPr>
            <w:r w:rsidRPr="00F22588">
              <w:rPr>
                <w:b/>
                <w:bCs/>
                <w:sz w:val="16"/>
                <w:szCs w:val="16"/>
              </w:rPr>
              <w:t>95,1%</w:t>
            </w:r>
            <w:r w:rsidRPr="00F22588">
              <w:rPr>
                <w:rStyle w:val="FootnoteReference"/>
                <w:b/>
                <w:bCs/>
                <w:sz w:val="16"/>
                <w:szCs w:val="16"/>
              </w:rPr>
              <w:footnoteReference w:id="24"/>
            </w:r>
          </w:p>
        </w:tc>
        <w:tc>
          <w:tcPr>
            <w:tcW w:w="760" w:type="dxa"/>
            <w:vMerge w:val="restart"/>
            <w:tcBorders>
              <w:top w:val="nil"/>
              <w:left w:val="single" w:sz="4" w:space="0" w:color="auto"/>
              <w:bottom w:val="single" w:sz="4" w:space="0" w:color="auto"/>
              <w:right w:val="single" w:sz="4" w:space="0" w:color="auto"/>
            </w:tcBorders>
            <w:shd w:val="clear" w:color="auto" w:fill="auto"/>
            <w:vAlign w:val="center"/>
            <w:hideMark/>
          </w:tcPr>
          <w:p w:rsidR="00CF11D1" w:rsidRPr="00F22588" w:rsidRDefault="00CF11D1" w:rsidP="00DC1333">
            <w:pPr>
              <w:keepNext/>
              <w:keepLines/>
              <w:jc w:val="center"/>
              <w:rPr>
                <w:b/>
                <w:bCs/>
                <w:sz w:val="16"/>
                <w:szCs w:val="16"/>
              </w:rPr>
            </w:pPr>
            <w:r w:rsidRPr="00F22588">
              <w:rPr>
                <w:b/>
                <w:bCs/>
                <w:sz w:val="16"/>
                <w:szCs w:val="16"/>
              </w:rPr>
              <w:t>96,5%</w:t>
            </w:r>
          </w:p>
        </w:tc>
      </w:tr>
      <w:tr w:rsidR="00CF11D1" w:rsidRPr="00F22588" w:rsidTr="00DC1333">
        <w:trPr>
          <w:trHeight w:val="938"/>
        </w:trPr>
        <w:tc>
          <w:tcPr>
            <w:tcW w:w="40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color w:val="000000"/>
                <w:sz w:val="16"/>
                <w:szCs w:val="16"/>
              </w:rPr>
            </w:pPr>
          </w:p>
        </w:tc>
        <w:tc>
          <w:tcPr>
            <w:tcW w:w="3149" w:type="dxa"/>
            <w:tcBorders>
              <w:top w:val="nil"/>
              <w:left w:val="nil"/>
              <w:bottom w:val="single" w:sz="4" w:space="0" w:color="auto"/>
              <w:right w:val="single" w:sz="4" w:space="0" w:color="auto"/>
            </w:tcBorders>
            <w:shd w:val="clear" w:color="auto" w:fill="auto"/>
            <w:hideMark/>
          </w:tcPr>
          <w:p w:rsidR="00CF11D1" w:rsidRPr="00F22588" w:rsidRDefault="00CF11D1" w:rsidP="00DC1333">
            <w:r w:rsidRPr="00F22588">
              <w:rPr>
                <w:b/>
                <w:i/>
                <w:sz w:val="16"/>
                <w:szCs w:val="16"/>
                <w:highlight w:val="white"/>
                <w:lang w:eastAsia="en-GB"/>
              </w:rPr>
              <w:t xml:space="preserve">Promedio ponderado de los indicadores que figuran </w:t>
            </w:r>
            <w:r w:rsidRPr="00F22588">
              <w:rPr>
                <w:b/>
                <w:sz w:val="16"/>
                <w:szCs w:val="16"/>
                <w:highlight w:val="white"/>
                <w:lang w:eastAsia="en-GB"/>
              </w:rPr>
              <w:t>supra</w:t>
            </w:r>
            <w:proofErr w:type="gramStart"/>
            <w:r w:rsidRPr="00F22588">
              <w:rPr>
                <w:b/>
                <w:i/>
                <w:sz w:val="16"/>
                <w:szCs w:val="16"/>
                <w:lang w:eastAsia="en-GB"/>
              </w:rPr>
              <w:t>:  1</w:t>
            </w:r>
            <w:proofErr w:type="gramEnd"/>
            <w:r w:rsidRPr="00F22588">
              <w:rPr>
                <w:b/>
                <w:i/>
                <w:sz w:val="16"/>
                <w:szCs w:val="16"/>
                <w:lang w:eastAsia="en-GB"/>
              </w:rPr>
              <w:t>):  20%, 2):  20%, 3):  20%, 4):  20%, 5):  20%.</w:t>
            </w:r>
          </w:p>
        </w:tc>
        <w:tc>
          <w:tcPr>
            <w:tcW w:w="1788"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color w:val="000000"/>
                <w:sz w:val="16"/>
                <w:szCs w:val="16"/>
              </w:rPr>
            </w:pPr>
          </w:p>
        </w:tc>
        <w:tc>
          <w:tcPr>
            <w:tcW w:w="1692"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color w:val="000000"/>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sz w:val="16"/>
                <w:szCs w:val="16"/>
              </w:rPr>
            </w:pPr>
          </w:p>
        </w:tc>
        <w:tc>
          <w:tcPr>
            <w:tcW w:w="760" w:type="dxa"/>
            <w:vMerge/>
            <w:tcBorders>
              <w:top w:val="nil"/>
              <w:left w:val="single" w:sz="4" w:space="0" w:color="auto"/>
              <w:bottom w:val="single" w:sz="4" w:space="0" w:color="auto"/>
              <w:right w:val="single" w:sz="4" w:space="0" w:color="auto"/>
            </w:tcBorders>
            <w:vAlign w:val="center"/>
            <w:hideMark/>
          </w:tcPr>
          <w:p w:rsidR="00CF11D1" w:rsidRPr="00F22588" w:rsidRDefault="00CF11D1" w:rsidP="00DC1333">
            <w:pPr>
              <w:keepNext/>
              <w:keepLines/>
              <w:rPr>
                <w:b/>
                <w:bCs/>
                <w:sz w:val="16"/>
                <w:szCs w:val="16"/>
              </w:rPr>
            </w:pPr>
          </w:p>
        </w:tc>
      </w:tr>
      <w:tr w:rsidR="00CF11D1" w:rsidRPr="00F22588" w:rsidTr="00DC1333">
        <w:trPr>
          <w:trHeight w:val="255"/>
        </w:trPr>
        <w:tc>
          <w:tcPr>
            <w:tcW w:w="3549" w:type="dxa"/>
            <w:gridSpan w:val="2"/>
            <w:tcBorders>
              <w:top w:val="nil"/>
              <w:left w:val="nil"/>
              <w:bottom w:val="nil"/>
              <w:right w:val="nil"/>
            </w:tcBorders>
            <w:shd w:val="clear" w:color="auto" w:fill="auto"/>
            <w:noWrap/>
            <w:vAlign w:val="center"/>
            <w:hideMark/>
          </w:tcPr>
          <w:p w:rsidR="00CF11D1" w:rsidRPr="00F22588" w:rsidRDefault="00CF11D1" w:rsidP="00DC1333">
            <w:pPr>
              <w:keepNext/>
              <w:keepLines/>
              <w:ind w:right="-108"/>
              <w:rPr>
                <w:color w:val="000000"/>
                <w:sz w:val="16"/>
                <w:szCs w:val="16"/>
              </w:rPr>
            </w:pPr>
            <w:r w:rsidRPr="00F22588">
              <w:rPr>
                <w:color w:val="000000"/>
                <w:sz w:val="16"/>
                <w:szCs w:val="16"/>
              </w:rPr>
              <w:t>Fuente:  Operaciones del PCT, febrero de 2016</w:t>
            </w:r>
          </w:p>
        </w:tc>
        <w:tc>
          <w:tcPr>
            <w:tcW w:w="1788"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c>
          <w:tcPr>
            <w:tcW w:w="1692"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c>
          <w:tcPr>
            <w:tcW w:w="760"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c>
          <w:tcPr>
            <w:tcW w:w="760"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c>
          <w:tcPr>
            <w:tcW w:w="760" w:type="dxa"/>
            <w:tcBorders>
              <w:top w:val="nil"/>
              <w:left w:val="nil"/>
              <w:bottom w:val="nil"/>
              <w:right w:val="nil"/>
            </w:tcBorders>
            <w:shd w:val="clear" w:color="auto" w:fill="auto"/>
            <w:noWrap/>
            <w:vAlign w:val="bottom"/>
            <w:hideMark/>
          </w:tcPr>
          <w:p w:rsidR="00CF11D1" w:rsidRPr="00F22588" w:rsidRDefault="00CF11D1" w:rsidP="00DC1333">
            <w:pPr>
              <w:keepNext/>
              <w:keepLines/>
            </w:pPr>
          </w:p>
        </w:tc>
      </w:tr>
    </w:tbl>
    <w:p w:rsidR="00CF11D1" w:rsidRDefault="00CF11D1" w:rsidP="00CF11D1">
      <w:pPr>
        <w:widowControl w:val="0"/>
        <w:rPr>
          <w:b/>
          <w:sz w:val="20"/>
          <w:highlight w:val="yellow"/>
        </w:rPr>
      </w:pPr>
    </w:p>
    <w:p w:rsidR="00CF11D1" w:rsidRPr="00F22588" w:rsidRDefault="00CF11D1" w:rsidP="00CF11D1">
      <w:pPr>
        <w:widowControl w:val="0"/>
        <w:rPr>
          <w:b/>
          <w:sz w:val="20"/>
          <w:highlight w:val="yellow"/>
        </w:rPr>
      </w:pPr>
    </w:p>
    <w:p w:rsidR="00CF11D1" w:rsidRPr="00F22588" w:rsidRDefault="00CF11D1" w:rsidP="00CF11D1">
      <w:pPr>
        <w:widowControl w:val="0"/>
        <w:rPr>
          <w:b/>
          <w:sz w:val="20"/>
        </w:rPr>
      </w:pPr>
      <w:r w:rsidRPr="00F22588">
        <w:rPr>
          <w:b/>
          <w:sz w:val="20"/>
          <w:highlight w:val="white"/>
        </w:rPr>
        <w:t>Oficina Internacional</w:t>
      </w:r>
      <w:r w:rsidRPr="00F22588">
        <w:rPr>
          <w:b/>
          <w:sz w:val="20"/>
        </w:rPr>
        <w:t xml:space="preserve"> actuando en calidad de Oficina receptora (RO/IB)</w:t>
      </w:r>
    </w:p>
    <w:p w:rsidR="00CF11D1" w:rsidRPr="00F22588" w:rsidRDefault="00CF11D1" w:rsidP="00CF11D1">
      <w:pPr>
        <w:widowControl w:val="0"/>
        <w:rPr>
          <w:b/>
          <w:sz w:val="20"/>
        </w:rPr>
      </w:pPr>
    </w:p>
    <w:p w:rsidR="00CF11D1" w:rsidRPr="00F22588" w:rsidRDefault="00CF11D1" w:rsidP="00CF11D1">
      <w:pPr>
        <w:widowControl w:val="0"/>
        <w:rPr>
          <w:i/>
          <w:sz w:val="20"/>
        </w:rPr>
      </w:pPr>
      <w:r w:rsidRPr="00F22588">
        <w:rPr>
          <w:i/>
          <w:sz w:val="20"/>
        </w:rPr>
        <w:t xml:space="preserve">Presentación de solicitudes </w:t>
      </w:r>
    </w:p>
    <w:p w:rsidR="00CF11D1" w:rsidRPr="00F22588" w:rsidRDefault="00CF11D1" w:rsidP="00CF11D1">
      <w:pPr>
        <w:widowControl w:val="0"/>
        <w:rPr>
          <w:b/>
          <w:sz w:val="20"/>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 xml:space="preserve">En este cuadro se muestra la actividad de presentación de solicitudes PCT con respecto a las diez principales oficinas receptoras desde los últimos cinco años hasta 2015.  En principio, las solicitudes PCT se presentan en la oficina de patentes del país de residencia del solicitante o en una oficina regional de patentes con jurisdicción sobre el lugar de residencia del solicitante.  </w:t>
      </w:r>
      <w:r w:rsidRPr="00F22588">
        <w:rPr>
          <w:sz w:val="20"/>
          <w:highlight w:val="white"/>
        </w:rPr>
        <w:t>La Oficina Internacional es la Oficina receptora competente</w:t>
      </w:r>
      <w:r w:rsidRPr="00F22588">
        <w:rPr>
          <w:sz w:val="20"/>
        </w:rPr>
        <w:t xml:space="preserve"> (RO/IB) para los solicitantes de todos los Estados contratantes del </w:t>
      </w:r>
      <w:r w:rsidRPr="00F22588">
        <w:rPr>
          <w:sz w:val="20"/>
          <w:highlight w:val="white"/>
        </w:rPr>
        <w:t xml:space="preserve"> PCT</w:t>
      </w:r>
      <w:r w:rsidRPr="00F22588">
        <w:rPr>
          <w:sz w:val="20"/>
        </w:rPr>
        <w:t xml:space="preserve">.  En el cuadro se muestra la evolución en la presentación de solicitudes ante la RO/IB, el </w:t>
      </w:r>
      <w:r w:rsidRPr="00F22588">
        <w:rPr>
          <w:i/>
          <w:sz w:val="20"/>
        </w:rPr>
        <w:t>ranking</w:t>
      </w:r>
      <w:r w:rsidRPr="00F22588">
        <w:rPr>
          <w:sz w:val="20"/>
        </w:rPr>
        <w:t xml:space="preserve"> que le corresponde en lo relativo al número de solicitudes recibidas por otras oficinas receptoras, así como su cuota de mercado.</w:t>
      </w:r>
    </w:p>
    <w:p w:rsidR="00CF11D1" w:rsidRPr="00F22588" w:rsidRDefault="00CF11D1" w:rsidP="00CF11D1">
      <w:pPr>
        <w:widowControl w:val="0"/>
        <w:jc w:val="both"/>
        <w:rPr>
          <w:sz w:val="20"/>
          <w:highlight w:val="yellow"/>
        </w:rPr>
      </w:pPr>
    </w:p>
    <w:p w:rsidR="00CF11D1" w:rsidRPr="00F22588" w:rsidRDefault="00CF11D1" w:rsidP="00CF11D1">
      <w:pPr>
        <w:widowControl w:val="0"/>
        <w:jc w:val="both"/>
        <w:rPr>
          <w:sz w:val="20"/>
          <w:highlight w:val="yellow"/>
        </w:rPr>
      </w:pPr>
      <w:r w:rsidRPr="00442B27">
        <w:rPr>
          <w:noProof/>
          <w:lang w:val="en-US" w:eastAsia="en-US"/>
        </w:rPr>
        <w:lastRenderedPageBreak/>
        <w:drawing>
          <wp:inline distT="0" distB="0" distL="0" distR="0" wp14:anchorId="25E5C435" wp14:editId="7AA4F221">
            <wp:extent cx="5940425" cy="2735630"/>
            <wp:effectExtent l="0" t="0" r="317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2735630"/>
                    </a:xfrm>
                    <a:prstGeom prst="rect">
                      <a:avLst/>
                    </a:prstGeom>
                    <a:noFill/>
                    <a:ln>
                      <a:noFill/>
                    </a:ln>
                  </pic:spPr>
                </pic:pic>
              </a:graphicData>
            </a:graphic>
          </wp:inline>
        </w:drawing>
      </w:r>
    </w:p>
    <w:p w:rsidR="00CF11D1" w:rsidRPr="00F22588" w:rsidRDefault="00CF11D1" w:rsidP="00CF11D1">
      <w:pPr>
        <w:widowControl w:val="0"/>
        <w:rPr>
          <w:sz w:val="20"/>
          <w:highlight w:val="yellow"/>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highlight w:val="white"/>
        </w:rPr>
        <w:t>En el presupuesto por programas de 2014/15</w:t>
      </w:r>
      <w:r w:rsidRPr="00F22588">
        <w:rPr>
          <w:sz w:val="20"/>
        </w:rPr>
        <w:t xml:space="preserve">, se añadieron los dos indicadores de rendimiento siguientes para la </w:t>
      </w:r>
      <w:r w:rsidRPr="00F22588">
        <w:rPr>
          <w:sz w:val="20"/>
          <w:highlight w:val="white"/>
        </w:rPr>
        <w:t>RO/IB</w:t>
      </w:r>
      <w:r w:rsidRPr="00F22588">
        <w:rPr>
          <w:sz w:val="20"/>
        </w:rPr>
        <w:t>:</w:t>
      </w:r>
    </w:p>
    <w:p w:rsidR="00CF11D1" w:rsidRPr="007C5F41" w:rsidRDefault="00CF11D1" w:rsidP="00CF11D1">
      <w:pPr>
        <w:pStyle w:val="PlainText"/>
        <w:widowControl w:val="0"/>
        <w:rPr>
          <w:rFonts w:ascii="Arial" w:hAnsi="Arial" w:cs="Arial"/>
          <w:color w:val="auto"/>
          <w:lang w:val="es-ES"/>
        </w:rPr>
      </w:pPr>
    </w:p>
    <w:p w:rsidR="00CF11D1" w:rsidRPr="007C5F41" w:rsidRDefault="00CF11D1" w:rsidP="00CF11D1">
      <w:pPr>
        <w:pStyle w:val="PlainText"/>
        <w:widowControl w:val="0"/>
        <w:rPr>
          <w:rFonts w:ascii="Arial" w:hAnsi="Arial" w:cs="Arial"/>
          <w:color w:val="auto"/>
          <w:lang w:val="es-ES"/>
        </w:rPr>
      </w:pPr>
      <w:r w:rsidRPr="007C5F41">
        <w:rPr>
          <w:rFonts w:ascii="Arial" w:hAnsi="Arial" w:cs="Arial"/>
          <w:i/>
          <w:color w:val="auto"/>
          <w:lang w:val="es-ES"/>
        </w:rPr>
        <w:t>Tiempo necesario para la notificación de la fecha de presentación de la solicitud internacional</w:t>
      </w:r>
    </w:p>
    <w:p w:rsidR="00CF11D1" w:rsidRPr="007C5F41" w:rsidRDefault="00CF11D1" w:rsidP="00CF11D1">
      <w:pPr>
        <w:pStyle w:val="PlainText"/>
        <w:widowControl w:val="0"/>
        <w:rPr>
          <w:rFonts w:ascii="Arial" w:hAnsi="Arial" w:cs="Arial"/>
          <w:color w:val="auto"/>
          <w:lang w:val="es-ES"/>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Este indicador refleja el tiempo que tarda la RO/IB en expedir el formulario 105.   Se expide este formulario una vez otorgada la fecha de presentación internacional.   Los solicitantes agradecen que se les envíe lo antes posible, puesto que la solicitud internacional surtirá el mismo efecto que una solicitud nacional común que haya sido presentada en cada uno de los Estados designados en la fecha de presentación internacional, que será considerada como la fecha de presentación efectiva en cada Estado designado.</w:t>
      </w:r>
    </w:p>
    <w:p w:rsidR="00CF11D1" w:rsidRPr="00F22588" w:rsidRDefault="00CF11D1" w:rsidP="00CF11D1">
      <w:pPr>
        <w:pStyle w:val="BodyText2"/>
        <w:widowControl w:val="0"/>
        <w:spacing w:after="0" w:line="240" w:lineRule="auto"/>
        <w:jc w:val="both"/>
        <w:rPr>
          <w:rFonts w:cs="Arial"/>
          <w:szCs w:val="20"/>
          <w:lang w:val="es-ES"/>
        </w:rPr>
      </w:pPr>
    </w:p>
    <w:p w:rsidR="00CF11D1" w:rsidRPr="007C5F41" w:rsidRDefault="00CF11D1" w:rsidP="00CF11D1">
      <w:pPr>
        <w:pStyle w:val="PlainText"/>
        <w:widowControl w:val="0"/>
        <w:jc w:val="center"/>
        <w:rPr>
          <w:rFonts w:ascii="Arial" w:hAnsi="Arial" w:cs="Arial"/>
          <w:b/>
          <w:color w:val="auto"/>
          <w:sz w:val="18"/>
          <w:szCs w:val="18"/>
          <w:lang w:val="es-ES"/>
        </w:rPr>
      </w:pPr>
      <w:r w:rsidRPr="007C5F41">
        <w:rPr>
          <w:rFonts w:ascii="Arial" w:hAnsi="Arial" w:cs="Arial"/>
          <w:b/>
          <w:color w:val="auto"/>
          <w:sz w:val="18"/>
          <w:szCs w:val="18"/>
          <w:lang w:val="es-ES"/>
        </w:rPr>
        <w:t>Tiempo necesario para la notificación de la fecha de presentación de la solicitud internacional</w:t>
      </w:r>
    </w:p>
    <w:p w:rsidR="00CF11D1" w:rsidRPr="00F22588" w:rsidRDefault="00CF11D1" w:rsidP="00CF11D1">
      <w:pPr>
        <w:pStyle w:val="PlainText"/>
        <w:widowControl w:val="0"/>
        <w:jc w:val="center"/>
        <w:rPr>
          <w:rFonts w:ascii="Arial" w:hAnsi="Arial" w:cs="Arial"/>
          <w:b/>
          <w:color w:val="auto"/>
        </w:rPr>
      </w:pPr>
      <w:r w:rsidRPr="00442B27">
        <w:rPr>
          <w:noProof/>
          <w:lang w:eastAsia="en-US"/>
        </w:rPr>
        <w:drawing>
          <wp:inline distT="0" distB="0" distL="0" distR="0" wp14:anchorId="24E9C3C4" wp14:editId="3707FFB5">
            <wp:extent cx="5940425" cy="2551622"/>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2551622"/>
                    </a:xfrm>
                    <a:prstGeom prst="rect">
                      <a:avLst/>
                    </a:prstGeom>
                    <a:noFill/>
                    <a:ln>
                      <a:noFill/>
                    </a:ln>
                  </pic:spPr>
                </pic:pic>
              </a:graphicData>
            </a:graphic>
          </wp:inline>
        </w:drawing>
      </w:r>
    </w:p>
    <w:p w:rsidR="00CF11D1" w:rsidRPr="00F22588" w:rsidRDefault="00CF11D1" w:rsidP="00CF11D1">
      <w:pPr>
        <w:pStyle w:val="PlainText"/>
        <w:widowControl w:val="0"/>
        <w:rPr>
          <w:rFonts w:ascii="Arial" w:hAnsi="Arial" w:cs="Arial"/>
          <w:color w:val="auto"/>
        </w:rPr>
      </w:pPr>
    </w:p>
    <w:p w:rsidR="00CF11D1" w:rsidRPr="007C5F41" w:rsidRDefault="00CF11D1" w:rsidP="00CF11D1">
      <w:pPr>
        <w:pStyle w:val="PlainText"/>
        <w:widowControl w:val="0"/>
        <w:rPr>
          <w:rFonts w:ascii="Arial" w:hAnsi="Arial" w:cs="Arial"/>
          <w:i/>
          <w:color w:val="auto"/>
          <w:lang w:val="es-ES"/>
        </w:rPr>
      </w:pPr>
      <w:r w:rsidRPr="007C5F41">
        <w:rPr>
          <w:rFonts w:ascii="Arial" w:hAnsi="Arial" w:cs="Arial"/>
          <w:i/>
          <w:color w:val="auto"/>
          <w:lang w:val="es-ES"/>
        </w:rPr>
        <w:t>Tiempo necesario para la transmisión de la copia para la búsqueda</w:t>
      </w:r>
    </w:p>
    <w:p w:rsidR="00CF11D1" w:rsidRPr="007C5F41" w:rsidRDefault="00CF11D1" w:rsidP="00CF11D1">
      <w:pPr>
        <w:pStyle w:val="PlainText"/>
        <w:widowControl w:val="0"/>
        <w:rPr>
          <w:rFonts w:ascii="Arial" w:hAnsi="Arial" w:cs="Arial"/>
          <w:color w:val="auto"/>
          <w:lang w:val="es-ES"/>
        </w:rPr>
      </w:pPr>
    </w:p>
    <w:p w:rsidR="00CF11D1" w:rsidRPr="00F22588" w:rsidRDefault="00CF11D1" w:rsidP="00CF11D1">
      <w:pPr>
        <w:widowControl w:val="0"/>
        <w:numPr>
          <w:ilvl w:val="0"/>
          <w:numId w:val="21"/>
        </w:numPr>
        <w:tabs>
          <w:tab w:val="clear" w:pos="709"/>
          <w:tab w:val="num" w:pos="567"/>
        </w:tabs>
        <w:ind w:left="0"/>
        <w:jc w:val="both"/>
        <w:rPr>
          <w:sz w:val="20"/>
        </w:rPr>
      </w:pPr>
      <w:r w:rsidRPr="00F22588">
        <w:rPr>
          <w:sz w:val="20"/>
        </w:rPr>
        <w:t>Este indicador refleja el tiempo que tarda la RO/IB en transmitir las copias para la búsqueda a las Administraciones encargadas de la búsqueda internacional.  La copia para la búsqueda debe ser transmitida lo antes posible tras el pago de la tasa, para que la Administración encargada de la búsqueda internacional pueda elaborar el informe sobre la búsqueda internacional dentro de los plazos dispuestos en el marco regulador del PCT.  La demora en el pago de la tasa demorará la transmisión de las copias para la búsqueda a las Administraciones encargadas de la búsqueda internacional y, por lo tanto, incidirá negativamente en la capacidad de dichas Administraciones de cumplir con esos plazos.</w:t>
      </w:r>
    </w:p>
    <w:p w:rsidR="00CF11D1" w:rsidRPr="00F22588" w:rsidRDefault="00CF11D1" w:rsidP="00CF11D1">
      <w:pPr>
        <w:widowControl w:val="0"/>
        <w:rPr>
          <w:sz w:val="20"/>
        </w:rPr>
      </w:pPr>
    </w:p>
    <w:p w:rsidR="00CF11D1" w:rsidRPr="007C5F41" w:rsidRDefault="00CF11D1" w:rsidP="00CF11D1">
      <w:pPr>
        <w:pStyle w:val="PlainText"/>
        <w:keepNext/>
        <w:widowControl w:val="0"/>
        <w:jc w:val="center"/>
        <w:rPr>
          <w:rFonts w:ascii="Arial" w:hAnsi="Arial" w:cs="Arial"/>
          <w:b/>
          <w:color w:val="auto"/>
          <w:sz w:val="18"/>
          <w:szCs w:val="18"/>
          <w:lang w:val="es-ES"/>
        </w:rPr>
      </w:pPr>
      <w:r w:rsidRPr="007C5F41">
        <w:rPr>
          <w:rFonts w:ascii="Arial" w:hAnsi="Arial" w:cs="Arial"/>
          <w:b/>
          <w:color w:val="auto"/>
          <w:sz w:val="18"/>
          <w:szCs w:val="18"/>
          <w:lang w:val="es-ES"/>
        </w:rPr>
        <w:lastRenderedPageBreak/>
        <w:t>Tiempo necesario para la transmisión de la copia para la búsqueda</w:t>
      </w:r>
    </w:p>
    <w:p w:rsidR="00CF11D1" w:rsidRPr="00F22588" w:rsidRDefault="00CF11D1" w:rsidP="00CF11D1">
      <w:pPr>
        <w:pStyle w:val="PlainText"/>
        <w:widowControl w:val="0"/>
        <w:jc w:val="center"/>
        <w:rPr>
          <w:rFonts w:ascii="Arial" w:hAnsi="Arial" w:cs="Arial"/>
          <w:b/>
          <w:color w:val="auto"/>
        </w:rPr>
      </w:pPr>
      <w:r w:rsidRPr="00EC7F81">
        <w:rPr>
          <w:noProof/>
          <w:lang w:eastAsia="en-US"/>
        </w:rPr>
        <w:drawing>
          <wp:inline distT="0" distB="0" distL="0" distR="0" wp14:anchorId="48E9A3DC" wp14:editId="46401859">
            <wp:extent cx="5940425" cy="2660414"/>
            <wp:effectExtent l="0" t="0" r="317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660414"/>
                    </a:xfrm>
                    <a:prstGeom prst="rect">
                      <a:avLst/>
                    </a:prstGeom>
                    <a:noFill/>
                    <a:ln>
                      <a:noFill/>
                    </a:ln>
                  </pic:spPr>
                </pic:pic>
              </a:graphicData>
            </a:graphic>
          </wp:inline>
        </w:drawing>
      </w:r>
    </w:p>
    <w:p w:rsidR="00CF11D1" w:rsidRPr="00F22588" w:rsidRDefault="00CF11D1" w:rsidP="00CF11D1">
      <w:pPr>
        <w:pStyle w:val="PlainText"/>
        <w:widowControl w:val="0"/>
        <w:rPr>
          <w:rFonts w:ascii="Arial" w:hAnsi="Arial" w:cs="Arial"/>
          <w:b/>
          <w:color w:val="auto"/>
        </w:rPr>
      </w:pPr>
    </w:p>
    <w:p w:rsidR="00CF11D1" w:rsidRDefault="00CF11D1" w:rsidP="00CF11D1"/>
    <w:p w:rsidR="00CF11D1" w:rsidRPr="00F22588" w:rsidRDefault="00CF11D1" w:rsidP="00CF11D1">
      <w:pPr>
        <w:jc w:val="right"/>
      </w:pPr>
      <w:r w:rsidRPr="00821C88">
        <w:rPr>
          <w:szCs w:val="22"/>
        </w:rPr>
        <w:t>[Fin del Anexo]</w:t>
      </w:r>
    </w:p>
    <w:p w:rsidR="00CF11D1" w:rsidRDefault="00CF11D1" w:rsidP="00CF11D1">
      <w:pPr>
        <w:rPr>
          <w:b/>
          <w:bCs/>
          <w:iCs/>
          <w:caps/>
          <w:szCs w:val="28"/>
        </w:rPr>
      </w:pPr>
      <w:bookmarkStart w:id="80" w:name="_Toc422927411"/>
      <w:r>
        <w:rPr>
          <w:b/>
        </w:rPr>
        <w:br w:type="page"/>
      </w:r>
    </w:p>
    <w:p w:rsidR="00320744" w:rsidRPr="00320744" w:rsidRDefault="00320744" w:rsidP="00DC1333">
      <w:pPr>
        <w:pStyle w:val="Heading2"/>
        <w:tabs>
          <w:tab w:val="left" w:pos="2410"/>
        </w:tabs>
        <w:rPr>
          <w:b/>
          <w:caps w:val="0"/>
        </w:rPr>
      </w:pPr>
      <w:bookmarkStart w:id="81" w:name="_Toc455159077"/>
      <w:bookmarkEnd w:id="80"/>
      <w:r w:rsidRPr="00320744">
        <w:rPr>
          <w:b/>
        </w:rPr>
        <w:lastRenderedPageBreak/>
        <w:t>PROGRAMA 6</w:t>
      </w:r>
      <w:r w:rsidRPr="00320744">
        <w:rPr>
          <w:b/>
        </w:rPr>
        <w:tab/>
        <w:t>LOS SISTEMAS DE MADRID Y DE LISBOA</w:t>
      </w:r>
      <w:bookmarkEnd w:id="81"/>
    </w:p>
    <w:p w:rsidR="00320744" w:rsidRPr="00456D44" w:rsidRDefault="00320744" w:rsidP="00DC1333"/>
    <w:p w:rsidR="00320744" w:rsidRPr="00013B5C" w:rsidRDefault="00320744" w:rsidP="00DC1333">
      <w:pPr>
        <w:tabs>
          <w:tab w:val="left" w:pos="2410"/>
        </w:tabs>
        <w:rPr>
          <w:b/>
          <w:sz w:val="20"/>
        </w:rPr>
      </w:pPr>
      <w:r w:rsidRPr="00013B5C">
        <w:rPr>
          <w:b/>
          <w:sz w:val="20"/>
        </w:rPr>
        <w:t>Directora de programa</w:t>
      </w:r>
      <w:r w:rsidRPr="00013B5C">
        <w:rPr>
          <w:b/>
          <w:sz w:val="20"/>
        </w:rPr>
        <w:tab/>
        <w:t>Sra. B. Wang</w:t>
      </w:r>
    </w:p>
    <w:p w:rsidR="00320744" w:rsidRPr="00456D44" w:rsidRDefault="00320744" w:rsidP="00DC1333"/>
    <w:p w:rsidR="00320744" w:rsidRPr="00456D44" w:rsidRDefault="00320744" w:rsidP="00DC1333"/>
    <w:p w:rsidR="00320744" w:rsidRPr="00456D44" w:rsidRDefault="008F7CBE" w:rsidP="00DC1333">
      <w:pPr>
        <w:rPr>
          <w:bCs/>
          <w:szCs w:val="22"/>
        </w:rPr>
      </w:pPr>
      <w:r w:rsidRPr="008F7CBE">
        <w:rPr>
          <w:bCs/>
          <w:sz w:val="20"/>
          <w:szCs w:val="22"/>
        </w:rPr>
        <w:t>LOGROS ALCANZADOS EN EL BIENIO 2014/15</w:t>
      </w:r>
    </w:p>
    <w:p w:rsidR="00320744" w:rsidRPr="00456D44" w:rsidRDefault="00320744" w:rsidP="00DC1333"/>
    <w:p w:rsidR="00320744" w:rsidRPr="00403D2C" w:rsidRDefault="00320744" w:rsidP="00DC1333">
      <w:pPr>
        <w:spacing w:after="200" w:line="276" w:lineRule="auto"/>
        <w:rPr>
          <w:rFonts w:eastAsiaTheme="minorHAnsi"/>
          <w:sz w:val="20"/>
        </w:rPr>
      </w:pPr>
      <w:r w:rsidRPr="00403D2C">
        <w:rPr>
          <w:rFonts w:eastAsiaTheme="minorHAnsi"/>
          <w:sz w:val="20"/>
        </w:rPr>
        <w:t>A.</w:t>
      </w:r>
      <w:r w:rsidRPr="00403D2C">
        <w:rPr>
          <w:rFonts w:eastAsiaTheme="minorHAnsi"/>
          <w:sz w:val="20"/>
        </w:rPr>
        <w:tab/>
        <w:t>EL SISTEMA DE MADRID</w:t>
      </w: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La ampliación de la cobertura geográfica del Sistema estuvo marcada por hechos importantes y positivos en el bienio.  En 2014, Zimbabwe y la Organización Africana de la Propiedad Intelectual (OAPI) se adhirieron al Protocolo de Madrid.  Puesto que la OAPI es una organización intergubernamental que cuenta con 17 Estados miembros, solamente estas dos adhesiones aumentaron de 94 a 110, ya en 2014, el número de países en que los usuarios pueden proteger y gestionar sus marcas de forma centralizada a través del Sistema de Madrid.  En 2015, Argelia, Camboya, Gambia y la República Democrática Popular Lao también se adhirieron al Protocolo, situando en 97 el número total de Partes Contratantes</w:t>
      </w:r>
      <w:r w:rsidRPr="00456D44">
        <w:rPr>
          <w:rFonts w:cs="Arial"/>
          <w:b/>
          <w:lang w:val="es-ES" w:eastAsia="ko-KR"/>
        </w:rPr>
        <w:t xml:space="preserve"> </w:t>
      </w:r>
      <w:r w:rsidRPr="00456D44">
        <w:rPr>
          <w:rFonts w:cs="Arial"/>
          <w:lang w:val="es-ES" w:eastAsia="ko-KR"/>
        </w:rPr>
        <w:t>a fines del bienio, abarcando 113 países. Dado que Argelia era la última Parte Contratante de la Unión de Madrid que era miembro únicamente del Arreglo de Madrid, el Sistema de Madrid opera ahora, a efectos prácticos, como un sistema de tratado único.</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La utilización del Sistema de Madrid aumentó en un 2,3% en 2014 con respecto a 2013, con un total de 47.885 solicitudes recibidas.  En 2014, los Estados Unidos de América superaron a Alemania como el principal usuario del Sistema de Madrid, lo que ilustra la transformación geográfica del Sistema.  En 2015, se recibieron un total de 49.273 solicitudes, lo que representa un crecimiento del 2,9% con respecto a 2014.  Esto refleja un crecimiento sólido en el bienio, especialmente teniendo en cuenta que el Sistema de Madrid se encareció para los solicitantes de una serie de países importantes por número de solicitudes presentadas tras la fuerte revalorización del franco suizo en 2015.</w:t>
      </w:r>
    </w:p>
    <w:p w:rsidR="00320744" w:rsidRPr="00456D44" w:rsidRDefault="00320744" w:rsidP="00DC1333">
      <w:pPr>
        <w:pStyle w:val="ListParagraph"/>
        <w:ind w:left="0"/>
        <w:rPr>
          <w:rFonts w:cs="Arial"/>
          <w:lang w:val="es-ES" w:eastAsia="ko-KR"/>
        </w:rPr>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Los debates en el Grupo de Trabajo sobre el Desarrollo Jurídico del Sistema de Madrid se tradujeron en la adopción por parte de la Asamblea de la Unión de Madrid de una serie de modificaciones importantes del Reglamento Común, como se indica a continuación:  i) la "continuación de la tramitación” está disponible ahora para los solicitantes o titulares que no logran cumplir ciertos plazos en los procedimientos específicos que se llevan a cabo en la Oficina Internacional;  ii) el procedimiento de renovación se ha simplificado desde el punto de vista jurídico con la introducción de una opción para renovar el registro internacional solo para  una lista reducida de productos y servicios, en lugar de tener que presentar una petición de inscripción de una limitación anterior a la renovación, como ocurría anteriormente;  iii) el incumplimiento del plazo establecido para una comunicación dirigida a la Oficina Internacional y enviada por medios electrónicos se excusará si la parte presenta pruebas en las que demuestre de forma satisfactoria que se debió a un fallo en la comunicación electrónica con la Oficina Internacional o que afecte a la localidad de esa parte, debido a circunstancias extraordinarias;  iv) las modificaciones relativas a la dirección para la correspondencia, la dirección de correo-e o a cualquier otro medio de comunicación con el solicitante o el titular están exentas del pago de tasas;  v) se permitirá a los solicitantes aportar una descripción voluntaria de la marca, lo que resultará útil para evitar denegaciones provisionales;  vi) ha quedado claro el nivel de examen que aplicará la Oficina Internacional a la lista de productos y servicios en las designaciones posteriores;  y vii) en el caso de designación posterior de los Estados Unidos de América y de otras Partes Contratantes, aunque no se haya facilitado o corregido la declaración de intención de uso en los Estados Unidos de América, ese incumplimiento ya no afectará al resto de las Partes Contratantes.  Algunos cambios entraron en vigor en enero de 2015 y el 1 de abril de 2016, y otros lo harán el 1 de noviembre de 2017.</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A principios de 2014, se lanzó una importante iniciativa de reforma a largo plazo destinada a mejorar el nivel de madurez del entorno operativo.  Entre las principales esferas que abarca esta iniciativa figuran las siguientes</w:t>
      </w:r>
      <w:proofErr w:type="gramStart"/>
      <w:r w:rsidRPr="00456D44">
        <w:rPr>
          <w:rFonts w:cs="Arial"/>
          <w:lang w:val="es-ES" w:eastAsia="ko-KR"/>
        </w:rPr>
        <w:t>:  i</w:t>
      </w:r>
      <w:proofErr w:type="gramEnd"/>
      <w:r w:rsidRPr="00456D44">
        <w:rPr>
          <w:rFonts w:cs="Arial"/>
          <w:lang w:val="es-ES" w:eastAsia="ko-KR"/>
        </w:rPr>
        <w:t xml:space="preserve">) la planificación del trabajo y los procedimientos conexos;  ii) las T.I.;  iii) la atención al cliente;  iv) la documentación de examen;  v) la tramitación de las tasas;  y vi) la continuidad de las operaciones.  Estos proyectos nuevos hicieron necesario el desvío de determinados recursos que previamente se dedicaban al examen y otras actividades.  El resultado fue que en 2014 se acumularon retrasos en diversas transacciones de examen y se incurrió en otros retrasos operativos.  Sin embargo, se introdujeron medidas paliativas, entre otras, la retención de un número de recursos flexibles adicionales, lo que permitió a la Oficina Internacional revertir la situación en 2015.  A fines del bienio, el tiempo de tramitación de todas las transacciones relacionadas con el examen igualaba o mejoraba el promedio correspondiente a los cinco años anteriores.  Además, el elevado nivel de registros </w:t>
      </w:r>
      <w:r w:rsidRPr="00456D44">
        <w:rPr>
          <w:rFonts w:cs="Arial"/>
          <w:lang w:val="es-ES" w:eastAsia="ko-KR"/>
        </w:rPr>
        <w:lastRenderedPageBreak/>
        <w:t>alcanzado en 2015 (como consecuencia de la eliminación de los retrasos en la tramitación) tuvo como resultado que el nivel bienal de ingresos superara en un 6% el objetivo presupuestado.  En paralelo a estas actividades, se lograron importantes progresos esenciales en los otros ámbitos de reforma mencionados más arriba, especialmente en la atención al cliente, el control de calidad del examen y la continuidad de las operaciones, cuyos beneficios previsiblemente se materializarán en los próximos años.  Con la estabilización gradual del entorno operativo en 2015, también fue posible reorientar parte de la gestión hacia la mercadotecnia y la promoción, así como hacia la evolución estratégica del propio Sistema de Madrid.</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 xml:space="preserve">Tras la aplicación de las recomendaciones incluidas en la revisión independiente de los preparativos necesarios para instalar sistemas informáticos de apoyo administrativo más modernos en el Registro de Madrid, y en concreto, la puesta en marcha de programas adecuados de transformación operativa y de transformación de las TIC, se programó una prueba exhaustiva de aceptación, por parte de los usuarios, de los sistemas de apoyo administrativo modernizados y, en función del éxito del sistema definitivo y la prueba de los usuarios, se previó su implantación en marzo de 2016.  </w:t>
      </w:r>
      <w:r w:rsidRPr="00456D44">
        <w:rPr>
          <w:rFonts w:cs="Arial"/>
          <w:lang w:val="es-ES"/>
        </w:rPr>
        <w:t>En cuanto a los sistemas informáticos utilizados por los usuarios externos, la labor continuó según lo previsto</w:t>
      </w:r>
      <w:r w:rsidRPr="00456D44">
        <w:rPr>
          <w:rFonts w:cs="Arial"/>
          <w:lang w:val="es-ES" w:eastAsia="ko-KR"/>
        </w:rPr>
        <w:t xml:space="preserve">.  Se constataron avances en el desarrollo de un sistema de búsqueda reforzado, el </w:t>
      </w:r>
      <w:r w:rsidRPr="00456D44">
        <w:rPr>
          <w:rFonts w:cs="Arial"/>
          <w:i/>
          <w:lang w:val="es-ES" w:eastAsia="ko-KR"/>
        </w:rPr>
        <w:t>Madrid Monitor</w:t>
      </w:r>
      <w:r w:rsidRPr="00456D44">
        <w:rPr>
          <w:rFonts w:cs="Arial"/>
          <w:lang w:val="es-ES" w:eastAsia="ko-KR"/>
        </w:rPr>
        <w:t xml:space="preserve">, cuya implantación en modo de pruebas beta está prevista para el segundo semestre de 2016.  También se constataron avances en la actual evolución de la presencia del Sistema de Madrid en Internet, especialmente en lo relativo a la revisión de la funcionalidad del formulario </w:t>
      </w:r>
      <w:r w:rsidRPr="00456D44">
        <w:rPr>
          <w:rFonts w:cs="Arial"/>
          <w:i/>
          <w:lang w:val="es-ES" w:eastAsia="ko-KR"/>
        </w:rPr>
        <w:t>eRenewal</w:t>
      </w:r>
      <w:r w:rsidRPr="00456D44">
        <w:rPr>
          <w:rFonts w:cs="Arial"/>
          <w:lang w:val="es-ES" w:eastAsia="ko-KR"/>
        </w:rPr>
        <w:t xml:space="preserve"> como consecuencia de las disposiciones incluidas en el nuevo marco jurídico.</w:t>
      </w:r>
    </w:p>
    <w:p w:rsidR="00320744" w:rsidRPr="00456D44" w:rsidRDefault="00320744" w:rsidP="00DC1333"/>
    <w:p w:rsidR="00320744" w:rsidRPr="00403D2C" w:rsidRDefault="00320744" w:rsidP="00DC1333">
      <w:pPr>
        <w:rPr>
          <w:sz w:val="20"/>
        </w:rPr>
      </w:pPr>
      <w:r w:rsidRPr="00403D2C">
        <w:rPr>
          <w:sz w:val="20"/>
        </w:rPr>
        <w:t>B.</w:t>
      </w:r>
      <w:r w:rsidRPr="00403D2C">
        <w:rPr>
          <w:sz w:val="20"/>
        </w:rPr>
        <w:tab/>
        <w:t>EL SISTEMA DE LISBOA</w:t>
      </w:r>
    </w:p>
    <w:p w:rsidR="00320744" w:rsidRPr="00456D44" w:rsidRDefault="00320744" w:rsidP="00DC1333">
      <w:pPr>
        <w:jc w:val="both"/>
      </w:pPr>
    </w:p>
    <w:p w:rsidR="00320744" w:rsidRPr="00456D44" w:rsidRDefault="00320744" w:rsidP="00320744">
      <w:pPr>
        <w:pStyle w:val="ListParagraph"/>
        <w:numPr>
          <w:ilvl w:val="0"/>
          <w:numId w:val="24"/>
        </w:numPr>
        <w:tabs>
          <w:tab w:val="left" w:pos="709"/>
        </w:tabs>
        <w:ind w:left="0" w:firstLine="0"/>
        <w:jc w:val="both"/>
        <w:rPr>
          <w:rFonts w:cs="Arial"/>
          <w:lang w:val="es-ES" w:eastAsia="ko-KR"/>
        </w:rPr>
      </w:pPr>
      <w:r w:rsidRPr="00456D44">
        <w:rPr>
          <w:rFonts w:cs="Arial"/>
          <w:lang w:val="es-ES" w:eastAsia="ko-KR"/>
        </w:rPr>
        <w:t>La Asamblea de la Unión de Lisboa encargó en 2009 al Grupo de Trabajo sobre el Desarrollo del Sistema de Lisboa que realizara una revisión completa del Sistema de Lisboa para hacerlo más atractivo para los usuarios y posibles nuevos miembros, manteniendo sus principios y objetivos.  Ante los avances realizados por el Grupo de Trabajo, la Asamblea de la Unión de Lisboa aprobó, en 2013, la convocación de una conferencia diplomática para la adopción en 2015 de un Arreglo de Lisboa revisado sobre las denominaciones de origen y las indicaciones geográficas.  En octubre de 2014, el Grupo de Trabajo concluyó su labor preparatoria.  Del 11 al 21 de mayo de 2015, se celebró en Ginebra la Conferencia Diplomática para la adopción de una nueva Acta del Arreglo de Lisboa, que el 20 de mayo de 2015 aprobó el Acta de Ginebra del Arreglo de Lisboa relativo a las Denominaciones de Origen y las Indicaciones Geográficas.</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567"/>
        </w:tabs>
        <w:ind w:left="0" w:firstLine="0"/>
        <w:jc w:val="both"/>
        <w:rPr>
          <w:rFonts w:cs="Arial"/>
          <w:lang w:val="es-ES" w:eastAsia="ko-KR"/>
        </w:rPr>
      </w:pPr>
      <w:r w:rsidRPr="00456D44">
        <w:rPr>
          <w:rFonts w:cs="Arial"/>
          <w:lang w:val="es-ES" w:eastAsia="ko-KR"/>
        </w:rPr>
        <w:t xml:space="preserve">El Registro de Lisboa recibió 115 nuevas solicitudes para el registro de denominaciones de origen, 105 declaraciones de concesión de protección y </w:t>
      </w:r>
      <w:r w:rsidR="00807DE6">
        <w:rPr>
          <w:rFonts w:cs="Arial"/>
          <w:lang w:val="es-ES" w:eastAsia="ko-KR"/>
        </w:rPr>
        <w:t>39</w:t>
      </w:r>
      <w:r w:rsidRPr="00456D44">
        <w:rPr>
          <w:rFonts w:cs="Arial"/>
          <w:lang w:val="es-ES" w:eastAsia="ko-KR"/>
        </w:rPr>
        <w:t xml:space="preserve"> declaraciones de denegación, l</w:t>
      </w:r>
      <w:r w:rsidR="00807DE6">
        <w:rPr>
          <w:rFonts w:cs="Arial"/>
          <w:lang w:val="es-ES" w:eastAsia="ko-KR"/>
        </w:rPr>
        <w:t>o que representa un total d</w:t>
      </w:r>
      <w:bookmarkStart w:id="82" w:name="_GoBack"/>
      <w:bookmarkEnd w:id="82"/>
      <w:r w:rsidR="00807DE6">
        <w:rPr>
          <w:rFonts w:cs="Arial"/>
          <w:lang w:val="es-ES" w:eastAsia="ko-KR"/>
        </w:rPr>
        <w:t>e 267</w:t>
      </w:r>
      <w:r w:rsidRPr="00456D44">
        <w:rPr>
          <w:rFonts w:cs="Arial"/>
          <w:lang w:val="es-ES" w:eastAsia="ko-KR"/>
        </w:rPr>
        <w:t xml:space="preserve"> transacciones (incluyendo la retirada de </w:t>
      </w:r>
      <w:r w:rsidR="00807DE6">
        <w:rPr>
          <w:rFonts w:cs="Arial"/>
          <w:lang w:val="es-ES" w:eastAsia="ko-KR"/>
        </w:rPr>
        <w:t>dos</w:t>
      </w:r>
      <w:r w:rsidRPr="00456D44">
        <w:rPr>
          <w:rFonts w:cs="Arial"/>
          <w:lang w:val="es-ES" w:eastAsia="ko-KR"/>
        </w:rPr>
        <w:t xml:space="preserve"> denegaci</w:t>
      </w:r>
      <w:r w:rsidR="00807DE6">
        <w:rPr>
          <w:rFonts w:cs="Arial"/>
          <w:lang w:val="es-ES" w:eastAsia="ko-KR"/>
        </w:rPr>
        <w:t>ones</w:t>
      </w:r>
      <w:r w:rsidRPr="00456D44">
        <w:rPr>
          <w:rFonts w:cs="Arial"/>
          <w:lang w:val="es-ES" w:eastAsia="ko-KR"/>
        </w:rPr>
        <w:t xml:space="preserve"> y </w:t>
      </w:r>
      <w:r w:rsidR="00807DE6">
        <w:rPr>
          <w:rFonts w:cs="Arial"/>
          <w:lang w:val="es-ES" w:eastAsia="ko-KR"/>
        </w:rPr>
        <w:t>seis</w:t>
      </w:r>
      <w:r w:rsidRPr="00456D44">
        <w:rPr>
          <w:rFonts w:cs="Arial"/>
          <w:lang w:val="es-ES" w:eastAsia="ko-KR"/>
        </w:rPr>
        <w:t xml:space="preserve"> correcciones).  El número total de registros en vigor aumentó de 816 en 2013 a 931 en el bienio.  </w:t>
      </w:r>
      <w:r w:rsidRPr="00456D44">
        <w:rPr>
          <w:rFonts w:cs="Arial"/>
          <w:lang w:val="es-ES"/>
        </w:rPr>
        <w:t>De ese total, 95 procedieron de países en desarrollo o PMA (14 de la región de los Países Árabes, 38 de Asia y el Pacífico, y 43 de América Latina y el Caribe).</w:t>
      </w:r>
    </w:p>
    <w:p w:rsidR="00320744" w:rsidRPr="00456D44" w:rsidRDefault="00320744" w:rsidP="00DC1333">
      <w:pPr>
        <w:pStyle w:val="ListParagraph"/>
        <w:tabs>
          <w:tab w:val="left" w:pos="709"/>
        </w:tabs>
        <w:ind w:left="0"/>
        <w:jc w:val="both"/>
        <w:rPr>
          <w:rFonts w:cs="Arial"/>
          <w:lang w:val="es-ES" w:eastAsia="ko-KR"/>
        </w:rPr>
      </w:pPr>
    </w:p>
    <w:p w:rsidR="00320744" w:rsidRPr="00456D44" w:rsidRDefault="00320744" w:rsidP="00320744">
      <w:pPr>
        <w:pStyle w:val="ListParagraph"/>
        <w:numPr>
          <w:ilvl w:val="0"/>
          <w:numId w:val="24"/>
        </w:numPr>
        <w:tabs>
          <w:tab w:val="left" w:pos="567"/>
        </w:tabs>
        <w:ind w:left="0" w:firstLine="0"/>
        <w:jc w:val="both"/>
        <w:rPr>
          <w:rFonts w:cs="Arial"/>
          <w:lang w:val="es-ES"/>
        </w:rPr>
      </w:pPr>
      <w:r w:rsidRPr="00456D44">
        <w:rPr>
          <w:rFonts w:cs="Arial"/>
          <w:lang w:val="es-ES"/>
        </w:rPr>
        <w:t xml:space="preserve">El número de administraciones competentes que habían aprobado el uso de medios electrónicos para las comunicaciones en virtud de los procedimientos del Sistema de Lisboa aumentó a 26 a fines de 2015, respecto de 23 en 2013.  En 2014, se completó y puso en marcha la interfaz electrónica entre el Registro Internacional y la base de datos </w:t>
      </w:r>
      <w:r w:rsidRPr="00456D44">
        <w:rPr>
          <w:rFonts w:cs="Arial"/>
          <w:i/>
          <w:lang w:val="es-ES"/>
        </w:rPr>
        <w:t>Lisbon Express</w:t>
      </w:r>
      <w:r w:rsidRPr="00456D44">
        <w:rPr>
          <w:rFonts w:cs="Arial"/>
          <w:lang w:val="es-ES"/>
        </w:rPr>
        <w:t xml:space="preserve"> en el sitio web de la OMPI.  </w:t>
      </w:r>
      <w:r w:rsidRPr="00456D44">
        <w:rPr>
          <w:rFonts w:cs="Arial"/>
          <w:bCs/>
          <w:lang w:val="es-ES"/>
        </w:rPr>
        <w:t xml:space="preserve">Se siguió integrando el procedimiento de notificación a través del uso del sistema de control de solicitudes (WINS) de la OMPI. </w:t>
      </w:r>
      <w:r w:rsidRPr="00456D44">
        <w:rPr>
          <w:rFonts w:cs="Arial"/>
          <w:lang w:val="es-ES"/>
        </w:rPr>
        <w:t xml:space="preserve"> Tras los nuevos avances logrados en 2015 para la creación de un sistema electrónico de generación de cartas de notificación, se puso en marcha una fase de pruebas.</w:t>
      </w:r>
    </w:p>
    <w:p w:rsidR="00320744" w:rsidRPr="00456D44" w:rsidRDefault="00320744" w:rsidP="00DC1333">
      <w:pPr>
        <w:pStyle w:val="ListParagraph"/>
        <w:rPr>
          <w:rFonts w:cs="Arial"/>
          <w:lang w:val="es-ES"/>
        </w:rPr>
      </w:pPr>
    </w:p>
    <w:p w:rsidR="00320744" w:rsidRPr="00456D44" w:rsidRDefault="00320744" w:rsidP="00320744">
      <w:pPr>
        <w:pStyle w:val="ListParagraph"/>
        <w:numPr>
          <w:ilvl w:val="0"/>
          <w:numId w:val="24"/>
        </w:numPr>
        <w:tabs>
          <w:tab w:val="left" w:pos="567"/>
        </w:tabs>
        <w:ind w:left="0" w:firstLine="0"/>
        <w:jc w:val="both"/>
        <w:rPr>
          <w:rFonts w:cs="Arial"/>
          <w:lang w:val="es-ES"/>
        </w:rPr>
      </w:pPr>
      <w:r w:rsidRPr="00456D44">
        <w:rPr>
          <w:rFonts w:cs="Arial"/>
          <w:lang w:val="es-ES"/>
        </w:rPr>
        <w:t xml:space="preserve">Con respecto al fomento de la sensibilización acerca del Sistema de Lisboa, la Oficina Internacional organizó y/o participó en siete eventos de información y promoción en todas las regiones, especialmente dedicados al Sistema de Lisboa, incluida su revisión prevista.  </w:t>
      </w:r>
    </w:p>
    <w:p w:rsidR="00320744" w:rsidRPr="00456D44" w:rsidRDefault="00320744" w:rsidP="00DC1333">
      <w:pPr>
        <w:jc w:val="both"/>
      </w:pPr>
    </w:p>
    <w:p w:rsidR="00320744" w:rsidRPr="00456D44" w:rsidRDefault="00320744" w:rsidP="00320744">
      <w:pPr>
        <w:pStyle w:val="ListParagraph"/>
        <w:numPr>
          <w:ilvl w:val="0"/>
          <w:numId w:val="24"/>
        </w:numPr>
        <w:tabs>
          <w:tab w:val="left" w:pos="567"/>
        </w:tabs>
        <w:ind w:left="0" w:firstLine="0"/>
        <w:jc w:val="both"/>
        <w:rPr>
          <w:rFonts w:cs="Arial"/>
          <w:lang w:val="es-ES" w:eastAsia="ko-KR"/>
        </w:rPr>
      </w:pPr>
      <w:r w:rsidRPr="00456D44">
        <w:rPr>
          <w:rFonts w:cs="Arial"/>
          <w:lang w:val="es-ES"/>
        </w:rPr>
        <w:t>El diseño, la planificación y la ejecución de las actividades del programa 6 se basaron en las recomendaciones pertinentes de la Agenda para el Desarrollo y se guiaron por ellas, en particular por las recomendaciones 1 y 6.  Además, la asistencia legislativa ofrecida a los Estados miembros estuvo orientada al desarrollo, fue ponderada y adaptada a las solicitudes específicas de cada Estado miembro, de conformidad con los principios de la Agenda para el Desarrollo (recomendación 13), y tuvo en cuenta las flexibilidades aplicables a los países según sus distintos niveles de desarrollo (recomendaciones 14 y 17).</w:t>
      </w:r>
    </w:p>
    <w:p w:rsidR="00320744" w:rsidRPr="00456D44" w:rsidRDefault="00320744" w:rsidP="00DC1333"/>
    <w:p w:rsidR="00320744" w:rsidRPr="00456D44" w:rsidRDefault="00320744" w:rsidP="00DC1333">
      <w:pPr>
        <w:rPr>
          <w:szCs w:val="22"/>
        </w:rPr>
      </w:pPr>
    </w:p>
    <w:p w:rsidR="00320744" w:rsidRPr="00456D44" w:rsidRDefault="008F7CBE" w:rsidP="00DC1333">
      <w:pPr>
        <w:keepNext/>
        <w:keepLines/>
        <w:rPr>
          <w:szCs w:val="22"/>
        </w:rPr>
      </w:pPr>
      <w:r w:rsidRPr="008F7CBE">
        <w:rPr>
          <w:sz w:val="20"/>
          <w:szCs w:val="22"/>
        </w:rPr>
        <w:t>DATOS SOBRE EL RENDIMIENTO</w:t>
      </w:r>
    </w:p>
    <w:p w:rsidR="00320744" w:rsidRPr="00456D44" w:rsidRDefault="00320744" w:rsidP="00DC1333">
      <w:pPr>
        <w:keepNext/>
        <w:keepLines/>
        <w:rPr>
          <w:szCs w:val="18"/>
        </w:rPr>
      </w:pPr>
    </w:p>
    <w:tbl>
      <w:tblPr>
        <w:tblW w:w="486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6"/>
        <w:gridCol w:w="2602"/>
        <w:gridCol w:w="1509"/>
        <w:gridCol w:w="2191"/>
        <w:gridCol w:w="956"/>
      </w:tblGrid>
      <w:tr w:rsidR="00320744" w:rsidRPr="00456D44" w:rsidTr="00DC1333">
        <w:trPr>
          <w:cantSplit/>
          <w:trHeight w:val="392"/>
        </w:trPr>
        <w:tc>
          <w:tcPr>
            <w:tcW w:w="5000" w:type="pct"/>
            <w:gridSpan w:val="5"/>
            <w:tcBorders>
              <w:top w:val="single" w:sz="4" w:space="0" w:color="auto"/>
              <w:bottom w:val="single" w:sz="4" w:space="0" w:color="auto"/>
            </w:tcBorders>
            <w:shd w:val="clear" w:color="auto" w:fill="C6D9F1" w:themeFill="text2" w:themeFillTint="33"/>
            <w:vAlign w:val="center"/>
          </w:tcPr>
          <w:p w:rsidR="00320744" w:rsidRPr="00456D44" w:rsidRDefault="00320744" w:rsidP="00DC1333">
            <w:pPr>
              <w:keepNext/>
              <w:widowControl w:val="0"/>
              <w:ind w:left="2019" w:hanging="2019"/>
              <w:rPr>
                <w:b/>
                <w:bCs/>
                <w:sz w:val="16"/>
                <w:szCs w:val="16"/>
              </w:rPr>
            </w:pPr>
            <w:r w:rsidRPr="00456D44">
              <w:rPr>
                <w:b/>
                <w:bCs/>
                <w:sz w:val="16"/>
                <w:szCs w:val="16"/>
              </w:rPr>
              <w:t>Resultado previsto:</w:t>
            </w:r>
            <w:r w:rsidRPr="00456D44">
              <w:rPr>
                <w:bCs/>
                <w:sz w:val="16"/>
                <w:szCs w:val="16"/>
              </w:rPr>
              <w:tab/>
              <w:t>II. 6 Mayor y más eficaz utilización de los Sistemas de Madrid y de Lisboa por los países en desarrollo y los PMA, entre otros</w:t>
            </w:r>
          </w:p>
        </w:tc>
      </w:tr>
      <w:tr w:rsidR="00320744" w:rsidRPr="00456D44" w:rsidTr="00DC1333">
        <w:trPr>
          <w:cantSplit/>
        </w:trPr>
        <w:tc>
          <w:tcPr>
            <w:tcW w:w="1104" w:type="pct"/>
            <w:tcBorders>
              <w:top w:val="single" w:sz="4" w:space="0" w:color="auto"/>
              <w:left w:val="single" w:sz="4" w:space="0" w:color="auto"/>
              <w:bottom w:val="nil"/>
            </w:tcBorders>
            <w:shd w:val="clear" w:color="auto" w:fill="auto"/>
            <w:vAlign w:val="center"/>
          </w:tcPr>
          <w:p w:rsidR="00320744" w:rsidRPr="00456D44" w:rsidRDefault="00320744" w:rsidP="00DC1333">
            <w:pPr>
              <w:keepNext/>
              <w:keepLines/>
              <w:rPr>
                <w:sz w:val="16"/>
                <w:szCs w:val="16"/>
              </w:rPr>
            </w:pPr>
            <w:r w:rsidRPr="00456D44">
              <w:rPr>
                <w:b/>
                <w:bCs/>
                <w:sz w:val="16"/>
                <w:szCs w:val="16"/>
              </w:rPr>
              <w:t>Indicadores de rendimiento</w:t>
            </w:r>
          </w:p>
        </w:tc>
        <w:tc>
          <w:tcPr>
            <w:tcW w:w="1397" w:type="pct"/>
            <w:tcBorders>
              <w:top w:val="single" w:sz="4" w:space="0" w:color="auto"/>
              <w:bottom w:val="nil"/>
            </w:tcBorders>
            <w:shd w:val="clear" w:color="auto" w:fill="auto"/>
            <w:vAlign w:val="center"/>
          </w:tcPr>
          <w:p w:rsidR="00320744" w:rsidRPr="00456D44" w:rsidRDefault="00320744" w:rsidP="00DC1333">
            <w:pPr>
              <w:keepNext/>
              <w:keepLines/>
              <w:rPr>
                <w:b/>
                <w:bCs/>
                <w:sz w:val="16"/>
                <w:szCs w:val="16"/>
              </w:rPr>
            </w:pPr>
            <w:r w:rsidRPr="00456D44">
              <w:rPr>
                <w:b/>
                <w:bCs/>
                <w:sz w:val="16"/>
                <w:szCs w:val="16"/>
              </w:rPr>
              <w:t>Referencia</w:t>
            </w:r>
          </w:p>
        </w:tc>
        <w:tc>
          <w:tcPr>
            <w:tcW w:w="810" w:type="pct"/>
            <w:tcBorders>
              <w:top w:val="single" w:sz="4" w:space="0" w:color="auto"/>
              <w:bottom w:val="nil"/>
            </w:tcBorders>
            <w:shd w:val="clear" w:color="auto" w:fill="auto"/>
            <w:tcMar>
              <w:top w:w="110" w:type="dxa"/>
            </w:tcMar>
            <w:vAlign w:val="center"/>
          </w:tcPr>
          <w:p w:rsidR="00320744" w:rsidRPr="00456D44" w:rsidRDefault="00320744" w:rsidP="00DC1333">
            <w:pPr>
              <w:keepNext/>
              <w:keepLines/>
              <w:rPr>
                <w:b/>
                <w:sz w:val="16"/>
                <w:szCs w:val="16"/>
              </w:rPr>
            </w:pPr>
            <w:r w:rsidRPr="00456D44">
              <w:rPr>
                <w:b/>
                <w:sz w:val="16"/>
                <w:szCs w:val="16"/>
              </w:rPr>
              <w:t>Objetivos</w:t>
            </w:r>
          </w:p>
        </w:tc>
        <w:tc>
          <w:tcPr>
            <w:tcW w:w="1176" w:type="pct"/>
            <w:tcBorders>
              <w:top w:val="single" w:sz="4" w:space="0" w:color="auto"/>
              <w:bottom w:val="nil"/>
            </w:tcBorders>
            <w:shd w:val="clear" w:color="auto" w:fill="FFFFFF"/>
            <w:tcMar>
              <w:top w:w="110" w:type="dxa"/>
            </w:tcMar>
            <w:vAlign w:val="center"/>
          </w:tcPr>
          <w:p w:rsidR="00320744" w:rsidRPr="00456D44" w:rsidRDefault="00320744" w:rsidP="00DC1333">
            <w:pPr>
              <w:keepNext/>
              <w:keepLines/>
              <w:rPr>
                <w:sz w:val="16"/>
                <w:szCs w:val="16"/>
              </w:rPr>
            </w:pPr>
            <w:r w:rsidRPr="00456D44">
              <w:rPr>
                <w:b/>
                <w:bCs/>
                <w:sz w:val="16"/>
                <w:szCs w:val="16"/>
              </w:rPr>
              <w:t>Datos sobre el rendimiento</w:t>
            </w:r>
          </w:p>
        </w:tc>
        <w:tc>
          <w:tcPr>
            <w:tcW w:w="513" w:type="pct"/>
            <w:tcBorders>
              <w:top w:val="single" w:sz="4" w:space="0" w:color="auto"/>
              <w:bottom w:val="nil"/>
              <w:right w:val="single" w:sz="4" w:space="0" w:color="auto"/>
            </w:tcBorders>
            <w:shd w:val="clear" w:color="auto" w:fill="auto"/>
            <w:tcMar>
              <w:top w:w="110" w:type="dxa"/>
            </w:tcMar>
            <w:vAlign w:val="center"/>
          </w:tcPr>
          <w:p w:rsidR="00320744" w:rsidRPr="00456D44" w:rsidRDefault="00320744" w:rsidP="00DC1333">
            <w:pPr>
              <w:keepNext/>
              <w:keepLines/>
              <w:jc w:val="center"/>
              <w:rPr>
                <w:b/>
                <w:bCs/>
                <w:sz w:val="16"/>
                <w:szCs w:val="16"/>
              </w:rPr>
            </w:pPr>
            <w:r w:rsidRPr="00456D44">
              <w:rPr>
                <w:b/>
                <w:bCs/>
                <w:sz w:val="16"/>
                <w:szCs w:val="16"/>
              </w:rPr>
              <w:t>Clave de colores</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Ampliación del alcance geográfico (Madrid)</w:t>
            </w:r>
          </w:p>
        </w:tc>
        <w:tc>
          <w:tcPr>
            <w:tcW w:w="1397" w:type="pct"/>
            <w:tcBorders>
              <w:top w:val="nil"/>
              <w:bottom w:val="nil"/>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 xml:space="preserve">Referencia actualizada a fines de 2013:  </w:t>
            </w:r>
            <w:r w:rsidRPr="00456D44">
              <w:rPr>
                <w:color w:val="002060"/>
                <w:sz w:val="16"/>
                <w:szCs w:val="16"/>
              </w:rPr>
              <w:t>92 Partes Contratantes en el Sistema de Madrid (fin de 2013)</w:t>
            </w:r>
          </w:p>
          <w:p w:rsidR="00320744" w:rsidRPr="00456D44" w:rsidRDefault="00320744" w:rsidP="00DC1333">
            <w:pPr>
              <w:widowControl w:val="0"/>
              <w:rPr>
                <w:sz w:val="8"/>
                <w:szCs w:val="8"/>
              </w:rPr>
            </w:pPr>
          </w:p>
          <w:p w:rsidR="00320744" w:rsidRPr="00456D44" w:rsidRDefault="00320744" w:rsidP="00DC1333">
            <w:pPr>
              <w:rPr>
                <w:sz w:val="16"/>
                <w:szCs w:val="16"/>
              </w:rPr>
            </w:pPr>
            <w:r w:rsidRPr="00456D44">
              <w:rPr>
                <w:i/>
                <w:sz w:val="16"/>
                <w:szCs w:val="16"/>
              </w:rPr>
              <w:t xml:space="preserve">Referencia original en el presupuesto de 2014/15: </w:t>
            </w:r>
            <w:r w:rsidRPr="00456D44">
              <w:rPr>
                <w:sz w:val="16"/>
                <w:szCs w:val="16"/>
              </w:rPr>
              <w:t>El nº de Partes Contratantes a fines de 2013</w:t>
            </w:r>
          </w:p>
          <w:p w:rsidR="00320744" w:rsidRPr="00456D44" w:rsidRDefault="00320744" w:rsidP="00DC1333">
            <w:pPr>
              <w:rPr>
                <w:sz w:val="16"/>
                <w:szCs w:val="16"/>
              </w:rPr>
            </w:pPr>
          </w:p>
        </w:tc>
        <w:tc>
          <w:tcPr>
            <w:tcW w:w="810" w:type="pct"/>
            <w:tcBorders>
              <w:top w:val="nil"/>
              <w:bottom w:val="nil"/>
            </w:tcBorders>
            <w:shd w:val="clear" w:color="auto" w:fill="auto"/>
            <w:tcMar>
              <w:top w:w="110" w:type="dxa"/>
            </w:tcMar>
          </w:tcPr>
          <w:p w:rsidR="00320744" w:rsidRPr="00456D44" w:rsidRDefault="00320744" w:rsidP="00DC1333">
            <w:pPr>
              <w:rPr>
                <w:b/>
                <w:sz w:val="16"/>
                <w:szCs w:val="16"/>
              </w:rPr>
            </w:pPr>
            <w:r w:rsidRPr="00456D44">
              <w:rPr>
                <w:sz w:val="16"/>
                <w:szCs w:val="16"/>
              </w:rPr>
              <w:t>Un total de 100 Partes Contratantes a fines de 2015</w:t>
            </w:r>
          </w:p>
        </w:tc>
        <w:tc>
          <w:tcPr>
            <w:tcW w:w="1176" w:type="pct"/>
            <w:tcBorders>
              <w:top w:val="nil"/>
              <w:bottom w:val="nil"/>
            </w:tcBorders>
            <w:shd w:val="clear" w:color="auto" w:fill="FFFFFF"/>
            <w:tcMar>
              <w:top w:w="110" w:type="dxa"/>
            </w:tcMar>
          </w:tcPr>
          <w:p w:rsidR="00320744" w:rsidRPr="00456D44" w:rsidRDefault="00320744" w:rsidP="00DC1333">
            <w:pPr>
              <w:rPr>
                <w:color w:val="000000" w:themeColor="text1"/>
                <w:sz w:val="16"/>
                <w:szCs w:val="16"/>
              </w:rPr>
            </w:pPr>
            <w:r w:rsidRPr="00456D44">
              <w:rPr>
                <w:color w:val="000000" w:themeColor="text1"/>
                <w:sz w:val="16"/>
                <w:szCs w:val="16"/>
              </w:rPr>
              <w:t>97 Partes Contratantes a fines de 2015, que abarcan 113 países</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b/>
                <w:bCs/>
                <w:color w:val="00B050"/>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widowControl w:val="0"/>
              <w:rPr>
                <w:sz w:val="16"/>
                <w:szCs w:val="16"/>
              </w:rPr>
            </w:pPr>
            <w:r w:rsidRPr="00456D44">
              <w:rPr>
                <w:sz w:val="16"/>
                <w:szCs w:val="16"/>
              </w:rPr>
              <w:t>Ampliación del alcance geográfico (Lisboa)</w:t>
            </w:r>
          </w:p>
        </w:tc>
        <w:tc>
          <w:tcPr>
            <w:tcW w:w="1397" w:type="pct"/>
            <w:tcBorders>
              <w:top w:val="nil"/>
              <w:bottom w:val="nil"/>
            </w:tcBorders>
            <w:shd w:val="clear" w:color="auto" w:fill="auto"/>
          </w:tcPr>
          <w:p w:rsidR="00320744" w:rsidRPr="00456D44" w:rsidRDefault="00320744" w:rsidP="00DC1333">
            <w:pPr>
              <w:widowControl w:val="0"/>
              <w:rPr>
                <w:i/>
                <w:color w:val="002060"/>
                <w:sz w:val="16"/>
                <w:szCs w:val="16"/>
              </w:rPr>
            </w:pPr>
            <w:r w:rsidRPr="00456D44">
              <w:rPr>
                <w:i/>
                <w:color w:val="002060"/>
                <w:sz w:val="16"/>
                <w:szCs w:val="16"/>
              </w:rPr>
              <w:t>Referencia actualizada a fines de 2013: 28</w:t>
            </w:r>
            <w:r w:rsidRPr="00456D44">
              <w:rPr>
                <w:color w:val="002060"/>
                <w:sz w:val="16"/>
                <w:szCs w:val="16"/>
              </w:rPr>
              <w:t xml:space="preserve"> Partes (fin de 2013)</w:t>
            </w:r>
            <w:r w:rsidRPr="00456D44">
              <w:rPr>
                <w:color w:val="002060"/>
                <w:sz w:val="16"/>
                <w:szCs w:val="16"/>
              </w:rPr>
              <w:br/>
            </w:r>
            <w:r w:rsidRPr="00456D44">
              <w:rPr>
                <w:color w:val="002060"/>
                <w:sz w:val="16"/>
                <w:szCs w:val="16"/>
              </w:rPr>
              <w:br/>
            </w:r>
            <w:r w:rsidRPr="00456D44">
              <w:rPr>
                <w:i/>
                <w:sz w:val="16"/>
                <w:szCs w:val="16"/>
              </w:rPr>
              <w:t>Referencia original en el presupuesto de 2013/14:</w:t>
            </w:r>
            <w:r w:rsidRPr="00456D44">
              <w:rPr>
                <w:sz w:val="16"/>
                <w:szCs w:val="16"/>
              </w:rPr>
              <w:t>28 (abril de 2013)</w:t>
            </w:r>
          </w:p>
        </w:tc>
        <w:tc>
          <w:tcPr>
            <w:tcW w:w="810" w:type="pct"/>
            <w:tcBorders>
              <w:top w:val="nil"/>
              <w:bottom w:val="nil"/>
            </w:tcBorders>
            <w:shd w:val="clear" w:color="auto" w:fill="auto"/>
            <w:tcMar>
              <w:top w:w="110" w:type="dxa"/>
            </w:tcMar>
          </w:tcPr>
          <w:p w:rsidR="00320744" w:rsidRPr="00456D44" w:rsidRDefault="00320744" w:rsidP="00DC1333">
            <w:pPr>
              <w:rPr>
                <w:sz w:val="16"/>
                <w:szCs w:val="16"/>
              </w:rPr>
            </w:pPr>
            <w:r w:rsidRPr="00456D44">
              <w:rPr>
                <w:sz w:val="16"/>
                <w:szCs w:val="16"/>
              </w:rPr>
              <w:t>32</w:t>
            </w:r>
          </w:p>
        </w:tc>
        <w:tc>
          <w:tcPr>
            <w:tcW w:w="1176" w:type="pct"/>
            <w:tcBorders>
              <w:top w:val="nil"/>
              <w:bottom w:val="nil"/>
            </w:tcBorders>
            <w:shd w:val="clear" w:color="auto" w:fill="FFFFFF"/>
            <w:tcMar>
              <w:top w:w="110" w:type="dxa"/>
            </w:tcMar>
          </w:tcPr>
          <w:p w:rsidR="00320744" w:rsidRPr="00456D44" w:rsidRDefault="00320744" w:rsidP="00DC1333">
            <w:pPr>
              <w:rPr>
                <w:sz w:val="16"/>
                <w:szCs w:val="16"/>
                <w:lang w:bidi="th-TH"/>
              </w:rPr>
            </w:pPr>
            <w:r w:rsidRPr="00456D44">
              <w:rPr>
                <w:sz w:val="16"/>
                <w:szCs w:val="16"/>
              </w:rPr>
              <w:t>No hubo nuevas Partes Contratantes</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FF0000"/>
                <w:sz w:val="12"/>
                <w:szCs w:val="12"/>
              </w:rPr>
              <w:t>No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widowControl w:val="0"/>
              <w:rPr>
                <w:sz w:val="16"/>
                <w:szCs w:val="16"/>
              </w:rPr>
            </w:pPr>
            <w:r w:rsidRPr="00456D44">
              <w:rPr>
                <w:sz w:val="16"/>
                <w:szCs w:val="16"/>
              </w:rPr>
              <w:t>Adopción de disposiciones que agilicen o modernicen el marco jurídico del Sistema de Lisboa</w:t>
            </w:r>
          </w:p>
          <w:p w:rsidR="00320744" w:rsidRPr="00456D44" w:rsidRDefault="00320744" w:rsidP="00DC1333">
            <w:pPr>
              <w:widowControl w:val="0"/>
              <w:rPr>
                <w:sz w:val="16"/>
                <w:szCs w:val="16"/>
              </w:rPr>
            </w:pPr>
          </w:p>
          <w:p w:rsidR="00320744" w:rsidRPr="00456D44" w:rsidRDefault="00320744" w:rsidP="00DC1333">
            <w:pPr>
              <w:widowControl w:val="0"/>
              <w:rPr>
                <w:sz w:val="16"/>
                <w:szCs w:val="16"/>
              </w:rPr>
            </w:pPr>
          </w:p>
        </w:tc>
        <w:tc>
          <w:tcPr>
            <w:tcW w:w="1397" w:type="pct"/>
            <w:tcBorders>
              <w:top w:val="nil"/>
              <w:bottom w:val="nil"/>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Referencia actualizada a fines de 2013</w:t>
            </w:r>
            <w:proofErr w:type="gramStart"/>
            <w:r w:rsidRPr="00456D44">
              <w:rPr>
                <w:i/>
                <w:color w:val="002060"/>
                <w:sz w:val="16"/>
                <w:szCs w:val="16"/>
              </w:rPr>
              <w:t xml:space="preserve">:  </w:t>
            </w:r>
            <w:r w:rsidRPr="00456D44">
              <w:rPr>
                <w:color w:val="002060"/>
                <w:sz w:val="16"/>
                <w:szCs w:val="16"/>
              </w:rPr>
              <w:t>El</w:t>
            </w:r>
            <w:proofErr w:type="gramEnd"/>
            <w:r w:rsidRPr="00456D44">
              <w:rPr>
                <w:color w:val="002060"/>
                <w:sz w:val="16"/>
                <w:szCs w:val="16"/>
              </w:rPr>
              <w:t xml:space="preserve"> Grupo de Trabajo sobre el Desarrollo del Arreglo de Lisboa está preparando una revisión del Arreglo de Lisboa así como modificaciones del Reglamento de dicho Arreglo.</w:t>
            </w:r>
          </w:p>
          <w:p w:rsidR="00320744" w:rsidRPr="00456D44" w:rsidRDefault="00320744" w:rsidP="00DC1333">
            <w:pPr>
              <w:widowControl w:val="0"/>
              <w:rPr>
                <w:i/>
                <w:sz w:val="8"/>
                <w:szCs w:val="8"/>
              </w:rPr>
            </w:pPr>
          </w:p>
          <w:p w:rsidR="00320744" w:rsidRPr="00456D44" w:rsidRDefault="00320744" w:rsidP="00DC1333">
            <w:pPr>
              <w:widowControl w:val="0"/>
              <w:rPr>
                <w:sz w:val="16"/>
                <w:szCs w:val="16"/>
              </w:rPr>
            </w:pPr>
            <w:r w:rsidRPr="00456D44">
              <w:rPr>
                <w:i/>
                <w:sz w:val="16"/>
                <w:szCs w:val="16"/>
              </w:rPr>
              <w:t>Referencia original en el presupuesto de 2013/14:</w:t>
            </w:r>
            <w:r w:rsidRPr="00456D44">
              <w:rPr>
                <w:sz w:val="16"/>
                <w:szCs w:val="16"/>
              </w:rPr>
              <w:t xml:space="preserve">  El Arreglo, su Reglamento y las Instrucciones Administrativas vigentes a fines de 2013</w:t>
            </w:r>
          </w:p>
        </w:tc>
        <w:tc>
          <w:tcPr>
            <w:tcW w:w="810" w:type="pct"/>
            <w:tcBorders>
              <w:top w:val="nil"/>
              <w:bottom w:val="nil"/>
            </w:tcBorders>
            <w:shd w:val="clear" w:color="auto" w:fill="auto"/>
            <w:tcMar>
              <w:top w:w="110" w:type="dxa"/>
            </w:tcMar>
          </w:tcPr>
          <w:p w:rsidR="00320744" w:rsidRPr="00456D44" w:rsidRDefault="00320744" w:rsidP="00DC1333">
            <w:pPr>
              <w:widowControl w:val="0"/>
              <w:rPr>
                <w:sz w:val="16"/>
                <w:szCs w:val="16"/>
              </w:rPr>
            </w:pPr>
            <w:r w:rsidRPr="00456D44">
              <w:rPr>
                <w:sz w:val="16"/>
                <w:szCs w:val="16"/>
              </w:rPr>
              <w:t>Revisión del Arreglo de Lisboa y modificación de su Reglamento y de las Instrucciones Administrativas</w:t>
            </w:r>
          </w:p>
          <w:p w:rsidR="00320744" w:rsidRPr="00456D44" w:rsidRDefault="00320744" w:rsidP="00DC1333">
            <w:pPr>
              <w:widowControl w:val="0"/>
              <w:tabs>
                <w:tab w:val="left" w:pos="1172"/>
              </w:tabs>
              <w:rPr>
                <w:sz w:val="16"/>
                <w:szCs w:val="16"/>
              </w:rPr>
            </w:pPr>
            <w:r w:rsidRPr="00456D44">
              <w:rPr>
                <w:sz w:val="16"/>
                <w:szCs w:val="16"/>
              </w:rPr>
              <w:tab/>
            </w:r>
          </w:p>
          <w:p w:rsidR="00320744" w:rsidRPr="00456D44" w:rsidRDefault="00320744" w:rsidP="00DC1333">
            <w:pPr>
              <w:rPr>
                <w:sz w:val="16"/>
              </w:rPr>
            </w:pPr>
          </w:p>
        </w:tc>
        <w:tc>
          <w:tcPr>
            <w:tcW w:w="1176" w:type="pct"/>
            <w:tcBorders>
              <w:top w:val="nil"/>
              <w:bottom w:val="nil"/>
            </w:tcBorders>
            <w:shd w:val="clear" w:color="auto" w:fill="FFFFFF"/>
            <w:tcMar>
              <w:top w:w="110" w:type="dxa"/>
            </w:tcMar>
          </w:tcPr>
          <w:p w:rsidR="00320744" w:rsidRPr="00456D44" w:rsidRDefault="00320744" w:rsidP="00DC1333">
            <w:pPr>
              <w:rPr>
                <w:sz w:val="16"/>
                <w:szCs w:val="16"/>
                <w:lang w:bidi="th-TH"/>
              </w:rPr>
            </w:pPr>
            <w:r w:rsidRPr="00456D44">
              <w:rPr>
                <w:sz w:val="16"/>
                <w:szCs w:val="16"/>
                <w:lang w:eastAsia="ko-KR"/>
              </w:rPr>
              <w:t>El Acta de Ginebra del Arreglo de Lisboa relativo a las Denominaciones de Origen y las Indicaciones Geográficas</w:t>
            </w:r>
            <w:r w:rsidRPr="00456D44">
              <w:rPr>
                <w:sz w:val="16"/>
                <w:szCs w:val="16"/>
              </w:rPr>
              <w:t xml:space="preserve"> se adoptó en mayo de 2015</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Número de solicitudes internacionales (Madrid)</w:t>
            </w:r>
          </w:p>
        </w:tc>
        <w:tc>
          <w:tcPr>
            <w:tcW w:w="1397" w:type="pct"/>
            <w:tcBorders>
              <w:top w:val="nil"/>
              <w:bottom w:val="nil"/>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Referencia actualizada a fines de 2013:</w:t>
            </w:r>
            <w:r w:rsidRPr="00456D44">
              <w:rPr>
                <w:color w:val="002060"/>
                <w:sz w:val="16"/>
                <w:szCs w:val="16"/>
              </w:rPr>
              <w:t xml:space="preserve">  </w:t>
            </w:r>
          </w:p>
          <w:p w:rsidR="00320744" w:rsidRPr="00456D44" w:rsidRDefault="00320744" w:rsidP="00DC1333">
            <w:pPr>
              <w:widowControl w:val="0"/>
              <w:rPr>
                <w:color w:val="002060"/>
                <w:sz w:val="16"/>
                <w:szCs w:val="16"/>
              </w:rPr>
            </w:pPr>
            <w:r w:rsidRPr="00456D44">
              <w:rPr>
                <w:color w:val="002060"/>
                <w:sz w:val="16"/>
                <w:szCs w:val="16"/>
              </w:rPr>
              <w:t>44.018 (2012)</w:t>
            </w:r>
          </w:p>
          <w:p w:rsidR="00320744" w:rsidRPr="00456D44" w:rsidRDefault="00320744" w:rsidP="00DC1333">
            <w:pPr>
              <w:widowControl w:val="0"/>
              <w:rPr>
                <w:color w:val="002060"/>
                <w:sz w:val="16"/>
                <w:szCs w:val="16"/>
              </w:rPr>
            </w:pPr>
            <w:r w:rsidRPr="00456D44">
              <w:rPr>
                <w:color w:val="002060"/>
                <w:sz w:val="16"/>
                <w:szCs w:val="16"/>
              </w:rPr>
              <w:t>46.829 (2013)</w:t>
            </w:r>
          </w:p>
          <w:p w:rsidR="00320744" w:rsidRPr="00456D44" w:rsidRDefault="00320744" w:rsidP="00DC1333">
            <w:pPr>
              <w:widowControl w:val="0"/>
              <w:rPr>
                <w:sz w:val="16"/>
                <w:szCs w:val="16"/>
              </w:rPr>
            </w:pPr>
          </w:p>
          <w:p w:rsidR="00320744" w:rsidRPr="00456D44" w:rsidRDefault="00320744" w:rsidP="00DC1333">
            <w:pPr>
              <w:rPr>
                <w:sz w:val="16"/>
                <w:szCs w:val="16"/>
              </w:rPr>
            </w:pPr>
            <w:r w:rsidRPr="00456D44">
              <w:rPr>
                <w:i/>
                <w:sz w:val="16"/>
                <w:szCs w:val="16"/>
              </w:rPr>
              <w:t>Referencia original en el presupuesto de 2014/15</w:t>
            </w:r>
            <w:proofErr w:type="gramStart"/>
            <w:r w:rsidRPr="00456D44">
              <w:rPr>
                <w:i/>
                <w:sz w:val="16"/>
                <w:szCs w:val="16"/>
              </w:rPr>
              <w:t xml:space="preserve">: </w:t>
            </w:r>
            <w:r w:rsidRPr="00456D44">
              <w:rPr>
                <w:sz w:val="16"/>
                <w:szCs w:val="16"/>
              </w:rPr>
              <w:t xml:space="preserve"> El</w:t>
            </w:r>
            <w:proofErr w:type="gramEnd"/>
            <w:r w:rsidRPr="00456D44">
              <w:rPr>
                <w:sz w:val="16"/>
                <w:szCs w:val="16"/>
              </w:rPr>
              <w:t xml:space="preserve"> número de solicitudes internacionales a fines de 2013.</w:t>
            </w:r>
          </w:p>
          <w:p w:rsidR="00320744" w:rsidRPr="00456D44" w:rsidRDefault="00320744" w:rsidP="00DC1333">
            <w:pPr>
              <w:rPr>
                <w:sz w:val="16"/>
                <w:szCs w:val="16"/>
              </w:rPr>
            </w:pPr>
          </w:p>
        </w:tc>
        <w:tc>
          <w:tcPr>
            <w:tcW w:w="810" w:type="pct"/>
            <w:tcBorders>
              <w:top w:val="nil"/>
              <w:bottom w:val="nil"/>
            </w:tcBorders>
            <w:shd w:val="clear" w:color="auto" w:fill="auto"/>
            <w:tcMar>
              <w:top w:w="110" w:type="dxa"/>
            </w:tcMar>
          </w:tcPr>
          <w:p w:rsidR="00320744" w:rsidRPr="00456D44" w:rsidRDefault="00320744" w:rsidP="00DC1333">
            <w:pPr>
              <w:rPr>
                <w:i/>
                <w:sz w:val="16"/>
                <w:szCs w:val="16"/>
              </w:rPr>
            </w:pPr>
            <w:r w:rsidRPr="00456D44">
              <w:rPr>
                <w:sz w:val="16"/>
                <w:szCs w:val="16"/>
              </w:rPr>
              <w:t>Aumento del 8,1% a fines de 2015</w:t>
            </w:r>
          </w:p>
        </w:tc>
        <w:tc>
          <w:tcPr>
            <w:tcW w:w="1176" w:type="pct"/>
            <w:tcBorders>
              <w:top w:val="nil"/>
              <w:bottom w:val="nil"/>
            </w:tcBorders>
            <w:shd w:val="clear" w:color="auto" w:fill="FFFFFF"/>
            <w:tcMar>
              <w:top w:w="110" w:type="dxa"/>
            </w:tcMar>
          </w:tcPr>
          <w:p w:rsidR="00320744" w:rsidRPr="00456D44" w:rsidRDefault="00320744" w:rsidP="00DC1333">
            <w:pPr>
              <w:rPr>
                <w:sz w:val="16"/>
                <w:szCs w:val="16"/>
              </w:rPr>
            </w:pPr>
            <w:r w:rsidRPr="00456D44">
              <w:rPr>
                <w:sz w:val="16"/>
                <w:szCs w:val="16"/>
              </w:rPr>
              <w:t>Se recibieron un total de 97.158 solicitudes internacionales en 2014/15:</w:t>
            </w:r>
            <w:r w:rsidRPr="00456D44" w:rsidDel="00495417">
              <w:rPr>
                <w:sz w:val="16"/>
                <w:szCs w:val="16"/>
              </w:rPr>
              <w:t xml:space="preserve"> </w:t>
            </w:r>
          </w:p>
          <w:p w:rsidR="00320744" w:rsidRPr="00456D44" w:rsidRDefault="00320744" w:rsidP="00DC1333">
            <w:pPr>
              <w:rPr>
                <w:sz w:val="16"/>
                <w:szCs w:val="16"/>
              </w:rPr>
            </w:pPr>
            <w:r w:rsidRPr="00456D44">
              <w:rPr>
                <w:sz w:val="16"/>
                <w:szCs w:val="16"/>
              </w:rPr>
              <w:t>47.885 (2014)</w:t>
            </w:r>
          </w:p>
          <w:p w:rsidR="00320744" w:rsidRPr="00456D44" w:rsidRDefault="00320744" w:rsidP="00DC1333">
            <w:pPr>
              <w:rPr>
                <w:sz w:val="16"/>
                <w:szCs w:val="16"/>
              </w:rPr>
            </w:pPr>
            <w:r w:rsidRPr="00456D44">
              <w:rPr>
                <w:sz w:val="16"/>
                <w:szCs w:val="16"/>
              </w:rPr>
              <w:t>49.273 (2015)</w:t>
            </w:r>
          </w:p>
          <w:p w:rsidR="00320744" w:rsidRPr="00456D44" w:rsidRDefault="00320744" w:rsidP="00DC1333">
            <w:pPr>
              <w:rPr>
                <w:sz w:val="16"/>
                <w:szCs w:val="16"/>
              </w:rPr>
            </w:pPr>
          </w:p>
          <w:p w:rsidR="00320744" w:rsidRPr="00456D44" w:rsidRDefault="00320744" w:rsidP="00DC1333">
            <w:pPr>
              <w:rPr>
                <w:sz w:val="16"/>
                <w:szCs w:val="16"/>
              </w:rPr>
            </w:pPr>
            <w:r w:rsidRPr="00456D44">
              <w:rPr>
                <w:sz w:val="16"/>
                <w:szCs w:val="16"/>
              </w:rPr>
              <w:t>Esto supone un aumento del 6,9% con respecto al bienio 2012/13.</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bCs/>
                <w:color w:val="808080"/>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single" w:sz="4" w:space="0" w:color="auto"/>
            </w:tcBorders>
            <w:shd w:val="clear" w:color="auto" w:fill="auto"/>
          </w:tcPr>
          <w:p w:rsidR="00320744" w:rsidRPr="00456D44" w:rsidRDefault="00320744" w:rsidP="00DC1333">
            <w:pPr>
              <w:widowControl w:val="0"/>
              <w:rPr>
                <w:sz w:val="16"/>
                <w:szCs w:val="16"/>
              </w:rPr>
            </w:pPr>
            <w:r w:rsidRPr="00456D44">
              <w:rPr>
                <w:sz w:val="16"/>
                <w:szCs w:val="16"/>
              </w:rPr>
              <w:t>Porcentaje de oficinas que proporcionan información actualizada sobre el Sistema de Madrid</w:t>
            </w:r>
          </w:p>
          <w:p w:rsidR="00320744" w:rsidRPr="00456D44" w:rsidRDefault="00320744" w:rsidP="00DC1333">
            <w:pPr>
              <w:widowControl w:val="0"/>
              <w:rPr>
                <w:sz w:val="16"/>
                <w:szCs w:val="16"/>
              </w:rPr>
            </w:pPr>
          </w:p>
          <w:p w:rsidR="00320744" w:rsidRPr="00456D44" w:rsidRDefault="00320744" w:rsidP="00DC1333">
            <w:pPr>
              <w:widowControl w:val="0"/>
              <w:rPr>
                <w:sz w:val="16"/>
                <w:szCs w:val="16"/>
              </w:rPr>
            </w:pPr>
          </w:p>
          <w:p w:rsidR="00320744" w:rsidRPr="00456D44" w:rsidRDefault="00320744" w:rsidP="00DC1333">
            <w:pPr>
              <w:widowControl w:val="0"/>
              <w:rPr>
                <w:sz w:val="16"/>
                <w:szCs w:val="16"/>
              </w:rPr>
            </w:pPr>
          </w:p>
        </w:tc>
        <w:tc>
          <w:tcPr>
            <w:tcW w:w="1397" w:type="pct"/>
            <w:tcBorders>
              <w:top w:val="nil"/>
              <w:bottom w:val="single" w:sz="4" w:space="0" w:color="auto"/>
            </w:tcBorders>
            <w:shd w:val="clear" w:color="auto" w:fill="auto"/>
          </w:tcPr>
          <w:p w:rsidR="00320744" w:rsidRPr="00456D44" w:rsidRDefault="00320744" w:rsidP="00DC1333">
            <w:pPr>
              <w:rPr>
                <w:sz w:val="16"/>
                <w:szCs w:val="16"/>
              </w:rPr>
            </w:pPr>
            <w:r w:rsidRPr="00456D44">
              <w:rPr>
                <w:sz w:val="16"/>
                <w:szCs w:val="16"/>
              </w:rPr>
              <w:t xml:space="preserve">Porcentaje de oficinas que proporcionan dicha información </w:t>
            </w:r>
          </w:p>
        </w:tc>
        <w:tc>
          <w:tcPr>
            <w:tcW w:w="810" w:type="pct"/>
            <w:tcBorders>
              <w:top w:val="nil"/>
              <w:bottom w:val="single" w:sz="4" w:space="0" w:color="auto"/>
            </w:tcBorders>
            <w:shd w:val="clear" w:color="auto" w:fill="auto"/>
            <w:tcMar>
              <w:top w:w="110" w:type="dxa"/>
            </w:tcMar>
          </w:tcPr>
          <w:p w:rsidR="00320744" w:rsidRPr="00456D44" w:rsidRDefault="00320744" w:rsidP="00DC1333">
            <w:pPr>
              <w:rPr>
                <w:sz w:val="16"/>
                <w:szCs w:val="16"/>
              </w:rPr>
            </w:pPr>
            <w:r w:rsidRPr="00456D44">
              <w:rPr>
                <w:sz w:val="16"/>
                <w:szCs w:val="16"/>
              </w:rPr>
              <w:t>Mayor porcentaje</w:t>
            </w:r>
          </w:p>
        </w:tc>
        <w:tc>
          <w:tcPr>
            <w:tcW w:w="1176" w:type="pct"/>
            <w:tcBorders>
              <w:top w:val="nil"/>
              <w:bottom w:val="single" w:sz="4" w:space="0" w:color="auto"/>
            </w:tcBorders>
            <w:shd w:val="clear" w:color="auto" w:fill="FFFFFF"/>
            <w:tcMar>
              <w:top w:w="110" w:type="dxa"/>
            </w:tcMar>
          </w:tcPr>
          <w:p w:rsidR="00320744" w:rsidRPr="00456D44" w:rsidRDefault="00320744" w:rsidP="00DC1333">
            <w:pPr>
              <w:rPr>
                <w:b/>
                <w:sz w:val="16"/>
                <w:szCs w:val="16"/>
              </w:rPr>
            </w:pPr>
          </w:p>
        </w:tc>
        <w:tc>
          <w:tcPr>
            <w:tcW w:w="513" w:type="pct"/>
            <w:tcBorders>
              <w:top w:val="nil"/>
              <w:bottom w:val="single" w:sz="4" w:space="0" w:color="auto"/>
              <w:right w:val="single" w:sz="4" w:space="0" w:color="auto"/>
            </w:tcBorders>
            <w:shd w:val="clear" w:color="auto" w:fill="auto"/>
            <w:tcMar>
              <w:top w:w="110" w:type="dxa"/>
            </w:tcMar>
          </w:tcPr>
          <w:p w:rsidR="00320744" w:rsidRPr="00456D44" w:rsidRDefault="00320744" w:rsidP="00DC1333">
            <w:pPr>
              <w:keepNext/>
              <w:keepLines/>
              <w:ind w:left="-102"/>
              <w:jc w:val="center"/>
              <w:rPr>
                <w:b/>
                <w:bCs/>
                <w:sz w:val="12"/>
                <w:szCs w:val="12"/>
              </w:rPr>
            </w:pPr>
            <w:r w:rsidRPr="00456D44">
              <w:rPr>
                <w:b/>
                <w:bCs/>
                <w:sz w:val="12"/>
                <w:szCs w:val="12"/>
              </w:rPr>
              <w:t>Discontinuado</w:t>
            </w:r>
          </w:p>
        </w:tc>
      </w:tr>
      <w:tr w:rsidR="00320744" w:rsidRPr="00456D44" w:rsidTr="00DC1333">
        <w:trPr>
          <w:cantSplit/>
          <w:trHeight w:val="502"/>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20744" w:rsidRPr="00456D44" w:rsidRDefault="00320744" w:rsidP="00DC1333">
            <w:pPr>
              <w:keepNext/>
              <w:widowControl w:val="0"/>
              <w:ind w:left="2019" w:hanging="2019"/>
              <w:rPr>
                <w:b/>
                <w:bCs/>
                <w:sz w:val="16"/>
                <w:szCs w:val="16"/>
              </w:rPr>
            </w:pPr>
            <w:r w:rsidRPr="00456D44">
              <w:rPr>
                <w:b/>
                <w:bCs/>
                <w:sz w:val="16"/>
                <w:szCs w:val="16"/>
              </w:rPr>
              <w:lastRenderedPageBreak/>
              <w:t>Resultado previsto:</w:t>
            </w:r>
            <w:r w:rsidRPr="00456D44">
              <w:rPr>
                <w:bCs/>
                <w:sz w:val="16"/>
                <w:szCs w:val="16"/>
              </w:rPr>
              <w:tab/>
              <w:t>II. 6 Mayor y más eficaz utilización de los Sistemas de Madrid y de Lisboa por los países en desarrollo y los PMA, entre otros</w:t>
            </w:r>
          </w:p>
        </w:tc>
      </w:tr>
      <w:tr w:rsidR="00320744" w:rsidRPr="00456D44" w:rsidTr="00DC1333">
        <w:trPr>
          <w:cantSplit/>
        </w:trPr>
        <w:tc>
          <w:tcPr>
            <w:tcW w:w="1104" w:type="pct"/>
            <w:tcBorders>
              <w:top w:val="single" w:sz="4" w:space="0" w:color="auto"/>
              <w:left w:val="single" w:sz="4" w:space="0" w:color="auto"/>
              <w:bottom w:val="nil"/>
            </w:tcBorders>
            <w:shd w:val="clear" w:color="auto" w:fill="auto"/>
            <w:vAlign w:val="center"/>
          </w:tcPr>
          <w:p w:rsidR="00320744" w:rsidRPr="00456D44" w:rsidRDefault="00320744" w:rsidP="00DC1333">
            <w:pPr>
              <w:keepNext/>
              <w:rPr>
                <w:sz w:val="16"/>
                <w:szCs w:val="16"/>
              </w:rPr>
            </w:pPr>
            <w:r w:rsidRPr="00456D44">
              <w:rPr>
                <w:b/>
                <w:bCs/>
                <w:sz w:val="16"/>
                <w:szCs w:val="16"/>
              </w:rPr>
              <w:t>Indicadores de rendimiento</w:t>
            </w:r>
          </w:p>
        </w:tc>
        <w:tc>
          <w:tcPr>
            <w:tcW w:w="1397" w:type="pct"/>
            <w:tcBorders>
              <w:top w:val="single" w:sz="4" w:space="0" w:color="auto"/>
              <w:bottom w:val="nil"/>
            </w:tcBorders>
            <w:shd w:val="clear" w:color="auto" w:fill="auto"/>
            <w:vAlign w:val="center"/>
          </w:tcPr>
          <w:p w:rsidR="00320744" w:rsidRPr="00456D44" w:rsidRDefault="00320744" w:rsidP="00DC1333">
            <w:pPr>
              <w:keepNext/>
              <w:rPr>
                <w:i/>
                <w:color w:val="002060"/>
                <w:sz w:val="16"/>
                <w:szCs w:val="16"/>
              </w:rPr>
            </w:pPr>
            <w:r w:rsidRPr="00456D44">
              <w:rPr>
                <w:b/>
                <w:bCs/>
                <w:sz w:val="16"/>
                <w:szCs w:val="16"/>
              </w:rPr>
              <w:t>Referencia</w:t>
            </w:r>
          </w:p>
        </w:tc>
        <w:tc>
          <w:tcPr>
            <w:tcW w:w="810" w:type="pct"/>
            <w:tcBorders>
              <w:top w:val="single" w:sz="4" w:space="0" w:color="auto"/>
              <w:bottom w:val="nil"/>
            </w:tcBorders>
            <w:shd w:val="clear" w:color="auto" w:fill="auto"/>
            <w:tcMar>
              <w:top w:w="110" w:type="dxa"/>
            </w:tcMar>
            <w:vAlign w:val="center"/>
          </w:tcPr>
          <w:p w:rsidR="00320744" w:rsidRPr="00456D44" w:rsidRDefault="00320744" w:rsidP="00DC1333">
            <w:pPr>
              <w:keepNext/>
              <w:rPr>
                <w:sz w:val="16"/>
                <w:szCs w:val="16"/>
              </w:rPr>
            </w:pPr>
            <w:r w:rsidRPr="00456D44">
              <w:rPr>
                <w:b/>
                <w:sz w:val="16"/>
                <w:szCs w:val="16"/>
              </w:rPr>
              <w:t>Objetivos</w:t>
            </w:r>
          </w:p>
        </w:tc>
        <w:tc>
          <w:tcPr>
            <w:tcW w:w="1176" w:type="pct"/>
            <w:tcBorders>
              <w:top w:val="single" w:sz="4" w:space="0" w:color="auto"/>
              <w:bottom w:val="nil"/>
            </w:tcBorders>
            <w:shd w:val="clear" w:color="auto" w:fill="FFFFFF"/>
            <w:tcMar>
              <w:top w:w="110" w:type="dxa"/>
            </w:tcMar>
            <w:vAlign w:val="center"/>
          </w:tcPr>
          <w:p w:rsidR="00320744" w:rsidRPr="00456D44" w:rsidRDefault="00320744" w:rsidP="00DC1333">
            <w:pPr>
              <w:keepNext/>
              <w:rPr>
                <w:sz w:val="16"/>
                <w:szCs w:val="16"/>
              </w:rPr>
            </w:pPr>
            <w:r w:rsidRPr="00456D44">
              <w:rPr>
                <w:b/>
                <w:bCs/>
                <w:sz w:val="16"/>
                <w:szCs w:val="16"/>
              </w:rPr>
              <w:t>Datos sobre el rendimiento</w:t>
            </w:r>
          </w:p>
        </w:tc>
        <w:tc>
          <w:tcPr>
            <w:tcW w:w="513" w:type="pct"/>
            <w:tcBorders>
              <w:top w:val="single" w:sz="4" w:space="0" w:color="auto"/>
              <w:bottom w:val="nil"/>
              <w:right w:val="single" w:sz="4" w:space="0" w:color="auto"/>
            </w:tcBorders>
            <w:shd w:val="clear" w:color="auto" w:fill="auto"/>
            <w:tcMar>
              <w:top w:w="110" w:type="dxa"/>
            </w:tcMar>
            <w:vAlign w:val="center"/>
          </w:tcPr>
          <w:p w:rsidR="00320744" w:rsidRPr="00456D44" w:rsidRDefault="00320744" w:rsidP="00DC1333">
            <w:pPr>
              <w:keepNext/>
              <w:keepLines/>
              <w:jc w:val="center"/>
              <w:rPr>
                <w:rStyle w:val="Style5"/>
                <w:sz w:val="16"/>
                <w:szCs w:val="16"/>
              </w:rPr>
            </w:pPr>
            <w:r w:rsidRPr="00456D44">
              <w:rPr>
                <w:b/>
                <w:bCs/>
                <w:sz w:val="16"/>
                <w:szCs w:val="16"/>
              </w:rPr>
              <w:t>Clave de colores</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keepNext/>
              <w:widowControl w:val="0"/>
              <w:rPr>
                <w:sz w:val="16"/>
                <w:szCs w:val="16"/>
              </w:rPr>
            </w:pPr>
            <w:r w:rsidRPr="00456D44">
              <w:rPr>
                <w:sz w:val="16"/>
                <w:szCs w:val="16"/>
              </w:rPr>
              <w:t>Porcentaje de participantes en las actividades del Sistema de Lisboa que están satisfechos y manifiestan haber mejorado sus conocimientos tras haber participado en las actividades</w:t>
            </w:r>
          </w:p>
        </w:tc>
        <w:tc>
          <w:tcPr>
            <w:tcW w:w="1397" w:type="pct"/>
            <w:tcBorders>
              <w:top w:val="nil"/>
              <w:bottom w:val="nil"/>
            </w:tcBorders>
            <w:shd w:val="clear" w:color="auto" w:fill="auto"/>
          </w:tcPr>
          <w:p w:rsidR="00320744" w:rsidRPr="00456D44" w:rsidRDefault="00320744" w:rsidP="00DC1333">
            <w:pPr>
              <w:keepNext/>
              <w:widowControl w:val="0"/>
              <w:rPr>
                <w:color w:val="002060"/>
                <w:sz w:val="16"/>
                <w:szCs w:val="16"/>
              </w:rPr>
            </w:pPr>
            <w:r w:rsidRPr="00456D44">
              <w:rPr>
                <w:i/>
                <w:color w:val="002060"/>
                <w:sz w:val="16"/>
                <w:szCs w:val="16"/>
              </w:rPr>
              <w:t xml:space="preserve">Referencia actualizada a fines de </w:t>
            </w:r>
            <w:r w:rsidRPr="00456D44">
              <w:rPr>
                <w:color w:val="002060"/>
                <w:sz w:val="16"/>
                <w:szCs w:val="16"/>
              </w:rPr>
              <w:t>2013: Los cuestionarios de evaluación utilizados revelan un índice de satisfacción de más del 90%</w:t>
            </w:r>
          </w:p>
          <w:p w:rsidR="00320744" w:rsidRPr="00456D44" w:rsidRDefault="00320744" w:rsidP="00DC1333">
            <w:pPr>
              <w:keepNext/>
              <w:widowControl w:val="0"/>
              <w:rPr>
                <w:color w:val="002060"/>
                <w:sz w:val="16"/>
                <w:szCs w:val="16"/>
              </w:rPr>
            </w:pPr>
          </w:p>
          <w:p w:rsidR="00320744" w:rsidRPr="00456D44" w:rsidRDefault="00320744" w:rsidP="00DC1333">
            <w:pPr>
              <w:keepNext/>
              <w:rPr>
                <w:i/>
                <w:color w:val="002060"/>
                <w:sz w:val="16"/>
                <w:szCs w:val="16"/>
              </w:rPr>
            </w:pPr>
            <w:r w:rsidRPr="00456D44">
              <w:rPr>
                <w:i/>
                <w:sz w:val="16"/>
                <w:szCs w:val="16"/>
              </w:rPr>
              <w:t>Referencia original en el presupuesto de 2013/14:  Número de actividades y porcentaje de participantes satisfechos en 2013</w:t>
            </w:r>
          </w:p>
          <w:p w:rsidR="00320744" w:rsidRPr="00456D44" w:rsidRDefault="00320744" w:rsidP="00DC1333">
            <w:pPr>
              <w:keepNext/>
              <w:rPr>
                <w:i/>
                <w:color w:val="002060"/>
                <w:sz w:val="16"/>
                <w:szCs w:val="16"/>
              </w:rPr>
            </w:pPr>
          </w:p>
        </w:tc>
        <w:tc>
          <w:tcPr>
            <w:tcW w:w="810" w:type="pct"/>
            <w:tcBorders>
              <w:top w:val="nil"/>
              <w:bottom w:val="nil"/>
            </w:tcBorders>
            <w:shd w:val="clear" w:color="auto" w:fill="auto"/>
            <w:tcMar>
              <w:top w:w="110" w:type="dxa"/>
            </w:tcMar>
          </w:tcPr>
          <w:p w:rsidR="00320744" w:rsidRPr="00456D44" w:rsidRDefault="00320744" w:rsidP="00DC1333">
            <w:pPr>
              <w:keepNext/>
              <w:rPr>
                <w:sz w:val="16"/>
                <w:szCs w:val="16"/>
              </w:rPr>
            </w:pPr>
            <w:r w:rsidRPr="00456D44">
              <w:rPr>
                <w:sz w:val="16"/>
                <w:szCs w:val="16"/>
              </w:rPr>
              <w:t>Al menos ocho actividades y un 85% de participantes satisfechos</w:t>
            </w:r>
          </w:p>
        </w:tc>
        <w:tc>
          <w:tcPr>
            <w:tcW w:w="1176" w:type="pct"/>
            <w:tcBorders>
              <w:top w:val="nil"/>
              <w:bottom w:val="nil"/>
            </w:tcBorders>
            <w:shd w:val="clear" w:color="auto" w:fill="FFFFFF"/>
            <w:tcMar>
              <w:top w:w="110" w:type="dxa"/>
            </w:tcMar>
          </w:tcPr>
          <w:p w:rsidR="00320744" w:rsidRPr="00456D44" w:rsidRDefault="00320744" w:rsidP="00DC1333">
            <w:pPr>
              <w:keepNext/>
              <w:rPr>
                <w:sz w:val="16"/>
                <w:szCs w:val="16"/>
              </w:rPr>
            </w:pPr>
            <w:r w:rsidRPr="00456D44">
              <w:rPr>
                <w:sz w:val="16"/>
                <w:szCs w:val="16"/>
              </w:rPr>
              <w:t xml:space="preserve">Siete eventos de información y promoción especialmente dedicados al Sistema de Lisboa, incluida su revisión prevista en todas las regiones, con un 84% de participantes satisfechos </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 xml:space="preserve">Número y proporción de registros en vigor del Sistema de Lisboa procedentes de países en desarrollo y PMA </w:t>
            </w:r>
          </w:p>
        </w:tc>
        <w:tc>
          <w:tcPr>
            <w:tcW w:w="1397" w:type="pct"/>
            <w:tcBorders>
              <w:top w:val="nil"/>
              <w:bottom w:val="nil"/>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Referencia actualizada a fines de 2013:</w:t>
            </w:r>
            <w:r w:rsidRPr="00456D44">
              <w:rPr>
                <w:color w:val="002060"/>
                <w:sz w:val="16"/>
                <w:szCs w:val="16"/>
              </w:rPr>
              <w:t xml:space="preserve"> 67 (de 816)</w:t>
            </w:r>
          </w:p>
          <w:p w:rsidR="00320744" w:rsidRPr="00456D44" w:rsidRDefault="00320744" w:rsidP="00DC1333">
            <w:pPr>
              <w:widowControl w:val="0"/>
              <w:rPr>
                <w:color w:val="002060"/>
                <w:sz w:val="16"/>
                <w:szCs w:val="16"/>
              </w:rPr>
            </w:pPr>
          </w:p>
          <w:p w:rsidR="00320744" w:rsidRPr="00456D44" w:rsidRDefault="00320744" w:rsidP="00DC1333">
            <w:pPr>
              <w:rPr>
                <w:i/>
                <w:color w:val="002060"/>
                <w:sz w:val="16"/>
                <w:szCs w:val="16"/>
              </w:rPr>
            </w:pPr>
            <w:r w:rsidRPr="00456D44">
              <w:rPr>
                <w:i/>
                <w:sz w:val="16"/>
                <w:szCs w:val="16"/>
              </w:rPr>
              <w:t xml:space="preserve">Referencia original en el presupuesto de 2013/14:  </w:t>
            </w:r>
            <w:r w:rsidRPr="00456D44">
              <w:rPr>
                <w:sz w:val="16"/>
                <w:szCs w:val="16"/>
              </w:rPr>
              <w:t>67 (de 809) (abril de 2013)</w:t>
            </w:r>
          </w:p>
          <w:p w:rsidR="00320744" w:rsidRPr="00456D44" w:rsidRDefault="00320744" w:rsidP="00DC1333">
            <w:pPr>
              <w:rPr>
                <w:i/>
                <w:color w:val="002060"/>
                <w:sz w:val="16"/>
                <w:szCs w:val="16"/>
              </w:rPr>
            </w:pPr>
          </w:p>
        </w:tc>
        <w:tc>
          <w:tcPr>
            <w:tcW w:w="810" w:type="pct"/>
            <w:tcBorders>
              <w:top w:val="nil"/>
              <w:bottom w:val="nil"/>
            </w:tcBorders>
            <w:shd w:val="clear" w:color="auto" w:fill="auto"/>
            <w:tcMar>
              <w:top w:w="110" w:type="dxa"/>
            </w:tcMar>
          </w:tcPr>
          <w:p w:rsidR="00320744" w:rsidRPr="00456D44" w:rsidRDefault="00320744" w:rsidP="00DC1333">
            <w:pPr>
              <w:rPr>
                <w:sz w:val="16"/>
                <w:szCs w:val="16"/>
              </w:rPr>
            </w:pPr>
            <w:r w:rsidRPr="00456D44">
              <w:rPr>
                <w:sz w:val="16"/>
                <w:szCs w:val="16"/>
              </w:rPr>
              <w:t>80 (de 825)</w:t>
            </w:r>
          </w:p>
        </w:tc>
        <w:tc>
          <w:tcPr>
            <w:tcW w:w="1176" w:type="pct"/>
            <w:tcBorders>
              <w:top w:val="nil"/>
              <w:bottom w:val="nil"/>
            </w:tcBorders>
            <w:shd w:val="clear" w:color="auto" w:fill="FFFFFF"/>
            <w:tcMar>
              <w:top w:w="110" w:type="dxa"/>
            </w:tcMar>
          </w:tcPr>
          <w:p w:rsidR="00320744" w:rsidRPr="00456D44" w:rsidRDefault="00320744" w:rsidP="00DC1333">
            <w:pPr>
              <w:rPr>
                <w:sz w:val="16"/>
                <w:szCs w:val="16"/>
              </w:rPr>
            </w:pPr>
            <w:r w:rsidRPr="00456D44">
              <w:rPr>
                <w:sz w:val="16"/>
                <w:szCs w:val="16"/>
              </w:rPr>
              <w:t>95 (de 931):</w:t>
            </w:r>
          </w:p>
          <w:p w:rsidR="00320744" w:rsidRPr="00456D44" w:rsidRDefault="00320744" w:rsidP="00320744">
            <w:pPr>
              <w:numPr>
                <w:ilvl w:val="0"/>
                <w:numId w:val="25"/>
              </w:numPr>
              <w:rPr>
                <w:sz w:val="16"/>
                <w:szCs w:val="16"/>
              </w:rPr>
            </w:pPr>
            <w:r w:rsidRPr="00456D44">
              <w:rPr>
                <w:sz w:val="16"/>
                <w:szCs w:val="16"/>
              </w:rPr>
              <w:t>Países Árabes (14)</w:t>
            </w:r>
          </w:p>
          <w:p w:rsidR="00320744" w:rsidRPr="00456D44" w:rsidRDefault="00320744" w:rsidP="00320744">
            <w:pPr>
              <w:numPr>
                <w:ilvl w:val="0"/>
                <w:numId w:val="25"/>
              </w:numPr>
              <w:rPr>
                <w:sz w:val="16"/>
                <w:szCs w:val="16"/>
              </w:rPr>
            </w:pPr>
            <w:r w:rsidRPr="00456D44">
              <w:rPr>
                <w:sz w:val="16"/>
                <w:szCs w:val="16"/>
              </w:rPr>
              <w:t>Asia y el Pacífico (38)</w:t>
            </w:r>
          </w:p>
          <w:p w:rsidR="00320744" w:rsidRPr="00456D44" w:rsidRDefault="00320744" w:rsidP="00320744">
            <w:pPr>
              <w:numPr>
                <w:ilvl w:val="0"/>
                <w:numId w:val="25"/>
              </w:numPr>
              <w:rPr>
                <w:sz w:val="16"/>
                <w:szCs w:val="16"/>
              </w:rPr>
            </w:pPr>
            <w:r w:rsidRPr="00456D44">
              <w:rPr>
                <w:sz w:val="16"/>
                <w:szCs w:val="16"/>
              </w:rPr>
              <w:t>América Latina y el Caribe (43)</w:t>
            </w:r>
          </w:p>
        </w:tc>
        <w:tc>
          <w:tcPr>
            <w:tcW w:w="513" w:type="pct"/>
            <w:tcBorders>
              <w:top w:val="nil"/>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Pr>
        <w:tc>
          <w:tcPr>
            <w:tcW w:w="1104" w:type="pct"/>
            <w:tcBorders>
              <w:top w:val="nil"/>
              <w:left w:val="single" w:sz="4" w:space="0" w:color="auto"/>
              <w:bottom w:val="single" w:sz="4" w:space="0" w:color="auto"/>
            </w:tcBorders>
            <w:shd w:val="clear" w:color="auto" w:fill="auto"/>
          </w:tcPr>
          <w:p w:rsidR="00320744" w:rsidRPr="00456D44" w:rsidRDefault="00320744" w:rsidP="00DC1333">
            <w:pPr>
              <w:widowControl w:val="0"/>
              <w:rPr>
                <w:sz w:val="16"/>
                <w:szCs w:val="16"/>
              </w:rPr>
            </w:pPr>
            <w:r w:rsidRPr="00456D44">
              <w:rPr>
                <w:sz w:val="16"/>
                <w:szCs w:val="16"/>
              </w:rPr>
              <w:t>Disminución del número de irregularidades (Madrid)</w:t>
            </w:r>
          </w:p>
        </w:tc>
        <w:tc>
          <w:tcPr>
            <w:tcW w:w="1397" w:type="pct"/>
            <w:tcBorders>
              <w:top w:val="nil"/>
              <w:bottom w:val="single" w:sz="4" w:space="0" w:color="auto"/>
            </w:tcBorders>
            <w:shd w:val="clear" w:color="auto" w:fill="auto"/>
          </w:tcPr>
          <w:p w:rsidR="00320744" w:rsidRPr="00456D44" w:rsidRDefault="00320744" w:rsidP="00DC1333">
            <w:pPr>
              <w:widowControl w:val="0"/>
              <w:rPr>
                <w:color w:val="002060"/>
                <w:sz w:val="16"/>
                <w:szCs w:val="16"/>
              </w:rPr>
            </w:pPr>
            <w:r w:rsidRPr="00456D44">
              <w:rPr>
                <w:i/>
                <w:color w:val="002060"/>
                <w:sz w:val="16"/>
                <w:szCs w:val="16"/>
              </w:rPr>
              <w:t xml:space="preserve">Referencia actualizada a fines de 2013:  </w:t>
            </w:r>
            <w:r w:rsidRPr="00456D44">
              <w:rPr>
                <w:color w:val="002060"/>
                <w:sz w:val="16"/>
                <w:szCs w:val="16"/>
              </w:rPr>
              <w:t>2013:  32%</w:t>
            </w:r>
            <w:r w:rsidRPr="00456D44">
              <w:rPr>
                <w:rStyle w:val="FootnoteReference"/>
                <w:sz w:val="16"/>
                <w:szCs w:val="16"/>
              </w:rPr>
              <w:footnoteReference w:id="25"/>
            </w:r>
            <w:r w:rsidRPr="00456D44">
              <w:rPr>
                <w:color w:val="002060"/>
                <w:sz w:val="16"/>
                <w:szCs w:val="16"/>
              </w:rPr>
              <w:t xml:space="preserve"> (14.985 solicitudes con irregularidades)</w:t>
            </w:r>
          </w:p>
          <w:p w:rsidR="00320744" w:rsidRPr="00456D44" w:rsidRDefault="00320744" w:rsidP="00DC1333">
            <w:pPr>
              <w:widowControl w:val="0"/>
              <w:rPr>
                <w:i/>
                <w:sz w:val="8"/>
                <w:szCs w:val="8"/>
              </w:rPr>
            </w:pPr>
          </w:p>
          <w:p w:rsidR="00320744" w:rsidRPr="00456D44" w:rsidRDefault="00320744" w:rsidP="00DC1333">
            <w:pPr>
              <w:rPr>
                <w:i/>
                <w:color w:val="002060"/>
                <w:sz w:val="16"/>
                <w:szCs w:val="16"/>
              </w:rPr>
            </w:pPr>
            <w:r w:rsidRPr="00456D44">
              <w:rPr>
                <w:i/>
                <w:sz w:val="16"/>
                <w:szCs w:val="16"/>
              </w:rPr>
              <w:t xml:space="preserve">Referencia original en el presupuesto de 2014/15:  </w:t>
            </w:r>
            <w:r w:rsidRPr="00456D44">
              <w:rPr>
                <w:sz w:val="16"/>
                <w:szCs w:val="16"/>
              </w:rPr>
              <w:t>32%</w:t>
            </w:r>
            <w:r w:rsidRPr="00456D44">
              <w:rPr>
                <w:rStyle w:val="FootnoteReference"/>
                <w:sz w:val="16"/>
                <w:szCs w:val="16"/>
              </w:rPr>
              <w:footnoteReference w:id="26"/>
            </w:r>
            <w:r w:rsidRPr="00456D44">
              <w:rPr>
                <w:sz w:val="16"/>
                <w:szCs w:val="16"/>
              </w:rPr>
              <w:t xml:space="preserve"> de solicitudes irregulares (en 2012)</w:t>
            </w:r>
            <w:r w:rsidRPr="00456D44">
              <w:rPr>
                <w:sz w:val="16"/>
                <w:szCs w:val="16"/>
              </w:rPr>
              <w:br/>
            </w:r>
          </w:p>
          <w:p w:rsidR="00320744" w:rsidRPr="00456D44" w:rsidRDefault="00320744" w:rsidP="00DC1333">
            <w:pPr>
              <w:rPr>
                <w:i/>
                <w:color w:val="002060"/>
                <w:sz w:val="16"/>
                <w:szCs w:val="16"/>
              </w:rPr>
            </w:pPr>
          </w:p>
        </w:tc>
        <w:tc>
          <w:tcPr>
            <w:tcW w:w="810" w:type="pct"/>
            <w:tcBorders>
              <w:top w:val="nil"/>
              <w:bottom w:val="single" w:sz="4" w:space="0" w:color="auto"/>
            </w:tcBorders>
            <w:shd w:val="clear" w:color="auto" w:fill="auto"/>
            <w:tcMar>
              <w:top w:w="110" w:type="dxa"/>
            </w:tcMar>
          </w:tcPr>
          <w:p w:rsidR="00320744" w:rsidRPr="00456D44" w:rsidRDefault="00320744" w:rsidP="00DC1333">
            <w:pPr>
              <w:widowControl w:val="0"/>
              <w:rPr>
                <w:sz w:val="16"/>
                <w:szCs w:val="16"/>
              </w:rPr>
            </w:pPr>
            <w:r w:rsidRPr="00456D44">
              <w:rPr>
                <w:sz w:val="16"/>
                <w:szCs w:val="16"/>
              </w:rPr>
              <w:t>Disminución en un 10% del número de irregularidades</w:t>
            </w:r>
          </w:p>
          <w:p w:rsidR="00320744" w:rsidRPr="00456D44" w:rsidRDefault="00320744" w:rsidP="00DC1333">
            <w:pPr>
              <w:rPr>
                <w:sz w:val="16"/>
                <w:szCs w:val="16"/>
              </w:rPr>
            </w:pPr>
          </w:p>
        </w:tc>
        <w:tc>
          <w:tcPr>
            <w:tcW w:w="1176" w:type="pct"/>
            <w:tcBorders>
              <w:top w:val="nil"/>
              <w:bottom w:val="single" w:sz="4" w:space="0" w:color="auto"/>
            </w:tcBorders>
            <w:shd w:val="clear" w:color="auto" w:fill="FFFFFF"/>
            <w:tcMar>
              <w:top w:w="110" w:type="dxa"/>
            </w:tcMar>
          </w:tcPr>
          <w:p w:rsidR="00320744" w:rsidRPr="00456D44" w:rsidRDefault="00320744" w:rsidP="00320744">
            <w:pPr>
              <w:pStyle w:val="ListParagraph"/>
              <w:numPr>
                <w:ilvl w:val="0"/>
                <w:numId w:val="28"/>
              </w:numPr>
              <w:rPr>
                <w:rFonts w:cs="Arial"/>
                <w:sz w:val="16"/>
                <w:szCs w:val="16"/>
                <w:lang w:val="es-ES"/>
              </w:rPr>
            </w:pPr>
            <w:r w:rsidRPr="00456D44">
              <w:rPr>
                <w:rFonts w:cs="Arial"/>
                <w:sz w:val="16"/>
                <w:szCs w:val="16"/>
                <w:lang w:val="es-ES"/>
              </w:rPr>
              <w:t>2014:  34%</w:t>
            </w:r>
            <w:r w:rsidRPr="00456D44">
              <w:rPr>
                <w:rStyle w:val="FootnoteReference"/>
                <w:rFonts w:cs="Arial"/>
                <w:sz w:val="16"/>
                <w:szCs w:val="16"/>
                <w:lang w:val="es-ES"/>
              </w:rPr>
              <w:footnoteReference w:id="27"/>
            </w:r>
            <w:r w:rsidRPr="00456D44">
              <w:rPr>
                <w:rFonts w:cs="Arial"/>
                <w:sz w:val="16"/>
                <w:szCs w:val="16"/>
                <w:lang w:val="es-ES"/>
              </w:rPr>
              <w:t xml:space="preserve"> o 16.281 solicitudes con irregularidades (+9% con respecto a 2013)</w:t>
            </w:r>
          </w:p>
          <w:p w:rsidR="00320744" w:rsidRPr="00456D44" w:rsidRDefault="00320744" w:rsidP="00320744">
            <w:pPr>
              <w:pStyle w:val="ListParagraph"/>
              <w:numPr>
                <w:ilvl w:val="0"/>
                <w:numId w:val="28"/>
              </w:numPr>
              <w:spacing w:before="60"/>
              <w:rPr>
                <w:rFonts w:cs="Arial"/>
                <w:b/>
                <w:sz w:val="16"/>
                <w:szCs w:val="16"/>
                <w:lang w:val="es-ES"/>
              </w:rPr>
            </w:pPr>
            <w:r w:rsidRPr="00456D44">
              <w:rPr>
                <w:rFonts w:cs="Arial"/>
                <w:sz w:val="16"/>
                <w:szCs w:val="16"/>
                <w:lang w:val="es-ES"/>
              </w:rPr>
              <w:t xml:space="preserve">2015:  39% o 19.216 solicitudes con irregularidades (+18% con respecto a 2014) </w:t>
            </w:r>
          </w:p>
        </w:tc>
        <w:tc>
          <w:tcPr>
            <w:tcW w:w="513" w:type="pct"/>
            <w:tcBorders>
              <w:top w:val="nil"/>
              <w:bottom w:val="single" w:sz="4" w:space="0" w:color="auto"/>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FF0000"/>
                <w:sz w:val="12"/>
                <w:szCs w:val="12"/>
              </w:rPr>
              <w:t>No logrado</w:t>
            </w:r>
          </w:p>
        </w:tc>
      </w:tr>
      <w:tr w:rsidR="00320744" w:rsidRPr="00456D44" w:rsidTr="00320744">
        <w:trPr>
          <w:cantSplit/>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20744" w:rsidRPr="00456D44" w:rsidRDefault="00320744" w:rsidP="00DC1333">
            <w:pPr>
              <w:keepNext/>
              <w:keepLines/>
              <w:ind w:left="2019" w:hanging="2019"/>
              <w:rPr>
                <w:b/>
                <w:bCs/>
                <w:sz w:val="12"/>
                <w:szCs w:val="12"/>
              </w:rPr>
            </w:pPr>
            <w:r w:rsidRPr="00456D44">
              <w:rPr>
                <w:b/>
                <w:bCs/>
                <w:sz w:val="16"/>
                <w:szCs w:val="16"/>
              </w:rPr>
              <w:t>Resultado previsto:</w:t>
            </w:r>
            <w:r w:rsidRPr="00456D44">
              <w:rPr>
                <w:bCs/>
                <w:sz w:val="16"/>
                <w:szCs w:val="16"/>
              </w:rPr>
              <w:tab/>
              <w:t>II.7 Mejora de la productividad y de la calidad de los servicios en las operaciones de los Sistemas de Madrid y de Lisboa</w:t>
            </w:r>
            <w:r w:rsidRPr="00456D44">
              <w:rPr>
                <w:b/>
                <w:bCs/>
                <w:sz w:val="12"/>
                <w:szCs w:val="12"/>
              </w:rPr>
              <w:t xml:space="preserve"> </w:t>
            </w:r>
          </w:p>
        </w:tc>
      </w:tr>
      <w:tr w:rsidR="00320744" w:rsidRPr="00456D44" w:rsidTr="00DC1333">
        <w:trPr>
          <w:cantSplit/>
        </w:trPr>
        <w:tc>
          <w:tcPr>
            <w:tcW w:w="1104" w:type="pct"/>
            <w:tcBorders>
              <w:top w:val="single" w:sz="4" w:space="0" w:color="auto"/>
              <w:left w:val="single" w:sz="4" w:space="0" w:color="auto"/>
              <w:bottom w:val="nil"/>
            </w:tcBorders>
            <w:shd w:val="clear" w:color="auto" w:fill="auto"/>
            <w:vAlign w:val="center"/>
          </w:tcPr>
          <w:p w:rsidR="00320744" w:rsidRPr="00456D44" w:rsidRDefault="00320744" w:rsidP="00DC1333">
            <w:pPr>
              <w:rPr>
                <w:sz w:val="16"/>
                <w:szCs w:val="16"/>
              </w:rPr>
            </w:pPr>
            <w:r w:rsidRPr="00456D44">
              <w:rPr>
                <w:b/>
                <w:bCs/>
                <w:sz w:val="16"/>
                <w:szCs w:val="16"/>
              </w:rPr>
              <w:t>Indicadores de rendimiento</w:t>
            </w:r>
          </w:p>
        </w:tc>
        <w:tc>
          <w:tcPr>
            <w:tcW w:w="1397" w:type="pct"/>
            <w:tcBorders>
              <w:top w:val="single" w:sz="4" w:space="0" w:color="auto"/>
              <w:bottom w:val="nil"/>
            </w:tcBorders>
            <w:shd w:val="clear" w:color="auto" w:fill="auto"/>
            <w:vAlign w:val="center"/>
          </w:tcPr>
          <w:p w:rsidR="00320744" w:rsidRPr="00456D44" w:rsidRDefault="00320744" w:rsidP="00DC1333">
            <w:pPr>
              <w:rPr>
                <w:b/>
                <w:bCs/>
                <w:sz w:val="16"/>
                <w:szCs w:val="16"/>
              </w:rPr>
            </w:pPr>
            <w:r w:rsidRPr="00456D44">
              <w:rPr>
                <w:b/>
                <w:bCs/>
                <w:sz w:val="16"/>
                <w:szCs w:val="16"/>
              </w:rPr>
              <w:t>Referencia</w:t>
            </w:r>
          </w:p>
        </w:tc>
        <w:tc>
          <w:tcPr>
            <w:tcW w:w="810" w:type="pct"/>
            <w:tcBorders>
              <w:top w:val="single" w:sz="4" w:space="0" w:color="auto"/>
              <w:bottom w:val="nil"/>
            </w:tcBorders>
            <w:shd w:val="clear" w:color="auto" w:fill="auto"/>
            <w:tcMar>
              <w:top w:w="110" w:type="dxa"/>
            </w:tcMar>
            <w:vAlign w:val="center"/>
          </w:tcPr>
          <w:p w:rsidR="00320744" w:rsidRPr="00456D44" w:rsidRDefault="00320744" w:rsidP="00DC1333">
            <w:pPr>
              <w:rPr>
                <w:b/>
                <w:sz w:val="16"/>
                <w:szCs w:val="16"/>
              </w:rPr>
            </w:pPr>
            <w:r w:rsidRPr="00456D44">
              <w:rPr>
                <w:b/>
                <w:sz w:val="16"/>
                <w:szCs w:val="16"/>
              </w:rPr>
              <w:t>Objetivos</w:t>
            </w:r>
          </w:p>
        </w:tc>
        <w:tc>
          <w:tcPr>
            <w:tcW w:w="1176" w:type="pct"/>
            <w:tcBorders>
              <w:top w:val="single" w:sz="4" w:space="0" w:color="auto"/>
              <w:bottom w:val="nil"/>
            </w:tcBorders>
            <w:shd w:val="clear" w:color="auto" w:fill="FFFFFF"/>
            <w:tcMar>
              <w:top w:w="110" w:type="dxa"/>
            </w:tcMar>
            <w:vAlign w:val="center"/>
          </w:tcPr>
          <w:p w:rsidR="00320744" w:rsidRPr="00456D44" w:rsidRDefault="00320744" w:rsidP="00DC1333">
            <w:pPr>
              <w:rPr>
                <w:sz w:val="16"/>
                <w:szCs w:val="16"/>
              </w:rPr>
            </w:pPr>
            <w:r w:rsidRPr="00456D44">
              <w:rPr>
                <w:b/>
                <w:bCs/>
                <w:sz w:val="16"/>
                <w:szCs w:val="16"/>
              </w:rPr>
              <w:t>Datos sobre el rendimiento</w:t>
            </w:r>
          </w:p>
        </w:tc>
        <w:tc>
          <w:tcPr>
            <w:tcW w:w="513" w:type="pct"/>
            <w:tcBorders>
              <w:top w:val="single" w:sz="4" w:space="0" w:color="auto"/>
              <w:bottom w:val="nil"/>
              <w:right w:val="single" w:sz="4" w:space="0" w:color="auto"/>
            </w:tcBorders>
            <w:shd w:val="clear" w:color="auto" w:fill="auto"/>
            <w:tcMar>
              <w:top w:w="110" w:type="dxa"/>
            </w:tcMar>
            <w:vAlign w:val="center"/>
          </w:tcPr>
          <w:p w:rsidR="00320744" w:rsidRPr="00456D44" w:rsidRDefault="00320744" w:rsidP="00DC1333">
            <w:pPr>
              <w:keepNext/>
              <w:keepLines/>
              <w:jc w:val="center"/>
              <w:rPr>
                <w:b/>
                <w:bCs/>
                <w:sz w:val="16"/>
                <w:szCs w:val="16"/>
              </w:rPr>
            </w:pPr>
            <w:r w:rsidRPr="00456D44">
              <w:rPr>
                <w:b/>
                <w:bCs/>
                <w:sz w:val="16"/>
                <w:szCs w:val="16"/>
              </w:rPr>
              <w:t>Clave de colores</w:t>
            </w:r>
          </w:p>
        </w:tc>
      </w:tr>
      <w:tr w:rsidR="00320744" w:rsidRPr="00456D44" w:rsidTr="00DC1333">
        <w:trPr>
          <w:cantSplit/>
        </w:trPr>
        <w:tc>
          <w:tcPr>
            <w:tcW w:w="1104" w:type="pct"/>
            <w:tcBorders>
              <w:top w:val="nil"/>
              <w:left w:val="single" w:sz="4" w:space="0" w:color="auto"/>
              <w:bottom w:val="single" w:sz="4" w:space="0" w:color="auto"/>
            </w:tcBorders>
            <w:shd w:val="clear" w:color="auto" w:fill="FFFFFF"/>
          </w:tcPr>
          <w:p w:rsidR="00320744" w:rsidRPr="00456D44" w:rsidRDefault="00320744" w:rsidP="00DC1333">
            <w:pPr>
              <w:rPr>
                <w:sz w:val="16"/>
                <w:szCs w:val="16"/>
              </w:rPr>
            </w:pPr>
            <w:r w:rsidRPr="00456D44">
              <w:rPr>
                <w:sz w:val="16"/>
                <w:szCs w:val="16"/>
              </w:rPr>
              <w:t xml:space="preserve">Avances en la agilización y simplificación del marco jurídico del Sistema de Madrid. </w:t>
            </w:r>
          </w:p>
        </w:tc>
        <w:tc>
          <w:tcPr>
            <w:tcW w:w="1397" w:type="pct"/>
            <w:tcBorders>
              <w:top w:val="nil"/>
              <w:bottom w:val="single" w:sz="4" w:space="0" w:color="auto"/>
            </w:tcBorders>
            <w:shd w:val="clear" w:color="auto" w:fill="auto"/>
          </w:tcPr>
          <w:p w:rsidR="00320744" w:rsidRPr="00456D44" w:rsidRDefault="00320744" w:rsidP="00DC1333">
            <w:pPr>
              <w:rPr>
                <w:sz w:val="16"/>
                <w:szCs w:val="16"/>
              </w:rPr>
            </w:pPr>
            <w:r w:rsidRPr="00456D44">
              <w:rPr>
                <w:sz w:val="16"/>
                <w:szCs w:val="16"/>
              </w:rPr>
              <w:t>Reglamento Común e Instrucciones Administrativas del sistema de Madrid en vigor a fines de 2013</w:t>
            </w:r>
          </w:p>
        </w:tc>
        <w:tc>
          <w:tcPr>
            <w:tcW w:w="810" w:type="pct"/>
            <w:tcBorders>
              <w:top w:val="nil"/>
              <w:bottom w:val="single" w:sz="4" w:space="0" w:color="auto"/>
            </w:tcBorders>
            <w:shd w:val="clear" w:color="auto" w:fill="auto"/>
            <w:tcMar>
              <w:top w:w="110" w:type="dxa"/>
            </w:tcMar>
          </w:tcPr>
          <w:p w:rsidR="00320744" w:rsidRPr="00456D44" w:rsidRDefault="00320744" w:rsidP="00DC1333">
            <w:pPr>
              <w:rPr>
                <w:sz w:val="16"/>
                <w:szCs w:val="16"/>
              </w:rPr>
            </w:pPr>
            <w:r w:rsidRPr="00456D44">
              <w:rPr>
                <w:sz w:val="16"/>
                <w:szCs w:val="16"/>
              </w:rPr>
              <w:t>Modificaciones del Reglamento Común y las Instrucciones Administrativas del Sistema de Madrid</w:t>
            </w:r>
          </w:p>
        </w:tc>
        <w:tc>
          <w:tcPr>
            <w:tcW w:w="1176" w:type="pct"/>
            <w:tcBorders>
              <w:top w:val="nil"/>
              <w:bottom w:val="single" w:sz="4" w:space="0" w:color="auto"/>
            </w:tcBorders>
            <w:shd w:val="clear" w:color="auto" w:fill="FFFFFF"/>
            <w:tcMar>
              <w:top w:w="110" w:type="dxa"/>
            </w:tcMar>
          </w:tcPr>
          <w:p w:rsidR="00320744" w:rsidRPr="00456D44" w:rsidRDefault="00320744" w:rsidP="00DC1333">
            <w:pPr>
              <w:rPr>
                <w:sz w:val="16"/>
                <w:szCs w:val="16"/>
                <w:lang w:bidi="th-TH"/>
              </w:rPr>
            </w:pPr>
            <w:r w:rsidRPr="00456D44">
              <w:rPr>
                <w:color w:val="000000" w:themeColor="text1"/>
                <w:sz w:val="16"/>
                <w:szCs w:val="16"/>
                <w:lang w:bidi="th-TH"/>
              </w:rPr>
              <w:t>La Asamblea de la Unión de Madrid aprobó modificaciones (Reglas 5, 5</w:t>
            </w:r>
            <w:r w:rsidRPr="00456D44">
              <w:rPr>
                <w:i/>
                <w:color w:val="000000" w:themeColor="text1"/>
                <w:sz w:val="16"/>
                <w:szCs w:val="16"/>
                <w:lang w:bidi="th-TH"/>
              </w:rPr>
              <w:t>bis</w:t>
            </w:r>
            <w:r w:rsidRPr="00456D44">
              <w:rPr>
                <w:color w:val="000000" w:themeColor="text1"/>
                <w:sz w:val="16"/>
                <w:szCs w:val="16"/>
                <w:lang w:bidi="th-TH"/>
              </w:rPr>
              <w:t>, 9, 20</w:t>
            </w:r>
            <w:r w:rsidRPr="00456D44">
              <w:rPr>
                <w:i/>
                <w:color w:val="000000" w:themeColor="text1"/>
                <w:sz w:val="16"/>
                <w:szCs w:val="16"/>
                <w:lang w:bidi="th-TH"/>
              </w:rPr>
              <w:t>bis</w:t>
            </w:r>
            <w:r w:rsidRPr="00456D44">
              <w:rPr>
                <w:color w:val="000000" w:themeColor="text1"/>
                <w:sz w:val="16"/>
                <w:szCs w:val="16"/>
                <w:lang w:bidi="th-TH"/>
              </w:rPr>
              <w:t>, 24, 27, 30, 31, 36 y Tabla de tasas.  Algunas ya entraron en vigor (1 de abril de 2015 y 1 de abril de 2016) y otras lo harán en 2017 (1 de julio y 1 de noviembre).</w:t>
            </w:r>
          </w:p>
        </w:tc>
        <w:tc>
          <w:tcPr>
            <w:tcW w:w="513" w:type="pct"/>
            <w:tcBorders>
              <w:top w:val="nil"/>
              <w:bottom w:val="single" w:sz="4" w:space="0" w:color="auto"/>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Pr>
        <w:tc>
          <w:tcPr>
            <w:tcW w:w="1104" w:type="pct"/>
            <w:tcBorders>
              <w:top w:val="single" w:sz="4" w:space="0" w:color="auto"/>
              <w:left w:val="single" w:sz="4" w:space="0" w:color="auto"/>
              <w:bottom w:val="nil"/>
            </w:tcBorders>
            <w:shd w:val="clear" w:color="auto" w:fill="FFFFFF"/>
          </w:tcPr>
          <w:p w:rsidR="00320744" w:rsidRPr="00456D44" w:rsidRDefault="00320744" w:rsidP="00DC1333">
            <w:pPr>
              <w:rPr>
                <w:sz w:val="16"/>
                <w:szCs w:val="16"/>
              </w:rPr>
            </w:pPr>
            <w:r w:rsidRPr="00456D44">
              <w:rPr>
                <w:sz w:val="16"/>
                <w:szCs w:val="16"/>
              </w:rPr>
              <w:lastRenderedPageBreak/>
              <w:t>Número de registros.</w:t>
            </w:r>
          </w:p>
          <w:p w:rsidR="00320744" w:rsidRPr="00456D44" w:rsidRDefault="00320744" w:rsidP="00DC1333">
            <w:pPr>
              <w:rPr>
                <w:sz w:val="16"/>
                <w:szCs w:val="16"/>
              </w:rPr>
            </w:pPr>
            <w:r w:rsidRPr="00456D44">
              <w:rPr>
                <w:sz w:val="16"/>
                <w:szCs w:val="16"/>
              </w:rPr>
              <w:t>Número de renovaciones tramitadas.</w:t>
            </w:r>
          </w:p>
          <w:p w:rsidR="00320744" w:rsidRPr="00456D44" w:rsidRDefault="00320744" w:rsidP="00DC1333">
            <w:pPr>
              <w:rPr>
                <w:sz w:val="16"/>
                <w:szCs w:val="16"/>
              </w:rPr>
            </w:pPr>
            <w:r w:rsidRPr="00456D44">
              <w:rPr>
                <w:sz w:val="16"/>
                <w:szCs w:val="16"/>
              </w:rPr>
              <w:t>Número de modificaciones, incluidas las designaciones posteriores (Madrid)</w:t>
            </w:r>
          </w:p>
        </w:tc>
        <w:tc>
          <w:tcPr>
            <w:tcW w:w="1397" w:type="pct"/>
            <w:tcBorders>
              <w:top w:val="single" w:sz="4" w:space="0" w:color="auto"/>
              <w:bottom w:val="nil"/>
            </w:tcBorders>
            <w:shd w:val="clear" w:color="auto" w:fill="auto"/>
          </w:tcPr>
          <w:p w:rsidR="00320744" w:rsidRPr="00456D44" w:rsidRDefault="00320744" w:rsidP="00DC1333">
            <w:pPr>
              <w:rPr>
                <w:i/>
                <w:color w:val="002060"/>
                <w:sz w:val="16"/>
                <w:szCs w:val="16"/>
              </w:rPr>
            </w:pPr>
            <w:r w:rsidRPr="00456D44">
              <w:rPr>
                <w:i/>
                <w:color w:val="002060"/>
                <w:sz w:val="16"/>
                <w:szCs w:val="16"/>
              </w:rPr>
              <w:t xml:space="preserve">Referencia actualizada a fines de 2013: </w:t>
            </w:r>
          </w:p>
          <w:p w:rsidR="00320744" w:rsidRPr="00456D44" w:rsidRDefault="00320744" w:rsidP="00DC1333">
            <w:pPr>
              <w:rPr>
                <w:color w:val="002060"/>
                <w:sz w:val="16"/>
                <w:szCs w:val="16"/>
              </w:rPr>
            </w:pPr>
          </w:p>
          <w:p w:rsidR="00320744" w:rsidRPr="00456D44" w:rsidRDefault="00320744" w:rsidP="00DC1333">
            <w:pPr>
              <w:rPr>
                <w:color w:val="002060"/>
                <w:sz w:val="16"/>
                <w:szCs w:val="16"/>
              </w:rPr>
            </w:pPr>
            <w:r w:rsidRPr="00456D44">
              <w:rPr>
                <w:color w:val="002060"/>
                <w:sz w:val="16"/>
                <w:szCs w:val="16"/>
              </w:rPr>
              <w:t>2013: 44.414 registros;</w:t>
            </w:r>
          </w:p>
          <w:p w:rsidR="00320744" w:rsidRPr="00456D44" w:rsidRDefault="00320744" w:rsidP="00DC1333">
            <w:pPr>
              <w:rPr>
                <w:color w:val="002060"/>
                <w:sz w:val="16"/>
                <w:szCs w:val="16"/>
              </w:rPr>
            </w:pPr>
            <w:r w:rsidRPr="00456D44">
              <w:rPr>
                <w:color w:val="002060"/>
                <w:sz w:val="16"/>
                <w:szCs w:val="16"/>
              </w:rPr>
              <w:t>23.014 renovaciones;</w:t>
            </w:r>
          </w:p>
          <w:p w:rsidR="00320744" w:rsidRPr="00456D44" w:rsidRDefault="00320744" w:rsidP="00DC1333">
            <w:pPr>
              <w:rPr>
                <w:color w:val="002060"/>
                <w:sz w:val="16"/>
                <w:szCs w:val="16"/>
              </w:rPr>
            </w:pPr>
            <w:r w:rsidRPr="00456D44">
              <w:rPr>
                <w:color w:val="002060"/>
                <w:sz w:val="16"/>
                <w:szCs w:val="16"/>
              </w:rPr>
              <w:t>117.673 modificaciones, incluyendo 14.373 designaciones posteriores</w:t>
            </w:r>
          </w:p>
          <w:p w:rsidR="00320744" w:rsidRPr="00456D44" w:rsidRDefault="00320744" w:rsidP="00DC1333">
            <w:pPr>
              <w:rPr>
                <w:color w:val="002060"/>
                <w:sz w:val="16"/>
                <w:szCs w:val="16"/>
              </w:rPr>
            </w:pPr>
          </w:p>
          <w:p w:rsidR="00320744" w:rsidRPr="00456D44" w:rsidRDefault="00320744" w:rsidP="00DC1333">
            <w:pPr>
              <w:rPr>
                <w:sz w:val="16"/>
                <w:szCs w:val="16"/>
              </w:rPr>
            </w:pPr>
            <w:r w:rsidRPr="00456D44">
              <w:rPr>
                <w:i/>
                <w:sz w:val="16"/>
                <w:szCs w:val="16"/>
              </w:rPr>
              <w:t>Referencia original en el presupuesto de 2013/14:</w:t>
            </w:r>
          </w:p>
          <w:p w:rsidR="00320744" w:rsidRPr="00456D44" w:rsidRDefault="00320744" w:rsidP="00DC1333">
            <w:pPr>
              <w:rPr>
                <w:sz w:val="16"/>
                <w:szCs w:val="16"/>
              </w:rPr>
            </w:pPr>
            <w:r w:rsidRPr="00456D44">
              <w:rPr>
                <w:sz w:val="16"/>
                <w:szCs w:val="16"/>
              </w:rPr>
              <w:t>Registros, renovaciones (véase el Anexo VII).</w:t>
            </w:r>
          </w:p>
          <w:p w:rsidR="00320744" w:rsidRPr="00456D44" w:rsidRDefault="00320744" w:rsidP="00DC1333">
            <w:pPr>
              <w:rPr>
                <w:sz w:val="16"/>
                <w:szCs w:val="16"/>
              </w:rPr>
            </w:pPr>
            <w:r w:rsidRPr="00456D44">
              <w:rPr>
                <w:sz w:val="16"/>
                <w:szCs w:val="16"/>
              </w:rPr>
              <w:t>Se inscribieron 97.500 modificaciones en el Registro (2012)</w:t>
            </w:r>
          </w:p>
        </w:tc>
        <w:tc>
          <w:tcPr>
            <w:tcW w:w="810" w:type="pct"/>
            <w:tcBorders>
              <w:top w:val="single" w:sz="4" w:space="0" w:color="auto"/>
              <w:bottom w:val="nil"/>
            </w:tcBorders>
            <w:shd w:val="clear" w:color="auto" w:fill="auto"/>
            <w:tcMar>
              <w:top w:w="110" w:type="dxa"/>
            </w:tcMar>
          </w:tcPr>
          <w:p w:rsidR="00320744" w:rsidRPr="00456D44" w:rsidRDefault="00320744" w:rsidP="00DC1333">
            <w:pPr>
              <w:rPr>
                <w:sz w:val="16"/>
                <w:szCs w:val="16"/>
                <w:lang w:bidi="th-TH"/>
              </w:rPr>
            </w:pPr>
            <w:r w:rsidRPr="00456D44">
              <w:rPr>
                <w:sz w:val="16"/>
                <w:szCs w:val="16"/>
                <w:lang w:bidi="th-TH"/>
              </w:rPr>
              <w:t>2014: Aumento del 6,3% en los registros y renovaciones</w:t>
            </w:r>
            <w:r w:rsidRPr="00456D44">
              <w:rPr>
                <w:rStyle w:val="FootnoteReference"/>
                <w:sz w:val="16"/>
                <w:szCs w:val="16"/>
                <w:lang w:bidi="th-TH"/>
              </w:rPr>
              <w:footnoteReference w:id="28"/>
            </w:r>
            <w:r w:rsidRPr="00456D44">
              <w:rPr>
                <w:sz w:val="16"/>
                <w:szCs w:val="16"/>
                <w:lang w:bidi="th-TH"/>
              </w:rPr>
              <w:t xml:space="preserve"> </w:t>
            </w:r>
          </w:p>
          <w:p w:rsidR="00320744" w:rsidRPr="00456D44" w:rsidRDefault="00320744" w:rsidP="00DC1333">
            <w:pPr>
              <w:rPr>
                <w:sz w:val="16"/>
                <w:szCs w:val="16"/>
                <w:lang w:bidi="th-TH"/>
              </w:rPr>
            </w:pP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2015</w:t>
            </w:r>
            <w:proofErr w:type="gramStart"/>
            <w:r w:rsidRPr="00456D44">
              <w:rPr>
                <w:sz w:val="16"/>
                <w:szCs w:val="16"/>
                <w:lang w:bidi="th-TH"/>
              </w:rPr>
              <w:t>:  Aumento</w:t>
            </w:r>
            <w:proofErr w:type="gramEnd"/>
            <w:r w:rsidRPr="00456D44">
              <w:rPr>
                <w:sz w:val="16"/>
                <w:szCs w:val="16"/>
                <w:lang w:bidi="th-TH"/>
              </w:rPr>
              <w:t xml:space="preserve"> del 3,3% en los registros y renovaciones.  </w:t>
            </w:r>
          </w:p>
          <w:p w:rsidR="00320744" w:rsidRPr="00456D44" w:rsidRDefault="00320744" w:rsidP="00DC1333">
            <w:pPr>
              <w:rPr>
                <w:sz w:val="16"/>
                <w:szCs w:val="16"/>
                <w:lang w:bidi="th-TH"/>
              </w:rPr>
            </w:pPr>
          </w:p>
          <w:p w:rsidR="00320744" w:rsidRPr="00456D44" w:rsidRDefault="00320744" w:rsidP="00DC1333">
            <w:pPr>
              <w:rPr>
                <w:lang w:bidi="th-TH"/>
              </w:rPr>
            </w:pP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 xml:space="preserve">Total de registros: 92.500. </w:t>
            </w: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 xml:space="preserve">Total de renovaciones: 49.000. </w:t>
            </w:r>
          </w:p>
          <w:p w:rsidR="00320744" w:rsidRPr="00456D44" w:rsidRDefault="00320744" w:rsidP="00DC1333">
            <w:pPr>
              <w:rPr>
                <w:sz w:val="16"/>
                <w:szCs w:val="16"/>
                <w:lang w:bidi="th-TH"/>
              </w:rPr>
            </w:pPr>
          </w:p>
          <w:p w:rsidR="00320744" w:rsidRPr="00456D44" w:rsidRDefault="00320744" w:rsidP="00DC1333">
            <w:pPr>
              <w:rPr>
                <w:sz w:val="16"/>
                <w:szCs w:val="16"/>
              </w:rPr>
            </w:pPr>
            <w:r w:rsidRPr="00456D44">
              <w:rPr>
                <w:sz w:val="16"/>
                <w:szCs w:val="16"/>
              </w:rPr>
              <w:t>Total de modificaciones: 200.000, incluyendo 35.000 designaciones posteriores</w:t>
            </w:r>
          </w:p>
        </w:tc>
        <w:tc>
          <w:tcPr>
            <w:tcW w:w="1176" w:type="pct"/>
            <w:tcBorders>
              <w:top w:val="single" w:sz="4" w:space="0" w:color="auto"/>
              <w:bottom w:val="nil"/>
            </w:tcBorders>
            <w:shd w:val="clear" w:color="auto" w:fill="FFFFFF"/>
            <w:tcMar>
              <w:top w:w="110" w:type="dxa"/>
            </w:tcMar>
          </w:tcPr>
          <w:p w:rsidR="00320744" w:rsidRPr="00456D44" w:rsidRDefault="00320744" w:rsidP="00DC1333">
            <w:pPr>
              <w:rPr>
                <w:sz w:val="16"/>
                <w:szCs w:val="16"/>
                <w:lang w:bidi="th-TH"/>
              </w:rPr>
            </w:pPr>
            <w:r w:rsidRPr="00456D44">
              <w:rPr>
                <w:sz w:val="16"/>
                <w:szCs w:val="16"/>
                <w:lang w:bidi="th-TH"/>
              </w:rPr>
              <w:t>2014:  aumento del 1,1% en los registros y renovaciones con respecto a 2013</w:t>
            </w:r>
          </w:p>
          <w:p w:rsidR="00320744" w:rsidRPr="00456D44" w:rsidRDefault="00320744" w:rsidP="00320744">
            <w:pPr>
              <w:pStyle w:val="ListParagraph"/>
              <w:numPr>
                <w:ilvl w:val="0"/>
                <w:numId w:val="26"/>
              </w:numPr>
              <w:rPr>
                <w:rFonts w:cs="Arial"/>
                <w:sz w:val="16"/>
                <w:szCs w:val="16"/>
                <w:lang w:val="es-ES" w:bidi="th-TH"/>
              </w:rPr>
            </w:pPr>
            <w:r w:rsidRPr="00456D44">
              <w:rPr>
                <w:rFonts w:cs="Arial"/>
                <w:sz w:val="16"/>
                <w:szCs w:val="16"/>
                <w:lang w:val="es-ES" w:bidi="th-TH"/>
              </w:rPr>
              <w:t>42.430 registros</w:t>
            </w:r>
          </w:p>
          <w:p w:rsidR="00320744" w:rsidRPr="00456D44" w:rsidRDefault="00320744" w:rsidP="00320744">
            <w:pPr>
              <w:pStyle w:val="ListParagraph"/>
              <w:numPr>
                <w:ilvl w:val="0"/>
                <w:numId w:val="26"/>
              </w:numPr>
              <w:rPr>
                <w:rFonts w:cs="Arial"/>
                <w:sz w:val="16"/>
                <w:szCs w:val="16"/>
                <w:lang w:val="es-ES" w:bidi="th-TH"/>
              </w:rPr>
            </w:pPr>
            <w:r w:rsidRPr="00456D44">
              <w:rPr>
                <w:rFonts w:cs="Arial"/>
                <w:sz w:val="16"/>
                <w:szCs w:val="16"/>
                <w:lang w:val="es-ES" w:bidi="th-TH"/>
              </w:rPr>
              <w:t>25.729 renovaciones.</w:t>
            </w: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2015:  aumento del 12,2% del objetivo en registros y renovaciones</w:t>
            </w:r>
            <w:r w:rsidRPr="00456D44">
              <w:rPr>
                <w:rStyle w:val="FootnoteReference"/>
                <w:sz w:val="16"/>
                <w:szCs w:val="16"/>
                <w:lang w:bidi="th-TH"/>
              </w:rPr>
              <w:footnoteReference w:id="29"/>
            </w:r>
            <w:r w:rsidRPr="00456D44">
              <w:rPr>
                <w:sz w:val="16"/>
                <w:szCs w:val="16"/>
                <w:lang w:bidi="th-TH"/>
              </w:rPr>
              <w:t xml:space="preserve"> con respecto a 2014</w:t>
            </w:r>
          </w:p>
          <w:p w:rsidR="00320744" w:rsidRPr="00456D44" w:rsidRDefault="00320744" w:rsidP="00320744">
            <w:pPr>
              <w:pStyle w:val="ListParagraph"/>
              <w:numPr>
                <w:ilvl w:val="0"/>
                <w:numId w:val="26"/>
              </w:numPr>
              <w:rPr>
                <w:rFonts w:cs="Arial"/>
                <w:sz w:val="16"/>
                <w:szCs w:val="16"/>
                <w:lang w:val="es-ES" w:bidi="th-TH"/>
              </w:rPr>
            </w:pPr>
            <w:r w:rsidRPr="00456D44">
              <w:rPr>
                <w:rFonts w:cs="Arial"/>
                <w:sz w:val="16"/>
                <w:szCs w:val="16"/>
                <w:lang w:val="es-ES" w:bidi="th-TH"/>
              </w:rPr>
              <w:t>51.938 registros</w:t>
            </w:r>
          </w:p>
          <w:p w:rsidR="00320744" w:rsidRPr="00456D44" w:rsidRDefault="00320744" w:rsidP="00320744">
            <w:pPr>
              <w:pStyle w:val="ListParagraph"/>
              <w:numPr>
                <w:ilvl w:val="0"/>
                <w:numId w:val="26"/>
              </w:numPr>
              <w:rPr>
                <w:rFonts w:cs="Arial"/>
                <w:sz w:val="16"/>
                <w:szCs w:val="16"/>
                <w:lang w:val="es-ES" w:bidi="th-TH"/>
              </w:rPr>
            </w:pPr>
            <w:r w:rsidRPr="00456D44">
              <w:rPr>
                <w:rFonts w:cs="Arial"/>
                <w:sz w:val="16"/>
                <w:szCs w:val="16"/>
                <w:lang w:val="es-ES" w:bidi="th-TH"/>
              </w:rPr>
              <w:t>28.502 renovaciones</w:t>
            </w:r>
          </w:p>
          <w:p w:rsidR="00320744" w:rsidRPr="00456D44" w:rsidRDefault="00320744">
            <w:pPr>
              <w:rPr>
                <w:sz w:val="16"/>
                <w:szCs w:val="16"/>
                <w:lang w:bidi="th-TH"/>
              </w:rPr>
            </w:pPr>
          </w:p>
          <w:p w:rsidR="00320744" w:rsidRPr="00456D44" w:rsidRDefault="00320744" w:rsidP="00DC1333">
            <w:pPr>
              <w:rPr>
                <w:sz w:val="16"/>
                <w:szCs w:val="16"/>
                <w:lang w:bidi="th-TH"/>
              </w:rPr>
            </w:pPr>
            <w:r w:rsidRPr="00456D44">
              <w:rPr>
                <w:sz w:val="16"/>
                <w:szCs w:val="16"/>
                <w:lang w:bidi="th-TH"/>
              </w:rPr>
              <w:t>Total de registros en 2014/15:  94.368</w:t>
            </w: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Total de renovaciones en  2014/15</w:t>
            </w:r>
            <w:proofErr w:type="gramStart"/>
            <w:r w:rsidRPr="00456D44">
              <w:rPr>
                <w:sz w:val="16"/>
                <w:szCs w:val="16"/>
                <w:lang w:bidi="th-TH"/>
              </w:rPr>
              <w:t>:  54.230</w:t>
            </w:r>
            <w:proofErr w:type="gramEnd"/>
            <w:r w:rsidRPr="00456D44">
              <w:rPr>
                <w:sz w:val="16"/>
                <w:szCs w:val="16"/>
                <w:lang w:bidi="th-TH"/>
              </w:rPr>
              <w:t>.</w:t>
            </w:r>
          </w:p>
          <w:p w:rsidR="00320744" w:rsidRPr="00456D44" w:rsidRDefault="00320744" w:rsidP="00DC1333">
            <w:pPr>
              <w:rPr>
                <w:sz w:val="16"/>
                <w:szCs w:val="16"/>
                <w:lang w:bidi="th-TH"/>
              </w:rPr>
            </w:pP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Total de modificaciones en 2014/15: 220.469, entre ellas 35.937 designaciones posteriores</w:t>
            </w:r>
          </w:p>
        </w:tc>
        <w:tc>
          <w:tcPr>
            <w:tcW w:w="513" w:type="pct"/>
            <w:tcBorders>
              <w:top w:val="single" w:sz="4" w:space="0" w:color="auto"/>
              <w:bottom w:val="nil"/>
              <w:right w:val="single" w:sz="4" w:space="0" w:color="auto"/>
            </w:tcBorders>
            <w:shd w:val="clear" w:color="auto" w:fill="auto"/>
            <w:tcMar>
              <w:top w:w="110" w:type="dxa"/>
            </w:tcMar>
          </w:tcPr>
          <w:p w:rsidR="00320744" w:rsidRPr="00456D44" w:rsidRDefault="00320744" w:rsidP="00DC1333">
            <w:pPr>
              <w:keepNext/>
              <w:keepLines/>
              <w:jc w:val="center"/>
              <w:rPr>
                <w:rStyle w:val="Style5"/>
                <w:b/>
                <w:color w:val="FF0000"/>
                <w:sz w:val="12"/>
                <w:szCs w:val="12"/>
              </w:rPr>
            </w:pPr>
            <w:r w:rsidRPr="00456D44">
              <w:rPr>
                <w:rStyle w:val="Style5"/>
                <w:b/>
                <w:color w:val="FF0000"/>
                <w:sz w:val="12"/>
                <w:szCs w:val="12"/>
              </w:rPr>
              <w:t>No se ha logrado</w:t>
            </w:r>
          </w:p>
          <w:p w:rsidR="00320744" w:rsidRPr="00456D44" w:rsidRDefault="00320744" w:rsidP="00DC1333">
            <w:pPr>
              <w:keepNext/>
              <w:keepLines/>
              <w:jc w:val="center"/>
              <w:rPr>
                <w:rStyle w:val="Style5"/>
                <w:b/>
                <w:color w:val="FF0000"/>
                <w:sz w:val="12"/>
                <w:szCs w:val="12"/>
              </w:rPr>
            </w:pPr>
          </w:p>
          <w:p w:rsidR="00320744" w:rsidRPr="00456D44" w:rsidRDefault="00320744" w:rsidP="00DC1333">
            <w:pPr>
              <w:keepNext/>
              <w:keepLines/>
              <w:jc w:val="center"/>
              <w:rPr>
                <w:rStyle w:val="Style5"/>
                <w:b/>
                <w:color w:val="FF0000"/>
                <w:sz w:val="12"/>
                <w:szCs w:val="12"/>
              </w:rPr>
            </w:pPr>
          </w:p>
          <w:p w:rsidR="00320744" w:rsidRPr="00456D44" w:rsidRDefault="00320744" w:rsidP="00DC1333">
            <w:pPr>
              <w:keepNext/>
              <w:keepLines/>
              <w:jc w:val="center"/>
              <w:rPr>
                <w:b/>
                <w:color w:val="00B050"/>
                <w:sz w:val="12"/>
                <w:szCs w:val="12"/>
              </w:rPr>
            </w:pPr>
          </w:p>
          <w:p w:rsidR="00320744" w:rsidRPr="00456D44" w:rsidRDefault="00320744" w:rsidP="00DC1333">
            <w:pPr>
              <w:keepNext/>
              <w:keepLines/>
              <w:jc w:val="center"/>
              <w:rPr>
                <w:b/>
                <w:color w:val="00B050"/>
                <w:sz w:val="12"/>
                <w:szCs w:val="12"/>
              </w:rPr>
            </w:pPr>
          </w:p>
          <w:p w:rsidR="00320744" w:rsidRPr="00456D44" w:rsidRDefault="00320744" w:rsidP="00DC1333">
            <w:pPr>
              <w:keepNext/>
              <w:keepLines/>
              <w:jc w:val="center"/>
              <w:rPr>
                <w:b/>
                <w:color w:val="00B050"/>
                <w:sz w:val="12"/>
                <w:szCs w:val="12"/>
              </w:rPr>
            </w:pPr>
            <w:r w:rsidRPr="00456D44">
              <w:rPr>
                <w:b/>
                <w:color w:val="00B050"/>
                <w:sz w:val="12"/>
                <w:szCs w:val="12"/>
              </w:rPr>
              <w:t>Plenamente logrado</w:t>
            </w:r>
          </w:p>
          <w:p w:rsidR="00320744" w:rsidRPr="00456D44" w:rsidRDefault="00320744" w:rsidP="00DC1333">
            <w:pPr>
              <w:keepNext/>
              <w:keepLines/>
              <w:jc w:val="center"/>
              <w:rPr>
                <w:rStyle w:val="Style5"/>
                <w:b/>
                <w:color w:val="FF0000"/>
                <w:sz w:val="12"/>
                <w:szCs w:val="12"/>
              </w:rPr>
            </w:pPr>
          </w:p>
          <w:p w:rsidR="00320744" w:rsidRPr="00456D44" w:rsidRDefault="00320744" w:rsidP="00DC1333">
            <w:pPr>
              <w:keepNext/>
              <w:keepLines/>
              <w:jc w:val="center"/>
              <w:rPr>
                <w:rStyle w:val="Style5"/>
                <w:b/>
                <w:color w:val="FF0000"/>
                <w:sz w:val="12"/>
                <w:szCs w:val="12"/>
              </w:rPr>
            </w:pPr>
          </w:p>
          <w:p w:rsidR="00320744" w:rsidRPr="00456D44" w:rsidRDefault="00320744" w:rsidP="00DC1333">
            <w:pPr>
              <w:keepNext/>
              <w:keepLines/>
              <w:jc w:val="center"/>
              <w:rPr>
                <w:b/>
                <w:color w:val="00B050"/>
                <w:sz w:val="12"/>
                <w:szCs w:val="12"/>
              </w:rPr>
            </w:pPr>
          </w:p>
          <w:p w:rsidR="00320744" w:rsidRPr="00456D44" w:rsidRDefault="00320744" w:rsidP="00DC1333">
            <w:pPr>
              <w:keepNext/>
              <w:keepLines/>
              <w:jc w:val="center"/>
              <w:rPr>
                <w:b/>
                <w:color w:val="00B050"/>
                <w:sz w:val="12"/>
                <w:szCs w:val="12"/>
              </w:rPr>
            </w:pPr>
          </w:p>
          <w:p w:rsidR="00320744" w:rsidRPr="00456D44" w:rsidRDefault="00320744">
            <w:pPr>
              <w:keepNext/>
              <w:keepLines/>
              <w:jc w:val="center"/>
              <w:rPr>
                <w:b/>
                <w:color w:val="00B050"/>
                <w:sz w:val="12"/>
                <w:szCs w:val="12"/>
              </w:rPr>
            </w:pPr>
            <w:r w:rsidRPr="00456D44">
              <w:rPr>
                <w:b/>
                <w:color w:val="00B050"/>
                <w:sz w:val="12"/>
                <w:szCs w:val="12"/>
              </w:rPr>
              <w:t>Plenamente logrado</w:t>
            </w:r>
          </w:p>
          <w:p w:rsidR="00320744" w:rsidRPr="00456D44" w:rsidRDefault="00320744">
            <w:pPr>
              <w:keepNext/>
              <w:keepLines/>
              <w:jc w:val="center"/>
              <w:rPr>
                <w:b/>
                <w:color w:val="00B050"/>
                <w:sz w:val="12"/>
                <w:szCs w:val="12"/>
              </w:rPr>
            </w:pPr>
          </w:p>
          <w:p w:rsidR="00320744" w:rsidRPr="00456D44" w:rsidRDefault="00320744">
            <w:pPr>
              <w:keepNext/>
              <w:keepLines/>
              <w:jc w:val="center"/>
              <w:rPr>
                <w:b/>
                <w:color w:val="00B050"/>
                <w:sz w:val="12"/>
                <w:szCs w:val="12"/>
              </w:rPr>
            </w:pPr>
            <w:r w:rsidRPr="00456D44">
              <w:rPr>
                <w:b/>
                <w:color w:val="00B050"/>
                <w:sz w:val="12"/>
                <w:szCs w:val="12"/>
              </w:rPr>
              <w:t>Plenamente logrado</w:t>
            </w:r>
          </w:p>
          <w:p w:rsidR="00320744" w:rsidRPr="00456D44" w:rsidRDefault="00320744">
            <w:pPr>
              <w:keepNext/>
              <w:keepLines/>
              <w:jc w:val="center"/>
              <w:rPr>
                <w:b/>
                <w:color w:val="00B050"/>
                <w:sz w:val="12"/>
                <w:szCs w:val="12"/>
              </w:rPr>
            </w:pPr>
          </w:p>
          <w:p w:rsidR="00320744" w:rsidRPr="00456D44" w:rsidRDefault="00320744">
            <w:pPr>
              <w:keepNext/>
              <w:keepLines/>
              <w:jc w:val="center"/>
              <w:rPr>
                <w:rStyle w:val="Style5"/>
                <w:sz w:val="12"/>
                <w:szCs w:val="12"/>
              </w:rPr>
            </w:pPr>
            <w:r w:rsidRPr="00456D44">
              <w:rPr>
                <w:b/>
                <w:color w:val="00B050"/>
                <w:sz w:val="12"/>
                <w:szCs w:val="12"/>
              </w:rPr>
              <w:t>Plenamente logrado</w:t>
            </w:r>
          </w:p>
        </w:tc>
      </w:tr>
      <w:tr w:rsidR="00320744" w:rsidRPr="00456D44" w:rsidTr="00DC1333">
        <w:trPr>
          <w:cantSplit/>
          <w:trHeight w:val="322"/>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Traducción de las solicitudes de manera puntual (Madrid)</w:t>
            </w:r>
          </w:p>
          <w:p w:rsidR="00320744" w:rsidRPr="00456D44" w:rsidRDefault="00320744" w:rsidP="00DC1333">
            <w:pPr>
              <w:rPr>
                <w:b/>
                <w:bCs/>
                <w:sz w:val="16"/>
                <w:szCs w:val="16"/>
              </w:rPr>
            </w:pPr>
          </w:p>
        </w:tc>
        <w:tc>
          <w:tcPr>
            <w:tcW w:w="1397" w:type="pct"/>
            <w:tcBorders>
              <w:top w:val="nil"/>
              <w:bottom w:val="nil"/>
            </w:tcBorders>
            <w:shd w:val="clear" w:color="auto" w:fill="auto"/>
          </w:tcPr>
          <w:p w:rsidR="00320744" w:rsidRPr="00456D44" w:rsidRDefault="00320744" w:rsidP="00DC1333">
            <w:pPr>
              <w:rPr>
                <w:bCs/>
                <w:sz w:val="16"/>
                <w:szCs w:val="16"/>
              </w:rPr>
            </w:pPr>
            <w:r w:rsidRPr="00456D44">
              <w:rPr>
                <w:bCs/>
                <w:sz w:val="16"/>
                <w:szCs w:val="16"/>
              </w:rPr>
              <w:t>No se dispone de datos</w:t>
            </w:r>
          </w:p>
        </w:tc>
        <w:tc>
          <w:tcPr>
            <w:tcW w:w="810" w:type="pct"/>
            <w:tcBorders>
              <w:top w:val="nil"/>
              <w:bottom w:val="nil"/>
            </w:tcBorders>
            <w:shd w:val="clear" w:color="auto" w:fill="auto"/>
            <w:tcMar>
              <w:top w:w="110" w:type="dxa"/>
            </w:tcMar>
          </w:tcPr>
          <w:p w:rsidR="00320744" w:rsidRPr="00456D44" w:rsidRDefault="00320744" w:rsidP="00DC1333">
            <w:pPr>
              <w:rPr>
                <w:b/>
                <w:sz w:val="16"/>
                <w:szCs w:val="16"/>
              </w:rPr>
            </w:pPr>
            <w:r w:rsidRPr="00456D44">
              <w:rPr>
                <w:sz w:val="16"/>
                <w:szCs w:val="16"/>
              </w:rPr>
              <w:t>Cuatro semanas</w:t>
            </w:r>
          </w:p>
        </w:tc>
        <w:tc>
          <w:tcPr>
            <w:tcW w:w="1176" w:type="pct"/>
            <w:tcBorders>
              <w:top w:val="nil"/>
              <w:bottom w:val="nil"/>
            </w:tcBorders>
            <w:shd w:val="clear" w:color="auto" w:fill="FFFFFF"/>
            <w:tcMar>
              <w:top w:w="110" w:type="dxa"/>
            </w:tcMar>
          </w:tcPr>
          <w:p w:rsidR="00320744" w:rsidRPr="00456D44" w:rsidRDefault="00320744" w:rsidP="00DC1333">
            <w:pPr>
              <w:rPr>
                <w:bCs/>
                <w:sz w:val="16"/>
                <w:szCs w:val="16"/>
              </w:rPr>
            </w:pPr>
            <w:r w:rsidRPr="00456D44">
              <w:rPr>
                <w:bCs/>
                <w:sz w:val="16"/>
                <w:szCs w:val="16"/>
              </w:rPr>
              <w:t>El tiempo medio de tramitación es de dos semanas</w:t>
            </w:r>
          </w:p>
        </w:tc>
        <w:tc>
          <w:tcPr>
            <w:tcW w:w="513" w:type="pct"/>
            <w:tcBorders>
              <w:top w:val="nil"/>
              <w:bottom w:val="nil"/>
              <w:right w:val="single" w:sz="4" w:space="0" w:color="auto"/>
            </w:tcBorders>
            <w:shd w:val="clear" w:color="auto" w:fill="auto"/>
          </w:tcPr>
          <w:p w:rsidR="00320744" w:rsidRPr="00456D44" w:rsidRDefault="00320744" w:rsidP="00DC1333">
            <w:pPr>
              <w:jc w:val="center"/>
              <w:rPr>
                <w:b/>
                <w:bCs/>
                <w:sz w:val="12"/>
                <w:szCs w:val="12"/>
              </w:rPr>
            </w:pPr>
            <w:r w:rsidRPr="00456D44">
              <w:rPr>
                <w:b/>
                <w:bCs/>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rPr>
                <w:sz w:val="16"/>
                <w:szCs w:val="16"/>
              </w:rPr>
            </w:pPr>
            <w:r w:rsidRPr="00456D44">
              <w:rPr>
                <w:sz w:val="16"/>
                <w:szCs w:val="16"/>
              </w:rPr>
              <w:t>Disminución del número de correcciones (Madrid)</w:t>
            </w:r>
          </w:p>
        </w:tc>
        <w:tc>
          <w:tcPr>
            <w:tcW w:w="1397" w:type="pct"/>
            <w:tcBorders>
              <w:top w:val="nil"/>
              <w:bottom w:val="nil"/>
            </w:tcBorders>
            <w:shd w:val="clear" w:color="auto" w:fill="auto"/>
          </w:tcPr>
          <w:p w:rsidR="00320744" w:rsidRPr="00456D44" w:rsidRDefault="00320744" w:rsidP="00DC1333">
            <w:pPr>
              <w:rPr>
                <w:i/>
                <w:color w:val="002060"/>
                <w:sz w:val="16"/>
                <w:szCs w:val="16"/>
              </w:rPr>
            </w:pPr>
            <w:r w:rsidRPr="00456D44">
              <w:rPr>
                <w:i/>
                <w:color w:val="002060"/>
                <w:sz w:val="16"/>
                <w:szCs w:val="16"/>
              </w:rPr>
              <w:t>Referencia actualizada a fines de 2013:</w:t>
            </w:r>
            <w:r w:rsidRPr="00456D44">
              <w:rPr>
                <w:color w:val="002060"/>
                <w:sz w:val="16"/>
                <w:szCs w:val="16"/>
              </w:rPr>
              <w:t xml:space="preserve">  2013: 5.197 correcciones recibidas y  </w:t>
            </w:r>
            <w:r w:rsidRPr="00456D44">
              <w:rPr>
                <w:i/>
                <w:color w:val="002060"/>
                <w:sz w:val="16"/>
                <w:szCs w:val="16"/>
              </w:rPr>
              <w:t>4.499 tramitadas</w:t>
            </w:r>
          </w:p>
          <w:p w:rsidR="00320744" w:rsidRPr="00456D44" w:rsidRDefault="00320744" w:rsidP="00DC1333">
            <w:pPr>
              <w:rPr>
                <w:color w:val="002060"/>
                <w:sz w:val="16"/>
                <w:szCs w:val="16"/>
              </w:rPr>
            </w:pPr>
          </w:p>
          <w:p w:rsidR="00320744" w:rsidRPr="00456D44" w:rsidRDefault="00320744" w:rsidP="00DC1333">
            <w:pPr>
              <w:rPr>
                <w:sz w:val="16"/>
                <w:szCs w:val="16"/>
              </w:rPr>
            </w:pPr>
            <w:r w:rsidRPr="00456D44">
              <w:rPr>
                <w:i/>
                <w:sz w:val="16"/>
                <w:szCs w:val="16"/>
              </w:rPr>
              <w:t xml:space="preserve">Referencia original en el presupuesto de 2013/14: </w:t>
            </w:r>
            <w:r w:rsidRPr="00456D44">
              <w:rPr>
                <w:sz w:val="16"/>
                <w:szCs w:val="16"/>
              </w:rPr>
              <w:t>Cifras sobre correcciones en 2012 (5.000 peticiones)</w:t>
            </w:r>
          </w:p>
          <w:p w:rsidR="00320744" w:rsidRPr="00456D44" w:rsidRDefault="00320744" w:rsidP="00DC1333">
            <w:pPr>
              <w:rPr>
                <w:sz w:val="16"/>
                <w:szCs w:val="16"/>
              </w:rPr>
            </w:pPr>
          </w:p>
        </w:tc>
        <w:tc>
          <w:tcPr>
            <w:tcW w:w="810" w:type="pct"/>
            <w:tcBorders>
              <w:top w:val="nil"/>
              <w:bottom w:val="nil"/>
            </w:tcBorders>
            <w:shd w:val="clear" w:color="auto" w:fill="auto"/>
            <w:tcMar>
              <w:top w:w="110" w:type="dxa"/>
            </w:tcMar>
          </w:tcPr>
          <w:p w:rsidR="00320744" w:rsidRPr="00456D44" w:rsidRDefault="00320744" w:rsidP="00DC1333">
            <w:pPr>
              <w:rPr>
                <w:sz w:val="16"/>
                <w:szCs w:val="16"/>
              </w:rPr>
            </w:pPr>
            <w:r w:rsidRPr="00456D44">
              <w:rPr>
                <w:sz w:val="16"/>
                <w:szCs w:val="16"/>
              </w:rPr>
              <w:t>Disminución en un 10% del número de correcciones.</w:t>
            </w:r>
          </w:p>
        </w:tc>
        <w:tc>
          <w:tcPr>
            <w:tcW w:w="1176" w:type="pct"/>
            <w:tcBorders>
              <w:top w:val="nil"/>
              <w:bottom w:val="nil"/>
            </w:tcBorders>
            <w:shd w:val="clear" w:color="auto" w:fill="FFFFFF"/>
            <w:tcMar>
              <w:top w:w="110" w:type="dxa"/>
            </w:tcMar>
          </w:tcPr>
          <w:p w:rsidR="00320744" w:rsidRPr="00456D44" w:rsidRDefault="00320744" w:rsidP="00DC1333">
            <w:pPr>
              <w:rPr>
                <w:sz w:val="16"/>
                <w:szCs w:val="16"/>
                <w:lang w:bidi="th-TH"/>
              </w:rPr>
            </w:pPr>
            <w:r w:rsidRPr="00456D44">
              <w:rPr>
                <w:sz w:val="16"/>
                <w:szCs w:val="16"/>
                <w:lang w:bidi="th-TH"/>
              </w:rPr>
              <w:t>El número de correcciones aumentó en 2014/15</w:t>
            </w:r>
          </w:p>
          <w:p w:rsidR="00320744" w:rsidRPr="00456D44" w:rsidRDefault="00320744" w:rsidP="00320744">
            <w:pPr>
              <w:pStyle w:val="ListParagraph"/>
              <w:numPr>
                <w:ilvl w:val="0"/>
                <w:numId w:val="27"/>
              </w:numPr>
              <w:rPr>
                <w:rFonts w:cs="Arial"/>
                <w:sz w:val="16"/>
                <w:szCs w:val="16"/>
                <w:lang w:val="es-ES" w:bidi="th-TH"/>
              </w:rPr>
            </w:pPr>
            <w:r w:rsidRPr="00456D44">
              <w:rPr>
                <w:rFonts w:cs="Arial"/>
                <w:sz w:val="16"/>
                <w:szCs w:val="16"/>
                <w:lang w:val="es-ES" w:bidi="th-TH"/>
              </w:rPr>
              <w:t>2014:  6.073 correcciones recibidas y 5.737 tramitadas (+17% con respecto a 2013)</w:t>
            </w:r>
          </w:p>
          <w:p w:rsidR="00320744" w:rsidRPr="00456D44" w:rsidRDefault="00320744" w:rsidP="00320744">
            <w:pPr>
              <w:pStyle w:val="ListParagraph"/>
              <w:numPr>
                <w:ilvl w:val="0"/>
                <w:numId w:val="27"/>
              </w:numPr>
              <w:rPr>
                <w:rFonts w:cs="Arial"/>
                <w:sz w:val="16"/>
                <w:szCs w:val="16"/>
                <w:lang w:val="es-ES" w:bidi="th-TH"/>
              </w:rPr>
            </w:pPr>
            <w:r w:rsidRPr="00456D44">
              <w:rPr>
                <w:rFonts w:cs="Arial"/>
                <w:sz w:val="16"/>
                <w:szCs w:val="16"/>
                <w:lang w:val="es-ES" w:bidi="th-TH"/>
              </w:rPr>
              <w:t>2015: 6.127 correcciones recibidas y 5.294 tramitadas (+31% con respecto al objetivo de 2014)</w:t>
            </w:r>
            <w:r w:rsidRPr="00456D44">
              <w:rPr>
                <w:rStyle w:val="FootnoteReference"/>
                <w:rFonts w:cs="Arial"/>
                <w:sz w:val="16"/>
                <w:szCs w:val="16"/>
                <w:lang w:val="es-ES" w:bidi="th-TH"/>
              </w:rPr>
              <w:footnoteReference w:id="30"/>
            </w:r>
          </w:p>
          <w:p w:rsidR="00320744" w:rsidRPr="00456D44" w:rsidRDefault="00320744" w:rsidP="00DC1333">
            <w:pPr>
              <w:rPr>
                <w:sz w:val="16"/>
                <w:szCs w:val="16"/>
                <w:lang w:bidi="th-TH"/>
              </w:rPr>
            </w:pPr>
          </w:p>
        </w:tc>
        <w:tc>
          <w:tcPr>
            <w:tcW w:w="513" w:type="pct"/>
            <w:tcBorders>
              <w:top w:val="nil"/>
              <w:bottom w:val="nil"/>
              <w:right w:val="single" w:sz="4" w:space="0" w:color="auto"/>
            </w:tcBorders>
            <w:shd w:val="clear" w:color="auto" w:fill="auto"/>
          </w:tcPr>
          <w:p w:rsidR="00320744" w:rsidRPr="00456D44" w:rsidRDefault="00320744" w:rsidP="00DC1333">
            <w:pPr>
              <w:jc w:val="center"/>
              <w:rPr>
                <w:rStyle w:val="Style5"/>
                <w:sz w:val="12"/>
                <w:szCs w:val="12"/>
              </w:rPr>
            </w:pPr>
            <w:r w:rsidRPr="00456D44">
              <w:rPr>
                <w:rStyle w:val="Style5"/>
                <w:b/>
                <w:color w:val="FF0000"/>
                <w:sz w:val="12"/>
                <w:szCs w:val="12"/>
              </w:rPr>
              <w:t>No logrado</w:t>
            </w:r>
          </w:p>
        </w:tc>
      </w:tr>
      <w:tr w:rsidR="00320744" w:rsidRPr="00456D44" w:rsidTr="00DC1333">
        <w:trPr>
          <w:cantSplit/>
        </w:trPr>
        <w:tc>
          <w:tcPr>
            <w:tcW w:w="1104" w:type="pct"/>
            <w:tcBorders>
              <w:top w:val="nil"/>
              <w:left w:val="single" w:sz="4" w:space="0" w:color="auto"/>
              <w:bottom w:val="single" w:sz="4" w:space="0" w:color="auto"/>
            </w:tcBorders>
            <w:shd w:val="clear" w:color="auto" w:fill="auto"/>
          </w:tcPr>
          <w:p w:rsidR="00320744" w:rsidRPr="00456D44" w:rsidRDefault="00320744" w:rsidP="00DC1333">
            <w:pPr>
              <w:rPr>
                <w:sz w:val="16"/>
                <w:szCs w:val="16"/>
              </w:rPr>
            </w:pPr>
            <w:r w:rsidRPr="00456D44">
              <w:rPr>
                <w:sz w:val="16"/>
                <w:szCs w:val="16"/>
              </w:rPr>
              <w:t>Aumento de la satisfacción de los clientes (Madrid)</w:t>
            </w:r>
          </w:p>
        </w:tc>
        <w:tc>
          <w:tcPr>
            <w:tcW w:w="1397" w:type="pct"/>
            <w:tcBorders>
              <w:top w:val="nil"/>
              <w:bottom w:val="single" w:sz="4" w:space="0" w:color="auto"/>
            </w:tcBorders>
            <w:shd w:val="clear" w:color="auto" w:fill="auto"/>
          </w:tcPr>
          <w:p w:rsidR="00320744" w:rsidRPr="00456D44" w:rsidRDefault="00320744" w:rsidP="00DC1333">
            <w:pPr>
              <w:rPr>
                <w:i/>
                <w:color w:val="002060"/>
                <w:sz w:val="16"/>
                <w:szCs w:val="16"/>
              </w:rPr>
            </w:pPr>
            <w:r w:rsidRPr="00456D44">
              <w:rPr>
                <w:i/>
                <w:color w:val="002060"/>
                <w:sz w:val="16"/>
                <w:szCs w:val="16"/>
              </w:rPr>
              <w:t xml:space="preserve">Referencia actualizada a fines de 2013:  </w:t>
            </w:r>
          </w:p>
          <w:p w:rsidR="00320744" w:rsidRPr="00456D44" w:rsidRDefault="00320744" w:rsidP="00DC1333">
            <w:pPr>
              <w:rPr>
                <w:i/>
                <w:color w:val="002060"/>
                <w:sz w:val="16"/>
                <w:szCs w:val="16"/>
              </w:rPr>
            </w:pPr>
            <w:r w:rsidRPr="00456D44">
              <w:rPr>
                <w:i/>
                <w:color w:val="002060"/>
                <w:sz w:val="16"/>
                <w:szCs w:val="16"/>
              </w:rPr>
              <w:t>Índice de prestación de servicios:</w:t>
            </w:r>
            <w:proofErr w:type="gramStart"/>
            <w:r w:rsidRPr="00456D44">
              <w:rPr>
                <w:i/>
                <w:color w:val="002060"/>
                <w:sz w:val="16"/>
                <w:szCs w:val="16"/>
              </w:rPr>
              <w:t>  38</w:t>
            </w:r>
            <w:proofErr w:type="gramEnd"/>
            <w:r w:rsidRPr="00456D44">
              <w:rPr>
                <w:i/>
                <w:color w:val="002060"/>
                <w:sz w:val="16"/>
                <w:szCs w:val="16"/>
              </w:rPr>
              <w:t>.</w:t>
            </w:r>
          </w:p>
          <w:p w:rsidR="00320744" w:rsidRPr="00456D44" w:rsidRDefault="00320744" w:rsidP="00DC1333">
            <w:pPr>
              <w:rPr>
                <w:color w:val="002060"/>
                <w:sz w:val="16"/>
                <w:szCs w:val="16"/>
              </w:rPr>
            </w:pPr>
          </w:p>
          <w:p w:rsidR="00320744" w:rsidRPr="00456D44" w:rsidRDefault="00320744" w:rsidP="00DC1333">
            <w:pPr>
              <w:rPr>
                <w:sz w:val="16"/>
                <w:szCs w:val="16"/>
              </w:rPr>
            </w:pPr>
            <w:r w:rsidRPr="00456D44">
              <w:rPr>
                <w:i/>
                <w:sz w:val="16"/>
                <w:szCs w:val="16"/>
              </w:rPr>
              <w:t xml:space="preserve">Referencia original en el presupuesto de 2013/14: </w:t>
            </w:r>
            <w:r w:rsidRPr="00456D44">
              <w:rPr>
                <w:sz w:val="16"/>
                <w:szCs w:val="16"/>
              </w:rPr>
              <w:t xml:space="preserve">Encuesta de prestación de servicios al cliente en 2012. </w:t>
            </w:r>
          </w:p>
          <w:p w:rsidR="00320744" w:rsidRPr="00456D44" w:rsidRDefault="00320744" w:rsidP="00DC1333">
            <w:pPr>
              <w:rPr>
                <w:sz w:val="16"/>
                <w:szCs w:val="16"/>
              </w:rPr>
            </w:pPr>
            <w:r w:rsidRPr="00456D44">
              <w:rPr>
                <w:sz w:val="16"/>
                <w:szCs w:val="16"/>
              </w:rPr>
              <w:t>Índice de prestación de servicios 79</w:t>
            </w:r>
            <w:r w:rsidRPr="00456D44">
              <w:rPr>
                <w:rStyle w:val="FootnoteReference"/>
                <w:sz w:val="16"/>
                <w:szCs w:val="16"/>
              </w:rPr>
              <w:footnoteReference w:id="31"/>
            </w:r>
          </w:p>
          <w:p w:rsidR="00320744" w:rsidRPr="00456D44" w:rsidRDefault="00320744" w:rsidP="00DC1333">
            <w:pPr>
              <w:rPr>
                <w:i/>
                <w:color w:val="002060"/>
                <w:sz w:val="16"/>
                <w:szCs w:val="16"/>
              </w:rPr>
            </w:pPr>
          </w:p>
        </w:tc>
        <w:tc>
          <w:tcPr>
            <w:tcW w:w="810" w:type="pct"/>
            <w:tcBorders>
              <w:top w:val="nil"/>
              <w:bottom w:val="single" w:sz="4" w:space="0" w:color="auto"/>
            </w:tcBorders>
            <w:shd w:val="clear" w:color="auto" w:fill="auto"/>
            <w:tcMar>
              <w:top w:w="110" w:type="dxa"/>
            </w:tcMar>
          </w:tcPr>
          <w:p w:rsidR="00320744" w:rsidRPr="00456D44" w:rsidRDefault="00320744" w:rsidP="00DC1333">
            <w:pPr>
              <w:rPr>
                <w:sz w:val="16"/>
                <w:szCs w:val="16"/>
              </w:rPr>
            </w:pPr>
            <w:r w:rsidRPr="00456D44">
              <w:rPr>
                <w:sz w:val="16"/>
                <w:szCs w:val="16"/>
              </w:rPr>
              <w:t>Índice de satisfacción más elevado en la siguiente encuesta, centrada en la puntualidad y la capacidad de respuesta</w:t>
            </w:r>
          </w:p>
        </w:tc>
        <w:tc>
          <w:tcPr>
            <w:tcW w:w="1176" w:type="pct"/>
            <w:tcBorders>
              <w:top w:val="nil"/>
              <w:bottom w:val="single" w:sz="4" w:space="0" w:color="auto"/>
            </w:tcBorders>
            <w:shd w:val="clear" w:color="auto" w:fill="FFFFFF"/>
            <w:tcMar>
              <w:top w:w="110" w:type="dxa"/>
            </w:tcMar>
          </w:tcPr>
          <w:p w:rsidR="00320744" w:rsidRPr="00456D44" w:rsidRDefault="00320744" w:rsidP="00DC1333">
            <w:pPr>
              <w:rPr>
                <w:sz w:val="16"/>
                <w:szCs w:val="16"/>
                <w:lang w:bidi="th-TH"/>
              </w:rPr>
            </w:pPr>
            <w:r w:rsidRPr="00456D44">
              <w:rPr>
                <w:sz w:val="16"/>
                <w:szCs w:val="16"/>
                <w:lang w:bidi="th-TH"/>
              </w:rPr>
              <w:t>2014: Índice de prestación de servicios:  39</w:t>
            </w:r>
          </w:p>
          <w:p w:rsidR="00320744" w:rsidRPr="00456D44" w:rsidRDefault="00320744" w:rsidP="00DC1333">
            <w:pPr>
              <w:rPr>
                <w:sz w:val="16"/>
                <w:szCs w:val="16"/>
                <w:lang w:bidi="th-TH"/>
              </w:rPr>
            </w:pPr>
          </w:p>
          <w:p w:rsidR="00320744" w:rsidRPr="00456D44" w:rsidRDefault="00320744" w:rsidP="00DC1333">
            <w:pPr>
              <w:rPr>
                <w:sz w:val="16"/>
                <w:szCs w:val="16"/>
                <w:lang w:bidi="th-TH"/>
              </w:rPr>
            </w:pPr>
            <w:r w:rsidRPr="00456D44">
              <w:rPr>
                <w:sz w:val="16"/>
                <w:szCs w:val="16"/>
                <w:lang w:bidi="th-TH"/>
              </w:rPr>
              <w:t>2015: No se realizó una encuesta correspondiente a este año</w:t>
            </w:r>
          </w:p>
        </w:tc>
        <w:tc>
          <w:tcPr>
            <w:tcW w:w="513" w:type="pct"/>
            <w:tcBorders>
              <w:top w:val="nil"/>
              <w:bottom w:val="single" w:sz="4" w:space="0" w:color="auto"/>
              <w:right w:val="single" w:sz="4" w:space="0" w:color="auto"/>
            </w:tcBorders>
            <w:shd w:val="clear" w:color="auto" w:fill="auto"/>
          </w:tcPr>
          <w:p w:rsidR="00320744" w:rsidRPr="00456D44" w:rsidRDefault="00320744" w:rsidP="00DC1333">
            <w:pPr>
              <w:jc w:val="center"/>
              <w:rPr>
                <w:b/>
                <w:bCs/>
                <w:color w:val="00B050"/>
                <w:sz w:val="12"/>
                <w:szCs w:val="12"/>
              </w:rPr>
            </w:pPr>
            <w:r w:rsidRPr="00456D44">
              <w:rPr>
                <w:b/>
                <w:bCs/>
                <w:color w:val="00B050"/>
                <w:sz w:val="12"/>
                <w:szCs w:val="12"/>
              </w:rPr>
              <w:t>Plenamente logrado</w:t>
            </w:r>
          </w:p>
          <w:p w:rsidR="00320744" w:rsidRPr="00456D44" w:rsidRDefault="00320744" w:rsidP="00DC1333">
            <w:pPr>
              <w:jc w:val="center"/>
              <w:rPr>
                <w:b/>
                <w:bCs/>
                <w:color w:val="00B050"/>
                <w:sz w:val="12"/>
                <w:szCs w:val="12"/>
              </w:rPr>
            </w:pPr>
          </w:p>
          <w:p w:rsidR="00320744" w:rsidRPr="00456D44" w:rsidRDefault="00320744" w:rsidP="00DC1333">
            <w:pPr>
              <w:jc w:val="center"/>
              <w:rPr>
                <w:rStyle w:val="Style5"/>
                <w:sz w:val="12"/>
                <w:szCs w:val="12"/>
              </w:rPr>
            </w:pPr>
            <w:r w:rsidRPr="00456D44">
              <w:rPr>
                <w:b/>
                <w:bCs/>
                <w:color w:val="808080" w:themeColor="background1" w:themeShade="80"/>
                <w:sz w:val="12"/>
                <w:szCs w:val="12"/>
              </w:rPr>
              <w:t>No mensurable</w:t>
            </w:r>
          </w:p>
        </w:tc>
      </w:tr>
      <w:tr w:rsidR="00320744" w:rsidRPr="00456D44" w:rsidTr="00DC1333">
        <w:trPr>
          <w:cantSplit/>
        </w:trPr>
        <w:tc>
          <w:tcPr>
            <w:tcW w:w="1104" w:type="pct"/>
            <w:tcBorders>
              <w:top w:val="single" w:sz="4" w:space="0" w:color="auto"/>
              <w:left w:val="single" w:sz="4" w:space="0" w:color="auto"/>
              <w:bottom w:val="nil"/>
              <w:right w:val="nil"/>
            </w:tcBorders>
            <w:shd w:val="clear" w:color="auto" w:fill="auto"/>
          </w:tcPr>
          <w:p w:rsidR="00320744" w:rsidRPr="00456D44" w:rsidRDefault="00320744" w:rsidP="00DC1333">
            <w:pPr>
              <w:rPr>
                <w:sz w:val="16"/>
                <w:szCs w:val="16"/>
              </w:rPr>
            </w:pPr>
            <w:r w:rsidRPr="00456D44">
              <w:rPr>
                <w:sz w:val="16"/>
                <w:szCs w:val="16"/>
              </w:rPr>
              <w:lastRenderedPageBreak/>
              <w:t>Aumento del uso del intercambio electrónico (Madrid).</w:t>
            </w:r>
          </w:p>
        </w:tc>
        <w:tc>
          <w:tcPr>
            <w:tcW w:w="1397" w:type="pct"/>
            <w:tcBorders>
              <w:top w:val="single" w:sz="4" w:space="0" w:color="auto"/>
              <w:left w:val="nil"/>
              <w:bottom w:val="nil"/>
              <w:right w:val="nil"/>
            </w:tcBorders>
            <w:shd w:val="clear" w:color="auto" w:fill="auto"/>
          </w:tcPr>
          <w:p w:rsidR="00320744" w:rsidRPr="00456D44" w:rsidRDefault="00320744" w:rsidP="00DC1333">
            <w:pPr>
              <w:rPr>
                <w:color w:val="002060"/>
                <w:sz w:val="16"/>
                <w:szCs w:val="16"/>
              </w:rPr>
            </w:pPr>
            <w:r w:rsidRPr="00456D44">
              <w:rPr>
                <w:i/>
                <w:color w:val="002060"/>
                <w:sz w:val="16"/>
                <w:szCs w:val="16"/>
              </w:rPr>
              <w:t xml:space="preserve">Referencia actualizada a fines de 2013:  </w:t>
            </w:r>
            <w:r w:rsidRPr="00456D44">
              <w:rPr>
                <w:color w:val="002060"/>
                <w:sz w:val="16"/>
                <w:szCs w:val="16"/>
              </w:rPr>
              <w:t>67% de documentos recibidos electrónicamente</w:t>
            </w:r>
          </w:p>
          <w:p w:rsidR="00320744" w:rsidRPr="00456D44" w:rsidRDefault="00320744" w:rsidP="00DC1333">
            <w:pPr>
              <w:rPr>
                <w:color w:val="002060"/>
                <w:sz w:val="16"/>
                <w:szCs w:val="16"/>
              </w:rPr>
            </w:pPr>
          </w:p>
          <w:p w:rsidR="00320744" w:rsidRPr="00456D44" w:rsidRDefault="00320744" w:rsidP="00DC1333">
            <w:pPr>
              <w:rPr>
                <w:color w:val="002060"/>
                <w:sz w:val="16"/>
                <w:szCs w:val="16"/>
              </w:rPr>
            </w:pPr>
            <w:r w:rsidRPr="00456D44">
              <w:rPr>
                <w:color w:val="002060"/>
                <w:sz w:val="16"/>
                <w:szCs w:val="16"/>
              </w:rPr>
              <w:t>158.717 notificaciones recibidas por correo-e</w:t>
            </w:r>
          </w:p>
          <w:p w:rsidR="00320744" w:rsidRPr="00456D44" w:rsidRDefault="00320744" w:rsidP="00DC1333">
            <w:pPr>
              <w:rPr>
                <w:color w:val="002060"/>
                <w:sz w:val="16"/>
                <w:szCs w:val="16"/>
              </w:rPr>
            </w:pPr>
          </w:p>
          <w:p w:rsidR="00320744" w:rsidRPr="00456D44" w:rsidRDefault="00320744" w:rsidP="00DC1333">
            <w:pPr>
              <w:rPr>
                <w:color w:val="002060"/>
                <w:sz w:val="16"/>
                <w:szCs w:val="16"/>
              </w:rPr>
            </w:pPr>
            <w:r w:rsidRPr="00456D44">
              <w:rPr>
                <w:color w:val="002060"/>
                <w:sz w:val="16"/>
                <w:szCs w:val="16"/>
              </w:rPr>
              <w:t>714 clientes del Gestor de carteras del Sistema de Madrid</w:t>
            </w:r>
          </w:p>
          <w:p w:rsidR="00320744" w:rsidRPr="00456D44" w:rsidRDefault="00320744" w:rsidP="00DC1333">
            <w:pPr>
              <w:rPr>
                <w:color w:val="002060"/>
                <w:sz w:val="16"/>
                <w:szCs w:val="16"/>
              </w:rPr>
            </w:pPr>
          </w:p>
          <w:p w:rsidR="00320744" w:rsidRPr="00456D44" w:rsidRDefault="00320744" w:rsidP="00DC1333">
            <w:pPr>
              <w:rPr>
                <w:color w:val="002060"/>
                <w:sz w:val="16"/>
                <w:szCs w:val="16"/>
              </w:rPr>
            </w:pPr>
            <w:r w:rsidRPr="00456D44">
              <w:rPr>
                <w:color w:val="002060"/>
                <w:sz w:val="16"/>
                <w:szCs w:val="16"/>
              </w:rPr>
              <w:t>16 oficinas que envían solicitudes en XML</w:t>
            </w:r>
          </w:p>
          <w:p w:rsidR="00320744" w:rsidRPr="00456D44" w:rsidRDefault="00320744" w:rsidP="00DC1333">
            <w:pPr>
              <w:rPr>
                <w:i/>
                <w:color w:val="002060"/>
                <w:sz w:val="16"/>
                <w:szCs w:val="16"/>
              </w:rPr>
            </w:pPr>
          </w:p>
          <w:p w:rsidR="00320744" w:rsidRPr="00456D44" w:rsidRDefault="00320744" w:rsidP="00DC1333">
            <w:pPr>
              <w:rPr>
                <w:i/>
                <w:sz w:val="16"/>
                <w:szCs w:val="16"/>
              </w:rPr>
            </w:pPr>
            <w:r w:rsidRPr="00456D44">
              <w:rPr>
                <w:i/>
                <w:sz w:val="16"/>
                <w:szCs w:val="16"/>
              </w:rPr>
              <w:t>Referencia original en el presupuesto de 2013/14:</w:t>
            </w:r>
          </w:p>
          <w:p w:rsidR="00320744" w:rsidRPr="00456D44" w:rsidRDefault="00320744" w:rsidP="00DC1333">
            <w:pPr>
              <w:rPr>
                <w:i/>
                <w:color w:val="002060"/>
                <w:sz w:val="16"/>
                <w:szCs w:val="16"/>
              </w:rPr>
            </w:pPr>
            <w:r w:rsidRPr="00456D44">
              <w:rPr>
                <w:i/>
                <w:sz w:val="16"/>
                <w:szCs w:val="16"/>
              </w:rPr>
              <w:t>60% de documentos recibidos electrónicamente;  85.000 marcas notificadas por correo electrónico;  200 usuarios que utilizan el Gestor de carteras del Sistema de Madrid;  17 oficinas que envían solicitudes en XML</w:t>
            </w:r>
          </w:p>
        </w:tc>
        <w:tc>
          <w:tcPr>
            <w:tcW w:w="810" w:type="pct"/>
            <w:tcBorders>
              <w:top w:val="single" w:sz="4" w:space="0" w:color="auto"/>
              <w:left w:val="nil"/>
              <w:bottom w:val="nil"/>
              <w:right w:val="nil"/>
            </w:tcBorders>
            <w:shd w:val="clear" w:color="auto" w:fill="auto"/>
            <w:tcMar>
              <w:top w:w="110" w:type="dxa"/>
            </w:tcMar>
          </w:tcPr>
          <w:p w:rsidR="00320744" w:rsidRPr="00456D44" w:rsidRDefault="00320744" w:rsidP="00DC1333">
            <w:pPr>
              <w:rPr>
                <w:sz w:val="16"/>
                <w:szCs w:val="16"/>
              </w:rPr>
            </w:pPr>
            <w:r w:rsidRPr="00456D44">
              <w:rPr>
                <w:sz w:val="16"/>
                <w:szCs w:val="16"/>
              </w:rPr>
              <w:t>70% de documentos recibidos electrónicamente;  110.000 marcas notificadas por correo–e;  1.000 usuarios que utilizan el Gestor de carteras del sistema de Madrid;  23 oficinas que envían solicitudes en XML.</w:t>
            </w:r>
          </w:p>
        </w:tc>
        <w:tc>
          <w:tcPr>
            <w:tcW w:w="1176" w:type="pct"/>
            <w:tcBorders>
              <w:top w:val="single" w:sz="4" w:space="0" w:color="auto"/>
              <w:left w:val="nil"/>
              <w:bottom w:val="nil"/>
              <w:right w:val="nil"/>
            </w:tcBorders>
            <w:shd w:val="clear" w:color="auto" w:fill="FFFFFF"/>
            <w:tcMar>
              <w:top w:w="110" w:type="dxa"/>
            </w:tcMar>
          </w:tcPr>
          <w:p w:rsidR="00320744" w:rsidRPr="00456D44" w:rsidRDefault="00320744" w:rsidP="00DC1333">
            <w:pPr>
              <w:rPr>
                <w:color w:val="000000" w:themeColor="text1"/>
                <w:sz w:val="16"/>
                <w:szCs w:val="16"/>
                <w:lang w:bidi="th-TH"/>
              </w:rPr>
            </w:pPr>
            <w:r w:rsidRPr="00456D44">
              <w:rPr>
                <w:color w:val="000000" w:themeColor="text1"/>
                <w:sz w:val="16"/>
                <w:szCs w:val="16"/>
                <w:lang w:bidi="th-TH"/>
              </w:rPr>
              <w:t>79% de documentos recibidos electrónicamente en 2015.  (70% en 2014)</w:t>
            </w:r>
          </w:p>
          <w:p w:rsidR="00320744" w:rsidRPr="00456D44" w:rsidRDefault="00320744" w:rsidP="00DC1333">
            <w:pPr>
              <w:rPr>
                <w:color w:val="000000" w:themeColor="text1"/>
                <w:sz w:val="16"/>
                <w:szCs w:val="16"/>
                <w:lang w:bidi="th-TH"/>
              </w:rPr>
            </w:pPr>
          </w:p>
          <w:p w:rsidR="00320744" w:rsidRPr="00456D44" w:rsidRDefault="00320744" w:rsidP="00DC1333">
            <w:pPr>
              <w:rPr>
                <w:color w:val="000000" w:themeColor="text1"/>
                <w:sz w:val="16"/>
                <w:szCs w:val="16"/>
                <w:lang w:bidi="th-TH"/>
              </w:rPr>
            </w:pPr>
            <w:r w:rsidRPr="00456D44">
              <w:rPr>
                <w:color w:val="000000" w:themeColor="text1"/>
                <w:sz w:val="16"/>
                <w:szCs w:val="16"/>
                <w:lang w:bidi="th-TH"/>
              </w:rPr>
              <w:t>Correos electrónicos (RSD) 325.000 notificaciones por correo–e en 2015 (220.000 en 2014)</w:t>
            </w:r>
          </w:p>
          <w:p w:rsidR="00320744" w:rsidRPr="00456D44" w:rsidRDefault="00320744" w:rsidP="00DC1333">
            <w:pPr>
              <w:rPr>
                <w:color w:val="000000" w:themeColor="text1"/>
                <w:sz w:val="16"/>
                <w:szCs w:val="16"/>
                <w:lang w:bidi="th-TH"/>
              </w:rPr>
            </w:pPr>
          </w:p>
          <w:p w:rsidR="00320744" w:rsidRPr="00456D44" w:rsidRDefault="00320744" w:rsidP="00DC1333">
            <w:pPr>
              <w:rPr>
                <w:color w:val="000000" w:themeColor="text1"/>
                <w:sz w:val="16"/>
                <w:szCs w:val="16"/>
                <w:lang w:bidi="th-TH"/>
              </w:rPr>
            </w:pPr>
            <w:r w:rsidRPr="00456D44">
              <w:rPr>
                <w:color w:val="000000" w:themeColor="text1"/>
                <w:sz w:val="16"/>
                <w:szCs w:val="16"/>
                <w:lang w:bidi="th-TH"/>
              </w:rPr>
              <w:t xml:space="preserve">2.752 clientes </w:t>
            </w:r>
            <w:r w:rsidRPr="00456D44">
              <w:rPr>
                <w:sz w:val="16"/>
                <w:szCs w:val="16"/>
              </w:rPr>
              <w:t>que utilizan</w:t>
            </w:r>
            <w:r w:rsidRPr="00456D44">
              <w:rPr>
                <w:color w:val="000000" w:themeColor="text1"/>
                <w:sz w:val="16"/>
                <w:szCs w:val="16"/>
                <w:lang w:bidi="th-TH"/>
              </w:rPr>
              <w:t xml:space="preserve"> el Gestor de carteras del Sistema de Madrid en 2015 (1.800 en 2014)</w:t>
            </w:r>
          </w:p>
          <w:p w:rsidR="00320744" w:rsidRPr="00456D44" w:rsidRDefault="00320744" w:rsidP="00DC1333">
            <w:pPr>
              <w:rPr>
                <w:color w:val="000000" w:themeColor="text1"/>
                <w:sz w:val="16"/>
                <w:szCs w:val="16"/>
                <w:lang w:bidi="th-TH"/>
              </w:rPr>
            </w:pPr>
          </w:p>
          <w:p w:rsidR="00320744" w:rsidRPr="00456D44" w:rsidRDefault="00320744" w:rsidP="00DC1333">
            <w:pPr>
              <w:rPr>
                <w:sz w:val="16"/>
                <w:szCs w:val="16"/>
                <w:lang w:bidi="th-TH"/>
              </w:rPr>
            </w:pPr>
            <w:r w:rsidRPr="00456D44">
              <w:rPr>
                <w:color w:val="000000" w:themeColor="text1"/>
                <w:sz w:val="16"/>
                <w:szCs w:val="16"/>
                <w:lang w:bidi="th-TH"/>
              </w:rPr>
              <w:t>27 oficinas que envían solicitudes en XML en 2015 (24 en 2014)</w:t>
            </w:r>
          </w:p>
        </w:tc>
        <w:tc>
          <w:tcPr>
            <w:tcW w:w="513" w:type="pct"/>
            <w:tcBorders>
              <w:top w:val="single" w:sz="4" w:space="0" w:color="auto"/>
              <w:left w:val="nil"/>
              <w:bottom w:val="nil"/>
              <w:right w:val="single" w:sz="4" w:space="0" w:color="auto"/>
            </w:tcBorders>
            <w:shd w:val="clear" w:color="auto" w:fill="auto"/>
            <w:tcMar>
              <w:top w:w="110" w:type="dxa"/>
            </w:tcMar>
          </w:tcPr>
          <w:p w:rsidR="00320744" w:rsidRPr="00456D44" w:rsidRDefault="00320744" w:rsidP="00DC1333">
            <w:pPr>
              <w:jc w:val="center"/>
              <w:rPr>
                <w:b/>
                <w:bCs/>
                <w:color w:val="00B050"/>
                <w:sz w:val="12"/>
                <w:szCs w:val="12"/>
              </w:rPr>
            </w:pPr>
            <w:r w:rsidRPr="00456D44">
              <w:rPr>
                <w:b/>
                <w:bCs/>
                <w:color w:val="00B050"/>
                <w:sz w:val="12"/>
                <w:szCs w:val="12"/>
              </w:rPr>
              <w:t>Plenamente logrado</w:t>
            </w: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r w:rsidRPr="00456D44">
              <w:rPr>
                <w:b/>
                <w:bCs/>
                <w:color w:val="00B050"/>
                <w:sz w:val="12"/>
                <w:szCs w:val="12"/>
              </w:rPr>
              <w:t>Plenamente logrado</w:t>
            </w: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r w:rsidRPr="00456D44">
              <w:rPr>
                <w:b/>
                <w:bCs/>
                <w:color w:val="00B050"/>
                <w:sz w:val="12"/>
                <w:szCs w:val="12"/>
              </w:rPr>
              <w:t>Plenamente logrado</w:t>
            </w:r>
          </w:p>
          <w:p w:rsidR="00320744" w:rsidRPr="00456D44" w:rsidRDefault="00320744" w:rsidP="00DC1333">
            <w:pPr>
              <w:jc w:val="center"/>
              <w:rPr>
                <w:b/>
                <w:bCs/>
                <w:color w:val="00B050"/>
                <w:sz w:val="12"/>
                <w:szCs w:val="12"/>
              </w:rPr>
            </w:pPr>
          </w:p>
          <w:p w:rsidR="00320744" w:rsidRPr="00456D44" w:rsidRDefault="00320744" w:rsidP="00DC1333">
            <w:pPr>
              <w:jc w:val="center"/>
              <w:rPr>
                <w:b/>
                <w:bCs/>
                <w:color w:val="00B050"/>
                <w:sz w:val="12"/>
                <w:szCs w:val="12"/>
              </w:rPr>
            </w:pPr>
          </w:p>
          <w:p w:rsidR="00320744" w:rsidRPr="00456D44" w:rsidRDefault="00320744" w:rsidP="00DC1333">
            <w:pPr>
              <w:jc w:val="center"/>
              <w:rPr>
                <w:bCs/>
                <w:color w:val="008000"/>
                <w:sz w:val="12"/>
                <w:szCs w:val="12"/>
              </w:rPr>
            </w:pPr>
            <w:r w:rsidRPr="00456D44">
              <w:rPr>
                <w:b/>
                <w:bCs/>
                <w:color w:val="00B050"/>
                <w:sz w:val="12"/>
                <w:szCs w:val="12"/>
              </w:rPr>
              <w:t>Plenamente logrado</w:t>
            </w:r>
          </w:p>
        </w:tc>
      </w:tr>
      <w:tr w:rsidR="00320744" w:rsidRPr="00456D44" w:rsidTr="00DC1333">
        <w:trPr>
          <w:cantSplit/>
        </w:trPr>
        <w:tc>
          <w:tcPr>
            <w:tcW w:w="1104" w:type="pct"/>
            <w:tcBorders>
              <w:top w:val="nil"/>
              <w:left w:val="single" w:sz="4" w:space="0" w:color="auto"/>
              <w:bottom w:val="nil"/>
            </w:tcBorders>
            <w:shd w:val="clear" w:color="auto" w:fill="auto"/>
          </w:tcPr>
          <w:p w:rsidR="00320744" w:rsidRPr="00456D44" w:rsidRDefault="00320744" w:rsidP="00DC1333">
            <w:pPr>
              <w:keepNext/>
              <w:keepLines/>
              <w:rPr>
                <w:sz w:val="16"/>
                <w:szCs w:val="16"/>
              </w:rPr>
            </w:pPr>
            <w:r w:rsidRPr="00456D44">
              <w:rPr>
                <w:sz w:val="16"/>
                <w:szCs w:val="16"/>
              </w:rPr>
              <w:t>Perfeccionamiento de los medios electrónicos de comunicación y publicación en el marco de los procedimientos del Arreglo de Lisboa</w:t>
            </w:r>
          </w:p>
        </w:tc>
        <w:tc>
          <w:tcPr>
            <w:tcW w:w="1397" w:type="pct"/>
            <w:tcBorders>
              <w:top w:val="nil"/>
              <w:bottom w:val="nil"/>
            </w:tcBorders>
            <w:shd w:val="clear" w:color="auto" w:fill="auto"/>
          </w:tcPr>
          <w:p w:rsidR="00320744" w:rsidRPr="00456D44" w:rsidRDefault="00320744" w:rsidP="00DC1333">
            <w:pPr>
              <w:keepNext/>
              <w:keepLines/>
              <w:rPr>
                <w:sz w:val="16"/>
                <w:szCs w:val="16"/>
              </w:rPr>
            </w:pPr>
            <w:r w:rsidRPr="00456D44">
              <w:rPr>
                <w:sz w:val="16"/>
                <w:szCs w:val="16"/>
              </w:rPr>
              <w:t>Medios electrónicos en funcionamiento a fines de 2013</w:t>
            </w:r>
          </w:p>
        </w:tc>
        <w:tc>
          <w:tcPr>
            <w:tcW w:w="810" w:type="pct"/>
            <w:tcBorders>
              <w:top w:val="nil"/>
              <w:bottom w:val="nil"/>
            </w:tcBorders>
            <w:shd w:val="clear" w:color="auto" w:fill="auto"/>
            <w:tcMar>
              <w:top w:w="110" w:type="dxa"/>
            </w:tcMar>
          </w:tcPr>
          <w:p w:rsidR="00320744" w:rsidRPr="00456D44" w:rsidRDefault="00320744" w:rsidP="00DC1333">
            <w:pPr>
              <w:keepNext/>
              <w:keepLines/>
              <w:rPr>
                <w:sz w:val="16"/>
                <w:szCs w:val="16"/>
              </w:rPr>
            </w:pPr>
            <w:r w:rsidRPr="00456D44">
              <w:rPr>
                <w:sz w:val="16"/>
                <w:szCs w:val="16"/>
              </w:rPr>
              <w:t xml:space="preserve">Sistema de presentación electrónica e incorporación del boletín del Sistema de Lisboa a la base de datos </w:t>
            </w:r>
            <w:r w:rsidRPr="00456D44">
              <w:rPr>
                <w:i/>
                <w:sz w:val="16"/>
                <w:szCs w:val="16"/>
              </w:rPr>
              <w:t>Lisbon Express</w:t>
            </w:r>
            <w:r w:rsidRPr="00456D44">
              <w:rPr>
                <w:sz w:val="16"/>
                <w:szCs w:val="16"/>
              </w:rPr>
              <w:t>.</w:t>
            </w:r>
          </w:p>
        </w:tc>
        <w:tc>
          <w:tcPr>
            <w:tcW w:w="1176" w:type="pct"/>
            <w:tcBorders>
              <w:top w:val="nil"/>
              <w:bottom w:val="nil"/>
            </w:tcBorders>
            <w:shd w:val="clear" w:color="auto" w:fill="FFFFFF"/>
            <w:tcMar>
              <w:top w:w="110" w:type="dxa"/>
            </w:tcMar>
          </w:tcPr>
          <w:p w:rsidR="00320744" w:rsidRPr="00456D44" w:rsidRDefault="00320744" w:rsidP="00DC1333">
            <w:pPr>
              <w:keepNext/>
              <w:keepLines/>
              <w:rPr>
                <w:sz w:val="16"/>
                <w:szCs w:val="16"/>
              </w:rPr>
            </w:pPr>
            <w:r w:rsidRPr="00456D44">
              <w:rPr>
                <w:sz w:val="16"/>
                <w:szCs w:val="16"/>
              </w:rPr>
              <w:t>Se introdujo un procedimiento simplificado para notificaciones a través del sistema de notificación de consultas (WINS) de la OMPI</w:t>
            </w:r>
          </w:p>
          <w:p w:rsidR="00320744" w:rsidRPr="00456D44" w:rsidRDefault="00320744" w:rsidP="00DC1333">
            <w:pPr>
              <w:keepNext/>
              <w:keepLines/>
              <w:rPr>
                <w:sz w:val="16"/>
                <w:szCs w:val="16"/>
              </w:rPr>
            </w:pPr>
          </w:p>
        </w:tc>
        <w:tc>
          <w:tcPr>
            <w:tcW w:w="513" w:type="pct"/>
            <w:tcBorders>
              <w:top w:val="nil"/>
              <w:bottom w:val="nil"/>
              <w:right w:val="single" w:sz="4" w:space="0" w:color="auto"/>
            </w:tcBorders>
            <w:shd w:val="clear" w:color="auto" w:fill="auto"/>
          </w:tcPr>
          <w:p w:rsidR="00320744" w:rsidRPr="00456D44" w:rsidRDefault="00320744" w:rsidP="00DC1333">
            <w:pPr>
              <w:keepNext/>
              <w:keepLines/>
              <w:ind w:left="-8"/>
              <w:jc w:val="center"/>
              <w:rPr>
                <w:rStyle w:val="Style5"/>
                <w:sz w:val="12"/>
                <w:szCs w:val="12"/>
              </w:rPr>
            </w:pPr>
            <w:r w:rsidRPr="00456D44">
              <w:rPr>
                <w:b/>
                <w:color w:val="E36C0A" w:themeColor="accent6" w:themeShade="BF"/>
                <w:sz w:val="12"/>
                <w:szCs w:val="12"/>
              </w:rPr>
              <w:t>Parcialmente logrado</w:t>
            </w:r>
          </w:p>
        </w:tc>
      </w:tr>
      <w:tr w:rsidR="00320744" w:rsidRPr="00456D44" w:rsidTr="00DC1333">
        <w:trPr>
          <w:cantSplit/>
        </w:trPr>
        <w:tc>
          <w:tcPr>
            <w:tcW w:w="1104" w:type="pct"/>
            <w:tcBorders>
              <w:top w:val="nil"/>
              <w:left w:val="single" w:sz="4" w:space="0" w:color="auto"/>
              <w:bottom w:val="single" w:sz="4" w:space="0" w:color="auto"/>
            </w:tcBorders>
            <w:shd w:val="clear" w:color="auto" w:fill="auto"/>
          </w:tcPr>
          <w:p w:rsidR="00320744" w:rsidRPr="00456D44" w:rsidRDefault="00320744" w:rsidP="00DC1333">
            <w:pPr>
              <w:keepNext/>
              <w:keepLines/>
              <w:rPr>
                <w:sz w:val="16"/>
                <w:szCs w:val="16"/>
              </w:rPr>
            </w:pPr>
            <w:r w:rsidRPr="00456D44">
              <w:rPr>
                <w:sz w:val="16"/>
                <w:szCs w:val="16"/>
              </w:rPr>
              <w:t>Perfeccionamiento del Registro Internacional electrónico del sistema de Lisboa.</w:t>
            </w:r>
          </w:p>
        </w:tc>
        <w:tc>
          <w:tcPr>
            <w:tcW w:w="1397" w:type="pct"/>
            <w:tcBorders>
              <w:top w:val="nil"/>
              <w:bottom w:val="single" w:sz="4" w:space="0" w:color="auto"/>
            </w:tcBorders>
            <w:shd w:val="clear" w:color="auto" w:fill="auto"/>
          </w:tcPr>
          <w:p w:rsidR="00320744" w:rsidRPr="00456D44" w:rsidRDefault="00320744" w:rsidP="00DC1333">
            <w:pPr>
              <w:keepNext/>
              <w:keepLines/>
              <w:rPr>
                <w:color w:val="002060"/>
                <w:sz w:val="16"/>
                <w:szCs w:val="16"/>
              </w:rPr>
            </w:pPr>
            <w:r w:rsidRPr="00456D44">
              <w:rPr>
                <w:i/>
                <w:color w:val="002060"/>
                <w:sz w:val="16"/>
                <w:szCs w:val="16"/>
              </w:rPr>
              <w:t>Referencia actualizada a fines de 2013</w:t>
            </w:r>
            <w:proofErr w:type="gramStart"/>
            <w:r w:rsidRPr="00456D44">
              <w:rPr>
                <w:i/>
                <w:color w:val="002060"/>
                <w:sz w:val="16"/>
                <w:szCs w:val="16"/>
              </w:rPr>
              <w:t xml:space="preserve">:  </w:t>
            </w:r>
            <w:r w:rsidRPr="00456D44">
              <w:rPr>
                <w:color w:val="002060"/>
                <w:sz w:val="16"/>
                <w:szCs w:val="16"/>
              </w:rPr>
              <w:t>Aplicación</w:t>
            </w:r>
            <w:proofErr w:type="gramEnd"/>
            <w:r w:rsidRPr="00456D44">
              <w:rPr>
                <w:color w:val="002060"/>
                <w:sz w:val="16"/>
                <w:szCs w:val="16"/>
              </w:rPr>
              <w:t xml:space="preserve"> informática para un Registro Internacional electrónico en funcionamiento desde el verano de 2013.</w:t>
            </w:r>
          </w:p>
          <w:p w:rsidR="00320744" w:rsidRPr="00456D44" w:rsidRDefault="00320744" w:rsidP="00DC1333">
            <w:pPr>
              <w:keepNext/>
              <w:keepLines/>
              <w:rPr>
                <w:color w:val="002060"/>
                <w:sz w:val="16"/>
                <w:szCs w:val="16"/>
              </w:rPr>
            </w:pPr>
          </w:p>
          <w:p w:rsidR="00320744" w:rsidRPr="00456D44" w:rsidRDefault="00320744" w:rsidP="00DC1333">
            <w:pPr>
              <w:keepNext/>
              <w:keepLines/>
              <w:rPr>
                <w:sz w:val="16"/>
                <w:szCs w:val="16"/>
              </w:rPr>
            </w:pPr>
            <w:r w:rsidRPr="00456D44">
              <w:rPr>
                <w:i/>
                <w:sz w:val="16"/>
                <w:szCs w:val="16"/>
              </w:rPr>
              <w:t>Referencia original en el presupuesto de 2013/14:</w:t>
            </w:r>
          </w:p>
          <w:p w:rsidR="00320744" w:rsidRPr="00456D44" w:rsidRDefault="00320744" w:rsidP="00DC1333">
            <w:pPr>
              <w:keepNext/>
              <w:keepLines/>
              <w:rPr>
                <w:sz w:val="16"/>
                <w:szCs w:val="16"/>
              </w:rPr>
            </w:pPr>
            <w:r w:rsidRPr="00456D44">
              <w:rPr>
                <w:sz w:val="16"/>
                <w:szCs w:val="16"/>
              </w:rPr>
              <w:t>El Registro Internacional electrónico por establecer en 2013</w:t>
            </w:r>
          </w:p>
        </w:tc>
        <w:tc>
          <w:tcPr>
            <w:tcW w:w="810" w:type="pct"/>
            <w:tcBorders>
              <w:top w:val="nil"/>
              <w:bottom w:val="single" w:sz="4" w:space="0" w:color="auto"/>
            </w:tcBorders>
            <w:shd w:val="clear" w:color="auto" w:fill="auto"/>
            <w:tcMar>
              <w:top w:w="110" w:type="dxa"/>
            </w:tcMar>
          </w:tcPr>
          <w:p w:rsidR="00320744" w:rsidRPr="00456D44" w:rsidRDefault="00320744" w:rsidP="00DC1333">
            <w:pPr>
              <w:keepNext/>
              <w:keepLines/>
              <w:rPr>
                <w:sz w:val="16"/>
                <w:szCs w:val="16"/>
                <w:lang w:bidi="th-TH"/>
              </w:rPr>
            </w:pPr>
            <w:r w:rsidRPr="00456D44">
              <w:rPr>
                <w:sz w:val="16"/>
                <w:szCs w:val="16"/>
                <w:lang w:bidi="th-TH"/>
              </w:rPr>
              <w:t xml:space="preserve">Sistema electrónico que conecta el Registro Internacional y la base de datos </w:t>
            </w:r>
            <w:r w:rsidRPr="00456D44">
              <w:rPr>
                <w:i/>
                <w:sz w:val="16"/>
                <w:szCs w:val="16"/>
                <w:lang w:bidi="th-TH"/>
              </w:rPr>
              <w:t>Lisbon Express</w:t>
            </w:r>
            <w:r w:rsidRPr="00456D44">
              <w:rPr>
                <w:sz w:val="16"/>
                <w:szCs w:val="16"/>
                <w:lang w:bidi="th-TH"/>
              </w:rPr>
              <w:t xml:space="preserve"> en el sitio web de la OMPI</w:t>
            </w:r>
          </w:p>
        </w:tc>
        <w:tc>
          <w:tcPr>
            <w:tcW w:w="1176" w:type="pct"/>
            <w:tcBorders>
              <w:top w:val="nil"/>
              <w:bottom w:val="single" w:sz="4" w:space="0" w:color="auto"/>
            </w:tcBorders>
            <w:shd w:val="clear" w:color="auto" w:fill="FFFFFF"/>
            <w:tcMar>
              <w:top w:w="110" w:type="dxa"/>
            </w:tcMar>
          </w:tcPr>
          <w:p w:rsidR="00320744" w:rsidRPr="00456D44" w:rsidRDefault="00320744" w:rsidP="00DC1333">
            <w:pPr>
              <w:keepNext/>
              <w:keepLines/>
              <w:rPr>
                <w:sz w:val="16"/>
                <w:szCs w:val="16"/>
                <w:lang w:bidi="th-TH"/>
              </w:rPr>
            </w:pPr>
            <w:r w:rsidRPr="00456D44">
              <w:rPr>
                <w:sz w:val="16"/>
                <w:szCs w:val="16"/>
                <w:lang w:bidi="th-TH"/>
              </w:rPr>
              <w:t xml:space="preserve">En 2014, se completó y se puso en marcha una interfaz electrónica que conecta el Registro Internacional y la base de datos </w:t>
            </w:r>
            <w:r w:rsidRPr="00456D44">
              <w:rPr>
                <w:i/>
                <w:sz w:val="16"/>
                <w:szCs w:val="16"/>
                <w:lang w:bidi="th-TH"/>
              </w:rPr>
              <w:t>Lisbon Express</w:t>
            </w:r>
            <w:r w:rsidRPr="00456D44">
              <w:rPr>
                <w:sz w:val="16"/>
                <w:szCs w:val="16"/>
                <w:lang w:bidi="th-TH"/>
              </w:rPr>
              <w:t xml:space="preserve"> en el sitio web de la OMPI</w:t>
            </w:r>
          </w:p>
        </w:tc>
        <w:tc>
          <w:tcPr>
            <w:tcW w:w="513" w:type="pct"/>
            <w:tcBorders>
              <w:top w:val="nil"/>
              <w:bottom w:val="single" w:sz="4" w:space="0" w:color="auto"/>
              <w:right w:val="single" w:sz="4" w:space="0" w:color="auto"/>
            </w:tcBorders>
            <w:shd w:val="clear" w:color="auto" w:fill="auto"/>
            <w:tcMar>
              <w:top w:w="110" w:type="dxa"/>
            </w:tcMar>
          </w:tcPr>
          <w:p w:rsidR="00320744" w:rsidRPr="00456D44" w:rsidRDefault="00320744" w:rsidP="00DC1333">
            <w:pPr>
              <w:keepNext/>
              <w:keepLines/>
              <w:jc w:val="center"/>
              <w:rPr>
                <w:rStyle w:val="Style5"/>
                <w:sz w:val="12"/>
                <w:szCs w:val="12"/>
              </w:rPr>
            </w:pPr>
            <w:r w:rsidRPr="00456D44">
              <w:rPr>
                <w:b/>
                <w:color w:val="00B050"/>
                <w:sz w:val="12"/>
                <w:szCs w:val="12"/>
              </w:rPr>
              <w:t>Plenamente logrado</w:t>
            </w:r>
          </w:p>
        </w:tc>
      </w:tr>
    </w:tbl>
    <w:p w:rsidR="00320744" w:rsidRPr="00456D44" w:rsidRDefault="00320744" w:rsidP="00DC1333">
      <w:pPr>
        <w:rPr>
          <w:color w:val="000000"/>
          <w:szCs w:val="22"/>
        </w:rPr>
      </w:pPr>
    </w:p>
    <w:p w:rsidR="00320744" w:rsidRPr="00456D44" w:rsidRDefault="008F7CBE" w:rsidP="00DC1333">
      <w:pPr>
        <w:keepNext/>
        <w:keepLines/>
        <w:rPr>
          <w:color w:val="000000"/>
          <w:szCs w:val="22"/>
        </w:rPr>
      </w:pPr>
      <w:r w:rsidRPr="008F7CBE">
        <w:rPr>
          <w:color w:val="000000"/>
          <w:sz w:val="20"/>
          <w:szCs w:val="22"/>
        </w:rPr>
        <w:lastRenderedPageBreak/>
        <w:t>INFORMACIÓN SOBRE LOS RIESGOS PLANTEADOS EN EL BIENIO</w:t>
      </w:r>
    </w:p>
    <w:p w:rsidR="00320744" w:rsidRPr="00456D44" w:rsidRDefault="00320744"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320744" w:rsidRPr="00456D44" w:rsidTr="00DC1333">
        <w:trPr>
          <w:trHeight w:val="639"/>
          <w:tblHeader/>
        </w:trPr>
        <w:tc>
          <w:tcPr>
            <w:tcW w:w="2420" w:type="dxa"/>
            <w:tcBorders>
              <w:top w:val="single" w:sz="4" w:space="0" w:color="auto"/>
              <w:bottom w:val="single" w:sz="4" w:space="0" w:color="auto"/>
            </w:tcBorders>
            <w:shd w:val="clear" w:color="auto" w:fill="C6D9F1" w:themeFill="text2" w:themeFillTint="33"/>
            <w:vAlign w:val="center"/>
          </w:tcPr>
          <w:p w:rsidR="00320744" w:rsidRPr="00456D44" w:rsidRDefault="00320744" w:rsidP="00DC1333">
            <w:pPr>
              <w:keepNext/>
              <w:keepLines/>
              <w:autoSpaceDE w:val="0"/>
              <w:autoSpaceDN w:val="0"/>
              <w:adjustRightInd w:val="0"/>
              <w:ind w:right="-59"/>
              <w:jc w:val="center"/>
              <w:rPr>
                <w:b/>
                <w:bCs/>
                <w:iCs/>
                <w:sz w:val="18"/>
                <w:szCs w:val="18"/>
              </w:rPr>
            </w:pPr>
            <w:r w:rsidRPr="00456D44">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320744" w:rsidRPr="00456D44" w:rsidRDefault="00320744" w:rsidP="00DC1333">
            <w:pPr>
              <w:keepNext/>
              <w:keepLines/>
              <w:autoSpaceDE w:val="0"/>
              <w:autoSpaceDN w:val="0"/>
              <w:adjustRightInd w:val="0"/>
              <w:ind w:right="-59"/>
              <w:jc w:val="center"/>
              <w:rPr>
                <w:b/>
                <w:bCs/>
                <w:iCs/>
                <w:sz w:val="18"/>
                <w:szCs w:val="18"/>
              </w:rPr>
            </w:pPr>
            <w:r w:rsidRPr="00456D44">
              <w:rPr>
                <w:b/>
                <w:bCs/>
                <w:iCs/>
                <w:sz w:val="18"/>
                <w:szCs w:val="18"/>
              </w:rPr>
              <w:t xml:space="preserve">Planes de mitigación ejecutados o en ejecución </w:t>
            </w:r>
          </w:p>
        </w:tc>
        <w:tc>
          <w:tcPr>
            <w:tcW w:w="2310" w:type="dxa"/>
            <w:tcBorders>
              <w:top w:val="single" w:sz="4" w:space="0" w:color="auto"/>
              <w:bottom w:val="single" w:sz="4" w:space="0" w:color="auto"/>
            </w:tcBorders>
            <w:shd w:val="clear" w:color="auto" w:fill="C6D9F1" w:themeFill="text2" w:themeFillTint="33"/>
          </w:tcPr>
          <w:p w:rsidR="00320744" w:rsidRPr="00456D44" w:rsidRDefault="00320744" w:rsidP="00DC1333">
            <w:pPr>
              <w:keepNext/>
              <w:keepLines/>
              <w:jc w:val="center"/>
              <w:rPr>
                <w:b/>
                <w:bCs/>
                <w:sz w:val="18"/>
                <w:szCs w:val="18"/>
              </w:rPr>
            </w:pPr>
            <w:r w:rsidRPr="00456D44">
              <w:rPr>
                <w:b/>
                <w:bCs/>
                <w:sz w:val="18"/>
                <w:szCs w:val="18"/>
              </w:rPr>
              <w:t>Evolución de los riesgos y de las estrategias de mitigación durante el bienio</w:t>
            </w:r>
          </w:p>
        </w:tc>
        <w:tc>
          <w:tcPr>
            <w:tcW w:w="2426" w:type="dxa"/>
            <w:tcBorders>
              <w:top w:val="single" w:sz="4" w:space="0" w:color="auto"/>
              <w:bottom w:val="single" w:sz="4" w:space="0" w:color="auto"/>
            </w:tcBorders>
            <w:shd w:val="clear" w:color="auto" w:fill="C6D9F1" w:themeFill="text2" w:themeFillTint="33"/>
          </w:tcPr>
          <w:p w:rsidR="00320744" w:rsidRPr="00456D44" w:rsidRDefault="00320744" w:rsidP="00DC1333">
            <w:pPr>
              <w:keepNext/>
              <w:keepLines/>
              <w:jc w:val="center"/>
              <w:rPr>
                <w:b/>
                <w:bCs/>
                <w:sz w:val="18"/>
                <w:szCs w:val="18"/>
              </w:rPr>
            </w:pPr>
            <w:r w:rsidRPr="00456D44">
              <w:rPr>
                <w:b/>
                <w:bCs/>
                <w:sz w:val="18"/>
                <w:szCs w:val="18"/>
              </w:rPr>
              <w:t>Incidencia en el rendimiento del programa</w:t>
            </w:r>
          </w:p>
        </w:tc>
      </w:tr>
      <w:tr w:rsidR="00320744" w:rsidRPr="00456D44" w:rsidTr="00DC1333">
        <w:trPr>
          <w:trHeight w:val="1496"/>
        </w:trPr>
        <w:tc>
          <w:tcPr>
            <w:tcW w:w="2420" w:type="dxa"/>
            <w:tcBorders>
              <w:top w:val="single" w:sz="4" w:space="0" w:color="auto"/>
            </w:tcBorders>
            <w:shd w:val="clear" w:color="auto" w:fill="auto"/>
            <w:tcMar>
              <w:top w:w="113" w:type="dxa"/>
              <w:bottom w:w="113" w:type="dxa"/>
            </w:tcMar>
          </w:tcPr>
          <w:p w:rsidR="00320744" w:rsidRPr="00456D44" w:rsidRDefault="00320744" w:rsidP="00DC1333">
            <w:pPr>
              <w:keepNext/>
              <w:keepLines/>
              <w:rPr>
                <w:sz w:val="16"/>
                <w:szCs w:val="16"/>
              </w:rPr>
            </w:pPr>
            <w:r w:rsidRPr="00456D44">
              <w:rPr>
                <w:sz w:val="16"/>
                <w:szCs w:val="16"/>
              </w:rPr>
              <w:t>La utilización del sistema de Madrid disminuyó en 2009, pero ha ido aumentando a partir de entonces.  Sin embargo, podría producirse una segunda “caída”, lo que daría lugar a una infrautilización del sistema de Madrid y menos ingresos para la OMPI.  Hay además otros factores que podrían contribuir a la infrautilización del sistema de Madrid, como la inestabilidad política o social o la falta de infraestructura jurídica apropiada.</w:t>
            </w:r>
          </w:p>
        </w:tc>
        <w:tc>
          <w:tcPr>
            <w:tcW w:w="2200" w:type="dxa"/>
            <w:tcBorders>
              <w:top w:val="single" w:sz="4" w:space="0" w:color="auto"/>
            </w:tcBorders>
            <w:shd w:val="clear" w:color="auto" w:fill="auto"/>
            <w:tcMar>
              <w:top w:w="113" w:type="dxa"/>
              <w:bottom w:w="113" w:type="dxa"/>
            </w:tcMar>
          </w:tcPr>
          <w:p w:rsidR="00320744" w:rsidRPr="00456D44" w:rsidRDefault="00320744" w:rsidP="00DC1333">
            <w:pPr>
              <w:keepNext/>
              <w:keepLines/>
              <w:autoSpaceDE w:val="0"/>
              <w:autoSpaceDN w:val="0"/>
              <w:adjustRightInd w:val="0"/>
              <w:ind w:right="-59"/>
              <w:rPr>
                <w:sz w:val="16"/>
                <w:szCs w:val="16"/>
              </w:rPr>
            </w:pPr>
            <w:r w:rsidRPr="00456D44">
              <w:rPr>
                <w:sz w:val="16"/>
                <w:szCs w:val="16"/>
              </w:rPr>
              <w:t>Los riesgos podrían mitigarse mediante un intensivo programa de actividades promocionales encaminadas a maximizar el posible uso del sistema de Madrid por parte de los usuarios, y contrarrestar así su infrautilización, a fin de aprovechar el aumento de la eficiencia y la costoeficacia del sistema.  No obstante, cuando fuera necesario modificar las políticas o leyes de marcas en los planos nacional, regional o incluso internacional, podría llevar mucho tiempo resolver el problema, o incluso no llegar a resolverse.</w:t>
            </w:r>
          </w:p>
        </w:tc>
        <w:tc>
          <w:tcPr>
            <w:tcW w:w="2310" w:type="dxa"/>
            <w:tcBorders>
              <w:top w:val="single" w:sz="4" w:space="0" w:color="auto"/>
            </w:tcBorders>
          </w:tcPr>
          <w:p w:rsidR="00320744" w:rsidRPr="00456D44" w:rsidRDefault="00320744" w:rsidP="00DC1333">
            <w:pPr>
              <w:keepNext/>
              <w:keepLines/>
              <w:autoSpaceDE w:val="0"/>
              <w:autoSpaceDN w:val="0"/>
              <w:adjustRightInd w:val="0"/>
              <w:ind w:right="-59"/>
              <w:rPr>
                <w:sz w:val="16"/>
                <w:szCs w:val="16"/>
              </w:rPr>
            </w:pPr>
            <w:r w:rsidRPr="00456D44">
              <w:rPr>
                <w:sz w:val="16"/>
                <w:szCs w:val="16"/>
              </w:rPr>
              <w:t>Durante el bienio, se ampliaron las estrategias de mitigación para incluir también una mejora de los servicios y del rendimiento para los usuarios del sistema, entre otras cosas mediante la modernización de la plataforma informática que se emplea.  También se llevó a cabo un análisis de las estrategias a las que recurren los usuarios para presentar sus solicitudes, en estrecha colaboración con la División de Estadística y Economía.</w:t>
            </w:r>
          </w:p>
          <w:p w:rsidR="00320744" w:rsidRPr="00456D44" w:rsidRDefault="00320744" w:rsidP="00DC1333">
            <w:pPr>
              <w:keepNext/>
              <w:keepLines/>
              <w:autoSpaceDE w:val="0"/>
              <w:autoSpaceDN w:val="0"/>
              <w:adjustRightInd w:val="0"/>
              <w:ind w:right="-59"/>
              <w:rPr>
                <w:sz w:val="16"/>
                <w:szCs w:val="16"/>
              </w:rPr>
            </w:pPr>
          </w:p>
          <w:p w:rsidR="00320744" w:rsidRPr="00456D44" w:rsidRDefault="00320744" w:rsidP="00DC1333">
            <w:pPr>
              <w:keepNext/>
              <w:keepLines/>
              <w:autoSpaceDE w:val="0"/>
              <w:autoSpaceDN w:val="0"/>
              <w:adjustRightInd w:val="0"/>
              <w:ind w:right="-59"/>
              <w:rPr>
                <w:sz w:val="16"/>
                <w:szCs w:val="16"/>
              </w:rPr>
            </w:pPr>
            <w:r w:rsidRPr="00456D44">
              <w:rPr>
                <w:sz w:val="16"/>
                <w:szCs w:val="16"/>
              </w:rPr>
              <w:t>Se desplegaron importantes esfuerzos para entablar una buena comunicación con las Partes Contratantes sobre cómo debería evolucionar el marco jurídico del sistema, pero pese a ello, hay un límite en los cambios que las Partes Contratantes están dispuestas a aceptar en esta etapa.</w:t>
            </w:r>
          </w:p>
        </w:tc>
        <w:tc>
          <w:tcPr>
            <w:tcW w:w="2426" w:type="dxa"/>
            <w:tcBorders>
              <w:top w:val="single" w:sz="4" w:space="0" w:color="auto"/>
            </w:tcBorders>
          </w:tcPr>
          <w:p w:rsidR="00320744" w:rsidRPr="00456D44" w:rsidRDefault="00320744" w:rsidP="00DC1333">
            <w:pPr>
              <w:keepNext/>
              <w:keepLines/>
              <w:autoSpaceDE w:val="0"/>
              <w:autoSpaceDN w:val="0"/>
              <w:adjustRightInd w:val="0"/>
              <w:ind w:right="-59"/>
              <w:rPr>
                <w:sz w:val="16"/>
                <w:szCs w:val="16"/>
              </w:rPr>
            </w:pPr>
            <w:r w:rsidRPr="00456D44">
              <w:rPr>
                <w:sz w:val="16"/>
                <w:szCs w:val="16"/>
              </w:rPr>
              <w:t>Si bien el número de Partes Contratantes fue ligeramente inferior al previsto, el número de países abarcados fue muy superior al que se anticipó (debido a la adhesión del sistema regional de la OAPI).  Las tasas de presentación de solicitudes estuvieron por debajo de lo previsto, pero se mantuvieron en un nivel razonable, teniendo en cuenta la situación de la economía y el valor del franco suizo.</w:t>
            </w:r>
          </w:p>
          <w:p w:rsidR="00320744" w:rsidRPr="00456D44" w:rsidRDefault="00320744" w:rsidP="00DC1333">
            <w:pPr>
              <w:keepNext/>
              <w:keepLines/>
              <w:autoSpaceDE w:val="0"/>
              <w:autoSpaceDN w:val="0"/>
              <w:adjustRightInd w:val="0"/>
              <w:ind w:right="-59"/>
              <w:rPr>
                <w:sz w:val="16"/>
                <w:szCs w:val="16"/>
              </w:rPr>
            </w:pPr>
          </w:p>
          <w:p w:rsidR="00320744" w:rsidRPr="00456D44" w:rsidRDefault="00320744" w:rsidP="00DC1333">
            <w:pPr>
              <w:keepNext/>
              <w:keepLines/>
              <w:autoSpaceDE w:val="0"/>
              <w:autoSpaceDN w:val="0"/>
              <w:adjustRightInd w:val="0"/>
              <w:ind w:right="-59"/>
              <w:rPr>
                <w:sz w:val="16"/>
                <w:szCs w:val="16"/>
              </w:rPr>
            </w:pPr>
            <w:r w:rsidRPr="00456D44">
              <w:rPr>
                <w:sz w:val="16"/>
                <w:szCs w:val="16"/>
              </w:rPr>
              <w:t>El rendimiento operativo mejoró de forma considerable en lo que hace al tiempo de realización del examen y el número de registros superó el objetivo establecido para el bienio.  Todo apunta a que la satisfacción general de los clientes avanza en la buena dirección.  El número de irregularidades y correcciones, sin embargo, se mantuvo por encima del objetivo.</w:t>
            </w:r>
          </w:p>
          <w:p w:rsidR="00320744" w:rsidRPr="00456D44" w:rsidRDefault="00320744" w:rsidP="00DC1333">
            <w:pPr>
              <w:keepNext/>
              <w:keepLines/>
              <w:autoSpaceDE w:val="0"/>
              <w:autoSpaceDN w:val="0"/>
              <w:adjustRightInd w:val="0"/>
              <w:ind w:right="-59"/>
              <w:rPr>
                <w:sz w:val="16"/>
                <w:szCs w:val="16"/>
              </w:rPr>
            </w:pPr>
          </w:p>
          <w:p w:rsidR="00320744" w:rsidRPr="00456D44" w:rsidRDefault="00320744" w:rsidP="00DC1333">
            <w:pPr>
              <w:keepNext/>
              <w:keepLines/>
              <w:autoSpaceDE w:val="0"/>
              <w:autoSpaceDN w:val="0"/>
              <w:adjustRightInd w:val="0"/>
              <w:ind w:right="-59"/>
              <w:rPr>
                <w:sz w:val="16"/>
                <w:szCs w:val="16"/>
              </w:rPr>
            </w:pPr>
            <w:r w:rsidRPr="00456D44">
              <w:rPr>
                <w:sz w:val="16"/>
                <w:szCs w:val="16"/>
              </w:rPr>
              <w:t>Si bien la mayor parte de los cambios del marco jurídico propuestos por la Oficina Internacional fueron aprobados, algunos de los más importantes chocaron con una resistencia política</w:t>
            </w:r>
          </w:p>
        </w:tc>
      </w:tr>
      <w:tr w:rsidR="00320744" w:rsidRPr="00456D44" w:rsidTr="00DC1333">
        <w:trPr>
          <w:trHeight w:val="1575"/>
        </w:trPr>
        <w:tc>
          <w:tcPr>
            <w:tcW w:w="2420" w:type="dxa"/>
            <w:shd w:val="clear" w:color="auto" w:fill="auto"/>
            <w:tcMar>
              <w:top w:w="113" w:type="dxa"/>
              <w:bottom w:w="113" w:type="dxa"/>
            </w:tcMar>
          </w:tcPr>
          <w:p w:rsidR="00320744" w:rsidRPr="00456D44" w:rsidRDefault="00320744" w:rsidP="00DC1333">
            <w:pPr>
              <w:keepNext/>
              <w:keepLines/>
              <w:rPr>
                <w:sz w:val="16"/>
                <w:szCs w:val="16"/>
              </w:rPr>
            </w:pPr>
            <w:r w:rsidRPr="00456D44">
              <w:rPr>
                <w:sz w:val="16"/>
                <w:szCs w:val="16"/>
              </w:rPr>
              <w:t>Algunas complicaciones podrían obstaculizar la transformación del sistema de Lisboa en un sistema con mayor participación internacional.  En concreto, las partes interesadas podrían seguir dudando de las ventajas del sistema.</w:t>
            </w:r>
          </w:p>
        </w:tc>
        <w:tc>
          <w:tcPr>
            <w:tcW w:w="2200" w:type="dxa"/>
            <w:shd w:val="clear" w:color="auto" w:fill="auto"/>
            <w:tcMar>
              <w:top w:w="113" w:type="dxa"/>
              <w:bottom w:w="113" w:type="dxa"/>
            </w:tcMar>
          </w:tcPr>
          <w:p w:rsidR="00320744" w:rsidRPr="00456D44" w:rsidRDefault="00320744" w:rsidP="00DC1333">
            <w:pPr>
              <w:keepNext/>
              <w:keepLines/>
              <w:autoSpaceDE w:val="0"/>
              <w:autoSpaceDN w:val="0"/>
              <w:adjustRightInd w:val="0"/>
              <w:ind w:right="-59"/>
              <w:rPr>
                <w:sz w:val="16"/>
                <w:szCs w:val="16"/>
              </w:rPr>
            </w:pPr>
            <w:r w:rsidRPr="00456D44">
              <w:rPr>
                <w:sz w:val="16"/>
                <w:szCs w:val="16"/>
              </w:rPr>
              <w:t>En la revisión se tiene en cuenta cómo se protegen las denominaciones de origen y las indicaciones geográficas en varias jurisdicciones sin perder de vista los principios y objetivos del sistema de Lisboa</w:t>
            </w:r>
          </w:p>
          <w:p w:rsidR="00320744" w:rsidRPr="00456D44" w:rsidRDefault="00320744" w:rsidP="00DC1333">
            <w:pPr>
              <w:keepNext/>
              <w:keepLines/>
              <w:autoSpaceDE w:val="0"/>
              <w:autoSpaceDN w:val="0"/>
              <w:adjustRightInd w:val="0"/>
              <w:ind w:right="-59"/>
              <w:rPr>
                <w:sz w:val="16"/>
                <w:szCs w:val="16"/>
              </w:rPr>
            </w:pPr>
          </w:p>
          <w:p w:rsidR="00320744" w:rsidRPr="00456D44" w:rsidRDefault="00320744" w:rsidP="00DC1333">
            <w:pPr>
              <w:keepNext/>
              <w:keepLines/>
              <w:autoSpaceDE w:val="0"/>
              <w:autoSpaceDN w:val="0"/>
              <w:adjustRightInd w:val="0"/>
              <w:ind w:right="-59"/>
              <w:rPr>
                <w:sz w:val="16"/>
                <w:szCs w:val="16"/>
              </w:rPr>
            </w:pPr>
            <w:r w:rsidRPr="00456D44">
              <w:rPr>
                <w:sz w:val="16"/>
                <w:szCs w:val="16"/>
              </w:rPr>
              <w:t>Las actividades informativas y promocionales se basan en el mismo planteamiento, al tiempo que se señalan las ventajas del sistema de Lisboa y las flexibilidades disponibles que deben especificarse en el Arreglo de Lisboa revisado</w:t>
            </w:r>
          </w:p>
        </w:tc>
        <w:tc>
          <w:tcPr>
            <w:tcW w:w="2310" w:type="dxa"/>
          </w:tcPr>
          <w:p w:rsidR="00320744" w:rsidRPr="00456D44" w:rsidRDefault="00320744" w:rsidP="00DC1333">
            <w:pPr>
              <w:keepNext/>
              <w:keepLines/>
              <w:autoSpaceDE w:val="0"/>
              <w:autoSpaceDN w:val="0"/>
              <w:adjustRightInd w:val="0"/>
              <w:ind w:right="-59"/>
              <w:rPr>
                <w:sz w:val="16"/>
                <w:szCs w:val="16"/>
              </w:rPr>
            </w:pPr>
            <w:r w:rsidRPr="00456D44">
              <w:rPr>
                <w:sz w:val="16"/>
                <w:szCs w:val="16"/>
              </w:rPr>
              <w:t>Los riesgos se materializaron durante el bienio pese a las estrategias de mitigación puestas en práctica, que se centraron especialmente en seguir posibilitando la existencia de un foro internacional propicio y neutral para que los diversos sectores interesados puedan expresar y exponer  sus intereses</w:t>
            </w:r>
          </w:p>
        </w:tc>
        <w:tc>
          <w:tcPr>
            <w:tcW w:w="2426" w:type="dxa"/>
          </w:tcPr>
          <w:p w:rsidR="00320744" w:rsidRPr="00456D44" w:rsidRDefault="00320744" w:rsidP="00DC1333">
            <w:pPr>
              <w:keepNext/>
              <w:keepLines/>
              <w:autoSpaceDE w:val="0"/>
              <w:autoSpaceDN w:val="0"/>
              <w:adjustRightInd w:val="0"/>
              <w:ind w:right="-59"/>
              <w:rPr>
                <w:color w:val="000000"/>
                <w:sz w:val="16"/>
                <w:szCs w:val="16"/>
              </w:rPr>
            </w:pPr>
            <w:r w:rsidRPr="00456D44">
              <w:rPr>
                <w:color w:val="000000"/>
                <w:sz w:val="16"/>
                <w:szCs w:val="16"/>
              </w:rPr>
              <w:t>La incidencia en el rendimiento del programa fue limitada.  Sin embargo, los riesgos señalados en este bienio pueden seguir estando presentes en el próximo.</w:t>
            </w:r>
          </w:p>
          <w:p w:rsidR="00320744" w:rsidRPr="00456D44" w:rsidRDefault="00320744" w:rsidP="00DC1333">
            <w:pPr>
              <w:keepNext/>
              <w:autoSpaceDE w:val="0"/>
              <w:autoSpaceDN w:val="0"/>
              <w:spacing w:line="276" w:lineRule="auto"/>
              <w:ind w:right="-59"/>
              <w:rPr>
                <w:sz w:val="16"/>
                <w:szCs w:val="16"/>
              </w:rPr>
            </w:pPr>
          </w:p>
        </w:tc>
      </w:tr>
    </w:tbl>
    <w:p w:rsidR="00320744" w:rsidRPr="00456D44" w:rsidRDefault="00320744" w:rsidP="00DC1333">
      <w:pPr>
        <w:keepNext/>
        <w:keepLines/>
        <w:rPr>
          <w:color w:val="000000"/>
          <w:szCs w:val="22"/>
        </w:rPr>
      </w:pPr>
    </w:p>
    <w:p w:rsidR="00320744" w:rsidRPr="00456D44" w:rsidRDefault="00320744" w:rsidP="00DC1333">
      <w:pPr>
        <w:spacing w:after="200" w:line="276" w:lineRule="auto"/>
        <w:rPr>
          <w:color w:val="000000"/>
          <w:szCs w:val="22"/>
        </w:rPr>
      </w:pPr>
    </w:p>
    <w:p w:rsidR="00320744" w:rsidRPr="00456D44" w:rsidRDefault="00320744" w:rsidP="00DC1333">
      <w:pPr>
        <w:spacing w:after="200" w:line="276" w:lineRule="auto"/>
        <w:rPr>
          <w:color w:val="000000"/>
          <w:szCs w:val="22"/>
        </w:rPr>
      </w:pPr>
    </w:p>
    <w:p w:rsidR="00320744" w:rsidRPr="00456D44" w:rsidRDefault="00403D2C" w:rsidP="00DC1333">
      <w:pPr>
        <w:keepNext/>
        <w:keepLines/>
        <w:spacing w:line="276" w:lineRule="auto"/>
        <w:rPr>
          <w:b/>
          <w:sz w:val="16"/>
          <w:szCs w:val="18"/>
        </w:rPr>
      </w:pPr>
      <w:r w:rsidRPr="00403D2C">
        <w:rPr>
          <w:sz w:val="20"/>
          <w:szCs w:val="22"/>
        </w:rPr>
        <w:lastRenderedPageBreak/>
        <w:t>UTILIZACIÓN DE LOS RECURSOS</w:t>
      </w:r>
    </w:p>
    <w:p w:rsidR="00320744" w:rsidRPr="00456D44" w:rsidRDefault="00320744" w:rsidP="00DC1333">
      <w:pPr>
        <w:keepNext/>
        <w:keepLines/>
      </w:pPr>
    </w:p>
    <w:p w:rsidR="00320744" w:rsidRPr="00456D44" w:rsidRDefault="00320744" w:rsidP="00DC1333">
      <w:pPr>
        <w:pStyle w:val="NormalWeb"/>
        <w:keepNext/>
        <w:keepLines/>
        <w:spacing w:before="0" w:beforeAutospacing="0" w:after="0" w:afterAutospacing="0"/>
        <w:jc w:val="center"/>
        <w:rPr>
          <w:sz w:val="20"/>
          <w:szCs w:val="20"/>
          <w:lang w:val="es-ES"/>
        </w:rPr>
      </w:pPr>
      <w:r w:rsidRPr="00456D44">
        <w:rPr>
          <w:sz w:val="20"/>
          <w:szCs w:val="20"/>
          <w:lang w:val="es-ES"/>
        </w:rPr>
        <w:t>Presupuesto y gastos reales (por resultado)</w:t>
      </w:r>
    </w:p>
    <w:p w:rsidR="00320744" w:rsidRPr="00456D44" w:rsidRDefault="00320744" w:rsidP="00DC1333">
      <w:pPr>
        <w:pStyle w:val="NormalWeb"/>
        <w:keepNext/>
        <w:keepLines/>
        <w:spacing w:before="0" w:beforeAutospacing="0" w:after="0" w:afterAutospacing="0"/>
        <w:jc w:val="center"/>
        <w:rPr>
          <w:i/>
          <w:iCs/>
          <w:sz w:val="20"/>
          <w:szCs w:val="20"/>
          <w:lang w:val="es-ES"/>
        </w:rPr>
      </w:pPr>
      <w:r w:rsidRPr="00456D44">
        <w:rPr>
          <w:i/>
          <w:iCs/>
          <w:sz w:val="20"/>
          <w:szCs w:val="20"/>
          <w:lang w:val="es-ES"/>
        </w:rPr>
        <w:t>(</w:t>
      </w:r>
      <w:proofErr w:type="gramStart"/>
      <w:r w:rsidRPr="00456D44">
        <w:rPr>
          <w:i/>
          <w:iCs/>
          <w:sz w:val="20"/>
          <w:szCs w:val="20"/>
          <w:lang w:val="es-ES"/>
        </w:rPr>
        <w:t>en</w:t>
      </w:r>
      <w:proofErr w:type="gramEnd"/>
      <w:r w:rsidRPr="00456D44">
        <w:rPr>
          <w:i/>
          <w:iCs/>
          <w:sz w:val="20"/>
          <w:szCs w:val="20"/>
          <w:lang w:val="es-ES"/>
        </w:rPr>
        <w:t xml:space="preserve"> miles de francos suizos)</w:t>
      </w:r>
    </w:p>
    <w:p w:rsidR="00320744" w:rsidRPr="00456D44" w:rsidRDefault="00320744" w:rsidP="00DC1333">
      <w:pPr>
        <w:pStyle w:val="NormalWeb"/>
        <w:keepNext/>
        <w:keepLines/>
        <w:spacing w:before="0" w:beforeAutospacing="0" w:after="0" w:afterAutospacing="0"/>
        <w:jc w:val="center"/>
        <w:rPr>
          <w:sz w:val="20"/>
          <w:szCs w:val="20"/>
          <w:lang w:val="es-ES"/>
        </w:rPr>
      </w:pPr>
    </w:p>
    <w:p w:rsidR="00320744" w:rsidRPr="00456D44" w:rsidRDefault="00320744" w:rsidP="00DC1333">
      <w:pPr>
        <w:pStyle w:val="NormalWeb"/>
        <w:keepNext/>
        <w:keepLines/>
        <w:spacing w:before="0" w:beforeAutospacing="0" w:after="0" w:afterAutospacing="0"/>
        <w:jc w:val="center"/>
        <w:rPr>
          <w:sz w:val="20"/>
          <w:szCs w:val="20"/>
          <w:lang w:val="es-ES"/>
        </w:rPr>
      </w:pPr>
      <w:r w:rsidRPr="00456D44">
        <w:rPr>
          <w:noProof/>
          <w:sz w:val="20"/>
          <w:szCs w:val="20"/>
        </w:rPr>
        <w:drawing>
          <wp:inline distT="0" distB="0" distL="0" distR="0" wp14:anchorId="23F2D79D" wp14:editId="36466E3D">
            <wp:extent cx="4722126" cy="1241699"/>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21832" cy="1241622"/>
                    </a:xfrm>
                    <a:prstGeom prst="rect">
                      <a:avLst/>
                    </a:prstGeom>
                    <a:noFill/>
                    <a:ln>
                      <a:noFill/>
                    </a:ln>
                  </pic:spPr>
                </pic:pic>
              </a:graphicData>
            </a:graphic>
          </wp:inline>
        </w:drawing>
      </w:r>
    </w:p>
    <w:p w:rsidR="00320744" w:rsidRPr="00456D44" w:rsidRDefault="00320744" w:rsidP="00DC1333">
      <w:pPr>
        <w:pStyle w:val="NormalWeb"/>
        <w:keepNext/>
        <w:keepLines/>
        <w:spacing w:before="0" w:beforeAutospacing="0" w:after="0" w:afterAutospacing="0"/>
        <w:jc w:val="center"/>
        <w:rPr>
          <w:sz w:val="20"/>
          <w:szCs w:val="20"/>
          <w:lang w:val="es-ES"/>
        </w:rPr>
      </w:pPr>
    </w:p>
    <w:p w:rsidR="00320744" w:rsidRPr="00456D44" w:rsidRDefault="00320744" w:rsidP="00DC1333">
      <w:pPr>
        <w:pStyle w:val="NormalWeb"/>
        <w:keepNext/>
        <w:keepLines/>
        <w:spacing w:before="0" w:beforeAutospacing="0" w:after="0" w:afterAutospacing="0"/>
        <w:jc w:val="center"/>
        <w:rPr>
          <w:sz w:val="20"/>
          <w:szCs w:val="20"/>
          <w:lang w:val="es-ES"/>
        </w:rPr>
      </w:pPr>
    </w:p>
    <w:p w:rsidR="00320744" w:rsidRPr="00456D44" w:rsidRDefault="00320744" w:rsidP="00DC1333">
      <w:pPr>
        <w:pStyle w:val="NormalWeb"/>
        <w:keepNext/>
        <w:keepLines/>
        <w:spacing w:before="0" w:beforeAutospacing="0" w:after="0" w:afterAutospacing="0"/>
        <w:jc w:val="center"/>
        <w:rPr>
          <w:sz w:val="20"/>
          <w:szCs w:val="20"/>
          <w:lang w:val="es-ES"/>
        </w:rPr>
      </w:pPr>
      <w:r w:rsidRPr="00456D44">
        <w:rPr>
          <w:sz w:val="20"/>
          <w:szCs w:val="20"/>
          <w:lang w:val="es-ES"/>
        </w:rPr>
        <w:t xml:space="preserve">Presupuesto y gastos reales (de personal y no relativos a personal) </w:t>
      </w:r>
    </w:p>
    <w:p w:rsidR="00320744" w:rsidRPr="00456D44" w:rsidRDefault="00320744" w:rsidP="00DC1333">
      <w:pPr>
        <w:pStyle w:val="NormalWeb"/>
        <w:keepNext/>
        <w:keepLines/>
        <w:spacing w:before="0" w:beforeAutospacing="0" w:after="0" w:afterAutospacing="0"/>
        <w:jc w:val="center"/>
        <w:rPr>
          <w:i/>
          <w:iCs/>
          <w:sz w:val="20"/>
          <w:szCs w:val="20"/>
          <w:lang w:val="es-ES"/>
        </w:rPr>
      </w:pPr>
      <w:r w:rsidRPr="00456D44">
        <w:rPr>
          <w:i/>
          <w:iCs/>
          <w:sz w:val="20"/>
          <w:szCs w:val="20"/>
          <w:lang w:val="es-ES"/>
        </w:rPr>
        <w:t>(</w:t>
      </w:r>
      <w:proofErr w:type="gramStart"/>
      <w:r w:rsidRPr="00456D44">
        <w:rPr>
          <w:i/>
          <w:iCs/>
          <w:sz w:val="20"/>
          <w:szCs w:val="20"/>
          <w:lang w:val="es-ES"/>
        </w:rPr>
        <w:t>en</w:t>
      </w:r>
      <w:proofErr w:type="gramEnd"/>
      <w:r w:rsidRPr="00456D44">
        <w:rPr>
          <w:i/>
          <w:iCs/>
          <w:sz w:val="20"/>
          <w:szCs w:val="20"/>
          <w:lang w:val="es-ES"/>
        </w:rPr>
        <w:t xml:space="preserve"> miles de francos suizos)</w:t>
      </w:r>
    </w:p>
    <w:p w:rsidR="00320744" w:rsidRPr="00456D44" w:rsidRDefault="00320744" w:rsidP="00DC1333">
      <w:pPr>
        <w:pStyle w:val="NormalWeb"/>
        <w:keepNext/>
        <w:keepLines/>
        <w:spacing w:before="0" w:beforeAutospacing="0" w:after="0" w:afterAutospacing="0"/>
        <w:jc w:val="center"/>
        <w:rPr>
          <w:lang w:val="es-ES"/>
        </w:rPr>
      </w:pPr>
    </w:p>
    <w:p w:rsidR="00320744" w:rsidRPr="00456D44" w:rsidRDefault="00320744" w:rsidP="00DC1333">
      <w:pPr>
        <w:pStyle w:val="NormalWeb"/>
        <w:keepNext/>
        <w:keepLines/>
        <w:spacing w:before="0" w:beforeAutospacing="0" w:after="0" w:afterAutospacing="0"/>
        <w:jc w:val="center"/>
        <w:rPr>
          <w:lang w:val="es-ES"/>
        </w:rPr>
      </w:pPr>
      <w:r w:rsidRPr="00456D44">
        <w:rPr>
          <w:noProof/>
        </w:rPr>
        <w:drawing>
          <wp:inline distT="0" distB="0" distL="0" distR="0" wp14:anchorId="46FFE996" wp14:editId="62B0E7A5">
            <wp:extent cx="5051136" cy="9758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90096" cy="983342"/>
                    </a:xfrm>
                    <a:prstGeom prst="rect">
                      <a:avLst/>
                    </a:prstGeom>
                    <a:noFill/>
                    <a:ln>
                      <a:noFill/>
                    </a:ln>
                  </pic:spPr>
                </pic:pic>
              </a:graphicData>
            </a:graphic>
          </wp:inline>
        </w:drawing>
      </w:r>
    </w:p>
    <w:p w:rsidR="00320744" w:rsidRPr="00456D44" w:rsidRDefault="00320744" w:rsidP="00DC1333">
      <w:pPr>
        <w:widowControl w:val="0"/>
        <w:autoSpaceDE w:val="0"/>
        <w:autoSpaceDN w:val="0"/>
        <w:adjustRightInd w:val="0"/>
      </w:pPr>
    </w:p>
    <w:p w:rsidR="00320744" w:rsidRPr="00456D44" w:rsidRDefault="00320744" w:rsidP="00DC1333">
      <w:pPr>
        <w:widowControl w:val="0"/>
        <w:autoSpaceDE w:val="0"/>
        <w:autoSpaceDN w:val="0"/>
        <w:adjustRightInd w:val="0"/>
      </w:pPr>
    </w:p>
    <w:p w:rsidR="00320744" w:rsidRPr="00751675" w:rsidRDefault="00403D2C" w:rsidP="00DC1333">
      <w:pPr>
        <w:rPr>
          <w:sz w:val="20"/>
          <w:u w:val="single"/>
        </w:rPr>
      </w:pPr>
      <w:r w:rsidRPr="00403D2C">
        <w:rPr>
          <w:sz w:val="20"/>
        </w:rPr>
        <w:t>A.</w:t>
      </w:r>
      <w:r w:rsidRPr="00403D2C">
        <w:rPr>
          <w:sz w:val="20"/>
        </w:rPr>
        <w:tab/>
      </w:r>
      <w:r w:rsidR="00320744" w:rsidRPr="00751675">
        <w:rPr>
          <w:sz w:val="20"/>
          <w:u w:val="single"/>
        </w:rPr>
        <w:t xml:space="preserve">Presupuesto final para 2014/2015 tras las transferencias </w:t>
      </w:r>
    </w:p>
    <w:p w:rsidR="00320744" w:rsidRPr="00751675" w:rsidRDefault="00320744" w:rsidP="00DC1333">
      <w:pPr>
        <w:rPr>
          <w:sz w:val="20"/>
          <w:u w:val="single"/>
        </w:rPr>
      </w:pPr>
    </w:p>
    <w:p w:rsidR="00320744" w:rsidRPr="00751675" w:rsidRDefault="00320744" w:rsidP="00320744">
      <w:pPr>
        <w:pStyle w:val="ListParagraph"/>
        <w:numPr>
          <w:ilvl w:val="0"/>
          <w:numId w:val="24"/>
        </w:numPr>
        <w:tabs>
          <w:tab w:val="left" w:pos="709"/>
        </w:tabs>
        <w:ind w:left="0" w:firstLine="0"/>
        <w:jc w:val="both"/>
        <w:rPr>
          <w:rFonts w:cs="Arial"/>
          <w:lang w:val="es-ES" w:eastAsia="ko-KR"/>
        </w:rPr>
      </w:pPr>
      <w:r w:rsidRPr="00751675">
        <w:rPr>
          <w:rFonts w:cs="Arial"/>
          <w:lang w:val="es-ES" w:eastAsia="ko-KR"/>
        </w:rPr>
        <w:t>El presupuesto final tras las transferencias según el resultado II.6 (</w:t>
      </w:r>
      <w:r w:rsidRPr="00751675">
        <w:rPr>
          <w:bCs/>
          <w:lang w:val="es-ES"/>
        </w:rPr>
        <w:t>Mayor y más eficaz utilización de los Sistemas de Madrid y de Lisboa</w:t>
      </w:r>
      <w:r w:rsidRPr="00751675">
        <w:rPr>
          <w:rFonts w:cs="Arial"/>
          <w:lang w:val="es-ES" w:eastAsia="ko-KR"/>
        </w:rPr>
        <w:t>) refleja un ajuste al alza debido principalmente a:  i) la transferencia de fondos adicionales para apoyar la iniciativa de reforma del Sistema de Madrid, lo que incluye la expansión del programa de becas de Madrid;  ii) la transferencia de fondos para la convocación de una Conferencia Diplomática para la adopción de un Arreglo de Lisboa revisado sobre las denominaciones de origen y las indicaciones geográficas;  y iii) la transferencia de fondos desde el Programa 31 al Programa 6 para labores en materia de T.I., así como para cubrir el costo de un mayor número de delegados participantes en las Asambleas de las Uniones de Madrid, La Haya y Lisboa, como consecuencia del crecimiento de los Sistemas.</w:t>
      </w:r>
    </w:p>
    <w:p w:rsidR="00320744" w:rsidRPr="00751675" w:rsidRDefault="00320744" w:rsidP="00DC1333">
      <w:pPr>
        <w:autoSpaceDE w:val="0"/>
        <w:autoSpaceDN w:val="0"/>
        <w:jc w:val="both"/>
        <w:rPr>
          <w:sz w:val="20"/>
          <w:lang w:eastAsia="ko-KR"/>
        </w:rPr>
      </w:pPr>
    </w:p>
    <w:p w:rsidR="00320744" w:rsidRPr="00751675" w:rsidRDefault="00320744" w:rsidP="00320744">
      <w:pPr>
        <w:pStyle w:val="ListParagraph"/>
        <w:numPr>
          <w:ilvl w:val="0"/>
          <w:numId w:val="24"/>
        </w:numPr>
        <w:tabs>
          <w:tab w:val="left" w:pos="709"/>
        </w:tabs>
        <w:ind w:left="0" w:firstLine="0"/>
        <w:jc w:val="both"/>
        <w:rPr>
          <w:rFonts w:cs="Arial"/>
          <w:lang w:val="es-ES" w:eastAsia="ko-KR"/>
        </w:rPr>
      </w:pPr>
      <w:r w:rsidRPr="00751675">
        <w:rPr>
          <w:rFonts w:cs="Arial"/>
          <w:lang w:val="es-ES"/>
        </w:rPr>
        <w:t>La disminución neta de los recursos relativos a personal en el presupuesto final de 2014/2015 tras las transferencias refleja un traslado de recursos de personal a recursos no relativos a personal como medio para disponer de recursos más ágiles y flexibles en las operaciones del Sistema de Madrid en el marco de la iniciativa de reforma del Sistema</w:t>
      </w:r>
      <w:r w:rsidRPr="00751675">
        <w:rPr>
          <w:rFonts w:cs="Arial"/>
          <w:lang w:val="es-ES" w:eastAsia="ko-KR"/>
        </w:rPr>
        <w:t>.</w:t>
      </w:r>
    </w:p>
    <w:p w:rsidR="00320744" w:rsidRPr="00751675" w:rsidRDefault="00320744" w:rsidP="00DC1333">
      <w:pPr>
        <w:rPr>
          <w:sz w:val="20"/>
          <w:u w:val="single"/>
        </w:rPr>
      </w:pPr>
    </w:p>
    <w:p w:rsidR="00320744" w:rsidRPr="00751675"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rPr>
        <w:t>Utilización del presupuesto en 2014/15</w:t>
      </w:r>
    </w:p>
    <w:p w:rsidR="00320744" w:rsidRPr="00456D44" w:rsidRDefault="00320744" w:rsidP="00DC1333">
      <w:pPr>
        <w:tabs>
          <w:tab w:val="left" w:pos="709"/>
        </w:tabs>
        <w:jc w:val="both"/>
        <w:rPr>
          <w:u w:val="single"/>
          <w:lang w:eastAsia="ko-KR"/>
        </w:rPr>
      </w:pPr>
    </w:p>
    <w:p w:rsidR="00320744" w:rsidRPr="00456D44" w:rsidRDefault="00320744" w:rsidP="00320744">
      <w:pPr>
        <w:pStyle w:val="ListParagraph"/>
        <w:numPr>
          <w:ilvl w:val="0"/>
          <w:numId w:val="24"/>
        </w:numPr>
        <w:tabs>
          <w:tab w:val="left" w:pos="709"/>
        </w:tabs>
        <w:ind w:left="0" w:firstLine="0"/>
        <w:jc w:val="both"/>
        <w:rPr>
          <w:lang w:val="es-ES"/>
        </w:rPr>
      </w:pPr>
      <w:r w:rsidRPr="00456D44">
        <w:rPr>
          <w:rFonts w:cs="Arial"/>
          <w:lang w:val="es-ES" w:eastAsia="ko-KR"/>
        </w:rPr>
        <w:t>La utilización del presupuesto se ha mantenido dentro de los límites establecidos para el bienio.</w:t>
      </w:r>
    </w:p>
    <w:p w:rsidR="00320744" w:rsidRPr="00456D44" w:rsidRDefault="00320744"/>
    <w:p w:rsidR="00320744" w:rsidRPr="00456D44" w:rsidRDefault="00320744"/>
    <w:p w:rsidR="0023753C" w:rsidRDefault="0023753C">
      <w:r>
        <w:br w:type="page"/>
      </w:r>
    </w:p>
    <w:p w:rsidR="0023753C" w:rsidRDefault="0023753C" w:rsidP="00DC1333">
      <w:pPr>
        <w:pStyle w:val="StyleHeading3BoldNounderline"/>
        <w:rPr>
          <w:b/>
          <w:lang w:val="es-ES"/>
        </w:rPr>
      </w:pPr>
      <w:bookmarkStart w:id="83" w:name="_Toc452473223"/>
      <w:bookmarkStart w:id="84" w:name="_Toc455159078"/>
      <w:r w:rsidRPr="004A1985">
        <w:rPr>
          <w:b/>
          <w:lang w:val="es-ES"/>
        </w:rPr>
        <w:lastRenderedPageBreak/>
        <w:t>Programa 6, Anexo</w:t>
      </w:r>
      <w:proofErr w:type="gramStart"/>
      <w:r w:rsidRPr="004A1985">
        <w:rPr>
          <w:b/>
          <w:lang w:val="es-ES"/>
        </w:rPr>
        <w:t xml:space="preserve">: </w:t>
      </w:r>
      <w:r>
        <w:rPr>
          <w:b/>
          <w:lang w:val="es-ES"/>
        </w:rPr>
        <w:t xml:space="preserve"> </w:t>
      </w:r>
      <w:r w:rsidRPr="004A1985">
        <w:rPr>
          <w:b/>
          <w:lang w:val="es-ES"/>
        </w:rPr>
        <w:t>Indicadores</w:t>
      </w:r>
      <w:proofErr w:type="gramEnd"/>
      <w:r w:rsidRPr="004A1985">
        <w:rPr>
          <w:b/>
          <w:lang w:val="es-ES"/>
        </w:rPr>
        <w:t xml:space="preserve"> de las operaciones del Sistema de Madrid</w:t>
      </w:r>
      <w:bookmarkEnd w:id="83"/>
      <w:bookmarkEnd w:id="84"/>
    </w:p>
    <w:p w:rsidR="0023753C" w:rsidRDefault="0023753C" w:rsidP="00DC1333">
      <w:pPr>
        <w:rPr>
          <w:b/>
        </w:rPr>
      </w:pPr>
    </w:p>
    <w:p w:rsidR="0023753C" w:rsidRDefault="0023753C" w:rsidP="00DC1333">
      <w:pPr>
        <w:rPr>
          <w:sz w:val="20"/>
          <w:lang w:bidi="th-TH"/>
        </w:rPr>
      </w:pPr>
      <w:r w:rsidRPr="00A44EF1">
        <w:rPr>
          <w:sz w:val="20"/>
          <w:lang w:bidi="th-TH"/>
        </w:rPr>
        <w:t xml:space="preserve">INDICADORES DE RENDIMIENTO CON RESPECTO AL RESULTADO PREVISTO </w:t>
      </w:r>
    </w:p>
    <w:p w:rsidR="0023753C" w:rsidRDefault="0023753C" w:rsidP="00DC1333">
      <w:pPr>
        <w:rPr>
          <w:sz w:val="20"/>
        </w:rPr>
      </w:pPr>
      <w:r>
        <w:rPr>
          <w:sz w:val="20"/>
          <w:lang w:bidi="th-TH"/>
        </w:rPr>
        <w:t>“MEJORA DE LA PRODUCTIVIDAD Y DE LA CALIDAD DE LOS SERVICIOS EN LAS OPERACIONES DEL SISTEMA DE MADRID</w:t>
      </w:r>
      <w:r w:rsidRPr="00A44EF1">
        <w:rPr>
          <w:sz w:val="20"/>
        </w:rPr>
        <w:t>”</w:t>
      </w:r>
    </w:p>
    <w:p w:rsidR="0023753C" w:rsidRDefault="0023753C" w:rsidP="00DC1333">
      <w:pPr>
        <w:rPr>
          <w:b/>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A44EF1">
        <w:rPr>
          <w:rFonts w:cs="Arial"/>
          <w:lang w:val="es-ES"/>
        </w:rPr>
        <w:t>Al evaluar los indicadores de rendimiento para determinar el resultado previsto</w:t>
      </w:r>
      <w:r>
        <w:rPr>
          <w:rFonts w:cs="Arial"/>
          <w:lang w:val="es-ES"/>
        </w:rPr>
        <w:t xml:space="preserve"> en el epígrafe </w:t>
      </w:r>
      <w:r w:rsidRPr="00A44EF1">
        <w:rPr>
          <w:rFonts w:cs="Arial"/>
          <w:lang w:val="es-ES"/>
        </w:rPr>
        <w:t>“</w:t>
      </w:r>
      <w:r>
        <w:rPr>
          <w:rFonts w:cs="Arial"/>
          <w:lang w:val="es-ES"/>
        </w:rPr>
        <w:t>M</w:t>
      </w:r>
      <w:r w:rsidRPr="00A44EF1">
        <w:rPr>
          <w:rFonts w:cs="Arial"/>
          <w:lang w:val="es-ES"/>
        </w:rPr>
        <w:t xml:space="preserve">ejora de la productividad y de la calidad de los servicios en las operaciones del Sistema de Madrid”, </w:t>
      </w:r>
      <w:r>
        <w:rPr>
          <w:rFonts w:cs="Arial"/>
          <w:lang w:val="es-ES"/>
        </w:rPr>
        <w:t>es necesario tener en cuenta los siguientes factores</w:t>
      </w:r>
      <w:r w:rsidRPr="00A44EF1">
        <w:rPr>
          <w:rFonts w:cs="Arial"/>
          <w:lang w:val="es-ES"/>
        </w:rPr>
        <w:t>:</w:t>
      </w:r>
    </w:p>
    <w:p w:rsidR="0023753C" w:rsidRDefault="0023753C" w:rsidP="00DC1333">
      <w:pPr>
        <w:jc w:val="both"/>
        <w:rPr>
          <w:sz w:val="20"/>
        </w:rPr>
      </w:pPr>
    </w:p>
    <w:p w:rsidR="0023753C" w:rsidRDefault="0023753C" w:rsidP="0023753C">
      <w:pPr>
        <w:numPr>
          <w:ilvl w:val="0"/>
          <w:numId w:val="30"/>
        </w:numPr>
        <w:tabs>
          <w:tab w:val="clear" w:pos="720"/>
          <w:tab w:val="num" w:pos="1701"/>
        </w:tabs>
        <w:spacing w:after="120"/>
        <w:ind w:left="1701" w:hanging="567"/>
        <w:jc w:val="both"/>
        <w:rPr>
          <w:sz w:val="20"/>
        </w:rPr>
      </w:pPr>
      <w:r>
        <w:rPr>
          <w:sz w:val="20"/>
        </w:rPr>
        <w:t>El volumen de trabajo del Sistema de M</w:t>
      </w:r>
      <w:r w:rsidRPr="00760842">
        <w:rPr>
          <w:sz w:val="20"/>
        </w:rPr>
        <w:t>adrid;</w:t>
      </w:r>
    </w:p>
    <w:p w:rsidR="0023753C" w:rsidRDefault="0023753C" w:rsidP="0023753C">
      <w:pPr>
        <w:numPr>
          <w:ilvl w:val="0"/>
          <w:numId w:val="30"/>
        </w:numPr>
        <w:tabs>
          <w:tab w:val="clear" w:pos="720"/>
          <w:tab w:val="num" w:pos="1701"/>
        </w:tabs>
        <w:spacing w:after="120"/>
        <w:ind w:left="1701" w:hanging="567"/>
        <w:jc w:val="both"/>
        <w:rPr>
          <w:sz w:val="20"/>
        </w:rPr>
      </w:pPr>
      <w:r>
        <w:rPr>
          <w:sz w:val="20"/>
        </w:rPr>
        <w:t>La composición del volumen de trabajo</w:t>
      </w:r>
      <w:r w:rsidRPr="00760842">
        <w:rPr>
          <w:sz w:val="20"/>
        </w:rPr>
        <w:t>;</w:t>
      </w:r>
    </w:p>
    <w:p w:rsidR="0023753C" w:rsidRDefault="0023753C" w:rsidP="0023753C">
      <w:pPr>
        <w:numPr>
          <w:ilvl w:val="0"/>
          <w:numId w:val="30"/>
        </w:numPr>
        <w:tabs>
          <w:tab w:val="clear" w:pos="720"/>
          <w:tab w:val="num" w:pos="1701"/>
        </w:tabs>
        <w:spacing w:after="120"/>
        <w:ind w:left="1701" w:hanging="567"/>
        <w:jc w:val="both"/>
        <w:rPr>
          <w:sz w:val="20"/>
        </w:rPr>
      </w:pPr>
      <w:r w:rsidRPr="00A44EF1">
        <w:rPr>
          <w:sz w:val="20"/>
        </w:rPr>
        <w:t xml:space="preserve">El número de </w:t>
      </w:r>
      <w:r>
        <w:rPr>
          <w:sz w:val="20"/>
        </w:rPr>
        <w:t>empleados</w:t>
      </w:r>
      <w:r w:rsidRPr="00A44EF1">
        <w:rPr>
          <w:sz w:val="20"/>
        </w:rPr>
        <w:t xml:space="preserve"> asignados a la tramitación del volumen de trabajo;</w:t>
      </w:r>
    </w:p>
    <w:p w:rsidR="0023753C" w:rsidRDefault="0023753C" w:rsidP="0023753C">
      <w:pPr>
        <w:numPr>
          <w:ilvl w:val="0"/>
          <w:numId w:val="30"/>
        </w:numPr>
        <w:tabs>
          <w:tab w:val="clear" w:pos="720"/>
          <w:tab w:val="num" w:pos="1701"/>
        </w:tabs>
        <w:spacing w:after="120"/>
        <w:ind w:left="1701" w:hanging="567"/>
        <w:jc w:val="both"/>
        <w:rPr>
          <w:sz w:val="20"/>
        </w:rPr>
      </w:pPr>
      <w:r>
        <w:rPr>
          <w:sz w:val="20"/>
        </w:rPr>
        <w:t>El grado de automatización</w:t>
      </w:r>
      <w:r w:rsidRPr="00760842">
        <w:rPr>
          <w:sz w:val="20"/>
        </w:rPr>
        <w:t xml:space="preserve">;  </w:t>
      </w:r>
      <w:r>
        <w:rPr>
          <w:sz w:val="20"/>
        </w:rPr>
        <w:t>y</w:t>
      </w:r>
      <w:r w:rsidRPr="00760842">
        <w:rPr>
          <w:sz w:val="20"/>
        </w:rPr>
        <w:t>,</w:t>
      </w:r>
    </w:p>
    <w:p w:rsidR="0023753C" w:rsidRDefault="0023753C" w:rsidP="0023753C">
      <w:pPr>
        <w:numPr>
          <w:ilvl w:val="0"/>
          <w:numId w:val="30"/>
        </w:numPr>
        <w:tabs>
          <w:tab w:val="clear" w:pos="720"/>
          <w:tab w:val="num" w:pos="1701"/>
        </w:tabs>
        <w:ind w:left="1701" w:hanging="567"/>
        <w:jc w:val="both"/>
        <w:rPr>
          <w:sz w:val="20"/>
        </w:rPr>
      </w:pPr>
      <w:r>
        <w:rPr>
          <w:sz w:val="20"/>
        </w:rPr>
        <w:t>El costo total de la producción</w:t>
      </w:r>
      <w:r w:rsidRPr="00760842">
        <w:rPr>
          <w:sz w:val="20"/>
        </w:rPr>
        <w:t>.</w:t>
      </w:r>
    </w:p>
    <w:p w:rsidR="0023753C" w:rsidRDefault="0023753C" w:rsidP="00DC1333">
      <w:pPr>
        <w:ind w:left="360"/>
        <w:jc w:val="both"/>
        <w:rPr>
          <w:sz w:val="20"/>
        </w:rPr>
      </w:pPr>
    </w:p>
    <w:p w:rsidR="0023753C" w:rsidRDefault="0023753C" w:rsidP="0023753C">
      <w:pPr>
        <w:pStyle w:val="ListParagraph"/>
        <w:numPr>
          <w:ilvl w:val="0"/>
          <w:numId w:val="29"/>
        </w:numPr>
        <w:ind w:left="360" w:hanging="360"/>
        <w:contextualSpacing/>
        <w:jc w:val="both"/>
        <w:rPr>
          <w:rFonts w:cs="Arial"/>
          <w:b/>
          <w:lang w:val="es-ES"/>
        </w:rPr>
      </w:pPr>
      <w:r>
        <w:rPr>
          <w:rFonts w:cs="Arial"/>
          <w:b/>
          <w:lang w:val="es-ES"/>
        </w:rPr>
        <w:t>Documentos recibidos</w:t>
      </w:r>
    </w:p>
    <w:p w:rsidR="0023753C" w:rsidRPr="006E031E"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F6597E">
        <w:rPr>
          <w:rFonts w:cs="Arial"/>
          <w:lang w:val="es-ES"/>
        </w:rPr>
        <w:t xml:space="preserve">La Oficina Internacional recibe seis categorías distintas de documentos, a saber, solicitudes internacionales, renovaciones, designaciones posteriores, cambios, decisiones y correcciones.  </w:t>
      </w:r>
      <w:r w:rsidRPr="00D871CB">
        <w:rPr>
          <w:rFonts w:cs="Arial"/>
          <w:lang w:val="es-ES"/>
        </w:rPr>
        <w:t>A continuación se presenta</w:t>
      </w:r>
      <w:r>
        <w:rPr>
          <w:rFonts w:cs="Arial"/>
          <w:lang w:val="es-ES"/>
        </w:rPr>
        <w:t xml:space="preserve"> la evolución más reciente en </w:t>
      </w:r>
      <w:r w:rsidRPr="00D871CB">
        <w:rPr>
          <w:rFonts w:cs="Arial"/>
          <w:lang w:val="es-ES"/>
        </w:rPr>
        <w:t>el número de documentos recibidos por la Oficina Internacional en relación con cada una de estas categor</w:t>
      </w:r>
      <w:r>
        <w:rPr>
          <w:rFonts w:cs="Arial"/>
          <w:lang w:val="es-ES"/>
        </w:rPr>
        <w:t>ías</w:t>
      </w:r>
      <w:r w:rsidRPr="00D871CB">
        <w:rPr>
          <w:rFonts w:cs="Arial"/>
          <w:lang w:val="es-ES"/>
        </w:rPr>
        <w:t>.</w:t>
      </w:r>
      <w:r>
        <w:rPr>
          <w:rFonts w:cs="Arial"/>
          <w:lang w:val="es-ES"/>
        </w:rPr>
        <w:t xml:space="preserve">  </w:t>
      </w:r>
      <w:r w:rsidRPr="00D871CB">
        <w:rPr>
          <w:rFonts w:cs="Arial"/>
          <w:lang w:val="es-ES"/>
        </w:rPr>
        <w:t xml:space="preserve">También se proporciona información complementaria sobre las solicitudes internacionales, como el </w:t>
      </w:r>
      <w:r>
        <w:rPr>
          <w:rFonts w:cs="Arial"/>
          <w:lang w:val="es-ES"/>
        </w:rPr>
        <w:t xml:space="preserve">promedio de </w:t>
      </w:r>
      <w:r w:rsidRPr="00D871CB">
        <w:rPr>
          <w:rFonts w:cs="Arial"/>
          <w:lang w:val="es-ES"/>
        </w:rPr>
        <w:t xml:space="preserve">clases </w:t>
      </w:r>
      <w:r>
        <w:rPr>
          <w:rFonts w:cs="Arial"/>
          <w:lang w:val="es-ES"/>
        </w:rPr>
        <w:t>y la extensión media de las solicitudes</w:t>
      </w:r>
      <w:r w:rsidRPr="00D871CB">
        <w:rPr>
          <w:rFonts w:cs="Arial"/>
          <w:lang w:val="es-ES"/>
        </w:rPr>
        <w:t>.</w:t>
      </w:r>
      <w:r>
        <w:rPr>
          <w:rFonts w:cs="Arial"/>
          <w:lang w:val="es-ES"/>
        </w:rPr>
        <w:t xml:space="preserve">  </w:t>
      </w:r>
      <w:r w:rsidRPr="00D871CB">
        <w:rPr>
          <w:rFonts w:cs="Arial"/>
          <w:lang w:val="es-ES"/>
        </w:rPr>
        <w:t>Por razones técnicas, algunos indicadores reflejan datos basados en documentos tra</w:t>
      </w:r>
      <w:r>
        <w:rPr>
          <w:rFonts w:cs="Arial"/>
          <w:lang w:val="es-ES"/>
        </w:rPr>
        <w:t>mitados</w:t>
      </w:r>
      <w:r w:rsidRPr="00D871CB">
        <w:rPr>
          <w:rFonts w:cs="Arial"/>
          <w:lang w:val="es-ES"/>
        </w:rPr>
        <w:t xml:space="preserve"> y no en documentos recibidos. </w:t>
      </w:r>
      <w:r>
        <w:rPr>
          <w:rFonts w:cs="Arial"/>
          <w:lang w:val="es-ES"/>
        </w:rPr>
        <w:t xml:space="preserve"> Es posible, por lo tanto, que los atrasos en la tramitación incidan en algunos indicadores</w:t>
      </w:r>
      <w:r w:rsidRPr="00D871CB">
        <w:rPr>
          <w:rFonts w:cs="Arial"/>
          <w:lang w:val="es-ES"/>
        </w:rPr>
        <w:t xml:space="preserve">.  </w:t>
      </w:r>
      <w:r>
        <w:rPr>
          <w:rFonts w:cs="Arial"/>
          <w:lang w:val="es-ES"/>
        </w:rPr>
        <w:t xml:space="preserve">Esto se aplica en particular a </w:t>
      </w:r>
      <w:r w:rsidRPr="00D871CB">
        <w:rPr>
          <w:rFonts w:cs="Arial"/>
          <w:lang w:val="es-ES"/>
        </w:rPr>
        <w:t xml:space="preserve">2015, ya que una gran parte de </w:t>
      </w:r>
      <w:r>
        <w:rPr>
          <w:rFonts w:cs="Arial"/>
          <w:lang w:val="es-ES"/>
        </w:rPr>
        <w:t>los</w:t>
      </w:r>
      <w:r w:rsidRPr="00D871CB">
        <w:rPr>
          <w:rFonts w:cs="Arial"/>
          <w:lang w:val="es-ES"/>
        </w:rPr>
        <w:t xml:space="preserve"> atrasos fueron eliminados ese año</w:t>
      </w:r>
      <w:r>
        <w:rPr>
          <w:rFonts w:cs="Arial"/>
          <w:lang w:val="es-ES"/>
        </w:rPr>
        <w:t xml:space="preserve"> por la Oficina Internacional</w:t>
      </w:r>
      <w:r w:rsidRPr="00D871CB">
        <w:rPr>
          <w:rFonts w:cs="Arial"/>
          <w:lang w:val="es-ES"/>
        </w:rPr>
        <w:t>.</w:t>
      </w:r>
    </w:p>
    <w:p w:rsidR="0023753C" w:rsidRDefault="0023753C" w:rsidP="00DC1333">
      <w:pPr>
        <w:pStyle w:val="ListParagraph"/>
        <w:ind w:left="0"/>
        <w:jc w:val="both"/>
        <w:rPr>
          <w:rFonts w:cs="Arial"/>
          <w:lang w:val="es-ES"/>
        </w:rPr>
      </w:pPr>
    </w:p>
    <w:p w:rsidR="0023753C" w:rsidRDefault="0023753C" w:rsidP="00DC1333">
      <w:pPr>
        <w:pStyle w:val="ListParagraph"/>
        <w:ind w:left="0"/>
        <w:jc w:val="both"/>
        <w:rPr>
          <w:rFonts w:cs="Arial"/>
          <w:u w:val="single"/>
          <w:lang w:val="es-ES"/>
        </w:rPr>
      </w:pPr>
      <w:r>
        <w:rPr>
          <w:rFonts w:cs="Arial"/>
          <w:u w:val="single"/>
          <w:lang w:val="es-ES"/>
        </w:rPr>
        <w:t>Solicitudes internacionales</w:t>
      </w:r>
      <w:r w:rsidRPr="00760842">
        <w:rPr>
          <w:rFonts w:cs="Arial"/>
          <w:u w:val="single"/>
          <w:lang w:val="es-ES"/>
        </w:rPr>
        <w:t xml:space="preserve"> </w:t>
      </w:r>
    </w:p>
    <w:p w:rsidR="0023753C" w:rsidRDefault="0023753C" w:rsidP="00DC1333">
      <w:pPr>
        <w:pStyle w:val="ListParagraph"/>
        <w:ind w:left="0"/>
        <w:jc w:val="both"/>
        <w:rPr>
          <w:rFonts w:cs="Arial"/>
          <w:u w:val="single"/>
          <w:lang w:val="es-ES"/>
        </w:rPr>
      </w:pPr>
      <w:r w:rsidRPr="00135169">
        <w:rPr>
          <w:noProof/>
        </w:rPr>
        <w:drawing>
          <wp:inline distT="0" distB="0" distL="0" distR="0" wp14:anchorId="37B3A213" wp14:editId="015D736B">
            <wp:extent cx="5411760" cy="24394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8052" cy="2437778"/>
                    </a:xfrm>
                    <a:prstGeom prst="rect">
                      <a:avLst/>
                    </a:prstGeom>
                    <a:noFill/>
                    <a:ln>
                      <a:noFill/>
                    </a:ln>
                  </pic:spPr>
                </pic:pic>
              </a:graphicData>
            </a:graphic>
          </wp:inline>
        </w:drawing>
      </w:r>
    </w:p>
    <w:p w:rsidR="0023753C" w:rsidRDefault="0023753C" w:rsidP="00DC1333">
      <w:pPr>
        <w:pStyle w:val="ListParagraph"/>
        <w:ind w:left="0"/>
        <w:jc w:val="both"/>
        <w:rPr>
          <w:rFonts w:cs="Arial"/>
          <w:u w:val="single"/>
          <w:lang w:val="es-ES"/>
        </w:rPr>
      </w:pPr>
    </w:p>
    <w:p w:rsidR="0023753C" w:rsidRPr="00905624" w:rsidRDefault="0023753C" w:rsidP="00DC1333">
      <w:pPr>
        <w:spacing w:after="120"/>
        <w:jc w:val="both"/>
        <w:rPr>
          <w:sz w:val="20"/>
        </w:rPr>
      </w:pPr>
    </w:p>
    <w:p w:rsidR="0023753C" w:rsidRPr="00905624" w:rsidRDefault="0023753C" w:rsidP="0023753C">
      <w:pPr>
        <w:numPr>
          <w:ilvl w:val="0"/>
          <w:numId w:val="30"/>
        </w:numPr>
        <w:tabs>
          <w:tab w:val="clear" w:pos="720"/>
          <w:tab w:val="num" w:pos="1560"/>
        </w:tabs>
        <w:spacing w:after="120"/>
        <w:ind w:left="993" w:hanging="426"/>
        <w:jc w:val="both"/>
        <w:rPr>
          <w:sz w:val="20"/>
        </w:rPr>
      </w:pPr>
      <w:r w:rsidRPr="00D871CB">
        <w:rPr>
          <w:sz w:val="20"/>
        </w:rPr>
        <w:t>La Oficina Internacional recibió 49.273 solicitudes en 2015, lo que supuso un increment</w:t>
      </w:r>
      <w:r>
        <w:rPr>
          <w:sz w:val="20"/>
        </w:rPr>
        <w:t>o</w:t>
      </w:r>
      <w:r w:rsidRPr="00D871CB">
        <w:rPr>
          <w:sz w:val="20"/>
        </w:rPr>
        <w:t xml:space="preserve"> </w:t>
      </w:r>
      <w:r>
        <w:rPr>
          <w:sz w:val="20"/>
        </w:rPr>
        <w:t>del  </w:t>
      </w:r>
      <w:r w:rsidRPr="00D871CB">
        <w:rPr>
          <w:sz w:val="20"/>
        </w:rPr>
        <w:t>2</w:t>
      </w:r>
      <w:r>
        <w:rPr>
          <w:sz w:val="20"/>
        </w:rPr>
        <w:t>,</w:t>
      </w:r>
      <w:r w:rsidRPr="00D871CB">
        <w:rPr>
          <w:sz w:val="20"/>
        </w:rPr>
        <w:t>9</w:t>
      </w:r>
      <w:r>
        <w:rPr>
          <w:sz w:val="20"/>
        </w:rPr>
        <w:t xml:space="preserve">% con respecto a </w:t>
      </w:r>
      <w:r w:rsidRPr="00D871CB">
        <w:rPr>
          <w:sz w:val="20"/>
        </w:rPr>
        <w:t xml:space="preserve">2014.  </w:t>
      </w:r>
      <w:r w:rsidRPr="00905624">
        <w:rPr>
          <w:sz w:val="20"/>
        </w:rPr>
        <w:t>El número total de solicitudes recibidas en el bienio 2014/15 aumentó en un 7% en relaci</w:t>
      </w:r>
      <w:r>
        <w:rPr>
          <w:sz w:val="20"/>
        </w:rPr>
        <w:t xml:space="preserve">ón con el bienio </w:t>
      </w:r>
      <w:r w:rsidRPr="00905624">
        <w:rPr>
          <w:sz w:val="20"/>
        </w:rPr>
        <w:t>2012/13</w:t>
      </w:r>
      <w:r>
        <w:rPr>
          <w:sz w:val="20"/>
        </w:rPr>
        <w:t>.</w:t>
      </w:r>
    </w:p>
    <w:p w:rsidR="0023753C" w:rsidRDefault="0023753C" w:rsidP="0023753C">
      <w:pPr>
        <w:numPr>
          <w:ilvl w:val="0"/>
          <w:numId w:val="30"/>
        </w:numPr>
        <w:tabs>
          <w:tab w:val="clear" w:pos="720"/>
          <w:tab w:val="num" w:pos="1560"/>
        </w:tabs>
        <w:spacing w:after="120"/>
        <w:ind w:left="993" w:hanging="426"/>
        <w:jc w:val="both"/>
        <w:rPr>
          <w:sz w:val="20"/>
        </w:rPr>
      </w:pPr>
      <w:r>
        <w:rPr>
          <w:sz w:val="20"/>
        </w:rPr>
        <w:t xml:space="preserve">El número de </w:t>
      </w:r>
      <w:r w:rsidRPr="00A44EF1">
        <w:rPr>
          <w:sz w:val="20"/>
        </w:rPr>
        <w:t>solicitudes recibidas ha aumentado de forma constante desde 2010.</w:t>
      </w:r>
    </w:p>
    <w:p w:rsidR="0023753C" w:rsidRPr="00905624" w:rsidRDefault="0023753C" w:rsidP="00DC1333">
      <w:pPr>
        <w:pStyle w:val="ListParagraph"/>
        <w:ind w:left="1418"/>
        <w:jc w:val="both"/>
        <w:rPr>
          <w:rFonts w:cs="Arial"/>
          <w:lang w:val="es-ES"/>
        </w:rPr>
      </w:pPr>
    </w:p>
    <w:p w:rsidR="0023753C" w:rsidRDefault="0023753C" w:rsidP="00DC1333">
      <w:pPr>
        <w:pStyle w:val="ListParagraph"/>
        <w:keepNext/>
        <w:keepLines/>
        <w:tabs>
          <w:tab w:val="left" w:pos="1701"/>
        </w:tabs>
        <w:ind w:left="567"/>
        <w:jc w:val="both"/>
        <w:rPr>
          <w:rFonts w:cs="Arial"/>
          <w:i/>
          <w:lang w:val="es-ES"/>
        </w:rPr>
      </w:pPr>
      <w:r w:rsidRPr="00A44EF1">
        <w:rPr>
          <w:rFonts w:cs="Arial"/>
          <w:i/>
          <w:lang w:val="es-ES"/>
        </w:rPr>
        <w:lastRenderedPageBreak/>
        <w:t>Distribución de las solicitudes por idioma de presentación</w:t>
      </w:r>
    </w:p>
    <w:p w:rsidR="0023753C" w:rsidRDefault="0023753C" w:rsidP="00DC1333">
      <w:pPr>
        <w:pStyle w:val="ListParagraph"/>
        <w:keepNext/>
        <w:keepLines/>
        <w:tabs>
          <w:tab w:val="left" w:pos="1701"/>
        </w:tabs>
        <w:ind w:left="1134"/>
        <w:jc w:val="both"/>
        <w:rPr>
          <w:rFonts w:cs="Arial"/>
          <w:lang w:val="es-ES"/>
        </w:rPr>
      </w:pPr>
    </w:p>
    <w:p w:rsidR="0023753C" w:rsidRDefault="0023753C" w:rsidP="00DC1333">
      <w:pPr>
        <w:keepNext/>
        <w:keepLines/>
        <w:jc w:val="center"/>
      </w:pPr>
      <w:r w:rsidRPr="00135169">
        <w:rPr>
          <w:noProof/>
          <w:lang w:val="en-US" w:eastAsia="en-US"/>
        </w:rPr>
        <w:drawing>
          <wp:inline distT="0" distB="0" distL="0" distR="0" wp14:anchorId="79219267" wp14:editId="17FA8503">
            <wp:extent cx="5295569" cy="2651322"/>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96269" cy="2651672"/>
                    </a:xfrm>
                    <a:prstGeom prst="rect">
                      <a:avLst/>
                    </a:prstGeom>
                    <a:noFill/>
                    <a:ln>
                      <a:noFill/>
                    </a:ln>
                  </pic:spPr>
                </pic:pic>
              </a:graphicData>
            </a:graphic>
          </wp:inline>
        </w:drawing>
      </w:r>
    </w:p>
    <w:p w:rsidR="0023753C" w:rsidRDefault="0023753C" w:rsidP="0023753C">
      <w:pPr>
        <w:keepNext/>
        <w:keepLines/>
        <w:numPr>
          <w:ilvl w:val="0"/>
          <w:numId w:val="30"/>
        </w:numPr>
        <w:tabs>
          <w:tab w:val="clear" w:pos="720"/>
          <w:tab w:val="num" w:pos="993"/>
        </w:tabs>
        <w:spacing w:after="120"/>
        <w:ind w:left="993" w:hanging="426"/>
        <w:jc w:val="both"/>
        <w:rPr>
          <w:sz w:val="20"/>
        </w:rPr>
      </w:pPr>
      <w:r w:rsidRPr="00AA020B">
        <w:rPr>
          <w:sz w:val="20"/>
        </w:rPr>
        <w:t>En 201</w:t>
      </w:r>
      <w:r>
        <w:rPr>
          <w:sz w:val="20"/>
        </w:rPr>
        <w:t>5</w:t>
      </w:r>
      <w:r w:rsidRPr="00AA020B">
        <w:rPr>
          <w:sz w:val="20"/>
        </w:rPr>
        <w:t>, el 80</w:t>
      </w:r>
      <w:r>
        <w:rPr>
          <w:sz w:val="20"/>
        </w:rPr>
        <w:t>%</w:t>
      </w:r>
      <w:r w:rsidRPr="00AA020B">
        <w:rPr>
          <w:sz w:val="20"/>
        </w:rPr>
        <w:t xml:space="preserve"> de todas las solicitudes se present</w:t>
      </w:r>
      <w:r>
        <w:rPr>
          <w:sz w:val="20"/>
        </w:rPr>
        <w:t>ó</w:t>
      </w:r>
      <w:r w:rsidRPr="00AA020B">
        <w:rPr>
          <w:sz w:val="20"/>
        </w:rPr>
        <w:t xml:space="preserve"> en ingl</w:t>
      </w:r>
      <w:r>
        <w:rPr>
          <w:sz w:val="20"/>
        </w:rPr>
        <w:t>és</w:t>
      </w:r>
      <w:r w:rsidRPr="00AA020B">
        <w:rPr>
          <w:sz w:val="20"/>
        </w:rPr>
        <w:t>.  Este porcentaje se mantuvo invariable con respecto a 2014, pero aumentó en 15 puntos porcentuales desde 2008, cuando las solicitudes en ingl</w:t>
      </w:r>
      <w:r>
        <w:rPr>
          <w:sz w:val="20"/>
        </w:rPr>
        <w:t>és supusieron el 65% de todas las solicitudes presentadas</w:t>
      </w:r>
      <w:r w:rsidRPr="00AA020B">
        <w:rPr>
          <w:sz w:val="20"/>
        </w:rPr>
        <w:t>.</w:t>
      </w:r>
    </w:p>
    <w:p w:rsidR="0023753C" w:rsidRDefault="0023753C" w:rsidP="00DC1333">
      <w:pPr>
        <w:jc w:val="both"/>
        <w:rPr>
          <w:sz w:val="20"/>
        </w:rPr>
      </w:pPr>
    </w:p>
    <w:p w:rsidR="0023753C" w:rsidRDefault="0023753C" w:rsidP="00DC1333">
      <w:pPr>
        <w:jc w:val="both"/>
        <w:rPr>
          <w:sz w:val="20"/>
        </w:rPr>
      </w:pPr>
    </w:p>
    <w:p w:rsidR="0023753C" w:rsidRDefault="0023753C" w:rsidP="00DC1333">
      <w:pPr>
        <w:pStyle w:val="ListParagraph"/>
        <w:keepNext/>
        <w:keepLines/>
        <w:tabs>
          <w:tab w:val="left" w:pos="1701"/>
        </w:tabs>
        <w:ind w:left="567"/>
        <w:jc w:val="both"/>
        <w:rPr>
          <w:rFonts w:cs="Arial"/>
          <w:i/>
        </w:rPr>
      </w:pPr>
      <w:r>
        <w:rPr>
          <w:rFonts w:cs="Arial"/>
          <w:i/>
        </w:rPr>
        <w:t>Promedio de designaciones por registro</w:t>
      </w:r>
    </w:p>
    <w:p w:rsidR="0023753C" w:rsidRPr="00E43F8B" w:rsidRDefault="0023753C" w:rsidP="00DC1333">
      <w:pPr>
        <w:keepNext/>
        <w:keepLines/>
        <w:tabs>
          <w:tab w:val="left" w:pos="1701"/>
        </w:tabs>
        <w:jc w:val="both"/>
      </w:pPr>
    </w:p>
    <w:p w:rsidR="0023753C" w:rsidRDefault="0023753C" w:rsidP="00DC1333">
      <w:r w:rsidRPr="00E43F8B">
        <w:rPr>
          <w:noProof/>
          <w:lang w:val="en-US" w:eastAsia="en-US"/>
        </w:rPr>
        <w:drawing>
          <wp:inline distT="0" distB="0" distL="0" distR="0" wp14:anchorId="00CD923F" wp14:editId="6970194E">
            <wp:extent cx="5940425" cy="2935675"/>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2935675"/>
                    </a:xfrm>
                    <a:prstGeom prst="rect">
                      <a:avLst/>
                    </a:prstGeom>
                    <a:noFill/>
                    <a:ln>
                      <a:noFill/>
                    </a:ln>
                  </pic:spPr>
                </pic:pic>
              </a:graphicData>
            </a:graphic>
          </wp:inline>
        </w:drawing>
      </w:r>
    </w:p>
    <w:p w:rsidR="0023753C" w:rsidRDefault="0023753C" w:rsidP="0023753C">
      <w:pPr>
        <w:numPr>
          <w:ilvl w:val="0"/>
          <w:numId w:val="30"/>
        </w:numPr>
        <w:tabs>
          <w:tab w:val="clear" w:pos="720"/>
          <w:tab w:val="num" w:pos="1134"/>
        </w:tabs>
        <w:spacing w:after="120"/>
        <w:ind w:left="993" w:hanging="426"/>
        <w:jc w:val="both"/>
        <w:rPr>
          <w:sz w:val="20"/>
        </w:rPr>
      </w:pPr>
      <w:r w:rsidRPr="00AA1C30">
        <w:rPr>
          <w:sz w:val="20"/>
        </w:rPr>
        <w:t>Se inscribieron en promedio 7,7 designaciones en las solicitudes registradas en 2015, casi una designaci</w:t>
      </w:r>
      <w:r>
        <w:rPr>
          <w:sz w:val="20"/>
        </w:rPr>
        <w:t xml:space="preserve">ón más que el promedio en </w:t>
      </w:r>
      <w:r w:rsidRPr="00AA1C30">
        <w:rPr>
          <w:sz w:val="20"/>
        </w:rPr>
        <w:t>2014.</w:t>
      </w:r>
    </w:p>
    <w:p w:rsidR="0023753C" w:rsidRDefault="0023753C" w:rsidP="00DC1333">
      <w:pPr>
        <w:tabs>
          <w:tab w:val="num" w:pos="1134"/>
        </w:tabs>
        <w:spacing w:after="120"/>
        <w:ind w:left="993" w:hanging="426"/>
        <w:jc w:val="both"/>
        <w:rPr>
          <w:sz w:val="20"/>
        </w:rPr>
      </w:pPr>
    </w:p>
    <w:p w:rsidR="0023753C" w:rsidRDefault="0023753C" w:rsidP="00DC1333">
      <w:pPr>
        <w:pStyle w:val="ListParagraph"/>
        <w:keepNext/>
        <w:keepLines/>
        <w:tabs>
          <w:tab w:val="left" w:pos="1701"/>
        </w:tabs>
        <w:ind w:left="567"/>
        <w:jc w:val="both"/>
        <w:rPr>
          <w:rFonts w:cs="Arial"/>
          <w:i/>
        </w:rPr>
      </w:pPr>
      <w:r>
        <w:rPr>
          <w:rFonts w:cs="Arial"/>
          <w:i/>
        </w:rPr>
        <w:lastRenderedPageBreak/>
        <w:t>Promedio de clases por registro</w:t>
      </w:r>
    </w:p>
    <w:p w:rsidR="0023753C" w:rsidRDefault="0023753C" w:rsidP="00DC1333">
      <w:pPr>
        <w:keepNext/>
        <w:keepLines/>
        <w:jc w:val="center"/>
      </w:pPr>
      <w:r w:rsidRPr="00881BDF">
        <w:rPr>
          <w:noProof/>
          <w:lang w:val="en-US" w:eastAsia="en-US"/>
        </w:rPr>
        <w:drawing>
          <wp:inline distT="0" distB="0" distL="0" distR="0" wp14:anchorId="0C87BBCD" wp14:editId="4E3C6D15">
            <wp:extent cx="5718230" cy="2700000"/>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18230" cy="2700000"/>
                    </a:xfrm>
                    <a:prstGeom prst="rect">
                      <a:avLst/>
                    </a:prstGeom>
                    <a:noFill/>
                    <a:ln>
                      <a:noFill/>
                    </a:ln>
                  </pic:spPr>
                </pic:pic>
              </a:graphicData>
            </a:graphic>
          </wp:inline>
        </w:drawing>
      </w:r>
    </w:p>
    <w:p w:rsidR="0023753C" w:rsidRDefault="0023753C" w:rsidP="0023753C">
      <w:pPr>
        <w:keepNext/>
        <w:keepLines/>
        <w:numPr>
          <w:ilvl w:val="0"/>
          <w:numId w:val="30"/>
        </w:numPr>
        <w:tabs>
          <w:tab w:val="clear" w:pos="720"/>
          <w:tab w:val="num" w:pos="993"/>
        </w:tabs>
        <w:spacing w:after="120"/>
        <w:ind w:left="993" w:hanging="426"/>
        <w:jc w:val="both"/>
        <w:rPr>
          <w:sz w:val="20"/>
        </w:rPr>
      </w:pPr>
      <w:r w:rsidRPr="00AA1C30">
        <w:rPr>
          <w:sz w:val="20"/>
        </w:rPr>
        <w:t>Como ocurrió en 2014, se especificaron en promedio 2,5 clases en las solicitudes registradas en 2015</w:t>
      </w:r>
      <w:r>
        <w:rPr>
          <w:sz w:val="20"/>
        </w:rPr>
        <w:t>.</w:t>
      </w:r>
    </w:p>
    <w:p w:rsidR="0023753C" w:rsidRDefault="0023753C" w:rsidP="00DC1333">
      <w:pPr>
        <w:jc w:val="both"/>
        <w:rPr>
          <w:sz w:val="20"/>
        </w:rPr>
      </w:pPr>
    </w:p>
    <w:p w:rsidR="0023753C" w:rsidRDefault="0023753C" w:rsidP="00DC1333">
      <w:pPr>
        <w:pStyle w:val="ListParagraph"/>
        <w:tabs>
          <w:tab w:val="left" w:pos="1701"/>
        </w:tabs>
        <w:ind w:left="567"/>
        <w:jc w:val="both"/>
        <w:rPr>
          <w:rFonts w:cs="Arial"/>
          <w:i/>
          <w:lang w:val="es-ES"/>
        </w:rPr>
      </w:pPr>
      <w:r>
        <w:rPr>
          <w:rFonts w:cs="Arial"/>
          <w:i/>
          <w:lang w:val="es-ES"/>
        </w:rPr>
        <w:t>Extensión media de las solicitudes</w:t>
      </w:r>
      <w:r w:rsidRPr="00760842">
        <w:rPr>
          <w:rFonts w:cs="Arial"/>
          <w:i/>
          <w:lang w:val="es-ES"/>
        </w:rPr>
        <w:t xml:space="preserve"> </w:t>
      </w:r>
    </w:p>
    <w:p w:rsidR="0023753C" w:rsidRDefault="0023753C" w:rsidP="00DC1333">
      <w:pPr>
        <w:pStyle w:val="ListParagraph"/>
        <w:ind w:left="1980"/>
        <w:jc w:val="both"/>
        <w:rPr>
          <w:rFonts w:cs="Arial"/>
          <w:lang w:val="es-ES"/>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AA020B">
        <w:rPr>
          <w:rFonts w:cs="Arial"/>
          <w:lang w:val="es-ES"/>
        </w:rPr>
        <w:t>La extensión de una solicitud l</w:t>
      </w:r>
      <w:r>
        <w:rPr>
          <w:rFonts w:cs="Arial"/>
          <w:lang w:val="es-ES"/>
        </w:rPr>
        <w:t>a</w:t>
      </w:r>
      <w:r w:rsidRPr="00AA020B">
        <w:rPr>
          <w:rFonts w:cs="Arial"/>
          <w:lang w:val="es-ES"/>
        </w:rPr>
        <w:t xml:space="preserve"> determina el número total de palabras empleadas por los solicitantes para</w:t>
      </w:r>
      <w:r>
        <w:rPr>
          <w:rFonts w:cs="Arial"/>
          <w:lang w:val="es-ES"/>
        </w:rPr>
        <w:t xml:space="preserve"> a) la descripción de la marca, b) la lista de productos y servicios, y c) cualquier limitación que las acompañe</w:t>
      </w:r>
      <w:r w:rsidRPr="00AA020B">
        <w:rPr>
          <w:rFonts w:cs="Arial"/>
          <w:lang w:val="es-ES"/>
        </w:rPr>
        <w:t xml:space="preserve">.  </w:t>
      </w:r>
      <w:r w:rsidRPr="001F3563">
        <w:rPr>
          <w:rFonts w:cs="Arial"/>
          <w:lang w:val="es-ES"/>
        </w:rPr>
        <w:t xml:space="preserve">Para que la solicitud esté disponible en los tres idiomas del Sistema de Madrid, </w:t>
      </w:r>
      <w:r>
        <w:rPr>
          <w:rFonts w:cs="Arial"/>
          <w:lang w:val="es-ES"/>
        </w:rPr>
        <w:t xml:space="preserve">la Oficina Internacional traduce </w:t>
      </w:r>
      <w:r w:rsidRPr="001F3563">
        <w:rPr>
          <w:rFonts w:cs="Arial"/>
          <w:lang w:val="es-ES"/>
        </w:rPr>
        <w:t xml:space="preserve">estos tres elementos </w:t>
      </w:r>
      <w:r>
        <w:rPr>
          <w:rFonts w:cs="Arial"/>
          <w:lang w:val="es-ES"/>
        </w:rPr>
        <w:t>al</w:t>
      </w:r>
      <w:r w:rsidRPr="001F3563">
        <w:rPr>
          <w:rFonts w:cs="Arial"/>
          <w:lang w:val="es-ES"/>
        </w:rPr>
        <w:t xml:space="preserve"> inglés, </w:t>
      </w:r>
      <w:r>
        <w:rPr>
          <w:rFonts w:cs="Arial"/>
          <w:lang w:val="es-ES"/>
        </w:rPr>
        <w:t xml:space="preserve">al </w:t>
      </w:r>
      <w:r w:rsidRPr="001F3563">
        <w:rPr>
          <w:rFonts w:cs="Arial"/>
          <w:lang w:val="es-ES"/>
        </w:rPr>
        <w:t>franc</w:t>
      </w:r>
      <w:r>
        <w:rPr>
          <w:rFonts w:cs="Arial"/>
          <w:lang w:val="es-ES"/>
        </w:rPr>
        <w:t>és o al español, dependiendo del idioma original de la solicitud</w:t>
      </w:r>
      <w:r w:rsidRPr="001F3563">
        <w:rPr>
          <w:rFonts w:cs="Arial"/>
          <w:lang w:val="es-ES"/>
        </w:rPr>
        <w:t xml:space="preserve">. </w:t>
      </w:r>
    </w:p>
    <w:p w:rsidR="0023753C" w:rsidRDefault="0023753C" w:rsidP="00DC1333">
      <w:pPr>
        <w:jc w:val="both"/>
        <w:rPr>
          <w:sz w:val="20"/>
        </w:rPr>
      </w:pPr>
    </w:p>
    <w:p w:rsidR="0023753C" w:rsidRDefault="0023753C" w:rsidP="00DC1333">
      <w:pPr>
        <w:jc w:val="center"/>
        <w:rPr>
          <w:sz w:val="20"/>
        </w:rPr>
      </w:pPr>
      <w:r w:rsidRPr="00135169">
        <w:rPr>
          <w:noProof/>
          <w:lang w:val="en-US" w:eastAsia="en-US"/>
        </w:rPr>
        <w:drawing>
          <wp:inline distT="0" distB="0" distL="0" distR="0" wp14:anchorId="7F318EA6" wp14:editId="2B3A7635">
            <wp:extent cx="5319423" cy="2659712"/>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13028" cy="2656515"/>
                    </a:xfrm>
                    <a:prstGeom prst="rect">
                      <a:avLst/>
                    </a:prstGeom>
                    <a:noFill/>
                    <a:ln>
                      <a:noFill/>
                    </a:ln>
                  </pic:spPr>
                </pic:pic>
              </a:graphicData>
            </a:graphic>
          </wp:inline>
        </w:drawing>
      </w:r>
    </w:p>
    <w:p w:rsidR="0023753C" w:rsidRDefault="0023753C" w:rsidP="00DC1333">
      <w:pPr>
        <w:jc w:val="both"/>
        <w:rPr>
          <w:sz w:val="20"/>
        </w:rPr>
      </w:pPr>
    </w:p>
    <w:p w:rsidR="0023753C" w:rsidRDefault="0023753C" w:rsidP="0023753C">
      <w:pPr>
        <w:numPr>
          <w:ilvl w:val="0"/>
          <w:numId w:val="30"/>
        </w:numPr>
        <w:tabs>
          <w:tab w:val="clear" w:pos="720"/>
          <w:tab w:val="num" w:pos="993"/>
        </w:tabs>
        <w:spacing w:after="120"/>
        <w:ind w:left="993" w:hanging="426"/>
        <w:jc w:val="both"/>
        <w:rPr>
          <w:sz w:val="20"/>
        </w:rPr>
      </w:pPr>
      <w:r w:rsidRPr="001F3563">
        <w:rPr>
          <w:sz w:val="20"/>
        </w:rPr>
        <w:t xml:space="preserve">En 2015, la extensión media de una solicitud </w:t>
      </w:r>
      <w:r>
        <w:rPr>
          <w:sz w:val="20"/>
        </w:rPr>
        <w:t>fue</w:t>
      </w:r>
      <w:r w:rsidRPr="001F3563">
        <w:rPr>
          <w:sz w:val="20"/>
        </w:rPr>
        <w:t xml:space="preserve"> de 209 palabras, frente a 239 palab</w:t>
      </w:r>
      <w:r>
        <w:rPr>
          <w:sz w:val="20"/>
        </w:rPr>
        <w:t>ras en </w:t>
      </w:r>
      <w:r w:rsidRPr="001F3563">
        <w:rPr>
          <w:sz w:val="20"/>
        </w:rPr>
        <w:t xml:space="preserve">2014.  </w:t>
      </w:r>
      <w:r>
        <w:rPr>
          <w:sz w:val="20"/>
        </w:rPr>
        <w:t xml:space="preserve">Esto representa un descenso del </w:t>
      </w:r>
      <w:r w:rsidRPr="001F3563">
        <w:rPr>
          <w:sz w:val="20"/>
        </w:rPr>
        <w:t>12,4</w:t>
      </w:r>
      <w:r>
        <w:rPr>
          <w:sz w:val="20"/>
        </w:rPr>
        <w:t>%</w:t>
      </w:r>
      <w:r w:rsidRPr="001F3563">
        <w:rPr>
          <w:sz w:val="20"/>
        </w:rPr>
        <w:t xml:space="preserve"> con respecto</w:t>
      </w:r>
      <w:r>
        <w:rPr>
          <w:sz w:val="20"/>
        </w:rPr>
        <w:t xml:space="preserve"> a</w:t>
      </w:r>
      <w:r w:rsidRPr="001F3563">
        <w:rPr>
          <w:sz w:val="20"/>
        </w:rPr>
        <w:t xml:space="preserve"> 2014.</w:t>
      </w:r>
    </w:p>
    <w:p w:rsidR="0023753C" w:rsidRDefault="0023753C" w:rsidP="0023753C">
      <w:pPr>
        <w:numPr>
          <w:ilvl w:val="0"/>
          <w:numId w:val="30"/>
        </w:numPr>
        <w:tabs>
          <w:tab w:val="clear" w:pos="720"/>
          <w:tab w:val="num" w:pos="993"/>
        </w:tabs>
        <w:spacing w:after="120"/>
        <w:ind w:left="993" w:hanging="426"/>
        <w:jc w:val="both"/>
        <w:rPr>
          <w:sz w:val="20"/>
        </w:rPr>
      </w:pPr>
      <w:r w:rsidRPr="001F3563">
        <w:rPr>
          <w:sz w:val="20"/>
        </w:rPr>
        <w:t xml:space="preserve">Si bien algunos aspectos de la labor de traducción y de clasificación son automáticos, </w:t>
      </w:r>
      <w:r>
        <w:rPr>
          <w:sz w:val="20"/>
        </w:rPr>
        <w:t>los aumentos en l</w:t>
      </w:r>
      <w:r w:rsidRPr="001F3563">
        <w:rPr>
          <w:sz w:val="20"/>
        </w:rPr>
        <w:t xml:space="preserve">a extensión de las solicitudes, como </w:t>
      </w:r>
      <w:r>
        <w:rPr>
          <w:sz w:val="20"/>
        </w:rPr>
        <w:t xml:space="preserve">los </w:t>
      </w:r>
      <w:r w:rsidRPr="001F3563">
        <w:rPr>
          <w:sz w:val="20"/>
        </w:rPr>
        <w:t>observado</w:t>
      </w:r>
      <w:r>
        <w:rPr>
          <w:sz w:val="20"/>
        </w:rPr>
        <w:t>s</w:t>
      </w:r>
      <w:r w:rsidRPr="001F3563">
        <w:rPr>
          <w:sz w:val="20"/>
        </w:rPr>
        <w:t xml:space="preserve"> durante el per</w:t>
      </w:r>
      <w:r>
        <w:rPr>
          <w:sz w:val="20"/>
        </w:rPr>
        <w:t>íodo 2011</w:t>
      </w:r>
      <w:r>
        <w:rPr>
          <w:sz w:val="20"/>
        </w:rPr>
        <w:noBreakHyphen/>
      </w:r>
      <w:r w:rsidRPr="001F3563">
        <w:rPr>
          <w:sz w:val="20"/>
        </w:rPr>
        <w:t xml:space="preserve">2014, </w:t>
      </w:r>
      <w:r>
        <w:rPr>
          <w:sz w:val="20"/>
        </w:rPr>
        <w:t>tuvieron una incidencia importante en el volumen de trabajo de la Oficina Internacional</w:t>
      </w:r>
      <w:r w:rsidRPr="001F3563">
        <w:rPr>
          <w:sz w:val="20"/>
        </w:rPr>
        <w:t>.</w:t>
      </w:r>
    </w:p>
    <w:p w:rsidR="0023753C" w:rsidRDefault="0023753C" w:rsidP="00DC1333">
      <w:pPr>
        <w:pStyle w:val="ListParagraph"/>
        <w:jc w:val="both"/>
        <w:rPr>
          <w:rFonts w:cs="Arial"/>
          <w:lang w:val="es-ES"/>
        </w:rPr>
      </w:pPr>
    </w:p>
    <w:p w:rsidR="0023753C" w:rsidRDefault="0023753C" w:rsidP="00DC1333">
      <w:pPr>
        <w:pStyle w:val="ListParagraph"/>
        <w:jc w:val="both"/>
        <w:rPr>
          <w:rFonts w:cs="Arial"/>
          <w:lang w:val="es-ES"/>
        </w:rPr>
      </w:pPr>
    </w:p>
    <w:p w:rsidR="0023753C" w:rsidRPr="00730767" w:rsidRDefault="0023753C" w:rsidP="00DC1333">
      <w:pPr>
        <w:pStyle w:val="ListParagraph"/>
        <w:keepNext/>
        <w:keepLines/>
        <w:tabs>
          <w:tab w:val="left" w:pos="1701"/>
        </w:tabs>
        <w:ind w:left="567"/>
        <w:jc w:val="both"/>
        <w:rPr>
          <w:rFonts w:cs="Arial"/>
          <w:i/>
          <w:lang w:val="es-ES"/>
        </w:rPr>
      </w:pPr>
      <w:r w:rsidRPr="00730767">
        <w:rPr>
          <w:rFonts w:cs="Arial"/>
          <w:i/>
          <w:lang w:val="es-ES"/>
        </w:rPr>
        <w:lastRenderedPageBreak/>
        <w:t>Distribución de las solicitudes regulares e irregulares</w:t>
      </w:r>
    </w:p>
    <w:p w:rsidR="0023753C" w:rsidRDefault="0023753C" w:rsidP="00DC1333">
      <w:pPr>
        <w:jc w:val="center"/>
        <w:rPr>
          <w:sz w:val="20"/>
        </w:rPr>
      </w:pPr>
      <w:r w:rsidRPr="0071157B">
        <w:rPr>
          <w:noProof/>
          <w:lang w:val="en-US" w:eastAsia="en-US"/>
        </w:rPr>
        <w:drawing>
          <wp:inline distT="0" distB="0" distL="0" distR="0" wp14:anchorId="7CD5AB7D" wp14:editId="2C20CB41">
            <wp:extent cx="6041411" cy="302400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041411" cy="3024000"/>
                    </a:xfrm>
                    <a:prstGeom prst="rect">
                      <a:avLst/>
                    </a:prstGeom>
                    <a:noFill/>
                    <a:ln>
                      <a:noFill/>
                    </a:ln>
                  </pic:spPr>
                </pic:pic>
              </a:graphicData>
            </a:graphic>
          </wp:inline>
        </w:drawing>
      </w:r>
    </w:p>
    <w:p w:rsidR="0023753C" w:rsidRDefault="0023753C" w:rsidP="00DC1333">
      <w:pPr>
        <w:jc w:val="both"/>
        <w:rPr>
          <w:sz w:val="20"/>
        </w:rPr>
      </w:pPr>
      <w:r w:rsidRPr="001F3563">
        <w:rPr>
          <w:sz w:val="20"/>
        </w:rPr>
        <w:t xml:space="preserve">Si bien el porcentaje de </w:t>
      </w:r>
      <w:r>
        <w:rPr>
          <w:sz w:val="20"/>
        </w:rPr>
        <w:t xml:space="preserve">las </w:t>
      </w:r>
      <w:r w:rsidRPr="001F3563">
        <w:rPr>
          <w:sz w:val="20"/>
        </w:rPr>
        <w:t xml:space="preserve">solicitudes regulares se ha mantenido estable entre 2011 y 2014, en 2015 se </w:t>
      </w:r>
      <w:r>
        <w:rPr>
          <w:sz w:val="20"/>
        </w:rPr>
        <w:t>observó una disminución de cinco puntos porcentuales</w:t>
      </w:r>
      <w:r w:rsidRPr="001F3563">
        <w:rPr>
          <w:sz w:val="20"/>
        </w:rPr>
        <w:t>.</w:t>
      </w:r>
    </w:p>
    <w:p w:rsidR="0023753C" w:rsidRDefault="0023753C" w:rsidP="00DC1333">
      <w:pPr>
        <w:jc w:val="both"/>
        <w:rPr>
          <w:sz w:val="20"/>
        </w:rPr>
      </w:pPr>
    </w:p>
    <w:p w:rsidR="0023753C" w:rsidRDefault="0023753C" w:rsidP="00DC1333">
      <w:pPr>
        <w:pStyle w:val="ListParagraph"/>
        <w:ind w:left="0"/>
        <w:jc w:val="both"/>
        <w:rPr>
          <w:rFonts w:cs="Arial"/>
          <w:u w:val="single"/>
          <w:lang w:val="es-ES"/>
        </w:rPr>
      </w:pPr>
      <w:r w:rsidRPr="00760842">
        <w:rPr>
          <w:rFonts w:cs="Arial"/>
          <w:u w:val="single"/>
          <w:lang w:val="es-ES"/>
        </w:rPr>
        <w:t>Ren</w:t>
      </w:r>
      <w:r>
        <w:rPr>
          <w:rFonts w:cs="Arial"/>
          <w:u w:val="single"/>
          <w:lang w:val="es-ES"/>
        </w:rPr>
        <w:t>ovaciones</w:t>
      </w:r>
    </w:p>
    <w:p w:rsidR="0023753C" w:rsidRDefault="0023753C" w:rsidP="00DC1333">
      <w:pPr>
        <w:jc w:val="center"/>
        <w:rPr>
          <w:sz w:val="20"/>
        </w:rPr>
      </w:pPr>
      <w:r w:rsidRPr="00135169">
        <w:rPr>
          <w:noProof/>
          <w:lang w:val="en-US" w:eastAsia="en-US"/>
        </w:rPr>
        <w:drawing>
          <wp:inline distT="0" distB="0" distL="0" distR="0" wp14:anchorId="01224539" wp14:editId="1AC64F8F">
            <wp:extent cx="5157809" cy="223431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57241" cy="2234071"/>
                    </a:xfrm>
                    <a:prstGeom prst="rect">
                      <a:avLst/>
                    </a:prstGeom>
                    <a:noFill/>
                    <a:ln>
                      <a:noFill/>
                    </a:ln>
                  </pic:spPr>
                </pic:pic>
              </a:graphicData>
            </a:graphic>
          </wp:inline>
        </w:drawing>
      </w:r>
    </w:p>
    <w:p w:rsidR="0023753C" w:rsidRDefault="0023753C" w:rsidP="0023753C">
      <w:pPr>
        <w:numPr>
          <w:ilvl w:val="0"/>
          <w:numId w:val="30"/>
        </w:numPr>
        <w:tabs>
          <w:tab w:val="clear" w:pos="720"/>
          <w:tab w:val="num" w:pos="1560"/>
        </w:tabs>
        <w:spacing w:after="120"/>
        <w:ind w:left="993" w:hanging="426"/>
        <w:jc w:val="both"/>
        <w:rPr>
          <w:sz w:val="20"/>
        </w:rPr>
      </w:pPr>
      <w:r w:rsidRPr="001F3563">
        <w:rPr>
          <w:sz w:val="20"/>
        </w:rPr>
        <w:t>En 2015, la Oficina Internacional registró 28.502 renovaciones, un 11</w:t>
      </w:r>
      <w:r>
        <w:rPr>
          <w:sz w:val="20"/>
        </w:rPr>
        <w:t>%</w:t>
      </w:r>
      <w:r w:rsidRPr="001F3563">
        <w:rPr>
          <w:sz w:val="20"/>
        </w:rPr>
        <w:t xml:space="preserve"> m</w:t>
      </w:r>
      <w:r>
        <w:rPr>
          <w:sz w:val="20"/>
        </w:rPr>
        <w:t xml:space="preserve">ás que en </w:t>
      </w:r>
      <w:r w:rsidRPr="001F3563">
        <w:rPr>
          <w:sz w:val="20"/>
        </w:rPr>
        <w:t>2014.  La cifra total de renovaciones tramitadas durante el bienio 2014/15 aumentó en un 21</w:t>
      </w:r>
      <w:r>
        <w:rPr>
          <w:sz w:val="20"/>
        </w:rPr>
        <w:t>%</w:t>
      </w:r>
      <w:r w:rsidRPr="001F3563">
        <w:rPr>
          <w:sz w:val="20"/>
        </w:rPr>
        <w:t xml:space="preserve"> con respect</w:t>
      </w:r>
      <w:r>
        <w:rPr>
          <w:sz w:val="20"/>
        </w:rPr>
        <w:t>o</w:t>
      </w:r>
      <w:r w:rsidRPr="001F3563">
        <w:rPr>
          <w:sz w:val="20"/>
        </w:rPr>
        <w:t xml:space="preserve"> al bienio 2012/13</w:t>
      </w:r>
      <w:r>
        <w:rPr>
          <w:sz w:val="20"/>
        </w:rPr>
        <w:t>.</w:t>
      </w:r>
    </w:p>
    <w:p w:rsidR="0023753C" w:rsidRDefault="0023753C" w:rsidP="00DC1333">
      <w:pPr>
        <w:spacing w:after="120"/>
        <w:ind w:left="993" w:hanging="426"/>
        <w:jc w:val="both"/>
        <w:rPr>
          <w:sz w:val="20"/>
        </w:rPr>
      </w:pPr>
    </w:p>
    <w:p w:rsidR="0023753C" w:rsidRDefault="0023753C" w:rsidP="00DC1333">
      <w:pPr>
        <w:pStyle w:val="ListParagraph"/>
        <w:keepNext/>
        <w:keepLines/>
        <w:ind w:left="0"/>
        <w:jc w:val="both"/>
        <w:rPr>
          <w:rFonts w:cs="Arial"/>
          <w:u w:val="single"/>
          <w:lang w:val="es-ES"/>
        </w:rPr>
      </w:pPr>
      <w:r>
        <w:rPr>
          <w:rFonts w:cs="Arial"/>
          <w:u w:val="single"/>
          <w:lang w:val="es-ES"/>
        </w:rPr>
        <w:lastRenderedPageBreak/>
        <w:t>Designaciones posteriores</w:t>
      </w:r>
      <w:r w:rsidRPr="00760842">
        <w:rPr>
          <w:rFonts w:cs="Arial"/>
          <w:u w:val="single"/>
          <w:lang w:val="es-ES"/>
        </w:rPr>
        <w:t xml:space="preserve"> </w:t>
      </w:r>
    </w:p>
    <w:p w:rsidR="0023753C" w:rsidRDefault="0023753C" w:rsidP="00DC1333">
      <w:pPr>
        <w:keepNext/>
        <w:keepLines/>
        <w:jc w:val="center"/>
        <w:rPr>
          <w:sz w:val="20"/>
          <w:highlight w:val="yellow"/>
        </w:rPr>
      </w:pPr>
      <w:r w:rsidRPr="00881BDF">
        <w:rPr>
          <w:noProof/>
          <w:lang w:val="en-US" w:eastAsia="en-US"/>
        </w:rPr>
        <w:drawing>
          <wp:inline distT="0" distB="0" distL="0" distR="0" wp14:anchorId="44E6EF1A" wp14:editId="6A6F88BB">
            <wp:extent cx="5325001" cy="2624447"/>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6565" cy="2635075"/>
                    </a:xfrm>
                    <a:prstGeom prst="rect">
                      <a:avLst/>
                    </a:prstGeom>
                    <a:noFill/>
                    <a:ln>
                      <a:noFill/>
                    </a:ln>
                  </pic:spPr>
                </pic:pic>
              </a:graphicData>
            </a:graphic>
          </wp:inline>
        </w:drawing>
      </w:r>
    </w:p>
    <w:p w:rsidR="0023753C" w:rsidRDefault="0023753C" w:rsidP="00DC1333">
      <w:pPr>
        <w:keepNext/>
        <w:keepLines/>
        <w:jc w:val="both"/>
        <w:rPr>
          <w:sz w:val="20"/>
          <w:highlight w:val="yellow"/>
        </w:rPr>
      </w:pPr>
    </w:p>
    <w:p w:rsidR="0023753C" w:rsidRDefault="0023753C" w:rsidP="0023753C">
      <w:pPr>
        <w:keepNext/>
        <w:keepLines/>
        <w:numPr>
          <w:ilvl w:val="0"/>
          <w:numId w:val="30"/>
        </w:numPr>
        <w:tabs>
          <w:tab w:val="clear" w:pos="720"/>
          <w:tab w:val="num" w:pos="993"/>
        </w:tabs>
        <w:spacing w:after="120"/>
        <w:ind w:left="993" w:hanging="426"/>
        <w:jc w:val="both"/>
        <w:rPr>
          <w:sz w:val="20"/>
        </w:rPr>
      </w:pPr>
      <w:r w:rsidRPr="001F3563">
        <w:rPr>
          <w:sz w:val="20"/>
        </w:rPr>
        <w:t xml:space="preserve">En 2015, la Oficina Internacional </w:t>
      </w:r>
      <w:r>
        <w:rPr>
          <w:sz w:val="20"/>
        </w:rPr>
        <w:t>inscribi</w:t>
      </w:r>
      <w:r w:rsidRPr="001F3563">
        <w:rPr>
          <w:sz w:val="20"/>
        </w:rPr>
        <w:t>ó 17.937 designaciones posteriores, un 3,6</w:t>
      </w:r>
      <w:r>
        <w:rPr>
          <w:sz w:val="20"/>
        </w:rPr>
        <w:t>%</w:t>
      </w:r>
      <w:r w:rsidRPr="001F3563">
        <w:rPr>
          <w:sz w:val="20"/>
        </w:rPr>
        <w:t xml:space="preserve"> m</w:t>
      </w:r>
      <w:r>
        <w:rPr>
          <w:sz w:val="20"/>
        </w:rPr>
        <w:t xml:space="preserve">ás que en </w:t>
      </w:r>
      <w:r w:rsidRPr="001F3563">
        <w:rPr>
          <w:sz w:val="20"/>
        </w:rPr>
        <w:t xml:space="preserve">2014. </w:t>
      </w:r>
    </w:p>
    <w:p w:rsidR="0023753C" w:rsidRDefault="0023753C" w:rsidP="00DC1333">
      <w:pPr>
        <w:pStyle w:val="ListParagraph"/>
        <w:ind w:left="1418"/>
        <w:jc w:val="both"/>
        <w:rPr>
          <w:rFonts w:cs="Arial"/>
          <w:b/>
          <w:lang w:val="es-ES"/>
        </w:rPr>
      </w:pPr>
    </w:p>
    <w:p w:rsidR="0023753C" w:rsidRDefault="0023753C" w:rsidP="00DC1333">
      <w:pPr>
        <w:pStyle w:val="ListParagraph"/>
        <w:ind w:left="1418"/>
        <w:jc w:val="both"/>
        <w:rPr>
          <w:rFonts w:cs="Arial"/>
          <w:b/>
          <w:lang w:val="es-ES"/>
        </w:rPr>
      </w:pPr>
    </w:p>
    <w:p w:rsidR="0023753C" w:rsidRDefault="0023753C" w:rsidP="00DC1333">
      <w:pPr>
        <w:pStyle w:val="ListParagraph"/>
        <w:ind w:left="0"/>
        <w:jc w:val="both"/>
        <w:rPr>
          <w:rFonts w:cs="Arial"/>
          <w:u w:val="single"/>
          <w:lang w:val="es-ES"/>
        </w:rPr>
      </w:pPr>
      <w:r>
        <w:rPr>
          <w:rFonts w:cs="Arial"/>
          <w:u w:val="single"/>
          <w:lang w:val="es-ES"/>
        </w:rPr>
        <w:t>Cambios</w:t>
      </w:r>
    </w:p>
    <w:p w:rsidR="0023753C" w:rsidRDefault="0023753C" w:rsidP="00DC1333">
      <w:pPr>
        <w:ind w:left="360"/>
        <w:jc w:val="center"/>
      </w:pPr>
      <w:r w:rsidRPr="0071157B">
        <w:rPr>
          <w:noProof/>
          <w:lang w:val="en-US" w:eastAsia="en-US"/>
        </w:rPr>
        <w:drawing>
          <wp:inline distT="0" distB="0" distL="0" distR="0" wp14:anchorId="53DD4CB8" wp14:editId="6BD50010">
            <wp:extent cx="5660112" cy="2660073"/>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659596" cy="2659831"/>
                    </a:xfrm>
                    <a:prstGeom prst="rect">
                      <a:avLst/>
                    </a:prstGeom>
                    <a:noFill/>
                    <a:ln>
                      <a:noFill/>
                    </a:ln>
                  </pic:spPr>
                </pic:pic>
              </a:graphicData>
            </a:graphic>
          </wp:inline>
        </w:drawing>
      </w:r>
    </w:p>
    <w:p w:rsidR="0023753C" w:rsidRDefault="0023753C" w:rsidP="0023753C">
      <w:pPr>
        <w:numPr>
          <w:ilvl w:val="0"/>
          <w:numId w:val="30"/>
        </w:numPr>
        <w:tabs>
          <w:tab w:val="clear" w:pos="720"/>
          <w:tab w:val="num" w:pos="993"/>
        </w:tabs>
        <w:spacing w:after="120"/>
        <w:ind w:left="993" w:hanging="426"/>
        <w:jc w:val="both"/>
        <w:rPr>
          <w:sz w:val="20"/>
        </w:rPr>
      </w:pPr>
      <w:r w:rsidRPr="00351F29">
        <w:rPr>
          <w:sz w:val="20"/>
        </w:rPr>
        <w:t xml:space="preserve">En 2015, la Oficina Internacional recibió 41.363 peticiones </w:t>
      </w:r>
      <w:r>
        <w:rPr>
          <w:sz w:val="20"/>
        </w:rPr>
        <w:t xml:space="preserve">para realizar </w:t>
      </w:r>
      <w:r w:rsidRPr="00351F29">
        <w:rPr>
          <w:sz w:val="20"/>
        </w:rPr>
        <w:t>cambio</w:t>
      </w:r>
      <w:r>
        <w:rPr>
          <w:sz w:val="20"/>
        </w:rPr>
        <w:t>s</w:t>
      </w:r>
      <w:r w:rsidRPr="00351F29">
        <w:rPr>
          <w:sz w:val="20"/>
        </w:rPr>
        <w:t>, un 6,6</w:t>
      </w:r>
      <w:r>
        <w:rPr>
          <w:sz w:val="20"/>
        </w:rPr>
        <w:t>%</w:t>
      </w:r>
      <w:r w:rsidRPr="00351F29">
        <w:rPr>
          <w:sz w:val="20"/>
        </w:rPr>
        <w:t xml:space="preserve"> m</w:t>
      </w:r>
      <w:r>
        <w:rPr>
          <w:sz w:val="20"/>
        </w:rPr>
        <w:t xml:space="preserve">ás que en </w:t>
      </w:r>
      <w:r w:rsidRPr="00351F29">
        <w:rPr>
          <w:sz w:val="20"/>
        </w:rPr>
        <w:t xml:space="preserve">2014. </w:t>
      </w:r>
    </w:p>
    <w:p w:rsidR="0023753C" w:rsidRDefault="0023753C" w:rsidP="00DC1333">
      <w:pPr>
        <w:spacing w:after="120"/>
        <w:ind w:left="1560"/>
        <w:jc w:val="both"/>
        <w:rPr>
          <w:sz w:val="20"/>
        </w:rPr>
      </w:pPr>
    </w:p>
    <w:p w:rsidR="0023753C" w:rsidRDefault="0023753C" w:rsidP="00DC1333">
      <w:pPr>
        <w:pStyle w:val="ListParagraph"/>
        <w:keepNext/>
        <w:keepLines/>
        <w:ind w:left="0"/>
        <w:jc w:val="both"/>
        <w:rPr>
          <w:rFonts w:cs="Arial"/>
          <w:u w:val="single"/>
          <w:lang w:val="es-ES"/>
        </w:rPr>
      </w:pPr>
      <w:r w:rsidRPr="00760842">
        <w:rPr>
          <w:rFonts w:cs="Arial"/>
          <w:u w:val="single"/>
          <w:lang w:val="es-ES"/>
        </w:rPr>
        <w:lastRenderedPageBreak/>
        <w:t>Decision</w:t>
      </w:r>
      <w:r>
        <w:rPr>
          <w:rFonts w:cs="Arial"/>
          <w:u w:val="single"/>
          <w:lang w:val="es-ES"/>
        </w:rPr>
        <w:t>e</w:t>
      </w:r>
      <w:r w:rsidRPr="00760842">
        <w:rPr>
          <w:rFonts w:cs="Arial"/>
          <w:u w:val="single"/>
          <w:lang w:val="es-ES"/>
        </w:rPr>
        <w:t>s</w:t>
      </w:r>
    </w:p>
    <w:p w:rsidR="0023753C" w:rsidRDefault="0023753C" w:rsidP="00DC1333">
      <w:pPr>
        <w:keepNext/>
        <w:keepLines/>
        <w:jc w:val="center"/>
      </w:pPr>
      <w:r w:rsidRPr="00135169">
        <w:rPr>
          <w:noProof/>
          <w:lang w:val="en-US" w:eastAsia="en-US"/>
        </w:rPr>
        <w:drawing>
          <wp:inline distT="0" distB="0" distL="0" distR="0" wp14:anchorId="6570621E" wp14:editId="2370FFED">
            <wp:extent cx="5463472" cy="2873829"/>
            <wp:effectExtent l="0" t="0" r="4445"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69541" cy="2877022"/>
                    </a:xfrm>
                    <a:prstGeom prst="rect">
                      <a:avLst/>
                    </a:prstGeom>
                    <a:noFill/>
                    <a:ln>
                      <a:noFill/>
                    </a:ln>
                  </pic:spPr>
                </pic:pic>
              </a:graphicData>
            </a:graphic>
          </wp:inline>
        </w:drawing>
      </w:r>
    </w:p>
    <w:p w:rsidR="0023753C" w:rsidRDefault="0023753C" w:rsidP="0023753C">
      <w:pPr>
        <w:keepNext/>
        <w:keepLines/>
        <w:numPr>
          <w:ilvl w:val="0"/>
          <w:numId w:val="30"/>
        </w:numPr>
        <w:tabs>
          <w:tab w:val="clear" w:pos="720"/>
          <w:tab w:val="num" w:pos="993"/>
        </w:tabs>
        <w:spacing w:after="120"/>
        <w:ind w:left="993" w:hanging="426"/>
        <w:jc w:val="both"/>
        <w:rPr>
          <w:sz w:val="20"/>
        </w:rPr>
      </w:pPr>
      <w:r w:rsidRPr="00351F29">
        <w:rPr>
          <w:sz w:val="20"/>
        </w:rPr>
        <w:t xml:space="preserve">En 2015, el número de decisiones registradas aumentó en un </w:t>
      </w:r>
      <w:r>
        <w:rPr>
          <w:sz w:val="20"/>
        </w:rPr>
        <w:t>4%</w:t>
      </w:r>
      <w:r w:rsidRPr="00351F29">
        <w:rPr>
          <w:sz w:val="20"/>
        </w:rPr>
        <w:t xml:space="preserve"> con respect</w:t>
      </w:r>
      <w:r>
        <w:rPr>
          <w:sz w:val="20"/>
        </w:rPr>
        <w:t>o</w:t>
      </w:r>
      <w:r w:rsidRPr="00351F29">
        <w:rPr>
          <w:sz w:val="20"/>
        </w:rPr>
        <w:t xml:space="preserve"> a 2014, </w:t>
      </w:r>
      <w:r>
        <w:rPr>
          <w:sz w:val="20"/>
        </w:rPr>
        <w:t xml:space="preserve">situando el número total en </w:t>
      </w:r>
      <w:r w:rsidRPr="00351F29">
        <w:rPr>
          <w:sz w:val="20"/>
        </w:rPr>
        <w:t>541</w:t>
      </w:r>
      <w:r>
        <w:rPr>
          <w:sz w:val="20"/>
        </w:rPr>
        <w:t>.</w:t>
      </w:r>
      <w:r w:rsidRPr="00351F29">
        <w:rPr>
          <w:sz w:val="20"/>
        </w:rPr>
        <w:t xml:space="preserve">964.  </w:t>
      </w:r>
      <w:r w:rsidRPr="0094648B">
        <w:rPr>
          <w:sz w:val="20"/>
        </w:rPr>
        <w:t>El número de decisiones tramitadas ha aumentado significativamente desde 2010.</w:t>
      </w:r>
    </w:p>
    <w:p w:rsidR="0023753C" w:rsidRDefault="0023753C" w:rsidP="0023753C">
      <w:pPr>
        <w:numPr>
          <w:ilvl w:val="0"/>
          <w:numId w:val="30"/>
        </w:numPr>
        <w:tabs>
          <w:tab w:val="clear" w:pos="720"/>
          <w:tab w:val="num" w:pos="993"/>
        </w:tabs>
        <w:spacing w:after="120"/>
        <w:ind w:left="993" w:hanging="426"/>
        <w:jc w:val="both"/>
        <w:rPr>
          <w:sz w:val="20"/>
        </w:rPr>
      </w:pPr>
      <w:r w:rsidRPr="00351F29">
        <w:rPr>
          <w:sz w:val="20"/>
        </w:rPr>
        <w:t xml:space="preserve">En 2015, el 68 </w:t>
      </w:r>
      <w:r>
        <w:rPr>
          <w:sz w:val="20"/>
        </w:rPr>
        <w:t>%</w:t>
      </w:r>
      <w:r w:rsidRPr="00351F29">
        <w:rPr>
          <w:sz w:val="20"/>
        </w:rPr>
        <w:t xml:space="preserve"> de las decisiones se tramitaron automáticamente, una proporción que ha crecido </w:t>
      </w:r>
      <w:r>
        <w:rPr>
          <w:sz w:val="20"/>
        </w:rPr>
        <w:t xml:space="preserve">de forma </w:t>
      </w:r>
      <w:r w:rsidRPr="00351F29">
        <w:rPr>
          <w:sz w:val="20"/>
        </w:rPr>
        <w:t>constante desde 2011, cuando la mayoría de las decisiones empezaron a tramitarse de manera autom</w:t>
      </w:r>
      <w:r>
        <w:rPr>
          <w:sz w:val="20"/>
        </w:rPr>
        <w:t>ática</w:t>
      </w:r>
      <w:r w:rsidRPr="00351F29">
        <w:rPr>
          <w:sz w:val="20"/>
        </w:rPr>
        <w:t>.</w:t>
      </w:r>
    </w:p>
    <w:p w:rsidR="0023753C" w:rsidRDefault="0023753C" w:rsidP="00DC1333">
      <w:pPr>
        <w:jc w:val="both"/>
      </w:pPr>
    </w:p>
    <w:p w:rsidR="0023753C" w:rsidRDefault="0023753C" w:rsidP="00DC1333">
      <w:pPr>
        <w:pStyle w:val="ListParagraph"/>
        <w:ind w:left="0"/>
        <w:jc w:val="both"/>
        <w:rPr>
          <w:rFonts w:cs="Arial"/>
          <w:u w:val="single"/>
          <w:lang w:val="es-ES"/>
        </w:rPr>
      </w:pPr>
      <w:r w:rsidRPr="00760842">
        <w:rPr>
          <w:rFonts w:cs="Arial"/>
          <w:u w:val="single"/>
          <w:lang w:val="es-ES"/>
        </w:rPr>
        <w:t>Correc</w:t>
      </w:r>
      <w:r>
        <w:rPr>
          <w:rFonts w:cs="Arial"/>
          <w:u w:val="single"/>
          <w:lang w:val="es-ES"/>
        </w:rPr>
        <w:t>c</w:t>
      </w:r>
      <w:r w:rsidRPr="00760842">
        <w:rPr>
          <w:rFonts w:cs="Arial"/>
          <w:u w:val="single"/>
          <w:lang w:val="es-ES"/>
        </w:rPr>
        <w:t>ion</w:t>
      </w:r>
      <w:r>
        <w:rPr>
          <w:rFonts w:cs="Arial"/>
          <w:u w:val="single"/>
          <w:lang w:val="es-ES"/>
        </w:rPr>
        <w:t>e</w:t>
      </w:r>
      <w:r w:rsidRPr="00760842">
        <w:rPr>
          <w:rFonts w:cs="Arial"/>
          <w:u w:val="single"/>
          <w:lang w:val="es-ES"/>
        </w:rPr>
        <w:t>s</w:t>
      </w:r>
    </w:p>
    <w:p w:rsidR="0023753C" w:rsidRDefault="0023753C" w:rsidP="00DC1333">
      <w:pPr>
        <w:jc w:val="center"/>
      </w:pPr>
      <w:r w:rsidRPr="0071157B">
        <w:rPr>
          <w:noProof/>
          <w:lang w:val="en-US" w:eastAsia="en-US"/>
        </w:rPr>
        <w:drawing>
          <wp:inline distT="0" distB="0" distL="0" distR="0" wp14:anchorId="4116F792" wp14:editId="29247907">
            <wp:extent cx="6109338" cy="2683823"/>
            <wp:effectExtent l="0" t="0" r="5715"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658" cy="2688796"/>
                    </a:xfrm>
                    <a:prstGeom prst="rect">
                      <a:avLst/>
                    </a:prstGeom>
                    <a:noFill/>
                    <a:ln>
                      <a:noFill/>
                    </a:ln>
                  </pic:spPr>
                </pic:pic>
              </a:graphicData>
            </a:graphic>
          </wp:inline>
        </w:drawing>
      </w:r>
    </w:p>
    <w:p w:rsidR="0023753C" w:rsidRDefault="0023753C" w:rsidP="0023753C">
      <w:pPr>
        <w:numPr>
          <w:ilvl w:val="0"/>
          <w:numId w:val="30"/>
        </w:numPr>
        <w:tabs>
          <w:tab w:val="clear" w:pos="720"/>
          <w:tab w:val="num" w:pos="993"/>
        </w:tabs>
        <w:spacing w:after="120"/>
        <w:ind w:left="993" w:hanging="426"/>
        <w:jc w:val="both"/>
        <w:rPr>
          <w:sz w:val="20"/>
        </w:rPr>
      </w:pPr>
      <w:r w:rsidRPr="00351F29">
        <w:rPr>
          <w:sz w:val="20"/>
        </w:rPr>
        <w:t xml:space="preserve">En 2014, la Oficina Internacional </w:t>
      </w:r>
      <w:r>
        <w:rPr>
          <w:sz w:val="20"/>
        </w:rPr>
        <w:t xml:space="preserve">inscribió </w:t>
      </w:r>
      <w:r w:rsidRPr="00351F29">
        <w:rPr>
          <w:sz w:val="20"/>
        </w:rPr>
        <w:t>6</w:t>
      </w:r>
      <w:r>
        <w:rPr>
          <w:sz w:val="20"/>
        </w:rPr>
        <w:t>.</w:t>
      </w:r>
      <w:r w:rsidRPr="00351F29">
        <w:rPr>
          <w:sz w:val="20"/>
        </w:rPr>
        <w:t>127 correc</w:t>
      </w:r>
      <w:r>
        <w:rPr>
          <w:sz w:val="20"/>
        </w:rPr>
        <w:t>c</w:t>
      </w:r>
      <w:r w:rsidRPr="00351F29">
        <w:rPr>
          <w:sz w:val="20"/>
        </w:rPr>
        <w:t>ion</w:t>
      </w:r>
      <w:r>
        <w:rPr>
          <w:sz w:val="20"/>
        </w:rPr>
        <w:t>e</w:t>
      </w:r>
      <w:r w:rsidRPr="00351F29">
        <w:rPr>
          <w:sz w:val="20"/>
        </w:rPr>
        <w:t xml:space="preserve">s.  </w:t>
      </w:r>
      <w:r>
        <w:rPr>
          <w:sz w:val="20"/>
        </w:rPr>
        <w:t xml:space="preserve">Esto representa un aumento del </w:t>
      </w:r>
      <w:r w:rsidRPr="00351F29">
        <w:rPr>
          <w:sz w:val="20"/>
        </w:rPr>
        <w:t>0,9</w:t>
      </w:r>
      <w:r>
        <w:rPr>
          <w:sz w:val="20"/>
        </w:rPr>
        <w:t>%</w:t>
      </w:r>
      <w:r w:rsidRPr="00351F29">
        <w:rPr>
          <w:sz w:val="20"/>
        </w:rPr>
        <w:t xml:space="preserve"> con respecto a 2014.</w:t>
      </w:r>
    </w:p>
    <w:p w:rsidR="0023753C" w:rsidRDefault="0023753C" w:rsidP="00DC1333">
      <w:pPr>
        <w:spacing w:after="120"/>
        <w:ind w:left="993"/>
        <w:jc w:val="both"/>
        <w:rPr>
          <w:sz w:val="20"/>
        </w:rPr>
      </w:pPr>
    </w:p>
    <w:p w:rsidR="0023753C" w:rsidRDefault="0023753C" w:rsidP="0023753C">
      <w:pPr>
        <w:pStyle w:val="ListParagraph"/>
        <w:keepNext/>
        <w:keepLines/>
        <w:numPr>
          <w:ilvl w:val="0"/>
          <w:numId w:val="29"/>
        </w:numPr>
        <w:ind w:left="540" w:hanging="540"/>
        <w:contextualSpacing/>
        <w:jc w:val="both"/>
        <w:rPr>
          <w:rFonts w:cs="Arial"/>
          <w:b/>
          <w:lang w:val="es-ES"/>
        </w:rPr>
      </w:pPr>
      <w:r>
        <w:rPr>
          <w:rFonts w:cs="Arial"/>
          <w:b/>
          <w:lang w:val="es-ES"/>
        </w:rPr>
        <w:lastRenderedPageBreak/>
        <w:t>Volumen total de trabajo</w:t>
      </w:r>
    </w:p>
    <w:p w:rsidR="0023753C" w:rsidRDefault="0023753C" w:rsidP="00DC1333">
      <w:pPr>
        <w:keepNext/>
        <w:keepLines/>
        <w:jc w:val="both"/>
        <w:rPr>
          <w:sz w:val="20"/>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sidRPr="00AA1C30">
        <w:rPr>
          <w:rFonts w:cs="Arial"/>
          <w:lang w:val="es-ES"/>
        </w:rPr>
        <w:t xml:space="preserve">El volumen total de trabajo </w:t>
      </w:r>
      <w:r>
        <w:rPr>
          <w:rFonts w:cs="Arial"/>
          <w:lang w:val="es-ES"/>
        </w:rPr>
        <w:t>representa e</w:t>
      </w:r>
      <w:r w:rsidRPr="00AA1C30">
        <w:rPr>
          <w:rFonts w:cs="Arial"/>
          <w:lang w:val="es-ES"/>
        </w:rPr>
        <w:t>l número total ponderado de los documentos tramitados por la Oficina Internacional.  En el total se incluyen las seis categorías de documentos mencionad</w:t>
      </w:r>
      <w:r>
        <w:rPr>
          <w:rFonts w:cs="Arial"/>
          <w:lang w:val="es-ES"/>
        </w:rPr>
        <w:t>o</w:t>
      </w:r>
      <w:r w:rsidRPr="00AA1C30">
        <w:rPr>
          <w:rFonts w:cs="Arial"/>
          <w:lang w:val="es-ES"/>
        </w:rPr>
        <w:t xml:space="preserve">s, a saber, solicitudes, renovaciones, designaciones posteriores, cambios, decisiones y correcciones. </w:t>
      </w:r>
    </w:p>
    <w:p w:rsidR="0023753C" w:rsidRDefault="0023753C" w:rsidP="00DC1333">
      <w:pPr>
        <w:pStyle w:val="ListParagraph"/>
        <w:keepNext/>
        <w:keepLines/>
        <w:tabs>
          <w:tab w:val="left" w:pos="567"/>
        </w:tabs>
        <w:ind w:left="0"/>
        <w:jc w:val="both"/>
        <w:rPr>
          <w:rFonts w:cs="Arial"/>
          <w:lang w:val="es-ES"/>
        </w:rPr>
      </w:pPr>
    </w:p>
    <w:p w:rsidR="0023753C" w:rsidRPr="00A273AA" w:rsidRDefault="0023753C" w:rsidP="0023753C">
      <w:pPr>
        <w:pStyle w:val="ListParagraph"/>
        <w:keepNext/>
        <w:keepLines/>
        <w:numPr>
          <w:ilvl w:val="0"/>
          <w:numId w:val="35"/>
        </w:numPr>
        <w:tabs>
          <w:tab w:val="left" w:pos="567"/>
        </w:tabs>
        <w:ind w:left="0" w:firstLine="0"/>
        <w:contextualSpacing/>
        <w:jc w:val="both"/>
        <w:rPr>
          <w:rFonts w:cs="Arial"/>
          <w:sz w:val="16"/>
          <w:szCs w:val="16"/>
          <w:lang w:val="es-ES"/>
        </w:rPr>
      </w:pPr>
      <w:r>
        <w:rPr>
          <w:rFonts w:cs="Arial"/>
          <w:lang w:val="es-ES"/>
        </w:rPr>
        <w:t>En vista de qu</w:t>
      </w:r>
      <w:r w:rsidRPr="001D6136">
        <w:rPr>
          <w:rFonts w:cs="Arial"/>
          <w:lang w:val="es-ES"/>
        </w:rPr>
        <w:t xml:space="preserve">e son necesarios diferentes niveles de recursos para tramitar cada tipo de documento, </w:t>
      </w:r>
      <w:r>
        <w:rPr>
          <w:rFonts w:cs="Arial"/>
          <w:lang w:val="es-ES"/>
        </w:rPr>
        <w:t>cada uno de ellos se pondera de una manera diferente</w:t>
      </w:r>
      <w:r w:rsidRPr="001D6136">
        <w:rPr>
          <w:rFonts w:cs="Arial"/>
          <w:lang w:val="es-ES"/>
        </w:rPr>
        <w:t xml:space="preserve">.  </w:t>
      </w:r>
      <w:r w:rsidRPr="0094648B">
        <w:rPr>
          <w:rFonts w:cs="Arial"/>
          <w:lang w:val="es-ES"/>
        </w:rPr>
        <w:t>Según este sistema de ponderación, en el tiempo necesario para tramitar una solicitud internacional, se considera que un examinador es capaz de tramitar 1</w:t>
      </w:r>
      <w:r>
        <w:rPr>
          <w:rFonts w:cs="Arial"/>
          <w:lang w:val="es-ES"/>
        </w:rPr>
        <w:t>,</w:t>
      </w:r>
      <w:r w:rsidRPr="0094648B">
        <w:rPr>
          <w:rFonts w:cs="Arial"/>
          <w:lang w:val="es-ES"/>
        </w:rPr>
        <w:t>6 ren</w:t>
      </w:r>
      <w:r>
        <w:rPr>
          <w:rFonts w:cs="Arial"/>
          <w:lang w:val="es-ES"/>
        </w:rPr>
        <w:t xml:space="preserve">ovaciones, </w:t>
      </w:r>
      <w:r w:rsidRPr="0094648B">
        <w:rPr>
          <w:rFonts w:cs="Arial"/>
          <w:lang w:val="es-ES"/>
        </w:rPr>
        <w:t>1</w:t>
      </w:r>
      <w:r>
        <w:rPr>
          <w:rFonts w:cs="Arial"/>
          <w:lang w:val="es-ES"/>
        </w:rPr>
        <w:t>,</w:t>
      </w:r>
      <w:r w:rsidRPr="0094648B">
        <w:rPr>
          <w:rFonts w:cs="Arial"/>
          <w:lang w:val="es-ES"/>
        </w:rPr>
        <w:t xml:space="preserve">8 </w:t>
      </w:r>
      <w:r>
        <w:rPr>
          <w:rFonts w:cs="Arial"/>
          <w:lang w:val="es-ES"/>
        </w:rPr>
        <w:t>designaciones posteriores o 10 decisiones</w:t>
      </w:r>
      <w:r w:rsidRPr="0094648B">
        <w:rPr>
          <w:rFonts w:cs="Arial"/>
          <w:lang w:val="es-ES"/>
        </w:rPr>
        <w:t xml:space="preserve">.  Asimismo, en el tiempo necesario para tramitar una solicitud internacional, </w:t>
      </w:r>
      <w:r>
        <w:rPr>
          <w:rFonts w:cs="Arial"/>
          <w:lang w:val="es-ES"/>
        </w:rPr>
        <w:t xml:space="preserve">se considera que </w:t>
      </w:r>
      <w:r w:rsidRPr="0094648B">
        <w:rPr>
          <w:rFonts w:cs="Arial"/>
          <w:lang w:val="es-ES"/>
        </w:rPr>
        <w:t xml:space="preserve">un empleado encargado de los procesos automáticos </w:t>
      </w:r>
      <w:r>
        <w:rPr>
          <w:rFonts w:cs="Arial"/>
          <w:lang w:val="es-ES"/>
        </w:rPr>
        <w:t xml:space="preserve">es capaz de tramitar </w:t>
      </w:r>
      <w:r w:rsidRPr="0094648B">
        <w:rPr>
          <w:rFonts w:cs="Arial"/>
          <w:lang w:val="es-ES"/>
        </w:rPr>
        <w:t xml:space="preserve">17 documentos. </w:t>
      </w:r>
    </w:p>
    <w:p w:rsidR="0023753C" w:rsidRPr="00A273AA" w:rsidRDefault="0023753C" w:rsidP="00DC1333">
      <w:pPr>
        <w:pStyle w:val="ListParagraph"/>
        <w:keepNext/>
        <w:keepLines/>
        <w:tabs>
          <w:tab w:val="left" w:pos="567"/>
        </w:tabs>
        <w:ind w:left="0"/>
        <w:jc w:val="both"/>
        <w:rPr>
          <w:rFonts w:cs="Arial"/>
          <w:sz w:val="16"/>
          <w:szCs w:val="16"/>
          <w:lang w:val="es-ES"/>
        </w:rPr>
      </w:pPr>
    </w:p>
    <w:p w:rsidR="0023753C" w:rsidRDefault="0023753C" w:rsidP="00DC1333">
      <w:pPr>
        <w:jc w:val="center"/>
        <w:rPr>
          <w:noProof/>
        </w:rPr>
      </w:pPr>
      <w:r w:rsidRPr="00CC661C">
        <w:rPr>
          <w:noProof/>
          <w:lang w:val="en-US" w:eastAsia="en-US"/>
        </w:rPr>
        <w:drawing>
          <wp:inline distT="0" distB="0" distL="0" distR="0" wp14:anchorId="7743C4FA" wp14:editId="7DE896F0">
            <wp:extent cx="5449276" cy="2968832"/>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46037" cy="2967067"/>
                    </a:xfrm>
                    <a:prstGeom prst="rect">
                      <a:avLst/>
                    </a:prstGeom>
                    <a:noFill/>
                    <a:ln>
                      <a:noFill/>
                    </a:ln>
                  </pic:spPr>
                </pic:pic>
              </a:graphicData>
            </a:graphic>
          </wp:inline>
        </w:drawing>
      </w:r>
    </w:p>
    <w:p w:rsidR="0023753C" w:rsidRDefault="0023753C" w:rsidP="00DC1333">
      <w:pPr>
        <w:jc w:val="center"/>
      </w:pPr>
    </w:p>
    <w:p w:rsidR="0023753C" w:rsidRDefault="0023753C" w:rsidP="0023753C">
      <w:pPr>
        <w:numPr>
          <w:ilvl w:val="0"/>
          <w:numId w:val="30"/>
        </w:numPr>
        <w:tabs>
          <w:tab w:val="clear" w:pos="720"/>
          <w:tab w:val="num" w:pos="993"/>
        </w:tabs>
        <w:spacing w:after="120"/>
        <w:ind w:left="993" w:hanging="426"/>
        <w:jc w:val="both"/>
        <w:rPr>
          <w:sz w:val="20"/>
        </w:rPr>
      </w:pPr>
      <w:r w:rsidRPr="002219C3">
        <w:rPr>
          <w:sz w:val="20"/>
        </w:rPr>
        <w:t xml:space="preserve">En 2015, el volumen total de trabajo aumentó en un 11% en relación con 2014. </w:t>
      </w:r>
      <w:r>
        <w:rPr>
          <w:sz w:val="20"/>
        </w:rPr>
        <w:t xml:space="preserve"> </w:t>
      </w:r>
      <w:r w:rsidRPr="002219C3">
        <w:rPr>
          <w:sz w:val="20"/>
        </w:rPr>
        <w:t xml:space="preserve">Las solicitudes, las decisiones y los cambios representaron casi el 80% de la carga total de trabajo.  La carga total de trabajo durante el bienio 2014/2015 aumentó en un 10% en </w:t>
      </w:r>
      <w:r>
        <w:rPr>
          <w:sz w:val="20"/>
        </w:rPr>
        <w:t xml:space="preserve">comparación con </w:t>
      </w:r>
      <w:r w:rsidRPr="002219C3">
        <w:rPr>
          <w:sz w:val="20"/>
        </w:rPr>
        <w:t>el bienio</w:t>
      </w:r>
      <w:r>
        <w:rPr>
          <w:sz w:val="20"/>
        </w:rPr>
        <w:t xml:space="preserve"> 2012/2013.</w:t>
      </w:r>
    </w:p>
    <w:p w:rsidR="0023753C" w:rsidRDefault="0023753C" w:rsidP="0023753C">
      <w:pPr>
        <w:numPr>
          <w:ilvl w:val="0"/>
          <w:numId w:val="30"/>
        </w:numPr>
        <w:tabs>
          <w:tab w:val="clear" w:pos="720"/>
          <w:tab w:val="num" w:pos="993"/>
        </w:tabs>
        <w:spacing w:after="120"/>
        <w:ind w:left="993" w:hanging="426"/>
        <w:jc w:val="both"/>
      </w:pPr>
      <w:r w:rsidRPr="002219C3">
        <w:rPr>
          <w:sz w:val="20"/>
        </w:rPr>
        <w:t xml:space="preserve">El crecimiento observado en 2015 </w:t>
      </w:r>
      <w:r>
        <w:rPr>
          <w:sz w:val="20"/>
        </w:rPr>
        <w:t>guard</w:t>
      </w:r>
      <w:r w:rsidRPr="002219C3">
        <w:rPr>
          <w:sz w:val="20"/>
        </w:rPr>
        <w:t xml:space="preserve">ó </w:t>
      </w:r>
      <w:r>
        <w:rPr>
          <w:sz w:val="20"/>
        </w:rPr>
        <w:t xml:space="preserve">relación principalmente con el aumento </w:t>
      </w:r>
      <w:r w:rsidRPr="002219C3">
        <w:rPr>
          <w:sz w:val="20"/>
        </w:rPr>
        <w:t xml:space="preserve">en el número de solicitudes y renovaciones, mientras que el marcado aumento en la carga de trabajo entre 2011 y 2013 </w:t>
      </w:r>
      <w:r>
        <w:rPr>
          <w:sz w:val="20"/>
        </w:rPr>
        <w:t>se debió sobre todo al creciente número de decisiones</w:t>
      </w:r>
      <w:r w:rsidRPr="002219C3">
        <w:rPr>
          <w:sz w:val="20"/>
        </w:rPr>
        <w:t>.</w:t>
      </w:r>
    </w:p>
    <w:p w:rsidR="0023753C" w:rsidRDefault="0023753C" w:rsidP="00DC1333">
      <w:pPr>
        <w:pStyle w:val="ListParagraph"/>
        <w:ind w:left="1080"/>
        <w:jc w:val="both"/>
        <w:rPr>
          <w:rFonts w:cs="Arial"/>
          <w:sz w:val="16"/>
          <w:szCs w:val="16"/>
          <w:lang w:val="es-ES"/>
        </w:rPr>
      </w:pPr>
    </w:p>
    <w:p w:rsidR="0023753C" w:rsidRDefault="0023753C">
      <w:pPr>
        <w:rPr>
          <w:sz w:val="16"/>
          <w:szCs w:val="16"/>
        </w:rPr>
      </w:pPr>
      <w:r w:rsidRPr="002219C3">
        <w:rPr>
          <w:sz w:val="16"/>
          <w:szCs w:val="16"/>
        </w:rPr>
        <w:br w:type="page"/>
      </w:r>
    </w:p>
    <w:p w:rsidR="0023753C" w:rsidRDefault="0023753C" w:rsidP="00DC1333">
      <w:pPr>
        <w:pStyle w:val="ListParagraph"/>
        <w:ind w:left="1080"/>
        <w:jc w:val="both"/>
        <w:rPr>
          <w:rFonts w:cs="Arial"/>
          <w:sz w:val="16"/>
          <w:szCs w:val="16"/>
          <w:lang w:val="es-ES"/>
        </w:rPr>
      </w:pPr>
    </w:p>
    <w:p w:rsidR="0023753C" w:rsidRDefault="0023753C" w:rsidP="0023753C">
      <w:pPr>
        <w:pStyle w:val="ListParagraph"/>
        <w:numPr>
          <w:ilvl w:val="0"/>
          <w:numId w:val="29"/>
        </w:numPr>
        <w:ind w:left="567" w:hanging="567"/>
        <w:contextualSpacing/>
        <w:jc w:val="both"/>
        <w:rPr>
          <w:rFonts w:cs="Arial"/>
          <w:b/>
          <w:lang w:val="es-ES"/>
        </w:rPr>
      </w:pPr>
      <w:r w:rsidRPr="00AA1C30">
        <w:rPr>
          <w:rFonts w:cs="Arial"/>
          <w:b/>
          <w:lang w:val="es-ES"/>
        </w:rPr>
        <w:t>Medios de transmisi</w:t>
      </w:r>
      <w:r>
        <w:rPr>
          <w:rFonts w:cs="Arial"/>
          <w:b/>
          <w:lang w:val="es-ES"/>
        </w:rPr>
        <w:t>ó</w:t>
      </w:r>
      <w:r w:rsidRPr="00AA1C30">
        <w:rPr>
          <w:rFonts w:cs="Arial"/>
          <w:b/>
          <w:lang w:val="es-ES"/>
        </w:rPr>
        <w:t>n de los documentos recibidos</w:t>
      </w:r>
    </w:p>
    <w:p w:rsidR="0023753C" w:rsidRDefault="0023753C" w:rsidP="00DC1333">
      <w:pPr>
        <w:pStyle w:val="ListParagraph"/>
        <w:ind w:left="1080"/>
        <w:jc w:val="both"/>
        <w:rPr>
          <w:rFonts w:cs="Arial"/>
          <w:b/>
          <w:lang w:val="es-ES"/>
        </w:rPr>
      </w:pPr>
    </w:p>
    <w:p w:rsidR="0023753C" w:rsidRDefault="0023753C" w:rsidP="00DC1333">
      <w:pPr>
        <w:jc w:val="center"/>
        <w:rPr>
          <w:noProof/>
        </w:rPr>
      </w:pPr>
      <w:r w:rsidRPr="00CC661C">
        <w:rPr>
          <w:noProof/>
          <w:lang w:val="en-US" w:eastAsia="en-US"/>
        </w:rPr>
        <w:drawing>
          <wp:inline distT="0" distB="0" distL="0" distR="0" wp14:anchorId="5EF37996" wp14:editId="3D8C47D5">
            <wp:extent cx="6120455" cy="280257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35067" cy="2809268"/>
                    </a:xfrm>
                    <a:prstGeom prst="rect">
                      <a:avLst/>
                    </a:prstGeom>
                    <a:noFill/>
                    <a:ln>
                      <a:noFill/>
                    </a:ln>
                  </pic:spPr>
                </pic:pic>
              </a:graphicData>
            </a:graphic>
          </wp:inline>
        </w:drawing>
      </w:r>
    </w:p>
    <w:p w:rsidR="0023753C" w:rsidRDefault="0023753C" w:rsidP="0023753C">
      <w:pPr>
        <w:numPr>
          <w:ilvl w:val="0"/>
          <w:numId w:val="30"/>
        </w:numPr>
        <w:tabs>
          <w:tab w:val="clear" w:pos="720"/>
          <w:tab w:val="num" w:pos="993"/>
        </w:tabs>
        <w:spacing w:after="120"/>
        <w:ind w:left="993" w:hanging="426"/>
        <w:jc w:val="both"/>
        <w:rPr>
          <w:sz w:val="20"/>
        </w:rPr>
      </w:pPr>
      <w:r w:rsidRPr="00AA1C30">
        <w:rPr>
          <w:sz w:val="20"/>
        </w:rPr>
        <w:t xml:space="preserve">En 2015, el 79 </w:t>
      </w:r>
      <w:r>
        <w:rPr>
          <w:sz w:val="20"/>
        </w:rPr>
        <w:t>%</w:t>
      </w:r>
      <w:r w:rsidRPr="00AA1C30">
        <w:rPr>
          <w:sz w:val="20"/>
        </w:rPr>
        <w:t xml:space="preserve"> de todos los documentos recibidos se transmitieron a la Oficina Inter</w:t>
      </w:r>
      <w:r>
        <w:rPr>
          <w:sz w:val="20"/>
        </w:rPr>
        <w:t>n</w:t>
      </w:r>
      <w:r w:rsidRPr="00AA1C30">
        <w:rPr>
          <w:sz w:val="20"/>
        </w:rPr>
        <w:t>acional por v</w:t>
      </w:r>
      <w:r>
        <w:rPr>
          <w:sz w:val="20"/>
        </w:rPr>
        <w:t xml:space="preserve">ía electrónica, lo que representa un incremento de cinco puntos porcentuales con respecto a </w:t>
      </w:r>
      <w:r w:rsidRPr="00AA1C30">
        <w:rPr>
          <w:sz w:val="20"/>
        </w:rPr>
        <w:t>2014.</w:t>
      </w:r>
    </w:p>
    <w:p w:rsidR="0023753C" w:rsidRDefault="0023753C" w:rsidP="00DC1333">
      <w:pPr>
        <w:tabs>
          <w:tab w:val="num" w:pos="993"/>
        </w:tabs>
        <w:jc w:val="both"/>
        <w:rPr>
          <w:sz w:val="20"/>
        </w:rPr>
      </w:pPr>
    </w:p>
    <w:p w:rsidR="0023753C" w:rsidRDefault="0023753C" w:rsidP="0023753C">
      <w:pPr>
        <w:pStyle w:val="ListParagraph"/>
        <w:keepNext/>
        <w:keepLines/>
        <w:numPr>
          <w:ilvl w:val="0"/>
          <w:numId w:val="29"/>
        </w:numPr>
        <w:ind w:left="567" w:hanging="567"/>
        <w:contextualSpacing/>
        <w:jc w:val="both"/>
        <w:rPr>
          <w:rFonts w:cs="Arial"/>
          <w:b/>
          <w:lang w:val="es-ES"/>
        </w:rPr>
      </w:pPr>
      <w:r>
        <w:rPr>
          <w:rFonts w:cs="Arial"/>
          <w:b/>
          <w:lang w:val="es-ES"/>
        </w:rPr>
        <w:t>Tramitación</w:t>
      </w:r>
    </w:p>
    <w:p w:rsidR="0023753C" w:rsidRDefault="0023753C" w:rsidP="00DC1333">
      <w:pPr>
        <w:keepNext/>
        <w:keepLines/>
        <w:jc w:val="both"/>
        <w:rPr>
          <w:sz w:val="20"/>
        </w:rPr>
      </w:pPr>
    </w:p>
    <w:p w:rsidR="0023753C" w:rsidRDefault="0023753C" w:rsidP="00DC1333">
      <w:pPr>
        <w:pStyle w:val="ListParagraph"/>
        <w:ind w:left="0"/>
        <w:jc w:val="both"/>
        <w:rPr>
          <w:rFonts w:cs="Arial"/>
          <w:u w:val="single"/>
          <w:lang w:val="es-ES"/>
        </w:rPr>
      </w:pPr>
      <w:r>
        <w:rPr>
          <w:rFonts w:cs="Arial"/>
          <w:u w:val="single"/>
          <w:lang w:val="es-ES"/>
        </w:rPr>
        <w:t>C</w:t>
      </w:r>
      <w:r w:rsidRPr="00760842">
        <w:rPr>
          <w:rFonts w:cs="Arial"/>
          <w:u w:val="single"/>
          <w:lang w:val="es-ES"/>
        </w:rPr>
        <w:t>o</w:t>
      </w:r>
      <w:r>
        <w:rPr>
          <w:rFonts w:cs="Arial"/>
          <w:u w:val="single"/>
          <w:lang w:val="es-ES"/>
        </w:rPr>
        <w:t>sto to</w:t>
      </w:r>
      <w:r w:rsidRPr="00760842">
        <w:rPr>
          <w:rFonts w:cs="Arial"/>
          <w:u w:val="single"/>
          <w:lang w:val="es-ES"/>
        </w:rPr>
        <w:t xml:space="preserve">tal </w:t>
      </w:r>
      <w:r>
        <w:rPr>
          <w:rFonts w:cs="Arial"/>
          <w:u w:val="single"/>
          <w:lang w:val="es-ES"/>
        </w:rPr>
        <w:t>de producción</w:t>
      </w:r>
    </w:p>
    <w:p w:rsidR="0023753C" w:rsidRDefault="0023753C" w:rsidP="00DC1333">
      <w:pPr>
        <w:pStyle w:val="ListParagraph"/>
        <w:keepNext/>
        <w:keepLines/>
        <w:ind w:left="1440"/>
        <w:jc w:val="both"/>
        <w:rPr>
          <w:rFonts w:cs="Arial"/>
          <w:b/>
          <w:i/>
          <w:lang w:val="es-ES"/>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sidRPr="00257B0E">
        <w:rPr>
          <w:rFonts w:cs="Arial"/>
          <w:lang w:val="es-ES"/>
        </w:rPr>
        <w:t xml:space="preserve">El costo total de producción comprende los gastos </w:t>
      </w:r>
      <w:r>
        <w:rPr>
          <w:rFonts w:cs="Arial"/>
          <w:lang w:val="es-ES"/>
        </w:rPr>
        <w:t xml:space="preserve">relacionados </w:t>
      </w:r>
      <w:r w:rsidRPr="00257B0E">
        <w:rPr>
          <w:rFonts w:cs="Arial"/>
          <w:lang w:val="es-ES"/>
        </w:rPr>
        <w:t xml:space="preserve">exclusivamente </w:t>
      </w:r>
      <w:r>
        <w:rPr>
          <w:rFonts w:cs="Arial"/>
          <w:lang w:val="es-ES"/>
        </w:rPr>
        <w:t xml:space="preserve">con </w:t>
      </w:r>
      <w:r w:rsidRPr="00257B0E">
        <w:rPr>
          <w:rFonts w:cs="Arial"/>
          <w:lang w:val="es-ES"/>
        </w:rPr>
        <w:t xml:space="preserve">el Sistema de Madrid y los gastos </w:t>
      </w:r>
      <w:r>
        <w:rPr>
          <w:rFonts w:cs="Arial"/>
          <w:lang w:val="es-ES"/>
        </w:rPr>
        <w:t xml:space="preserve">correspondientes a </w:t>
      </w:r>
      <w:r w:rsidRPr="00257B0E">
        <w:rPr>
          <w:rFonts w:cs="Arial"/>
          <w:lang w:val="es-ES"/>
        </w:rPr>
        <w:t xml:space="preserve">las actividades de apoyo </w:t>
      </w:r>
      <w:r>
        <w:rPr>
          <w:rFonts w:cs="Arial"/>
          <w:lang w:val="es-ES"/>
        </w:rPr>
        <w:t>de</w:t>
      </w:r>
      <w:r w:rsidRPr="00257B0E">
        <w:rPr>
          <w:rFonts w:cs="Arial"/>
          <w:lang w:val="es-ES"/>
        </w:rPr>
        <w:t xml:space="preserve">l </w:t>
      </w:r>
      <w:r>
        <w:rPr>
          <w:rFonts w:cs="Arial"/>
          <w:lang w:val="es-ES"/>
        </w:rPr>
        <w:t>Sistema.</w:t>
      </w:r>
    </w:p>
    <w:p w:rsidR="0023753C" w:rsidRDefault="0023753C" w:rsidP="00DC1333">
      <w:pPr>
        <w:pStyle w:val="ListParagraph"/>
        <w:keepNext/>
        <w:keepLines/>
        <w:tabs>
          <w:tab w:val="left" w:pos="567"/>
        </w:tabs>
        <w:jc w:val="both"/>
        <w:rPr>
          <w:rFonts w:cs="Arial"/>
          <w:lang w:val="es-ES"/>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Pr>
          <w:rFonts w:cs="Arial"/>
          <w:lang w:val="es-ES"/>
        </w:rPr>
        <w:t>Los</w:t>
      </w:r>
      <w:r w:rsidRPr="008A4A86">
        <w:rPr>
          <w:rFonts w:cs="Arial"/>
          <w:lang w:val="es-ES"/>
        </w:rPr>
        <w:t xml:space="preserve"> gasto</w:t>
      </w:r>
      <w:r>
        <w:rPr>
          <w:rFonts w:cs="Arial"/>
          <w:lang w:val="es-ES"/>
        </w:rPr>
        <w:t>s</w:t>
      </w:r>
      <w:r w:rsidRPr="008A4A86">
        <w:rPr>
          <w:rFonts w:cs="Arial"/>
          <w:lang w:val="es-ES"/>
        </w:rPr>
        <w:t xml:space="preserve"> relacionado</w:t>
      </w:r>
      <w:r>
        <w:rPr>
          <w:rFonts w:cs="Arial"/>
          <w:lang w:val="es-ES"/>
        </w:rPr>
        <w:t>s</w:t>
      </w:r>
      <w:r w:rsidRPr="008A4A86">
        <w:rPr>
          <w:rFonts w:cs="Arial"/>
          <w:lang w:val="es-ES"/>
        </w:rPr>
        <w:t xml:space="preserve"> exclusivamente con el Sistema de Madrid representa</w:t>
      </w:r>
      <w:r>
        <w:rPr>
          <w:rFonts w:cs="Arial"/>
          <w:lang w:val="es-ES"/>
        </w:rPr>
        <w:t>n</w:t>
      </w:r>
      <w:r w:rsidRPr="008A4A86">
        <w:rPr>
          <w:rFonts w:cs="Arial"/>
          <w:lang w:val="es-ES"/>
        </w:rPr>
        <w:t xml:space="preserve"> en torno al 96% de los gastos del programa 6 (</w:t>
      </w:r>
      <w:r>
        <w:rPr>
          <w:rFonts w:cs="Arial"/>
          <w:lang w:val="es-ES"/>
        </w:rPr>
        <w:t>los Sistemas de Madrid y de Lisboa</w:t>
      </w:r>
      <w:r w:rsidRPr="008A4A86">
        <w:rPr>
          <w:rFonts w:cs="Arial"/>
          <w:lang w:val="es-ES"/>
        </w:rPr>
        <w:t>)</w:t>
      </w:r>
      <w:r w:rsidRPr="00760842">
        <w:rPr>
          <w:rStyle w:val="FootnoteReference"/>
          <w:rFonts w:cs="Arial"/>
          <w:lang w:val="es-ES"/>
        </w:rPr>
        <w:footnoteReference w:id="32"/>
      </w:r>
      <w:r w:rsidRPr="008A4A86">
        <w:rPr>
          <w:rFonts w:cs="Arial"/>
          <w:lang w:val="es-ES"/>
        </w:rPr>
        <w:t>.  Los g</w:t>
      </w:r>
      <w:r>
        <w:rPr>
          <w:rFonts w:cs="Arial"/>
          <w:lang w:val="es-ES"/>
        </w:rPr>
        <w:t>astos del Registro de Lisboa en </w:t>
      </w:r>
      <w:r w:rsidRPr="008A4A86">
        <w:rPr>
          <w:rFonts w:cs="Arial"/>
          <w:lang w:val="es-ES"/>
        </w:rPr>
        <w:t>2015 se excluyen del costo total de producci</w:t>
      </w:r>
      <w:r>
        <w:rPr>
          <w:rFonts w:cs="Arial"/>
          <w:lang w:val="es-ES"/>
        </w:rPr>
        <w:t>ón del Sistema de Madrid</w:t>
      </w:r>
      <w:r w:rsidRPr="008A4A86">
        <w:rPr>
          <w:rFonts w:cs="Arial"/>
          <w:lang w:val="es-ES"/>
        </w:rPr>
        <w:t>.</w:t>
      </w:r>
      <w:r w:rsidRPr="00760842">
        <w:rPr>
          <w:rStyle w:val="FootnoteReference"/>
          <w:rFonts w:cs="Arial"/>
          <w:lang w:val="es-ES"/>
        </w:rPr>
        <w:footnoteReference w:id="33"/>
      </w:r>
    </w:p>
    <w:p w:rsidR="0023753C" w:rsidRDefault="0023753C" w:rsidP="00DC1333">
      <w:pPr>
        <w:pStyle w:val="ListParagraph"/>
        <w:keepNext/>
        <w:keepLines/>
        <w:tabs>
          <w:tab w:val="left" w:pos="567"/>
        </w:tabs>
        <w:jc w:val="both"/>
        <w:rPr>
          <w:rFonts w:cs="Arial"/>
          <w:lang w:val="es-ES"/>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sidRPr="008A4A86">
        <w:rPr>
          <w:rFonts w:cs="Arial"/>
          <w:lang w:val="es-ES"/>
        </w:rPr>
        <w:t xml:space="preserve">El gasto en actividades de apoyo del Sistema de Madrid incluye el gasto relacionado con los </w:t>
      </w:r>
      <w:r>
        <w:rPr>
          <w:rFonts w:cs="Arial"/>
          <w:lang w:val="es-ES"/>
        </w:rPr>
        <w:t xml:space="preserve">siguientes </w:t>
      </w:r>
      <w:r w:rsidRPr="008A4A86">
        <w:rPr>
          <w:rFonts w:cs="Arial"/>
          <w:lang w:val="es-ES"/>
        </w:rPr>
        <w:t>servicios generales</w:t>
      </w:r>
      <w:proofErr w:type="gramStart"/>
      <w:r w:rsidRPr="008A4A86">
        <w:rPr>
          <w:rFonts w:cs="Arial"/>
          <w:lang w:val="es-ES"/>
        </w:rPr>
        <w:t xml:space="preserve">: </w:t>
      </w:r>
      <w:r>
        <w:rPr>
          <w:rFonts w:cs="Arial"/>
          <w:lang w:val="es-ES"/>
        </w:rPr>
        <w:t xml:space="preserve"> servicios</w:t>
      </w:r>
      <w:proofErr w:type="gramEnd"/>
      <w:r>
        <w:rPr>
          <w:rFonts w:cs="Arial"/>
          <w:lang w:val="es-ES"/>
        </w:rPr>
        <w:t xml:space="preserve"> de conferencias y lingüísticos, construcción, gestión ejecutiva, finanzas y presupuesto, servicios generales de apoyo, gestión de los recursos humanos, supervisión interna</w:t>
      </w:r>
      <w:r w:rsidRPr="008A4A86">
        <w:rPr>
          <w:rFonts w:cs="Arial"/>
          <w:lang w:val="es-ES"/>
        </w:rPr>
        <w:t xml:space="preserve">, </w:t>
      </w:r>
      <w:r>
        <w:rPr>
          <w:rFonts w:cs="Arial"/>
          <w:lang w:val="es-ES"/>
        </w:rPr>
        <w:t>T.I., y seguridad y vigilancia</w:t>
      </w:r>
      <w:r w:rsidRPr="008A4A86">
        <w:rPr>
          <w:rFonts w:cs="Arial"/>
          <w:lang w:val="es-ES"/>
        </w:rPr>
        <w:t xml:space="preserve">.  </w:t>
      </w:r>
      <w:r w:rsidRPr="00700365">
        <w:rPr>
          <w:rFonts w:cs="Arial"/>
          <w:lang w:val="es-ES"/>
        </w:rPr>
        <w:t>Un pequeño porcentaje de esos gastos (el costo del hospedaje de los servidores en el Centro Internacional de Cálculos Electrónicos de las Naciones Unidas (CICE) y un</w:t>
      </w:r>
      <w:r>
        <w:rPr>
          <w:rFonts w:cs="Arial"/>
          <w:lang w:val="es-ES"/>
        </w:rPr>
        <w:t>a parte</w:t>
      </w:r>
      <w:r w:rsidRPr="00700365">
        <w:rPr>
          <w:rFonts w:cs="Arial"/>
          <w:lang w:val="es-ES"/>
        </w:rPr>
        <w:t xml:space="preserve"> del costo</w:t>
      </w:r>
      <w:r>
        <w:rPr>
          <w:rFonts w:cs="Arial"/>
          <w:lang w:val="es-ES"/>
        </w:rPr>
        <w:t xml:space="preserve"> de la Sección de Ingresos en el Departamento de Finanzas</w:t>
      </w:r>
      <w:r w:rsidRPr="00700365">
        <w:rPr>
          <w:rFonts w:cs="Arial"/>
          <w:lang w:val="es-ES"/>
        </w:rPr>
        <w:t xml:space="preserve">) </w:t>
      </w:r>
      <w:r>
        <w:rPr>
          <w:rFonts w:cs="Arial"/>
          <w:lang w:val="es-ES"/>
        </w:rPr>
        <w:t>se atribuye directamente al Sistema de Madrid, mientras que el resto de los citados gastos atribuibles al Sistema de Madrid se calculan en función de las personas en nómina</w:t>
      </w:r>
      <w:r w:rsidRPr="00700365">
        <w:rPr>
          <w:rFonts w:cs="Arial"/>
          <w:lang w:val="es-ES"/>
        </w:rPr>
        <w:t xml:space="preserve"> (</w:t>
      </w:r>
      <w:r>
        <w:rPr>
          <w:rFonts w:cs="Arial"/>
          <w:lang w:val="es-ES"/>
        </w:rPr>
        <w:t xml:space="preserve">esto incluye a los empleados </w:t>
      </w:r>
      <w:r w:rsidRPr="00D62B21">
        <w:rPr>
          <w:rFonts w:cs="Arial"/>
          <w:lang w:val="es-ES"/>
        </w:rPr>
        <w:t>con contratos de duración determinada, los empleados con contratos de duración temporal y los becarios</w:t>
      </w:r>
      <w:r w:rsidRPr="00700365">
        <w:rPr>
          <w:rFonts w:cs="Arial"/>
          <w:lang w:val="es-ES"/>
        </w:rPr>
        <w:t>).</w:t>
      </w:r>
    </w:p>
    <w:p w:rsidR="0023753C" w:rsidRDefault="0023753C" w:rsidP="00DC1333">
      <w:pPr>
        <w:jc w:val="center"/>
      </w:pPr>
    </w:p>
    <w:p w:rsidR="0023753C" w:rsidRDefault="0023753C" w:rsidP="00DC1333">
      <w:pPr>
        <w:jc w:val="center"/>
      </w:pPr>
    </w:p>
    <w:p w:rsidR="0023753C" w:rsidRDefault="0023753C" w:rsidP="00DC1333">
      <w:pPr>
        <w:jc w:val="center"/>
      </w:pPr>
      <w:r w:rsidRPr="00CC661C">
        <w:rPr>
          <w:noProof/>
          <w:lang w:val="en-US" w:eastAsia="en-US"/>
        </w:rPr>
        <w:lastRenderedPageBreak/>
        <w:drawing>
          <wp:inline distT="0" distB="0" distL="0" distR="0" wp14:anchorId="49AC9623" wp14:editId="7D089BCC">
            <wp:extent cx="5450742" cy="3230088"/>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62840" cy="3237257"/>
                    </a:xfrm>
                    <a:prstGeom prst="rect">
                      <a:avLst/>
                    </a:prstGeom>
                    <a:noFill/>
                    <a:ln>
                      <a:noFill/>
                    </a:ln>
                  </pic:spPr>
                </pic:pic>
              </a:graphicData>
            </a:graphic>
          </wp:inline>
        </w:drawing>
      </w:r>
    </w:p>
    <w:p w:rsidR="0023753C" w:rsidRDefault="0023753C" w:rsidP="00DC1333">
      <w:pPr>
        <w:jc w:val="center"/>
      </w:pPr>
    </w:p>
    <w:p w:rsidR="0023753C" w:rsidRDefault="0023753C" w:rsidP="0023753C">
      <w:pPr>
        <w:pStyle w:val="ListParagraph"/>
        <w:numPr>
          <w:ilvl w:val="0"/>
          <w:numId w:val="32"/>
        </w:numPr>
        <w:spacing w:after="200"/>
        <w:ind w:left="1134" w:hanging="567"/>
        <w:contextualSpacing/>
        <w:jc w:val="both"/>
        <w:rPr>
          <w:rFonts w:cs="Arial"/>
          <w:lang w:val="es-ES"/>
        </w:rPr>
      </w:pPr>
      <w:r w:rsidRPr="006645C1">
        <w:rPr>
          <w:rFonts w:cs="Arial"/>
          <w:lang w:val="es-ES"/>
        </w:rPr>
        <w:t>Se calcula que el costo total de producción fue de 46,3 millon</w:t>
      </w:r>
      <w:r>
        <w:rPr>
          <w:rFonts w:cs="Arial"/>
          <w:lang w:val="es-ES"/>
        </w:rPr>
        <w:t xml:space="preserve">es de francos suizos en </w:t>
      </w:r>
      <w:r w:rsidRPr="006645C1">
        <w:rPr>
          <w:rFonts w:cs="Arial"/>
          <w:lang w:val="es-ES"/>
        </w:rPr>
        <w:t xml:space="preserve">2015.  </w:t>
      </w:r>
      <w:r w:rsidRPr="00A273AA">
        <w:rPr>
          <w:rFonts w:cs="Arial"/>
          <w:lang w:val="es-ES"/>
        </w:rPr>
        <w:t xml:space="preserve">Esto supone un aumento del 11% con respecto a 2014.  </w:t>
      </w:r>
      <w:r w:rsidRPr="006645C1">
        <w:rPr>
          <w:rFonts w:cs="Arial"/>
          <w:lang w:val="es-ES"/>
        </w:rPr>
        <w:t>El costo total de producción en el bienio 2014/15 aumentó en un 10% en relaci</w:t>
      </w:r>
      <w:r>
        <w:rPr>
          <w:rFonts w:cs="Arial"/>
          <w:lang w:val="es-ES"/>
        </w:rPr>
        <w:t xml:space="preserve">ón con el bienio </w:t>
      </w:r>
      <w:r w:rsidRPr="006645C1">
        <w:rPr>
          <w:rFonts w:cs="Arial"/>
          <w:lang w:val="es-ES"/>
        </w:rPr>
        <w:t>2012/13.</w:t>
      </w:r>
    </w:p>
    <w:p w:rsidR="0023753C" w:rsidRDefault="0023753C" w:rsidP="00DC1333">
      <w:pPr>
        <w:pStyle w:val="ListParagraph"/>
        <w:ind w:left="1134" w:hanging="567"/>
        <w:jc w:val="both"/>
        <w:rPr>
          <w:rFonts w:cs="Arial"/>
          <w:lang w:val="es-ES"/>
        </w:rPr>
      </w:pPr>
    </w:p>
    <w:p w:rsidR="0023753C" w:rsidRDefault="0023753C" w:rsidP="0023753C">
      <w:pPr>
        <w:pStyle w:val="ListParagraph"/>
        <w:numPr>
          <w:ilvl w:val="0"/>
          <w:numId w:val="32"/>
        </w:numPr>
        <w:ind w:left="1134" w:hanging="567"/>
        <w:contextualSpacing/>
        <w:jc w:val="both"/>
        <w:rPr>
          <w:rFonts w:cs="Arial"/>
          <w:lang w:val="es-ES"/>
        </w:rPr>
      </w:pPr>
      <w:r w:rsidRPr="006645C1">
        <w:rPr>
          <w:rFonts w:cs="Arial"/>
          <w:lang w:val="es-ES"/>
        </w:rPr>
        <w:t xml:space="preserve">En 2015, los costos directos representaron el 61% de los costos totales. </w:t>
      </w:r>
    </w:p>
    <w:p w:rsidR="0023753C" w:rsidRDefault="0023753C" w:rsidP="00DC1333">
      <w:pPr>
        <w:ind w:left="1134" w:hanging="567"/>
        <w:jc w:val="both"/>
        <w:rPr>
          <w:sz w:val="20"/>
        </w:rPr>
      </w:pPr>
    </w:p>
    <w:p w:rsidR="0023753C" w:rsidRDefault="0023753C" w:rsidP="00DC1333">
      <w:pPr>
        <w:ind w:left="1080"/>
        <w:jc w:val="both"/>
        <w:rPr>
          <w:sz w:val="20"/>
        </w:rPr>
      </w:pPr>
    </w:p>
    <w:p w:rsidR="0023753C" w:rsidRDefault="0023753C" w:rsidP="00DC1333">
      <w:pPr>
        <w:pStyle w:val="ListParagraph"/>
        <w:ind w:left="0"/>
        <w:jc w:val="both"/>
        <w:rPr>
          <w:rFonts w:cs="Arial"/>
          <w:u w:val="single"/>
          <w:lang w:val="es-ES"/>
        </w:rPr>
      </w:pPr>
      <w:r>
        <w:rPr>
          <w:rFonts w:cs="Arial"/>
          <w:u w:val="single"/>
          <w:lang w:val="es-ES"/>
        </w:rPr>
        <w:t>Costo unitario</w:t>
      </w:r>
    </w:p>
    <w:p w:rsidR="0023753C"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2165BA">
        <w:rPr>
          <w:rFonts w:cs="Arial"/>
          <w:lang w:val="es-ES"/>
        </w:rPr>
        <w:t>La eficacia de la tramitación de las transacciones de la Oficina Internacional puede medirse por el costo unitario, que se define como el costo medio de producción de una unidad de producto.</w:t>
      </w:r>
    </w:p>
    <w:p w:rsidR="0023753C" w:rsidRDefault="0023753C" w:rsidP="00DC1333">
      <w:pPr>
        <w:pStyle w:val="ListParagraph"/>
        <w:tabs>
          <w:tab w:val="left" w:pos="567"/>
        </w:tabs>
        <w:ind w:left="0"/>
        <w:jc w:val="both"/>
        <w:rPr>
          <w:rFonts w:cs="Arial"/>
          <w:lang w:val="es-ES"/>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2165BA">
        <w:rPr>
          <w:rFonts w:cs="Arial"/>
          <w:lang w:val="es-ES"/>
        </w:rPr>
        <w:t>Dado que la Oficina Internacional registra nuevas solicitudes y mantiene los registros existentes, resulta pertinente contar con una unidad de producto que englobe una serie de transacciones.  A continuación se presentan dos indicadores de costo unitario que utilizan dos unidades de producto diferentes.</w:t>
      </w:r>
    </w:p>
    <w:p w:rsidR="0023753C" w:rsidRDefault="0023753C" w:rsidP="00DC1333">
      <w:pPr>
        <w:pStyle w:val="ListParagraph"/>
        <w:rPr>
          <w:rFonts w:cs="Arial"/>
          <w:lang w:val="es-ES"/>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2165BA">
        <w:rPr>
          <w:rFonts w:cs="Arial"/>
          <w:lang w:val="es-ES"/>
        </w:rPr>
        <w:t xml:space="preserve">En el marco de las iniciativas de la Oficina Internacional para </w:t>
      </w:r>
      <w:r>
        <w:rPr>
          <w:rFonts w:cs="Arial"/>
          <w:lang w:val="es-ES"/>
        </w:rPr>
        <w:t xml:space="preserve">perfeccionar constantemente sus planteamientos de </w:t>
      </w:r>
      <w:r w:rsidRPr="002165BA">
        <w:rPr>
          <w:rFonts w:cs="Arial"/>
          <w:lang w:val="es-ES"/>
        </w:rPr>
        <w:t>cálc</w:t>
      </w:r>
      <w:r>
        <w:rPr>
          <w:rFonts w:cs="Arial"/>
          <w:lang w:val="es-ES"/>
        </w:rPr>
        <w:t xml:space="preserve">ulo de los costos unitarios, se ha revisado la </w:t>
      </w:r>
      <w:r w:rsidRPr="002165BA">
        <w:rPr>
          <w:rFonts w:cs="Arial"/>
          <w:lang w:val="es-ES"/>
        </w:rPr>
        <w:t>metodología en el Presupuesto por Programas de 2016/2017, con el fin de reflejar de forma más precisa el costo de la tramitación del volumen de trabajo relativo al Sistema de Madrid en la Oficina Internacional:</w:t>
      </w:r>
    </w:p>
    <w:p w:rsidR="0023753C" w:rsidRDefault="0023753C" w:rsidP="00DC1333">
      <w:pPr>
        <w:pStyle w:val="ListParagraph"/>
        <w:tabs>
          <w:tab w:val="left" w:pos="567"/>
        </w:tabs>
        <w:ind w:left="0"/>
        <w:jc w:val="both"/>
        <w:rPr>
          <w:rFonts w:cs="Arial"/>
          <w:lang w:val="es-ES"/>
        </w:rPr>
      </w:pPr>
    </w:p>
    <w:p w:rsidR="0023753C" w:rsidRDefault="0023753C" w:rsidP="0023753C">
      <w:pPr>
        <w:pStyle w:val="ListParagraph"/>
        <w:numPr>
          <w:ilvl w:val="0"/>
          <w:numId w:val="31"/>
        </w:numPr>
        <w:spacing w:after="200"/>
        <w:ind w:left="1134" w:hanging="567"/>
        <w:contextualSpacing/>
        <w:jc w:val="both"/>
        <w:rPr>
          <w:rFonts w:cs="Arial"/>
          <w:lang w:val="es-ES"/>
        </w:rPr>
      </w:pPr>
      <w:r w:rsidRPr="002165BA">
        <w:rPr>
          <w:rFonts w:cs="Arial"/>
          <w:lang w:val="es-ES"/>
        </w:rPr>
        <w:t>La metodología para calcular los costos directos e indirectos del Sistema de Madrid se ha armonizado con las metodologías para calcular los costos unitarios del PCT y del Sistema de La Haya.</w:t>
      </w:r>
    </w:p>
    <w:p w:rsidR="0023753C" w:rsidRDefault="0023753C" w:rsidP="00DC1333">
      <w:pPr>
        <w:pStyle w:val="ListParagraph"/>
        <w:ind w:left="1134"/>
        <w:jc w:val="both"/>
        <w:rPr>
          <w:rFonts w:cs="Arial"/>
          <w:lang w:val="es-ES"/>
        </w:rPr>
      </w:pPr>
    </w:p>
    <w:p w:rsidR="0023753C" w:rsidRDefault="0023753C" w:rsidP="0023753C">
      <w:pPr>
        <w:pStyle w:val="ListParagraph"/>
        <w:numPr>
          <w:ilvl w:val="0"/>
          <w:numId w:val="31"/>
        </w:numPr>
        <w:spacing w:after="200"/>
        <w:ind w:left="1134" w:hanging="567"/>
        <w:contextualSpacing/>
        <w:jc w:val="both"/>
        <w:rPr>
          <w:rFonts w:cs="Arial"/>
          <w:lang w:val="es-ES"/>
        </w:rPr>
      </w:pPr>
      <w:r w:rsidRPr="007A23AF">
        <w:rPr>
          <w:rFonts w:cs="Arial"/>
          <w:lang w:val="es-ES"/>
        </w:rPr>
        <w:t xml:space="preserve">Se ha puesto en marcha un sistema de ponderación que permite </w:t>
      </w:r>
      <w:r>
        <w:rPr>
          <w:rFonts w:cs="Arial"/>
          <w:lang w:val="es-ES"/>
        </w:rPr>
        <w:t>calibrar</w:t>
      </w:r>
      <w:r w:rsidRPr="007A23AF">
        <w:rPr>
          <w:rFonts w:cs="Arial"/>
          <w:lang w:val="es-ES"/>
        </w:rPr>
        <w:t xml:space="preserve"> mejor el trabajo real necesario para tramitar las seis categorías de documentos, teniendo en cuenta que algunos de esos documentos</w:t>
      </w:r>
      <w:r>
        <w:rPr>
          <w:rFonts w:cs="Arial"/>
          <w:lang w:val="es-ES"/>
        </w:rPr>
        <w:t xml:space="preserve"> implican una mayor carga de trabajo  </w:t>
      </w:r>
      <w:r w:rsidRPr="007A23AF">
        <w:rPr>
          <w:rFonts w:cs="Arial"/>
          <w:lang w:val="es-ES"/>
        </w:rPr>
        <w:t>otros</w:t>
      </w:r>
      <w:r w:rsidRPr="00760842">
        <w:rPr>
          <w:rStyle w:val="FootnoteReference"/>
          <w:rFonts w:cs="Arial"/>
          <w:lang w:val="es-ES"/>
        </w:rPr>
        <w:footnoteReference w:id="34"/>
      </w:r>
      <w:r>
        <w:rPr>
          <w:rFonts w:cs="Arial"/>
          <w:lang w:val="es-ES"/>
        </w:rPr>
        <w:t>.</w:t>
      </w:r>
    </w:p>
    <w:p w:rsidR="0023753C" w:rsidRDefault="0023753C" w:rsidP="00DC1333">
      <w:pPr>
        <w:pStyle w:val="ListParagraph"/>
        <w:ind w:left="1134" w:hanging="567"/>
        <w:jc w:val="both"/>
        <w:rPr>
          <w:rFonts w:cs="Arial"/>
          <w:lang w:val="es-ES"/>
        </w:rPr>
      </w:pPr>
    </w:p>
    <w:p w:rsidR="0023753C" w:rsidRDefault="0023753C" w:rsidP="0023753C">
      <w:pPr>
        <w:pStyle w:val="ListParagraph"/>
        <w:numPr>
          <w:ilvl w:val="0"/>
          <w:numId w:val="31"/>
        </w:numPr>
        <w:spacing w:after="200"/>
        <w:ind w:left="1134" w:hanging="567"/>
        <w:contextualSpacing/>
        <w:jc w:val="both"/>
        <w:rPr>
          <w:rFonts w:cs="Arial"/>
          <w:lang w:val="es-ES"/>
        </w:rPr>
      </w:pPr>
      <w:r w:rsidRPr="007A23AF">
        <w:rPr>
          <w:rFonts w:cs="Arial"/>
          <w:lang w:val="es-ES"/>
        </w:rPr>
        <w:t xml:space="preserve">Se ha redefinido el primer costo unitario para incluir solo los nuevos registros internacionales  y </w:t>
      </w:r>
      <w:r>
        <w:rPr>
          <w:rFonts w:cs="Arial"/>
          <w:lang w:val="es-ES"/>
        </w:rPr>
        <w:t>las renovaciones</w:t>
      </w:r>
      <w:r w:rsidRPr="007A23AF">
        <w:rPr>
          <w:rFonts w:cs="Arial"/>
          <w:lang w:val="es-ES"/>
        </w:rPr>
        <w:t xml:space="preserve"> (el costo unitario en el Presupuesto por Programas de 2014/2015 también incluía las designaciones posteriores).  Se decidió retirar las designaciones posteriores del cálculo del costo unitario con el fin de dar más relevancia a los productos esenciales del Sistema de Madrid, a saber, los registros internacionales y sus </w:t>
      </w:r>
      <w:r w:rsidRPr="007A23AF">
        <w:rPr>
          <w:rFonts w:cs="Arial"/>
          <w:lang w:val="es-ES"/>
        </w:rPr>
        <w:lastRenderedPageBreak/>
        <w:t xml:space="preserve">renovaciones.  Todas las demás transacciones del Sistema de Madrid  (designaciones posteriores, cambios, </w:t>
      </w:r>
      <w:r>
        <w:rPr>
          <w:rFonts w:cs="Arial"/>
          <w:lang w:val="es-ES"/>
        </w:rPr>
        <w:t>d</w:t>
      </w:r>
      <w:r w:rsidRPr="007A23AF">
        <w:rPr>
          <w:rFonts w:cs="Arial"/>
          <w:lang w:val="es-ES"/>
        </w:rPr>
        <w:t>ecisiones y correcciones) se pueden considerar secundarios frente a esas dos transacciones esenciales.</w:t>
      </w:r>
      <w:r>
        <w:rPr>
          <w:rFonts w:cs="Arial"/>
          <w:lang w:val="es-ES"/>
        </w:rPr>
        <w:t xml:space="preserve">  </w:t>
      </w:r>
      <w:r w:rsidRPr="007A23AF">
        <w:rPr>
          <w:rFonts w:cs="Arial"/>
          <w:lang w:val="es-ES"/>
        </w:rPr>
        <w:t>Además</w:t>
      </w:r>
      <w:r>
        <w:rPr>
          <w:rFonts w:cs="Arial"/>
          <w:lang w:val="es-ES"/>
        </w:rPr>
        <w:t>,</w:t>
      </w:r>
      <w:r w:rsidRPr="007A23AF">
        <w:rPr>
          <w:rFonts w:cs="Arial"/>
          <w:lang w:val="es-ES"/>
        </w:rPr>
        <w:t xml:space="preserve"> es difícil justificar la inclusión de una de estas transacciones secundarias como un componente del</w:t>
      </w:r>
      <w:r>
        <w:rPr>
          <w:rFonts w:cs="Arial"/>
          <w:lang w:val="es-ES"/>
        </w:rPr>
        <w:t xml:space="preserve"> primer</w:t>
      </w:r>
      <w:r w:rsidRPr="007A23AF">
        <w:rPr>
          <w:rFonts w:cs="Arial"/>
          <w:lang w:val="es-ES"/>
        </w:rPr>
        <w:t xml:space="preserve"> </w:t>
      </w:r>
      <w:r>
        <w:rPr>
          <w:rFonts w:cs="Arial"/>
          <w:lang w:val="es-ES"/>
        </w:rPr>
        <w:t xml:space="preserve">tipo de </w:t>
      </w:r>
      <w:r w:rsidRPr="007A23AF">
        <w:rPr>
          <w:rFonts w:cs="Arial"/>
          <w:lang w:val="es-ES"/>
        </w:rPr>
        <w:t>costo</w:t>
      </w:r>
      <w:r>
        <w:rPr>
          <w:rFonts w:cs="Arial"/>
          <w:lang w:val="es-ES"/>
        </w:rPr>
        <w:t xml:space="preserve"> unitario</w:t>
      </w:r>
      <w:r w:rsidRPr="007A23AF">
        <w:rPr>
          <w:rFonts w:cs="Arial"/>
          <w:lang w:val="es-ES"/>
        </w:rPr>
        <w:t>, al tiempo que se excluyen l</w:t>
      </w:r>
      <w:r>
        <w:rPr>
          <w:rFonts w:cs="Arial"/>
          <w:lang w:val="es-ES"/>
        </w:rPr>
        <w:t>o</w:t>
      </w:r>
      <w:r w:rsidRPr="007A23AF">
        <w:rPr>
          <w:rFonts w:cs="Arial"/>
          <w:lang w:val="es-ES"/>
        </w:rPr>
        <w:t>s otr</w:t>
      </w:r>
      <w:r>
        <w:rPr>
          <w:rFonts w:cs="Arial"/>
          <w:lang w:val="es-ES"/>
        </w:rPr>
        <w:t>o</w:t>
      </w:r>
      <w:r w:rsidRPr="007A23AF">
        <w:rPr>
          <w:rFonts w:cs="Arial"/>
          <w:lang w:val="es-ES"/>
        </w:rPr>
        <w:t>s.</w:t>
      </w:r>
    </w:p>
    <w:p w:rsidR="0023753C" w:rsidRDefault="0023753C" w:rsidP="00DC1333">
      <w:pPr>
        <w:pStyle w:val="ListParagraph"/>
        <w:ind w:left="1134" w:hanging="567"/>
        <w:rPr>
          <w:rFonts w:cs="Arial"/>
          <w:lang w:val="es-ES"/>
        </w:rPr>
      </w:pPr>
    </w:p>
    <w:p w:rsidR="0023753C" w:rsidRPr="004F6355" w:rsidRDefault="0023753C" w:rsidP="0023753C">
      <w:pPr>
        <w:pStyle w:val="ListParagraph"/>
        <w:numPr>
          <w:ilvl w:val="0"/>
          <w:numId w:val="31"/>
        </w:numPr>
        <w:ind w:left="1134" w:hanging="567"/>
        <w:contextualSpacing/>
        <w:jc w:val="both"/>
        <w:rPr>
          <w:rFonts w:cs="Arial"/>
          <w:lang w:val="es-ES"/>
        </w:rPr>
      </w:pPr>
      <w:r>
        <w:rPr>
          <w:rFonts w:cs="Arial"/>
          <w:lang w:val="es-ES"/>
        </w:rPr>
        <w:t>El segundo</w:t>
      </w:r>
      <w:r w:rsidRPr="004F6355">
        <w:rPr>
          <w:rFonts w:cs="Arial"/>
          <w:lang w:val="es-ES"/>
        </w:rPr>
        <w:t xml:space="preserve"> </w:t>
      </w:r>
      <w:r>
        <w:rPr>
          <w:rFonts w:cs="Arial"/>
          <w:lang w:val="es-ES"/>
        </w:rPr>
        <w:t xml:space="preserve">tipo de </w:t>
      </w:r>
      <w:r w:rsidRPr="004F6355">
        <w:rPr>
          <w:rFonts w:cs="Arial"/>
          <w:lang w:val="es-ES"/>
        </w:rPr>
        <w:t xml:space="preserve">costo </w:t>
      </w:r>
      <w:r>
        <w:rPr>
          <w:rFonts w:cs="Arial"/>
          <w:lang w:val="es-ES"/>
        </w:rPr>
        <w:t xml:space="preserve">unitario </w:t>
      </w:r>
      <w:r w:rsidRPr="004F6355">
        <w:rPr>
          <w:rFonts w:cs="Arial"/>
          <w:lang w:val="es-ES"/>
        </w:rPr>
        <w:t>se basa estrictamente en el número de documentos inscritos en el Registro, independientemente de los</w:t>
      </w:r>
      <w:r>
        <w:rPr>
          <w:rFonts w:cs="Arial"/>
          <w:lang w:val="es-ES"/>
        </w:rPr>
        <w:t xml:space="preserve"> diversos niveles de recursos necesarios para tramitarlos</w:t>
      </w:r>
      <w:r w:rsidRPr="004F6355">
        <w:rPr>
          <w:rFonts w:cs="Arial"/>
          <w:lang w:val="es-ES"/>
        </w:rPr>
        <w:t>.</w:t>
      </w:r>
    </w:p>
    <w:p w:rsidR="0023753C" w:rsidRPr="004F6355"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A efectos de comparación, en los gráficos que figuran a continuación se muestra la evolución de dos tipos de costos unitarios de 2008 a 2014</w:t>
      </w:r>
      <w:r>
        <w:rPr>
          <w:rFonts w:cs="Arial"/>
          <w:lang w:val="es-ES"/>
        </w:rPr>
        <w:t>, utilizando la m</w:t>
      </w:r>
      <w:r w:rsidRPr="007A23AF">
        <w:rPr>
          <w:rFonts w:cs="Arial"/>
          <w:lang w:val="es-ES"/>
        </w:rPr>
        <w:t>etodología antigua</w:t>
      </w:r>
      <w:r>
        <w:rPr>
          <w:rFonts w:cs="Arial"/>
          <w:lang w:val="es-ES"/>
        </w:rPr>
        <w:t>, y</w:t>
      </w:r>
      <w:r w:rsidRPr="007A23AF">
        <w:rPr>
          <w:rFonts w:cs="Arial"/>
          <w:lang w:val="es-ES"/>
        </w:rPr>
        <w:t xml:space="preserve"> de 2012 a 201</w:t>
      </w:r>
      <w:r>
        <w:rPr>
          <w:rFonts w:cs="Arial"/>
          <w:lang w:val="es-ES"/>
        </w:rPr>
        <w:t>5, utilizando la m</w:t>
      </w:r>
      <w:r w:rsidRPr="007A23AF">
        <w:rPr>
          <w:rFonts w:cs="Arial"/>
          <w:lang w:val="es-ES"/>
        </w:rPr>
        <w:t>etodología nueva, con inclusión de un desglose de la contribución de los costos directos e indirectos.</w:t>
      </w:r>
    </w:p>
    <w:p w:rsidR="0023753C" w:rsidRDefault="0023753C" w:rsidP="00DC1333">
      <w:pPr>
        <w:pStyle w:val="ListParagraph"/>
        <w:tabs>
          <w:tab w:val="left" w:pos="567"/>
        </w:tabs>
        <w:ind w:left="0"/>
        <w:jc w:val="both"/>
        <w:rPr>
          <w:rFonts w:cs="Arial"/>
          <w:lang w:val="es-ES"/>
        </w:rPr>
      </w:pPr>
    </w:p>
    <w:p w:rsidR="0023753C" w:rsidRPr="00E43F8B" w:rsidRDefault="0023753C" w:rsidP="00DC1333">
      <w:pPr>
        <w:pStyle w:val="ListParagraph"/>
        <w:keepNext/>
        <w:keepLines/>
        <w:tabs>
          <w:tab w:val="left" w:pos="1701"/>
        </w:tabs>
        <w:ind w:left="567"/>
        <w:jc w:val="both"/>
        <w:rPr>
          <w:rFonts w:cs="Arial"/>
          <w:i/>
          <w:lang w:val="es-ES"/>
        </w:rPr>
      </w:pPr>
      <w:r w:rsidRPr="00E43F8B">
        <w:rPr>
          <w:rFonts w:cs="Arial"/>
          <w:i/>
          <w:lang w:val="es-ES"/>
        </w:rPr>
        <w:t>Costo unitario por registro internacional nuevo o renovado</w:t>
      </w:r>
    </w:p>
    <w:p w:rsidR="0023753C" w:rsidRPr="00E43F8B"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Los registros internacionales</w:t>
      </w:r>
      <w:r>
        <w:rPr>
          <w:rFonts w:cs="Arial"/>
          <w:lang w:val="es-ES"/>
        </w:rPr>
        <w:t xml:space="preserve"> nuevos</w:t>
      </w:r>
      <w:r w:rsidRPr="007A23AF">
        <w:rPr>
          <w:rFonts w:cs="Arial"/>
          <w:lang w:val="es-ES"/>
        </w:rPr>
        <w:t xml:space="preserve"> consisten en solicitudes que se registran en un año dado y los registros internacionales renovados son los registros existentes que se renuevan en un año dado.  En conjunto, estos dos tipos de transacciones constituyen la actividad central de la Oficina Internacional.</w:t>
      </w:r>
    </w:p>
    <w:p w:rsidR="0023753C"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En vista de que la tramitación de estos dos tipos de transacciones no exige la misma cantidad de recursos, cada uno se pondera de forma diferente</w:t>
      </w:r>
      <w:r w:rsidRPr="007A23AF">
        <w:rPr>
          <w:rFonts w:cs="Arial"/>
          <w:vertAlign w:val="superscript"/>
          <w:lang w:val="es-ES"/>
        </w:rPr>
        <w:footnoteReference w:id="35"/>
      </w:r>
      <w:r w:rsidRPr="007A23AF">
        <w:rPr>
          <w:rFonts w:cs="Arial"/>
          <w:lang w:val="es-ES"/>
        </w:rPr>
        <w:t xml:space="preserve">.  </w:t>
      </w:r>
      <w:r>
        <w:rPr>
          <w:rFonts w:cs="Arial"/>
          <w:lang w:val="es-ES"/>
        </w:rPr>
        <w:t xml:space="preserve">El </w:t>
      </w:r>
      <w:r w:rsidRPr="007A23AF">
        <w:rPr>
          <w:rFonts w:cs="Arial"/>
          <w:lang w:val="es-ES"/>
        </w:rPr>
        <w:t>costo</w:t>
      </w:r>
      <w:r>
        <w:rPr>
          <w:rFonts w:cs="Arial"/>
          <w:lang w:val="es-ES"/>
        </w:rPr>
        <w:t xml:space="preserve"> unitario</w:t>
      </w:r>
      <w:r w:rsidRPr="007A23AF">
        <w:rPr>
          <w:rFonts w:cs="Arial"/>
          <w:lang w:val="es-ES"/>
        </w:rPr>
        <w:t xml:space="preserve"> se calcula dividien</w:t>
      </w:r>
      <w:r>
        <w:rPr>
          <w:rFonts w:cs="Arial"/>
          <w:lang w:val="es-ES"/>
        </w:rPr>
        <w:t>do el costo total de producción</w:t>
      </w:r>
      <w:r w:rsidRPr="007A23AF">
        <w:rPr>
          <w:rFonts w:cs="Arial"/>
          <w:lang w:val="es-ES"/>
        </w:rPr>
        <w:t xml:space="preserve"> por el número de </w:t>
      </w:r>
      <w:r>
        <w:rPr>
          <w:rFonts w:cs="Arial"/>
          <w:lang w:val="es-ES"/>
        </w:rPr>
        <w:t>r</w:t>
      </w:r>
      <w:r w:rsidRPr="007A23AF">
        <w:rPr>
          <w:rFonts w:cs="Arial"/>
          <w:lang w:val="es-ES"/>
        </w:rPr>
        <w:t>egistros internacionales</w:t>
      </w:r>
      <w:r>
        <w:rPr>
          <w:rFonts w:cs="Arial"/>
          <w:lang w:val="es-ES"/>
        </w:rPr>
        <w:t xml:space="preserve"> nuevos o renovados</w:t>
      </w:r>
      <w:r w:rsidRPr="007A23AF">
        <w:rPr>
          <w:rFonts w:cs="Arial"/>
          <w:lang w:val="es-ES"/>
        </w:rPr>
        <w:t>.</w:t>
      </w:r>
    </w:p>
    <w:p w:rsidR="0023753C" w:rsidRPr="007A23AF" w:rsidRDefault="0023753C" w:rsidP="00DC13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4550"/>
      </w:tblGrid>
      <w:tr w:rsidR="0023753C" w:rsidRPr="00760842" w:rsidTr="00DC1333">
        <w:trPr>
          <w:cantSplit/>
        </w:trPr>
        <w:tc>
          <w:tcPr>
            <w:tcW w:w="4788" w:type="dxa"/>
          </w:tcPr>
          <w:p w:rsidR="0023753C" w:rsidRPr="00760842" w:rsidRDefault="0023753C" w:rsidP="00DC1333">
            <w:pPr>
              <w:jc w:val="center"/>
            </w:pPr>
            <w:r>
              <w:t>Metodología antigua</w:t>
            </w:r>
          </w:p>
        </w:tc>
        <w:tc>
          <w:tcPr>
            <w:tcW w:w="4788" w:type="dxa"/>
          </w:tcPr>
          <w:p w:rsidR="0023753C" w:rsidRPr="00760842" w:rsidRDefault="0023753C" w:rsidP="00DC1333">
            <w:pPr>
              <w:jc w:val="center"/>
            </w:pPr>
            <w:r>
              <w:t>Metodología nueva</w:t>
            </w:r>
          </w:p>
        </w:tc>
      </w:tr>
      <w:tr w:rsidR="0023753C" w:rsidRPr="00760842" w:rsidTr="00DC1333">
        <w:trPr>
          <w:cantSplit/>
        </w:trPr>
        <w:tc>
          <w:tcPr>
            <w:tcW w:w="4788" w:type="dxa"/>
          </w:tcPr>
          <w:p w:rsidR="0023753C" w:rsidRDefault="0023753C" w:rsidP="00DC1333">
            <w:pPr>
              <w:jc w:val="center"/>
              <w:rPr>
                <w:noProof/>
              </w:rPr>
            </w:pPr>
          </w:p>
          <w:p w:rsidR="0023753C" w:rsidRPr="00760842" w:rsidRDefault="0023753C" w:rsidP="00DC1333">
            <w:pPr>
              <w:jc w:val="center"/>
            </w:pPr>
            <w:r>
              <w:rPr>
                <w:noProof/>
                <w:lang w:val="en-US" w:eastAsia="en-US"/>
              </w:rPr>
              <w:drawing>
                <wp:inline distT="0" distB="0" distL="0" distR="0" wp14:anchorId="4E4DCE34" wp14:editId="19EC8CB7">
                  <wp:extent cx="3061253" cy="2266121"/>
                  <wp:effectExtent l="0" t="0" r="635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62711" cy="2267200"/>
                          </a:xfrm>
                          <a:prstGeom prst="rect">
                            <a:avLst/>
                          </a:prstGeom>
                          <a:noFill/>
                          <a:ln>
                            <a:noFill/>
                          </a:ln>
                        </pic:spPr>
                      </pic:pic>
                    </a:graphicData>
                  </a:graphic>
                </wp:inline>
              </w:drawing>
            </w:r>
          </w:p>
        </w:tc>
        <w:tc>
          <w:tcPr>
            <w:tcW w:w="4788" w:type="dxa"/>
          </w:tcPr>
          <w:p w:rsidR="0023753C" w:rsidRDefault="0023753C" w:rsidP="00DC1333">
            <w:pPr>
              <w:jc w:val="center"/>
            </w:pPr>
          </w:p>
          <w:p w:rsidR="0023753C" w:rsidRPr="00760842" w:rsidRDefault="0023753C" w:rsidP="00DC1333">
            <w:pPr>
              <w:jc w:val="center"/>
            </w:pPr>
            <w:r>
              <w:rPr>
                <w:noProof/>
                <w:lang w:val="en-US" w:eastAsia="en-US"/>
              </w:rPr>
              <w:drawing>
                <wp:inline distT="0" distB="0" distL="0" distR="0" wp14:anchorId="22DF0A92" wp14:editId="61A53E75">
                  <wp:extent cx="2767054" cy="2266121"/>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68345" cy="2267178"/>
                          </a:xfrm>
                          <a:prstGeom prst="rect">
                            <a:avLst/>
                          </a:prstGeom>
                          <a:noFill/>
                          <a:ln>
                            <a:noFill/>
                          </a:ln>
                        </pic:spPr>
                      </pic:pic>
                    </a:graphicData>
                  </a:graphic>
                </wp:inline>
              </w:drawing>
            </w:r>
          </w:p>
        </w:tc>
      </w:tr>
    </w:tbl>
    <w:p w:rsidR="0023753C" w:rsidRDefault="0023753C" w:rsidP="00DC1333"/>
    <w:p w:rsidR="0023753C" w:rsidRDefault="0023753C" w:rsidP="0023753C">
      <w:pPr>
        <w:pStyle w:val="ListParagraph"/>
        <w:numPr>
          <w:ilvl w:val="0"/>
          <w:numId w:val="33"/>
        </w:numPr>
        <w:contextualSpacing/>
        <w:jc w:val="both"/>
        <w:rPr>
          <w:rFonts w:cs="Arial"/>
          <w:lang w:val="es-ES"/>
        </w:rPr>
      </w:pPr>
      <w:r w:rsidRPr="006645C1">
        <w:rPr>
          <w:rFonts w:cs="Arial"/>
          <w:lang w:val="es-ES"/>
        </w:rPr>
        <w:t>El costo medio de la tramitación de un registro internacional nuevo o renovado ascendi</w:t>
      </w:r>
      <w:r>
        <w:rPr>
          <w:rFonts w:cs="Arial"/>
          <w:lang w:val="es-ES"/>
        </w:rPr>
        <w:t xml:space="preserve">ó a </w:t>
      </w:r>
      <w:r w:rsidRPr="006645C1">
        <w:rPr>
          <w:rFonts w:cs="Arial"/>
          <w:lang w:val="es-ES"/>
        </w:rPr>
        <w:t xml:space="preserve">743 </w:t>
      </w:r>
      <w:r>
        <w:rPr>
          <w:rFonts w:cs="Arial"/>
          <w:lang w:val="es-ES"/>
        </w:rPr>
        <w:t xml:space="preserve">francos suizos en </w:t>
      </w:r>
      <w:r w:rsidRPr="006645C1">
        <w:rPr>
          <w:rFonts w:cs="Arial"/>
          <w:lang w:val="es-ES"/>
        </w:rPr>
        <w:t xml:space="preserve">2015.  </w:t>
      </w:r>
      <w:r w:rsidRPr="00A273AA">
        <w:rPr>
          <w:rFonts w:cs="Arial"/>
          <w:lang w:val="es-ES"/>
        </w:rPr>
        <w:t xml:space="preserve">Esto representa una disminución del 11% con respecto a 2014.  </w:t>
      </w:r>
      <w:r w:rsidRPr="004712BD">
        <w:rPr>
          <w:rFonts w:cs="Arial"/>
          <w:lang w:val="es-ES"/>
        </w:rPr>
        <w:t xml:space="preserve">El costo unitario por registro internacional nuevo o renovado en el bienio 2014/15 disminuyó en </w:t>
      </w:r>
      <w:r>
        <w:rPr>
          <w:rFonts w:cs="Arial"/>
          <w:lang w:val="es-ES"/>
        </w:rPr>
        <w:t>un </w:t>
      </w:r>
      <w:r w:rsidRPr="004712BD">
        <w:rPr>
          <w:rFonts w:cs="Arial"/>
          <w:lang w:val="es-ES"/>
        </w:rPr>
        <w:t>1% con respecto al bienio 2012/2013.</w:t>
      </w:r>
    </w:p>
    <w:p w:rsidR="0023753C" w:rsidRDefault="0023753C" w:rsidP="00DC1333">
      <w:pPr>
        <w:keepNext/>
        <w:keepLines/>
        <w:jc w:val="center"/>
        <w:rPr>
          <w:sz w:val="20"/>
        </w:rPr>
      </w:pPr>
    </w:p>
    <w:p w:rsidR="0023753C" w:rsidRDefault="0023753C" w:rsidP="00DC1333">
      <w:pPr>
        <w:pStyle w:val="ListParagraph"/>
        <w:keepNext/>
        <w:keepLines/>
        <w:tabs>
          <w:tab w:val="left" w:pos="1701"/>
        </w:tabs>
        <w:ind w:left="567"/>
        <w:jc w:val="both"/>
        <w:rPr>
          <w:rFonts w:cs="Arial"/>
          <w:i/>
          <w:lang w:val="es-ES"/>
        </w:rPr>
      </w:pPr>
      <w:r w:rsidRPr="007A23AF">
        <w:rPr>
          <w:rFonts w:cs="Arial"/>
          <w:i/>
          <w:lang w:val="es-ES"/>
        </w:rPr>
        <w:t>Costo unitario por documento inscrito en el Registro</w:t>
      </w:r>
    </w:p>
    <w:p w:rsidR="0023753C" w:rsidRDefault="0023753C" w:rsidP="00DC1333">
      <w:pPr>
        <w:keepNext/>
        <w:keepLines/>
        <w:jc w:val="both"/>
        <w:rPr>
          <w:sz w:val="20"/>
        </w:rPr>
      </w:pPr>
    </w:p>
    <w:p w:rsidR="0023753C" w:rsidRDefault="0023753C" w:rsidP="0023753C">
      <w:pPr>
        <w:pStyle w:val="ListParagraph"/>
        <w:keepNext/>
        <w:keepLines/>
        <w:numPr>
          <w:ilvl w:val="0"/>
          <w:numId w:val="35"/>
        </w:numPr>
        <w:tabs>
          <w:tab w:val="left" w:pos="567"/>
        </w:tabs>
        <w:ind w:left="0" w:firstLine="0"/>
        <w:contextualSpacing/>
        <w:jc w:val="both"/>
        <w:rPr>
          <w:rFonts w:cs="Arial"/>
          <w:lang w:val="es-ES"/>
        </w:rPr>
      </w:pPr>
      <w:r w:rsidRPr="007A23AF">
        <w:rPr>
          <w:rFonts w:cs="Arial"/>
          <w:lang w:val="es-ES"/>
        </w:rPr>
        <w:t xml:space="preserve">Los documentos inscritos en el Registro corresponden al volumen total de trabajo (véase </w:t>
      </w:r>
      <w:r>
        <w:rPr>
          <w:rFonts w:cs="Arial"/>
          <w:lang w:val="es-ES"/>
        </w:rPr>
        <w:t>“V</w:t>
      </w:r>
      <w:r w:rsidRPr="007A23AF">
        <w:rPr>
          <w:rFonts w:cs="Arial"/>
          <w:lang w:val="es-ES"/>
        </w:rPr>
        <w:t xml:space="preserve">olumen total de trabajo” </w:t>
      </w:r>
      <w:r>
        <w:rPr>
          <w:rFonts w:cs="Arial"/>
          <w:lang w:val="es-ES"/>
        </w:rPr>
        <w:t xml:space="preserve">más </w:t>
      </w:r>
      <w:r w:rsidRPr="007A23AF">
        <w:rPr>
          <w:rFonts w:cs="Arial"/>
          <w:lang w:val="es-ES"/>
        </w:rPr>
        <w:t>arriba).</w:t>
      </w:r>
    </w:p>
    <w:p w:rsidR="0023753C" w:rsidRPr="007A23AF" w:rsidRDefault="0023753C" w:rsidP="00DC1333">
      <w:pPr>
        <w:pStyle w:val="ListParagraph"/>
        <w:keepNext/>
        <w:keepLines/>
        <w:tabs>
          <w:tab w:val="left" w:pos="567"/>
        </w:tabs>
        <w:ind w:left="0"/>
        <w:jc w:val="both"/>
        <w:rPr>
          <w:rFonts w:cs="Arial"/>
          <w:lang w:val="es-ES"/>
        </w:rPr>
      </w:pPr>
      <w:r w:rsidRPr="007A23AF">
        <w:rPr>
          <w:rFonts w:cs="Arial"/>
          <w:lang w:val="es-ES"/>
        </w:rPr>
        <w:t xml:space="preserve"> </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23753C" w:rsidRPr="00760842" w:rsidTr="00DC1333">
        <w:trPr>
          <w:cantSplit/>
          <w:trHeight w:val="273"/>
        </w:trPr>
        <w:tc>
          <w:tcPr>
            <w:tcW w:w="4786" w:type="dxa"/>
          </w:tcPr>
          <w:p w:rsidR="0023753C" w:rsidRPr="00760842" w:rsidRDefault="0023753C" w:rsidP="00DC1333">
            <w:pPr>
              <w:keepNext/>
              <w:keepLines/>
              <w:jc w:val="center"/>
            </w:pPr>
            <w:r>
              <w:t>Metodología antigua</w:t>
            </w:r>
          </w:p>
        </w:tc>
        <w:tc>
          <w:tcPr>
            <w:tcW w:w="4536" w:type="dxa"/>
          </w:tcPr>
          <w:p w:rsidR="0023753C" w:rsidRPr="00760842" w:rsidRDefault="0023753C" w:rsidP="00DC1333">
            <w:pPr>
              <w:keepNext/>
              <w:keepLines/>
              <w:jc w:val="center"/>
            </w:pPr>
            <w:r>
              <w:t>Metodología nueva</w:t>
            </w:r>
          </w:p>
        </w:tc>
      </w:tr>
      <w:tr w:rsidR="0023753C" w:rsidRPr="00760842" w:rsidTr="00DC1333">
        <w:trPr>
          <w:cantSplit/>
          <w:trHeight w:val="3013"/>
        </w:trPr>
        <w:tc>
          <w:tcPr>
            <w:tcW w:w="4786" w:type="dxa"/>
          </w:tcPr>
          <w:p w:rsidR="0023753C" w:rsidRPr="00760842" w:rsidRDefault="0023753C" w:rsidP="00DC1333">
            <w:pPr>
              <w:keepNext/>
              <w:keepLines/>
              <w:jc w:val="center"/>
            </w:pPr>
            <w:r>
              <w:rPr>
                <w:noProof/>
                <w:lang w:val="en-US" w:eastAsia="en-US"/>
              </w:rPr>
              <w:drawing>
                <wp:inline distT="0" distB="0" distL="0" distR="0" wp14:anchorId="1B59E9EB" wp14:editId="636FA6EC">
                  <wp:extent cx="2897186" cy="20663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97505" cy="2066534"/>
                          </a:xfrm>
                          <a:prstGeom prst="rect">
                            <a:avLst/>
                          </a:prstGeom>
                          <a:noFill/>
                          <a:ln>
                            <a:noFill/>
                          </a:ln>
                        </pic:spPr>
                      </pic:pic>
                    </a:graphicData>
                  </a:graphic>
                </wp:inline>
              </w:drawing>
            </w:r>
          </w:p>
        </w:tc>
        <w:tc>
          <w:tcPr>
            <w:tcW w:w="4536" w:type="dxa"/>
          </w:tcPr>
          <w:p w:rsidR="0023753C" w:rsidRPr="00760842" w:rsidRDefault="0023753C" w:rsidP="00DC1333">
            <w:pPr>
              <w:keepNext/>
              <w:keepLines/>
              <w:jc w:val="center"/>
            </w:pPr>
            <w:r>
              <w:rPr>
                <w:noProof/>
                <w:lang w:val="en-US" w:eastAsia="en-US"/>
              </w:rPr>
              <w:drawing>
                <wp:inline distT="0" distB="0" distL="0" distR="0" wp14:anchorId="4D63A1AC" wp14:editId="023E1995">
                  <wp:extent cx="2910177" cy="2210462"/>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10977" cy="2211070"/>
                          </a:xfrm>
                          <a:prstGeom prst="rect">
                            <a:avLst/>
                          </a:prstGeom>
                          <a:noFill/>
                          <a:ln>
                            <a:noFill/>
                          </a:ln>
                        </pic:spPr>
                      </pic:pic>
                    </a:graphicData>
                  </a:graphic>
                </wp:inline>
              </w:drawing>
            </w:r>
          </w:p>
        </w:tc>
      </w:tr>
    </w:tbl>
    <w:p w:rsidR="0023753C" w:rsidRDefault="0023753C" w:rsidP="00DC1333">
      <w:pPr>
        <w:keepNext/>
        <w:keepLines/>
        <w:jc w:val="center"/>
      </w:pPr>
    </w:p>
    <w:p w:rsidR="0023753C" w:rsidRDefault="0023753C" w:rsidP="0023753C">
      <w:pPr>
        <w:pStyle w:val="ListParagraph"/>
        <w:keepNext/>
        <w:keepLines/>
        <w:numPr>
          <w:ilvl w:val="0"/>
          <w:numId w:val="33"/>
        </w:numPr>
        <w:contextualSpacing/>
        <w:jc w:val="both"/>
        <w:rPr>
          <w:rFonts w:cs="Arial"/>
          <w:lang w:val="es-ES"/>
        </w:rPr>
      </w:pPr>
      <w:r w:rsidRPr="004712BD">
        <w:rPr>
          <w:rFonts w:cs="Arial"/>
          <w:lang w:val="es-ES"/>
        </w:rPr>
        <w:t>El costo medio de la inscripci</w:t>
      </w:r>
      <w:r>
        <w:rPr>
          <w:rFonts w:cs="Arial"/>
          <w:lang w:val="es-ES"/>
        </w:rPr>
        <w:t>ón de un documento en e</w:t>
      </w:r>
      <w:r w:rsidRPr="004712BD">
        <w:rPr>
          <w:rFonts w:cs="Arial"/>
          <w:lang w:val="es-ES"/>
        </w:rPr>
        <w:t>l Registro aumentó l</w:t>
      </w:r>
      <w:r>
        <w:rPr>
          <w:rFonts w:cs="Arial"/>
          <w:lang w:val="es-ES"/>
        </w:rPr>
        <w:t xml:space="preserve">igeramente de </w:t>
      </w:r>
      <w:r w:rsidRPr="004712BD">
        <w:rPr>
          <w:rFonts w:cs="Arial"/>
          <w:lang w:val="es-ES"/>
        </w:rPr>
        <w:t xml:space="preserve">320 </w:t>
      </w:r>
      <w:r>
        <w:rPr>
          <w:rFonts w:cs="Arial"/>
          <w:lang w:val="es-ES"/>
        </w:rPr>
        <w:t xml:space="preserve">francos suizos en </w:t>
      </w:r>
      <w:r w:rsidRPr="004712BD">
        <w:rPr>
          <w:rFonts w:cs="Arial"/>
          <w:lang w:val="es-ES"/>
        </w:rPr>
        <w:t xml:space="preserve">2012 </w:t>
      </w:r>
      <w:r>
        <w:rPr>
          <w:rFonts w:cs="Arial"/>
          <w:lang w:val="es-ES"/>
        </w:rPr>
        <w:t>a</w:t>
      </w:r>
      <w:r w:rsidRPr="004712BD">
        <w:rPr>
          <w:rFonts w:cs="Arial"/>
          <w:lang w:val="es-ES"/>
        </w:rPr>
        <w:t xml:space="preserve"> 323 </w:t>
      </w:r>
      <w:r>
        <w:rPr>
          <w:rFonts w:cs="Arial"/>
          <w:lang w:val="es-ES"/>
        </w:rPr>
        <w:t xml:space="preserve">francos suizos en </w:t>
      </w:r>
      <w:r w:rsidRPr="004712BD">
        <w:rPr>
          <w:rFonts w:cs="Arial"/>
          <w:lang w:val="es-ES"/>
        </w:rPr>
        <w:t>2015.  El costo unitario por documento inscrito en el Registro en el bienio 2014/15 aument</w:t>
      </w:r>
      <w:r>
        <w:rPr>
          <w:rFonts w:cs="Arial"/>
          <w:lang w:val="es-ES"/>
        </w:rPr>
        <w:t xml:space="preserve">ó en un 1% con respecto al bienio </w:t>
      </w:r>
      <w:r w:rsidRPr="004712BD">
        <w:rPr>
          <w:rFonts w:cs="Arial"/>
          <w:lang w:val="es-ES"/>
        </w:rPr>
        <w:t>2012/13</w:t>
      </w:r>
      <w:r>
        <w:rPr>
          <w:rFonts w:cs="Arial"/>
          <w:lang w:val="es-ES"/>
        </w:rPr>
        <w:t>.</w:t>
      </w:r>
    </w:p>
    <w:p w:rsidR="0023753C" w:rsidRDefault="0023753C" w:rsidP="00DC1333">
      <w:pPr>
        <w:pStyle w:val="ListParagraph"/>
        <w:ind w:left="1417"/>
        <w:jc w:val="both"/>
        <w:rPr>
          <w:rFonts w:cs="Arial"/>
          <w:lang w:val="es-ES"/>
        </w:rPr>
      </w:pPr>
    </w:p>
    <w:p w:rsidR="0023753C" w:rsidRDefault="0023753C" w:rsidP="00DC1333">
      <w:pPr>
        <w:jc w:val="both"/>
        <w:rPr>
          <w:sz w:val="20"/>
        </w:rPr>
      </w:pPr>
    </w:p>
    <w:p w:rsidR="0023753C" w:rsidRDefault="0023753C" w:rsidP="0023753C">
      <w:pPr>
        <w:pStyle w:val="ListParagraph"/>
        <w:numPr>
          <w:ilvl w:val="0"/>
          <w:numId w:val="29"/>
        </w:numPr>
        <w:ind w:left="567" w:hanging="567"/>
        <w:contextualSpacing/>
        <w:jc w:val="both"/>
        <w:rPr>
          <w:rFonts w:cs="Arial"/>
          <w:b/>
          <w:lang w:val="es-ES"/>
        </w:rPr>
      </w:pPr>
      <w:r w:rsidRPr="00760842">
        <w:rPr>
          <w:rFonts w:cs="Arial"/>
          <w:b/>
          <w:lang w:val="es-ES"/>
        </w:rPr>
        <w:t>Productivi</w:t>
      </w:r>
      <w:r>
        <w:rPr>
          <w:rFonts w:cs="Arial"/>
          <w:b/>
          <w:lang w:val="es-ES"/>
        </w:rPr>
        <w:t xml:space="preserve">dad del </w:t>
      </w:r>
      <w:r w:rsidRPr="00760842">
        <w:rPr>
          <w:rFonts w:cs="Arial"/>
          <w:b/>
          <w:lang w:val="es-ES"/>
        </w:rPr>
        <w:t>exam</w:t>
      </w:r>
      <w:r>
        <w:rPr>
          <w:rFonts w:cs="Arial"/>
          <w:b/>
          <w:lang w:val="es-ES"/>
        </w:rPr>
        <w:t>e</w:t>
      </w:r>
      <w:r w:rsidRPr="00760842">
        <w:rPr>
          <w:rFonts w:cs="Arial"/>
          <w:b/>
          <w:lang w:val="es-ES"/>
        </w:rPr>
        <w:t>n</w:t>
      </w:r>
    </w:p>
    <w:p w:rsidR="0023753C" w:rsidRDefault="0023753C" w:rsidP="00DC1333">
      <w:pPr>
        <w:jc w:val="both"/>
        <w:rPr>
          <w:sz w:val="20"/>
        </w:rPr>
      </w:pPr>
    </w:p>
    <w:p w:rsidR="0023753C"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 xml:space="preserve">La productividad del </w:t>
      </w:r>
      <w:r>
        <w:rPr>
          <w:rFonts w:cs="Arial"/>
          <w:lang w:val="es-ES"/>
        </w:rPr>
        <w:t xml:space="preserve">proceso de </w:t>
      </w:r>
      <w:r w:rsidRPr="007A23AF">
        <w:rPr>
          <w:rFonts w:cs="Arial"/>
          <w:lang w:val="es-ES"/>
        </w:rPr>
        <w:t xml:space="preserve">examen se puede definir como el número de registros internacionales nuevos o renovados </w:t>
      </w:r>
      <w:r>
        <w:rPr>
          <w:rFonts w:cs="Arial"/>
          <w:lang w:val="es-ES"/>
        </w:rPr>
        <w:t>t</w:t>
      </w:r>
      <w:r w:rsidRPr="007A23AF">
        <w:rPr>
          <w:rFonts w:cs="Arial"/>
          <w:lang w:val="es-ES"/>
        </w:rPr>
        <w:t>ramitados por los examinadores, dividido por el número de empleados que participaron en el examen.  En</w:t>
      </w:r>
      <w:r>
        <w:rPr>
          <w:rFonts w:cs="Arial"/>
          <w:lang w:val="es-ES"/>
        </w:rPr>
        <w:t xml:space="preserve">tre los </w:t>
      </w:r>
      <w:r w:rsidRPr="007A23AF">
        <w:rPr>
          <w:rFonts w:cs="Arial"/>
          <w:lang w:val="es-ES"/>
        </w:rPr>
        <w:t>empleados</w:t>
      </w:r>
      <w:r>
        <w:rPr>
          <w:rFonts w:cs="Arial"/>
          <w:lang w:val="es-ES"/>
        </w:rPr>
        <w:t xml:space="preserve">, se incluya a </w:t>
      </w:r>
      <w:r w:rsidRPr="007A23AF">
        <w:rPr>
          <w:rFonts w:cs="Arial"/>
          <w:lang w:val="es-ES"/>
        </w:rPr>
        <w:t xml:space="preserve">los becarios, los pasantes y el personal externo. </w:t>
      </w:r>
    </w:p>
    <w:p w:rsidR="0023753C" w:rsidRDefault="0023753C" w:rsidP="00DC1333">
      <w:pPr>
        <w:jc w:val="both"/>
        <w:rPr>
          <w:noProof/>
        </w:rPr>
      </w:pPr>
    </w:p>
    <w:p w:rsidR="0023753C" w:rsidRDefault="0023753C" w:rsidP="00DC1333">
      <w:pPr>
        <w:jc w:val="center"/>
      </w:pPr>
      <w:r w:rsidRPr="0071157B">
        <w:rPr>
          <w:noProof/>
          <w:lang w:val="en-US" w:eastAsia="en-US"/>
        </w:rPr>
        <w:drawing>
          <wp:inline distT="0" distB="0" distL="0" distR="0" wp14:anchorId="2368114B" wp14:editId="6A6C2B82">
            <wp:extent cx="5940425" cy="2869588"/>
            <wp:effectExtent l="0" t="0" r="3175"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0425" cy="2869588"/>
                    </a:xfrm>
                    <a:prstGeom prst="rect">
                      <a:avLst/>
                    </a:prstGeom>
                    <a:noFill/>
                    <a:ln>
                      <a:noFill/>
                    </a:ln>
                  </pic:spPr>
                </pic:pic>
              </a:graphicData>
            </a:graphic>
          </wp:inline>
        </w:drawing>
      </w:r>
    </w:p>
    <w:p w:rsidR="0023753C" w:rsidRDefault="0023753C" w:rsidP="0023753C">
      <w:pPr>
        <w:pStyle w:val="ListParagraph"/>
        <w:numPr>
          <w:ilvl w:val="0"/>
          <w:numId w:val="33"/>
        </w:numPr>
        <w:ind w:left="1134" w:hanging="567"/>
        <w:contextualSpacing/>
        <w:jc w:val="both"/>
        <w:rPr>
          <w:rFonts w:cs="Arial"/>
          <w:lang w:val="es-ES"/>
        </w:rPr>
      </w:pPr>
      <w:r w:rsidRPr="004712BD">
        <w:rPr>
          <w:rFonts w:cs="Arial"/>
          <w:lang w:val="es-ES"/>
        </w:rPr>
        <w:t>La productividad del proceso de examen aumentó en un 17% en relaci</w:t>
      </w:r>
      <w:r>
        <w:rPr>
          <w:rFonts w:cs="Arial"/>
          <w:lang w:val="es-ES"/>
        </w:rPr>
        <w:t xml:space="preserve">ón con el nivel observado en </w:t>
      </w:r>
      <w:r w:rsidRPr="004712BD">
        <w:rPr>
          <w:rFonts w:cs="Arial"/>
          <w:lang w:val="es-ES"/>
        </w:rPr>
        <w:t xml:space="preserve">2014.  </w:t>
      </w:r>
      <w:r w:rsidRPr="004A25F6">
        <w:rPr>
          <w:rFonts w:cs="Arial"/>
          <w:lang w:val="es-ES"/>
        </w:rPr>
        <w:t xml:space="preserve">El nivel </w:t>
      </w:r>
      <w:r>
        <w:rPr>
          <w:rFonts w:cs="Arial"/>
          <w:lang w:val="es-ES"/>
        </w:rPr>
        <w:t xml:space="preserve">de </w:t>
      </w:r>
      <w:r w:rsidRPr="004A25F6">
        <w:rPr>
          <w:rFonts w:cs="Arial"/>
          <w:lang w:val="es-ES"/>
        </w:rPr>
        <w:t>1.039 de registros internacionales nuevos y renovados por empleado</w:t>
      </w:r>
      <w:r>
        <w:rPr>
          <w:rFonts w:cs="Arial"/>
          <w:lang w:val="es-ES"/>
        </w:rPr>
        <w:t>, alcanzado en 2015,</w:t>
      </w:r>
      <w:r w:rsidRPr="004A25F6">
        <w:rPr>
          <w:rFonts w:cs="Arial"/>
          <w:lang w:val="es-ES"/>
        </w:rPr>
        <w:t xml:space="preserve"> fue el m</w:t>
      </w:r>
      <w:r>
        <w:rPr>
          <w:rFonts w:cs="Arial"/>
          <w:lang w:val="es-ES"/>
        </w:rPr>
        <w:t xml:space="preserve">ás alto del periodo entre </w:t>
      </w:r>
      <w:r w:rsidRPr="004A25F6">
        <w:rPr>
          <w:rFonts w:cs="Arial"/>
          <w:lang w:val="es-ES"/>
        </w:rPr>
        <w:t xml:space="preserve">2008 </w:t>
      </w:r>
      <w:r>
        <w:rPr>
          <w:rFonts w:cs="Arial"/>
          <w:lang w:val="es-ES"/>
        </w:rPr>
        <w:t>y</w:t>
      </w:r>
      <w:r w:rsidRPr="004A25F6">
        <w:rPr>
          <w:rFonts w:cs="Arial"/>
          <w:lang w:val="es-ES"/>
        </w:rPr>
        <w:t xml:space="preserve"> 2015. </w:t>
      </w:r>
    </w:p>
    <w:p w:rsidR="0023753C" w:rsidRDefault="0023753C" w:rsidP="00DC1333">
      <w:pPr>
        <w:pStyle w:val="ListParagraph"/>
        <w:jc w:val="both"/>
        <w:rPr>
          <w:rFonts w:cs="Arial"/>
          <w:lang w:val="es-ES"/>
        </w:rPr>
      </w:pPr>
    </w:p>
    <w:p w:rsidR="0023753C" w:rsidRDefault="0023753C" w:rsidP="0023753C">
      <w:pPr>
        <w:pStyle w:val="ListParagraph"/>
        <w:keepNext/>
        <w:keepLines/>
        <w:numPr>
          <w:ilvl w:val="0"/>
          <w:numId w:val="29"/>
        </w:numPr>
        <w:ind w:left="567" w:hanging="567"/>
        <w:contextualSpacing/>
        <w:jc w:val="both"/>
        <w:rPr>
          <w:rFonts w:cs="Arial"/>
          <w:b/>
          <w:lang w:val="es-ES"/>
        </w:rPr>
      </w:pPr>
      <w:r w:rsidRPr="00760842">
        <w:rPr>
          <w:rFonts w:cs="Arial"/>
          <w:b/>
          <w:lang w:val="es-ES"/>
        </w:rPr>
        <w:lastRenderedPageBreak/>
        <w:t>Person</w:t>
      </w:r>
      <w:r>
        <w:rPr>
          <w:rFonts w:cs="Arial"/>
          <w:b/>
          <w:lang w:val="es-ES"/>
        </w:rPr>
        <w:t>a</w:t>
      </w:r>
      <w:r w:rsidRPr="00760842">
        <w:rPr>
          <w:rFonts w:cs="Arial"/>
          <w:b/>
          <w:lang w:val="es-ES"/>
        </w:rPr>
        <w:t>l</w:t>
      </w:r>
    </w:p>
    <w:p w:rsidR="0023753C" w:rsidRDefault="0023753C" w:rsidP="00DC1333">
      <w:pPr>
        <w:keepNext/>
        <w:keepLines/>
        <w:jc w:val="center"/>
        <w:rPr>
          <w:sz w:val="20"/>
        </w:rPr>
      </w:pPr>
      <w:r w:rsidRPr="0071157B">
        <w:rPr>
          <w:noProof/>
          <w:lang w:val="en-US" w:eastAsia="en-US"/>
        </w:rPr>
        <w:drawing>
          <wp:inline distT="0" distB="0" distL="0" distR="0" wp14:anchorId="52CE1316" wp14:editId="46BF0C4E">
            <wp:extent cx="5479845" cy="2628000"/>
            <wp:effectExtent l="0" t="0" r="698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79845" cy="2628000"/>
                    </a:xfrm>
                    <a:prstGeom prst="rect">
                      <a:avLst/>
                    </a:prstGeom>
                    <a:noFill/>
                    <a:ln>
                      <a:noFill/>
                    </a:ln>
                  </pic:spPr>
                </pic:pic>
              </a:graphicData>
            </a:graphic>
          </wp:inline>
        </w:drawing>
      </w:r>
    </w:p>
    <w:p w:rsidR="0023753C" w:rsidRDefault="0023753C" w:rsidP="00DC1333">
      <w:pPr>
        <w:keepNext/>
        <w:keepLines/>
        <w:rPr>
          <w:sz w:val="16"/>
        </w:rPr>
      </w:pPr>
      <w:r w:rsidRPr="004A25F6">
        <w:rPr>
          <w:sz w:val="16"/>
        </w:rPr>
        <w:t>Nota</w:t>
      </w:r>
      <w:proofErr w:type="gramStart"/>
      <w:r w:rsidRPr="004A25F6">
        <w:rPr>
          <w:sz w:val="16"/>
        </w:rPr>
        <w:t>:  La</w:t>
      </w:r>
      <w:proofErr w:type="gramEnd"/>
      <w:r w:rsidRPr="004A25F6">
        <w:rPr>
          <w:sz w:val="16"/>
        </w:rPr>
        <w:t xml:space="preserve"> posibilidad de diferenciar a los empleados del Registro de Lisboa fue factible únicamente al inicio del bienio 2014/15</w:t>
      </w:r>
      <w:r>
        <w:rPr>
          <w:sz w:val="16"/>
        </w:rPr>
        <w:t xml:space="preserve">.  </w:t>
      </w:r>
      <w:r w:rsidRPr="004A25F6">
        <w:rPr>
          <w:sz w:val="16"/>
        </w:rPr>
        <w:t xml:space="preserve">Para los años </w:t>
      </w:r>
      <w:r>
        <w:rPr>
          <w:sz w:val="16"/>
        </w:rPr>
        <w:t xml:space="preserve">previos </w:t>
      </w:r>
      <w:r w:rsidRPr="004A25F6">
        <w:rPr>
          <w:sz w:val="16"/>
        </w:rPr>
        <w:t xml:space="preserve">a 2014, los empleados del Sistema de Lisboa se incluyen en </w:t>
      </w:r>
      <w:r>
        <w:rPr>
          <w:sz w:val="16"/>
        </w:rPr>
        <w:t>el número total de empleados del Sistema de Madrid</w:t>
      </w:r>
      <w:r w:rsidRPr="004A25F6">
        <w:rPr>
          <w:sz w:val="16"/>
        </w:rPr>
        <w:t>.</w:t>
      </w:r>
    </w:p>
    <w:p w:rsidR="0023753C" w:rsidRDefault="0023753C" w:rsidP="00DC1333">
      <w:pPr>
        <w:keepNext/>
        <w:keepLines/>
        <w:jc w:val="both"/>
      </w:pPr>
    </w:p>
    <w:p w:rsidR="0023753C" w:rsidRDefault="0023753C" w:rsidP="0023753C">
      <w:pPr>
        <w:pStyle w:val="ListParagraph"/>
        <w:numPr>
          <w:ilvl w:val="0"/>
          <w:numId w:val="33"/>
        </w:numPr>
        <w:spacing w:after="120"/>
        <w:ind w:left="993" w:hanging="426"/>
        <w:jc w:val="both"/>
        <w:rPr>
          <w:rFonts w:cs="Arial"/>
          <w:lang w:val="es-ES"/>
        </w:rPr>
      </w:pPr>
      <w:r w:rsidRPr="004A25F6">
        <w:rPr>
          <w:rFonts w:cs="Arial"/>
          <w:lang w:val="es-ES"/>
        </w:rPr>
        <w:t>En 2015, el número de empleados apenas varió con respecto a 2014, mientras que el n</w:t>
      </w:r>
      <w:r>
        <w:rPr>
          <w:rFonts w:cs="Arial"/>
          <w:lang w:val="es-ES"/>
        </w:rPr>
        <w:t xml:space="preserve">úmero de recursos flexibles se multiplicó por dos, pasando de ocho en </w:t>
      </w:r>
      <w:r w:rsidRPr="004A25F6">
        <w:rPr>
          <w:rFonts w:cs="Arial"/>
          <w:lang w:val="es-ES"/>
        </w:rPr>
        <w:t xml:space="preserve">2014 </w:t>
      </w:r>
      <w:r>
        <w:rPr>
          <w:rFonts w:cs="Arial"/>
          <w:lang w:val="es-ES"/>
        </w:rPr>
        <w:t>a</w:t>
      </w:r>
      <w:r w:rsidRPr="004A25F6">
        <w:rPr>
          <w:rFonts w:cs="Arial"/>
          <w:lang w:val="es-ES"/>
        </w:rPr>
        <w:t xml:space="preserve"> 16 </w:t>
      </w:r>
      <w:r>
        <w:rPr>
          <w:rFonts w:cs="Arial"/>
          <w:lang w:val="es-ES"/>
        </w:rPr>
        <w:t>e</w:t>
      </w:r>
      <w:r w:rsidRPr="004A25F6">
        <w:rPr>
          <w:rFonts w:cs="Arial"/>
          <w:lang w:val="es-ES"/>
        </w:rPr>
        <w:t>n 2015.</w:t>
      </w:r>
    </w:p>
    <w:p w:rsidR="0023753C" w:rsidRDefault="0023753C" w:rsidP="0023753C">
      <w:pPr>
        <w:pStyle w:val="ListParagraph"/>
        <w:numPr>
          <w:ilvl w:val="0"/>
          <w:numId w:val="33"/>
        </w:numPr>
        <w:spacing w:after="120"/>
        <w:ind w:left="993" w:hanging="426"/>
        <w:jc w:val="both"/>
        <w:rPr>
          <w:rFonts w:cs="Arial"/>
          <w:lang w:val="es-ES"/>
        </w:rPr>
      </w:pPr>
      <w:r w:rsidRPr="00A273AA">
        <w:rPr>
          <w:rFonts w:cs="Arial"/>
          <w:lang w:val="es-ES"/>
        </w:rPr>
        <w:t xml:space="preserve">Los trabajadores contratados a través de agencias que no trabajan en </w:t>
      </w:r>
      <w:r>
        <w:rPr>
          <w:rFonts w:cs="Arial"/>
          <w:lang w:val="es-ES"/>
        </w:rPr>
        <w:t>los locales de la OMPI no se incluyen en este indicador</w:t>
      </w:r>
      <w:r w:rsidRPr="00A273AA">
        <w:rPr>
          <w:rFonts w:cs="Arial"/>
          <w:lang w:val="es-ES"/>
        </w:rPr>
        <w:t>.</w:t>
      </w:r>
    </w:p>
    <w:p w:rsidR="0023753C" w:rsidRDefault="0023753C" w:rsidP="00DC1333">
      <w:pPr>
        <w:pStyle w:val="ListParagraph"/>
        <w:ind w:left="992"/>
        <w:jc w:val="both"/>
        <w:rPr>
          <w:rFonts w:cs="Arial"/>
          <w:sz w:val="16"/>
          <w:lang w:val="es-ES"/>
        </w:rPr>
      </w:pPr>
    </w:p>
    <w:p w:rsidR="0023753C" w:rsidRDefault="0023753C" w:rsidP="0023753C">
      <w:pPr>
        <w:pStyle w:val="ListParagraph"/>
        <w:numPr>
          <w:ilvl w:val="0"/>
          <w:numId w:val="29"/>
        </w:numPr>
        <w:ind w:left="567" w:hanging="567"/>
        <w:contextualSpacing/>
        <w:jc w:val="both"/>
        <w:rPr>
          <w:rFonts w:cs="Arial"/>
          <w:b/>
          <w:lang w:val="es-ES"/>
        </w:rPr>
      </w:pPr>
      <w:r>
        <w:rPr>
          <w:rFonts w:cs="Arial"/>
          <w:b/>
          <w:lang w:val="es-ES"/>
        </w:rPr>
        <w:t>Tiempo de tramitación</w:t>
      </w:r>
    </w:p>
    <w:p w:rsidR="0023753C" w:rsidRDefault="0023753C" w:rsidP="00DC1333">
      <w:pPr>
        <w:pStyle w:val="ListParagraph"/>
        <w:ind w:left="567" w:hanging="567"/>
        <w:jc w:val="both"/>
        <w:rPr>
          <w:rFonts w:cs="Arial"/>
          <w:lang w:val="es-ES"/>
        </w:rPr>
      </w:pPr>
    </w:p>
    <w:p w:rsidR="0023753C" w:rsidRPr="007A23AF" w:rsidRDefault="0023753C" w:rsidP="0023753C">
      <w:pPr>
        <w:pStyle w:val="ListParagraph"/>
        <w:numPr>
          <w:ilvl w:val="0"/>
          <w:numId w:val="35"/>
        </w:numPr>
        <w:tabs>
          <w:tab w:val="left" w:pos="567"/>
        </w:tabs>
        <w:ind w:left="0" w:firstLine="0"/>
        <w:contextualSpacing/>
        <w:jc w:val="both"/>
        <w:rPr>
          <w:rFonts w:cs="Arial"/>
          <w:lang w:val="es-ES"/>
        </w:rPr>
      </w:pPr>
      <w:r w:rsidRPr="007A23AF">
        <w:rPr>
          <w:rFonts w:cs="Arial"/>
          <w:lang w:val="es-ES"/>
        </w:rPr>
        <w:t xml:space="preserve">A continuación se muestra el tiempo medio de tramitación </w:t>
      </w:r>
      <w:r>
        <w:rPr>
          <w:rFonts w:cs="Arial"/>
          <w:lang w:val="es-ES"/>
        </w:rPr>
        <w:t xml:space="preserve">de </w:t>
      </w:r>
      <w:r w:rsidRPr="007A23AF">
        <w:rPr>
          <w:rFonts w:cs="Arial"/>
          <w:lang w:val="es-ES"/>
        </w:rPr>
        <w:t xml:space="preserve">las seis transacciones </w:t>
      </w:r>
      <w:r>
        <w:rPr>
          <w:rFonts w:cs="Arial"/>
          <w:lang w:val="es-ES"/>
        </w:rPr>
        <w:t xml:space="preserve">que </w:t>
      </w:r>
      <w:r w:rsidRPr="007A23AF">
        <w:rPr>
          <w:rFonts w:cs="Arial"/>
          <w:lang w:val="es-ES"/>
        </w:rPr>
        <w:t>realiza la Oficina Internacional.  E</w:t>
      </w:r>
      <w:r>
        <w:rPr>
          <w:rFonts w:cs="Arial"/>
          <w:lang w:val="es-ES"/>
        </w:rPr>
        <w:t xml:space="preserve">l tiempo de tramitación </w:t>
      </w:r>
      <w:r w:rsidRPr="007A23AF">
        <w:rPr>
          <w:rFonts w:cs="Arial"/>
          <w:lang w:val="es-ES"/>
        </w:rPr>
        <w:t xml:space="preserve">se calcula desde la fecha en que se recibe el documento hasta la fecha en que se inscribe.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756"/>
      </w:tblGrid>
      <w:tr w:rsidR="0023753C" w:rsidRPr="00760842" w:rsidTr="00DC1333">
        <w:trPr>
          <w:trHeight w:val="3298"/>
          <w:jc w:val="center"/>
        </w:trPr>
        <w:tc>
          <w:tcPr>
            <w:tcW w:w="4560" w:type="dxa"/>
          </w:tcPr>
          <w:p w:rsidR="0023753C" w:rsidRDefault="0023753C" w:rsidP="00DC1333">
            <w:pPr>
              <w:jc w:val="both"/>
            </w:pPr>
          </w:p>
          <w:p w:rsidR="0023753C" w:rsidRPr="00760842" w:rsidRDefault="0023753C" w:rsidP="00DC1333">
            <w:pPr>
              <w:jc w:val="both"/>
            </w:pPr>
            <w:r>
              <w:rPr>
                <w:noProof/>
                <w:lang w:val="en-US" w:eastAsia="en-US"/>
              </w:rPr>
              <w:drawing>
                <wp:inline distT="0" distB="0" distL="0" distR="0" wp14:anchorId="2A47F9F5" wp14:editId="264CFBE1">
                  <wp:extent cx="3116912" cy="244900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18592" cy="2450322"/>
                          </a:xfrm>
                          <a:prstGeom prst="rect">
                            <a:avLst/>
                          </a:prstGeom>
                          <a:noFill/>
                          <a:ln>
                            <a:noFill/>
                          </a:ln>
                        </pic:spPr>
                      </pic:pic>
                    </a:graphicData>
                  </a:graphic>
                </wp:inline>
              </w:drawing>
            </w:r>
          </w:p>
        </w:tc>
        <w:tc>
          <w:tcPr>
            <w:tcW w:w="4591" w:type="dxa"/>
          </w:tcPr>
          <w:p w:rsidR="0023753C" w:rsidRDefault="0023753C" w:rsidP="00DC1333">
            <w:pPr>
              <w:jc w:val="both"/>
            </w:pPr>
          </w:p>
          <w:p w:rsidR="0023753C" w:rsidRPr="00760842" w:rsidRDefault="0023753C" w:rsidP="00DC1333">
            <w:pPr>
              <w:jc w:val="both"/>
            </w:pPr>
            <w:r>
              <w:rPr>
                <w:noProof/>
                <w:lang w:val="en-US" w:eastAsia="en-US"/>
              </w:rPr>
              <w:drawing>
                <wp:inline distT="0" distB="0" distL="0" distR="0" wp14:anchorId="7267B257" wp14:editId="0F319803">
                  <wp:extent cx="3077155" cy="239334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76650" cy="2392950"/>
                          </a:xfrm>
                          <a:prstGeom prst="rect">
                            <a:avLst/>
                          </a:prstGeom>
                          <a:noFill/>
                          <a:ln>
                            <a:noFill/>
                          </a:ln>
                        </pic:spPr>
                      </pic:pic>
                    </a:graphicData>
                  </a:graphic>
                </wp:inline>
              </w:drawing>
            </w:r>
          </w:p>
        </w:tc>
      </w:tr>
      <w:tr w:rsidR="0023753C" w:rsidRPr="00760842" w:rsidTr="00DC1333">
        <w:trPr>
          <w:trHeight w:val="3418"/>
          <w:jc w:val="center"/>
        </w:trPr>
        <w:tc>
          <w:tcPr>
            <w:tcW w:w="4560" w:type="dxa"/>
          </w:tcPr>
          <w:p w:rsidR="0023753C" w:rsidRPr="00760842" w:rsidRDefault="0023753C" w:rsidP="00DC1333">
            <w:pPr>
              <w:jc w:val="both"/>
            </w:pPr>
            <w:r>
              <w:rPr>
                <w:noProof/>
                <w:lang w:val="en-US" w:eastAsia="en-US"/>
              </w:rPr>
              <w:lastRenderedPageBreak/>
              <w:drawing>
                <wp:inline distT="0" distB="0" distL="0" distR="0" wp14:anchorId="7CA16DD9" wp14:editId="580017F7">
                  <wp:extent cx="2926080" cy="233768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30400" cy="2341135"/>
                          </a:xfrm>
                          <a:prstGeom prst="rect">
                            <a:avLst/>
                          </a:prstGeom>
                          <a:noFill/>
                          <a:ln>
                            <a:noFill/>
                          </a:ln>
                        </pic:spPr>
                      </pic:pic>
                    </a:graphicData>
                  </a:graphic>
                </wp:inline>
              </w:drawing>
            </w:r>
          </w:p>
        </w:tc>
        <w:tc>
          <w:tcPr>
            <w:tcW w:w="4591" w:type="dxa"/>
          </w:tcPr>
          <w:p w:rsidR="0023753C" w:rsidRPr="00760842" w:rsidRDefault="0023753C" w:rsidP="00DC1333">
            <w:pPr>
              <w:jc w:val="both"/>
              <w:rPr>
                <w:color w:val="FF0000"/>
              </w:rPr>
            </w:pPr>
            <w:r>
              <w:rPr>
                <w:noProof/>
                <w:color w:val="FF0000"/>
                <w:lang w:val="en-US" w:eastAsia="en-US"/>
              </w:rPr>
              <w:drawing>
                <wp:inline distT="0" distB="0" distL="0" distR="0" wp14:anchorId="16A43B6B" wp14:editId="358845CC">
                  <wp:extent cx="3045349" cy="240924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49845" cy="2412802"/>
                          </a:xfrm>
                          <a:prstGeom prst="rect">
                            <a:avLst/>
                          </a:prstGeom>
                          <a:noFill/>
                          <a:ln>
                            <a:noFill/>
                          </a:ln>
                        </pic:spPr>
                      </pic:pic>
                    </a:graphicData>
                  </a:graphic>
                </wp:inline>
              </w:drawing>
            </w:r>
          </w:p>
        </w:tc>
      </w:tr>
      <w:tr w:rsidR="0023753C" w:rsidRPr="00760842" w:rsidTr="00DC1333">
        <w:trPr>
          <w:trHeight w:val="3194"/>
          <w:jc w:val="center"/>
        </w:trPr>
        <w:tc>
          <w:tcPr>
            <w:tcW w:w="4560" w:type="dxa"/>
          </w:tcPr>
          <w:p w:rsidR="0023753C" w:rsidRPr="00760842" w:rsidRDefault="0023753C" w:rsidP="00DC1333">
            <w:pPr>
              <w:jc w:val="both"/>
            </w:pPr>
            <w:r>
              <w:rPr>
                <w:noProof/>
                <w:lang w:val="en-US" w:eastAsia="en-US"/>
              </w:rPr>
              <w:drawing>
                <wp:inline distT="0" distB="0" distL="0" distR="0" wp14:anchorId="47EA795A" wp14:editId="093E4E29">
                  <wp:extent cx="3061253" cy="240129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65773" cy="2404839"/>
                          </a:xfrm>
                          <a:prstGeom prst="rect">
                            <a:avLst/>
                          </a:prstGeom>
                          <a:noFill/>
                          <a:ln>
                            <a:noFill/>
                          </a:ln>
                        </pic:spPr>
                      </pic:pic>
                    </a:graphicData>
                  </a:graphic>
                </wp:inline>
              </w:drawing>
            </w:r>
          </w:p>
        </w:tc>
        <w:tc>
          <w:tcPr>
            <w:tcW w:w="4591" w:type="dxa"/>
          </w:tcPr>
          <w:p w:rsidR="0023753C" w:rsidRPr="00760842" w:rsidRDefault="0023753C" w:rsidP="00DC1333">
            <w:pPr>
              <w:jc w:val="both"/>
            </w:pPr>
            <w:r>
              <w:rPr>
                <w:noProof/>
                <w:lang w:val="en-US" w:eastAsia="en-US"/>
              </w:rPr>
              <w:drawing>
                <wp:inline distT="0" distB="0" distL="0" distR="0" wp14:anchorId="364933EA" wp14:editId="31597A9D">
                  <wp:extent cx="2934031" cy="23138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38363" cy="2317246"/>
                          </a:xfrm>
                          <a:prstGeom prst="rect">
                            <a:avLst/>
                          </a:prstGeom>
                          <a:noFill/>
                          <a:ln>
                            <a:noFill/>
                          </a:ln>
                        </pic:spPr>
                      </pic:pic>
                    </a:graphicData>
                  </a:graphic>
                </wp:inline>
              </w:drawing>
            </w:r>
          </w:p>
        </w:tc>
      </w:tr>
    </w:tbl>
    <w:p w:rsidR="0023753C" w:rsidRDefault="0023753C" w:rsidP="00DC1333">
      <w:pPr>
        <w:jc w:val="both"/>
      </w:pPr>
    </w:p>
    <w:p w:rsidR="0023753C" w:rsidRDefault="0023753C" w:rsidP="0023753C">
      <w:pPr>
        <w:pStyle w:val="ListParagraph"/>
        <w:numPr>
          <w:ilvl w:val="0"/>
          <w:numId w:val="34"/>
        </w:numPr>
        <w:spacing w:after="240"/>
        <w:ind w:left="992" w:hanging="425"/>
        <w:jc w:val="both"/>
        <w:rPr>
          <w:rFonts w:cs="Arial"/>
          <w:lang w:val="es-ES"/>
        </w:rPr>
      </w:pPr>
      <w:r w:rsidRPr="00A273AA">
        <w:rPr>
          <w:rFonts w:cs="Arial"/>
          <w:lang w:val="es-ES"/>
        </w:rPr>
        <w:t>El tiempo medio de tramitación en 2015 disminuyó frente al de 2014 en el caso de las seis transacciones a cargo de la Oficina Internacional.  Las disminuciones más importantes en el tiempo medio de tramitación se</w:t>
      </w:r>
      <w:r>
        <w:rPr>
          <w:rFonts w:cs="Arial"/>
          <w:lang w:val="es-ES"/>
        </w:rPr>
        <w:t xml:space="preserve"> observaron respecto de las correcciones, los cambios y las designaciones posteriores</w:t>
      </w:r>
      <w:r w:rsidRPr="00A273AA">
        <w:rPr>
          <w:rFonts w:cs="Arial"/>
          <w:lang w:val="es-ES"/>
        </w:rPr>
        <w:t>.</w:t>
      </w:r>
    </w:p>
    <w:p w:rsidR="0023753C" w:rsidRDefault="0023753C" w:rsidP="0023753C">
      <w:pPr>
        <w:pStyle w:val="ListParagraph"/>
        <w:numPr>
          <w:ilvl w:val="0"/>
          <w:numId w:val="29"/>
        </w:numPr>
        <w:ind w:left="567" w:hanging="567"/>
        <w:contextualSpacing/>
        <w:jc w:val="both"/>
        <w:rPr>
          <w:rFonts w:cs="Arial"/>
          <w:b/>
          <w:lang w:val="es-ES"/>
        </w:rPr>
      </w:pPr>
      <w:r>
        <w:rPr>
          <w:rFonts w:cs="Arial"/>
          <w:b/>
          <w:lang w:val="es-ES"/>
        </w:rPr>
        <w:t>Calidad del examen</w:t>
      </w:r>
    </w:p>
    <w:p w:rsidR="0023753C" w:rsidRDefault="0023753C" w:rsidP="00DC1333">
      <w:pPr>
        <w:jc w:val="both"/>
        <w:rPr>
          <w:sz w:val="20"/>
        </w:rPr>
      </w:pPr>
    </w:p>
    <w:p w:rsidR="0023753C" w:rsidRPr="00F30FE1" w:rsidRDefault="0023753C" w:rsidP="0023753C">
      <w:pPr>
        <w:pStyle w:val="ListParagraph"/>
        <w:numPr>
          <w:ilvl w:val="0"/>
          <w:numId w:val="35"/>
        </w:numPr>
        <w:tabs>
          <w:tab w:val="left" w:pos="567"/>
        </w:tabs>
        <w:ind w:left="0" w:firstLine="0"/>
        <w:contextualSpacing/>
        <w:jc w:val="both"/>
        <w:rPr>
          <w:rFonts w:cs="Arial"/>
          <w:lang w:val="es-ES"/>
        </w:rPr>
      </w:pPr>
      <w:r w:rsidRPr="00F30FE1">
        <w:rPr>
          <w:rFonts w:cs="Arial"/>
          <w:lang w:val="es-ES"/>
        </w:rPr>
        <w:t xml:space="preserve">Los indicadores principales sobre la calidad global del examen de </w:t>
      </w:r>
      <w:r>
        <w:rPr>
          <w:rFonts w:cs="Arial"/>
          <w:lang w:val="es-ES"/>
        </w:rPr>
        <w:t xml:space="preserve">solicitudes de </w:t>
      </w:r>
      <w:r w:rsidRPr="00F30FE1">
        <w:rPr>
          <w:rFonts w:cs="Arial"/>
          <w:lang w:val="es-ES"/>
        </w:rPr>
        <w:t>marca</w:t>
      </w:r>
      <w:r>
        <w:rPr>
          <w:rFonts w:cs="Arial"/>
          <w:lang w:val="es-ES"/>
        </w:rPr>
        <w:t>,</w:t>
      </w:r>
      <w:r w:rsidRPr="00F30FE1">
        <w:rPr>
          <w:rFonts w:cs="Arial"/>
          <w:lang w:val="es-ES"/>
        </w:rPr>
        <w:t xml:space="preserve"> elaborados por la Oficina Internacional </w:t>
      </w:r>
      <w:r>
        <w:rPr>
          <w:rFonts w:cs="Arial"/>
          <w:lang w:val="es-ES"/>
        </w:rPr>
        <w:t xml:space="preserve">y </w:t>
      </w:r>
      <w:r w:rsidRPr="00F30FE1">
        <w:rPr>
          <w:rFonts w:cs="Arial"/>
          <w:lang w:val="es-ES"/>
        </w:rPr>
        <w:t>que se presentan a continuación, son el resultado del control de calidad realizado tras la aplicaci</w:t>
      </w:r>
      <w:r>
        <w:rPr>
          <w:rFonts w:cs="Arial"/>
          <w:lang w:val="es-ES"/>
        </w:rPr>
        <w:t xml:space="preserve">ón del Marco de Gestión de la Calidad del Registro de Madrid en 2015, de conformidad con la orientación de la certificación </w:t>
      </w:r>
      <w:r w:rsidRPr="00F30FE1">
        <w:rPr>
          <w:rFonts w:cs="Arial"/>
          <w:lang w:val="es-ES"/>
        </w:rPr>
        <w:t>ISO 9001:2008</w:t>
      </w:r>
      <w:r w:rsidRPr="00760842">
        <w:rPr>
          <w:rStyle w:val="FootnoteReference"/>
          <w:rFonts w:cs="Arial"/>
          <w:lang w:val="es-ES"/>
        </w:rPr>
        <w:footnoteReference w:id="36"/>
      </w:r>
      <w:r>
        <w:rPr>
          <w:rFonts w:cs="Arial"/>
          <w:lang w:val="es-ES"/>
        </w:rPr>
        <w:t>.</w:t>
      </w:r>
    </w:p>
    <w:p w:rsidR="0023753C" w:rsidRPr="00F30FE1" w:rsidRDefault="0023753C" w:rsidP="00DC1333">
      <w:pPr>
        <w:pStyle w:val="ListParagraph"/>
        <w:tabs>
          <w:tab w:val="left" w:pos="567"/>
        </w:tabs>
        <w:ind w:left="0"/>
        <w:jc w:val="both"/>
        <w:rPr>
          <w:rFonts w:cs="Arial"/>
          <w:lang w:val="es-ES"/>
        </w:rPr>
      </w:pPr>
    </w:p>
    <w:p w:rsidR="0023753C" w:rsidRPr="009D4E80" w:rsidRDefault="0023753C" w:rsidP="0023753C">
      <w:pPr>
        <w:pStyle w:val="ListParagraph"/>
        <w:numPr>
          <w:ilvl w:val="0"/>
          <w:numId w:val="35"/>
        </w:numPr>
        <w:tabs>
          <w:tab w:val="left" w:pos="567"/>
        </w:tabs>
        <w:ind w:left="0" w:firstLine="0"/>
        <w:contextualSpacing/>
        <w:jc w:val="both"/>
        <w:rPr>
          <w:rFonts w:cs="Arial"/>
          <w:lang w:val="es-ES"/>
        </w:rPr>
      </w:pPr>
      <w:r w:rsidRPr="009D4E80">
        <w:rPr>
          <w:rFonts w:cs="Arial"/>
          <w:lang w:val="es-ES"/>
        </w:rPr>
        <w:t xml:space="preserve">Existen dos fuentes de información sobre la calidad de la labor </w:t>
      </w:r>
      <w:r>
        <w:rPr>
          <w:rFonts w:cs="Arial"/>
          <w:lang w:val="es-ES"/>
        </w:rPr>
        <w:t>de examen</w:t>
      </w:r>
      <w:r w:rsidRPr="009D4E80">
        <w:rPr>
          <w:rFonts w:cs="Arial"/>
          <w:lang w:val="es-ES"/>
        </w:rPr>
        <w:t xml:space="preserve"> realizada por la Oficina Internaciona</w:t>
      </w:r>
      <w:r>
        <w:rPr>
          <w:rFonts w:cs="Arial"/>
          <w:lang w:val="es-ES"/>
        </w:rPr>
        <w:t>l</w:t>
      </w:r>
      <w:r w:rsidRPr="009D4E80">
        <w:rPr>
          <w:rFonts w:cs="Arial"/>
          <w:lang w:val="es-ES"/>
        </w:rPr>
        <w:t>:</w:t>
      </w:r>
    </w:p>
    <w:p w:rsidR="0023753C" w:rsidRPr="009D4E80" w:rsidRDefault="0023753C" w:rsidP="00DC1333">
      <w:pPr>
        <w:pStyle w:val="ListParagraph"/>
        <w:rPr>
          <w:rFonts w:cs="Arial"/>
          <w:lang w:val="es-ES"/>
        </w:rPr>
      </w:pPr>
    </w:p>
    <w:p w:rsidR="0023753C" w:rsidRDefault="0023753C" w:rsidP="0023753C">
      <w:pPr>
        <w:pStyle w:val="ListParagraph"/>
        <w:numPr>
          <w:ilvl w:val="1"/>
          <w:numId w:val="35"/>
        </w:numPr>
        <w:tabs>
          <w:tab w:val="left" w:pos="567"/>
          <w:tab w:val="left" w:pos="1134"/>
        </w:tabs>
        <w:ind w:left="567" w:firstLine="0"/>
        <w:contextualSpacing/>
        <w:jc w:val="both"/>
        <w:rPr>
          <w:rFonts w:cs="Arial"/>
          <w:lang w:val="es-ES"/>
        </w:rPr>
      </w:pPr>
      <w:r w:rsidRPr="009D4E80">
        <w:rPr>
          <w:rFonts w:cs="Arial"/>
          <w:lang w:val="es-ES"/>
        </w:rPr>
        <w:t>Los resultados de la revisi</w:t>
      </w:r>
      <w:r>
        <w:rPr>
          <w:rFonts w:cs="Arial"/>
          <w:lang w:val="es-ES"/>
        </w:rPr>
        <w:t>ó</w:t>
      </w:r>
      <w:r w:rsidRPr="009D4E80">
        <w:rPr>
          <w:rFonts w:cs="Arial"/>
          <w:lang w:val="es-ES"/>
        </w:rPr>
        <w:t>n interna de</w:t>
      </w:r>
      <w:r>
        <w:rPr>
          <w:rFonts w:cs="Arial"/>
          <w:lang w:val="es-ES"/>
        </w:rPr>
        <w:t xml:space="preserve"> </w:t>
      </w:r>
      <w:r w:rsidRPr="009D4E80">
        <w:rPr>
          <w:rFonts w:cs="Arial"/>
          <w:lang w:val="es-ES"/>
        </w:rPr>
        <w:t>l</w:t>
      </w:r>
      <w:r>
        <w:rPr>
          <w:rFonts w:cs="Arial"/>
          <w:lang w:val="es-ES"/>
        </w:rPr>
        <w:t>as muestras de las transacciones que conforman el examen;  y</w:t>
      </w:r>
    </w:p>
    <w:p w:rsidR="0023753C" w:rsidRPr="009D4E80" w:rsidRDefault="0023753C" w:rsidP="0023753C">
      <w:pPr>
        <w:pStyle w:val="ListParagraph"/>
        <w:numPr>
          <w:ilvl w:val="1"/>
          <w:numId w:val="35"/>
        </w:numPr>
        <w:tabs>
          <w:tab w:val="left" w:pos="567"/>
          <w:tab w:val="left" w:pos="1134"/>
        </w:tabs>
        <w:ind w:left="567" w:firstLine="0"/>
        <w:contextualSpacing/>
        <w:jc w:val="both"/>
        <w:rPr>
          <w:rFonts w:cs="Arial"/>
          <w:lang w:val="es-ES"/>
        </w:rPr>
      </w:pPr>
      <w:r w:rsidRPr="009D4E80">
        <w:rPr>
          <w:rFonts w:cs="Arial"/>
          <w:lang w:val="es-ES"/>
        </w:rPr>
        <w:t xml:space="preserve">Los errores cometidos por la Oficina Internacional, y confirmados como tales, tras la recepción de </w:t>
      </w:r>
      <w:r>
        <w:rPr>
          <w:rFonts w:cs="Arial"/>
          <w:lang w:val="es-ES"/>
        </w:rPr>
        <w:t>peticiones</w:t>
      </w:r>
      <w:r w:rsidRPr="009D4E80">
        <w:rPr>
          <w:rFonts w:cs="Arial"/>
          <w:lang w:val="es-ES"/>
        </w:rPr>
        <w:t xml:space="preserve"> de corrección de conformidad con la Regla 28 del Reglamento Común.</w:t>
      </w:r>
    </w:p>
    <w:p w:rsidR="0023753C" w:rsidRPr="009D4E80" w:rsidRDefault="0023753C" w:rsidP="00DC1333">
      <w:pPr>
        <w:pStyle w:val="ListParagraph"/>
        <w:tabs>
          <w:tab w:val="left" w:pos="1134"/>
        </w:tabs>
        <w:ind w:left="567"/>
        <w:rPr>
          <w:rFonts w:cs="Arial"/>
          <w:lang w:val="es-ES"/>
        </w:rPr>
      </w:pPr>
    </w:p>
    <w:p w:rsidR="0023753C" w:rsidRDefault="0023753C" w:rsidP="00DC1333">
      <w:pPr>
        <w:pStyle w:val="ListParagraph"/>
        <w:keepNext/>
        <w:tabs>
          <w:tab w:val="left" w:pos="567"/>
        </w:tabs>
        <w:ind w:left="567"/>
        <w:jc w:val="both"/>
        <w:rPr>
          <w:rFonts w:cs="Arial"/>
          <w:i/>
          <w:lang w:val="es-ES"/>
        </w:rPr>
      </w:pPr>
      <w:r w:rsidRPr="00807F91">
        <w:rPr>
          <w:rFonts w:cs="Arial"/>
          <w:i/>
          <w:lang w:val="es-ES"/>
        </w:rPr>
        <w:lastRenderedPageBreak/>
        <w:t xml:space="preserve">Revisión de las muestras </w:t>
      </w:r>
      <w:r w:rsidRPr="00712734">
        <w:rPr>
          <w:rFonts w:cs="Arial"/>
          <w:i/>
          <w:lang w:val="es-ES"/>
        </w:rPr>
        <w:t>de las transacciones que conforman el examen</w:t>
      </w:r>
    </w:p>
    <w:p w:rsidR="0023753C" w:rsidRDefault="0023753C" w:rsidP="00DC1333">
      <w:pPr>
        <w:keepNext/>
        <w:tabs>
          <w:tab w:val="left" w:pos="567"/>
        </w:tabs>
        <w:jc w:val="both"/>
        <w:rPr>
          <w:sz w:val="20"/>
        </w:rPr>
      </w:pPr>
    </w:p>
    <w:p w:rsidR="0023753C" w:rsidRDefault="0023753C" w:rsidP="0023753C">
      <w:pPr>
        <w:pStyle w:val="ListParagraph"/>
        <w:keepNext/>
        <w:numPr>
          <w:ilvl w:val="0"/>
          <w:numId w:val="35"/>
        </w:numPr>
        <w:tabs>
          <w:tab w:val="left" w:pos="567"/>
        </w:tabs>
        <w:ind w:left="0" w:firstLine="0"/>
        <w:contextualSpacing/>
        <w:jc w:val="both"/>
        <w:rPr>
          <w:rFonts w:cs="Arial"/>
          <w:lang w:val="es-ES"/>
        </w:rPr>
      </w:pPr>
      <w:r w:rsidRPr="006726F5">
        <w:rPr>
          <w:rFonts w:cs="Arial"/>
          <w:lang w:val="es-ES"/>
        </w:rPr>
        <w:t xml:space="preserve">Se establece un nivel de calidad aceptable para cada </w:t>
      </w:r>
      <w:r>
        <w:rPr>
          <w:rFonts w:cs="Arial"/>
          <w:lang w:val="es-ES"/>
        </w:rPr>
        <w:t xml:space="preserve">transacción, siendo este el </w:t>
      </w:r>
      <w:r w:rsidRPr="006726F5">
        <w:rPr>
          <w:rFonts w:cs="Arial"/>
          <w:lang w:val="es-ES"/>
        </w:rPr>
        <w:t xml:space="preserve">criterio </w:t>
      </w:r>
      <w:r>
        <w:rPr>
          <w:rFonts w:cs="Arial"/>
          <w:lang w:val="es-ES"/>
        </w:rPr>
        <w:t>fijado para calibrar</w:t>
      </w:r>
      <w:r w:rsidRPr="006726F5">
        <w:rPr>
          <w:rFonts w:cs="Arial"/>
          <w:lang w:val="es-ES"/>
        </w:rPr>
        <w:t xml:space="preserve"> la calidad del examen de </w:t>
      </w:r>
      <w:r>
        <w:rPr>
          <w:rFonts w:cs="Arial"/>
          <w:lang w:val="es-ES"/>
        </w:rPr>
        <w:t xml:space="preserve">las solicitudes de </w:t>
      </w:r>
      <w:r w:rsidRPr="006726F5">
        <w:rPr>
          <w:rFonts w:cs="Arial"/>
          <w:lang w:val="es-ES"/>
        </w:rPr>
        <w:t>marcas.</w:t>
      </w:r>
    </w:p>
    <w:p w:rsidR="0023753C" w:rsidRPr="00503E8F" w:rsidRDefault="0023753C" w:rsidP="00DC1333">
      <w:pPr>
        <w:keepNext/>
        <w:tabs>
          <w:tab w:val="left" w:pos="567"/>
        </w:tabs>
        <w:jc w:val="both"/>
        <w:rPr>
          <w:sz w:val="20"/>
        </w:rPr>
      </w:pPr>
    </w:p>
    <w:p w:rsidR="0023753C" w:rsidRDefault="0023753C" w:rsidP="00DC1333">
      <w:pPr>
        <w:tabs>
          <w:tab w:val="left" w:pos="567"/>
        </w:tabs>
        <w:ind w:left="360"/>
        <w:jc w:val="center"/>
        <w:rPr>
          <w:sz w:val="20"/>
        </w:rPr>
      </w:pPr>
      <w:r>
        <w:rPr>
          <w:noProof/>
          <w:lang w:val="en-US" w:eastAsia="en-US"/>
        </w:rPr>
        <w:drawing>
          <wp:inline distT="0" distB="0" distL="0" distR="0" wp14:anchorId="50C1B45F" wp14:editId="32318A76">
            <wp:extent cx="5511368" cy="353258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14117" cy="3534344"/>
                    </a:xfrm>
                    <a:prstGeom prst="rect">
                      <a:avLst/>
                    </a:prstGeom>
                    <a:noFill/>
                    <a:ln>
                      <a:noFill/>
                    </a:ln>
                  </pic:spPr>
                </pic:pic>
              </a:graphicData>
            </a:graphic>
          </wp:inline>
        </w:drawing>
      </w:r>
    </w:p>
    <w:p w:rsidR="0023753C" w:rsidRDefault="0023753C" w:rsidP="00DC1333">
      <w:pPr>
        <w:tabs>
          <w:tab w:val="left" w:pos="567"/>
        </w:tabs>
        <w:ind w:left="360"/>
        <w:jc w:val="both"/>
        <w:rPr>
          <w:sz w:val="20"/>
        </w:rPr>
      </w:pPr>
    </w:p>
    <w:p w:rsidR="0023753C" w:rsidRPr="006726F5" w:rsidRDefault="0023753C" w:rsidP="0023753C">
      <w:pPr>
        <w:pStyle w:val="ListParagraph"/>
        <w:numPr>
          <w:ilvl w:val="0"/>
          <w:numId w:val="37"/>
        </w:numPr>
        <w:tabs>
          <w:tab w:val="left" w:pos="567"/>
        </w:tabs>
        <w:contextualSpacing/>
        <w:jc w:val="both"/>
        <w:rPr>
          <w:rFonts w:cs="Arial"/>
          <w:lang w:val="es-ES"/>
        </w:rPr>
      </w:pPr>
      <w:r>
        <w:rPr>
          <w:rFonts w:cs="Arial"/>
          <w:lang w:val="es-ES"/>
        </w:rPr>
        <w:t>El nivel global de calidad obtenido</w:t>
      </w:r>
      <w:r w:rsidRPr="00807F91">
        <w:rPr>
          <w:rFonts w:cs="Arial"/>
          <w:lang w:val="es-ES"/>
        </w:rPr>
        <w:t xml:space="preserve"> </w:t>
      </w:r>
      <w:r w:rsidRPr="006726F5">
        <w:rPr>
          <w:rFonts w:cs="Arial"/>
          <w:lang w:val="es-ES"/>
        </w:rPr>
        <w:t xml:space="preserve">en 2015 </w:t>
      </w:r>
      <w:r>
        <w:rPr>
          <w:rFonts w:cs="Arial"/>
          <w:lang w:val="es-ES"/>
        </w:rPr>
        <w:t>superó en un punto porcentual el nivel de calidad aceptable</w:t>
      </w:r>
      <w:r w:rsidRPr="006726F5">
        <w:rPr>
          <w:rFonts w:cs="Arial"/>
          <w:lang w:val="es-ES"/>
        </w:rPr>
        <w:t>.</w:t>
      </w:r>
    </w:p>
    <w:p w:rsidR="0023753C" w:rsidRDefault="0023753C" w:rsidP="00DC1333">
      <w:pPr>
        <w:tabs>
          <w:tab w:val="left" w:pos="567"/>
        </w:tabs>
        <w:jc w:val="both"/>
        <w:rPr>
          <w:sz w:val="20"/>
        </w:rPr>
      </w:pPr>
    </w:p>
    <w:p w:rsidR="0023753C" w:rsidRPr="006726F5" w:rsidRDefault="0023753C" w:rsidP="00DC1333">
      <w:pPr>
        <w:tabs>
          <w:tab w:val="left" w:pos="567"/>
        </w:tabs>
        <w:jc w:val="both"/>
        <w:rPr>
          <w:sz w:val="20"/>
        </w:rPr>
      </w:pPr>
    </w:p>
    <w:p w:rsidR="0023753C" w:rsidRDefault="0023753C" w:rsidP="00DC1333">
      <w:pPr>
        <w:tabs>
          <w:tab w:val="left" w:pos="567"/>
        </w:tabs>
        <w:ind w:left="360"/>
        <w:jc w:val="center"/>
        <w:rPr>
          <w:sz w:val="20"/>
        </w:rPr>
      </w:pPr>
      <w:r>
        <w:rPr>
          <w:noProof/>
          <w:lang w:val="en-US" w:eastAsia="en-US"/>
        </w:rPr>
        <w:drawing>
          <wp:inline distT="0" distB="0" distL="0" distR="0" wp14:anchorId="3199A490" wp14:editId="6E4AFE07">
            <wp:extent cx="5578043" cy="3575318"/>
            <wp:effectExtent l="0" t="0" r="381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80825" cy="3577101"/>
                    </a:xfrm>
                    <a:prstGeom prst="rect">
                      <a:avLst/>
                    </a:prstGeom>
                    <a:noFill/>
                    <a:ln>
                      <a:noFill/>
                    </a:ln>
                  </pic:spPr>
                </pic:pic>
              </a:graphicData>
            </a:graphic>
          </wp:inline>
        </w:drawing>
      </w:r>
    </w:p>
    <w:p w:rsidR="0023753C" w:rsidRDefault="0023753C" w:rsidP="00DC1333">
      <w:pPr>
        <w:tabs>
          <w:tab w:val="left" w:pos="567"/>
        </w:tabs>
        <w:ind w:left="360"/>
        <w:jc w:val="both"/>
        <w:rPr>
          <w:sz w:val="20"/>
        </w:rPr>
      </w:pPr>
    </w:p>
    <w:p w:rsidR="0023753C" w:rsidRPr="00B85AEC" w:rsidRDefault="0023753C" w:rsidP="0023753C">
      <w:pPr>
        <w:pStyle w:val="ListParagraph"/>
        <w:numPr>
          <w:ilvl w:val="0"/>
          <w:numId w:val="37"/>
        </w:numPr>
        <w:tabs>
          <w:tab w:val="left" w:pos="567"/>
        </w:tabs>
        <w:contextualSpacing/>
        <w:jc w:val="both"/>
        <w:rPr>
          <w:rFonts w:cs="Arial"/>
          <w:lang w:val="es-ES"/>
        </w:rPr>
      </w:pPr>
      <w:r>
        <w:rPr>
          <w:rFonts w:cs="Arial"/>
          <w:lang w:val="es-ES"/>
        </w:rPr>
        <w:lastRenderedPageBreak/>
        <w:t>El nivel global de calidad</w:t>
      </w:r>
      <w:r w:rsidRPr="00B85AEC">
        <w:rPr>
          <w:rFonts w:cs="Arial"/>
          <w:lang w:val="es-ES"/>
        </w:rPr>
        <w:t xml:space="preserve"> </w:t>
      </w:r>
      <w:r>
        <w:rPr>
          <w:rFonts w:cs="Arial"/>
          <w:lang w:val="es-ES"/>
        </w:rPr>
        <w:t xml:space="preserve">coincidió con el que se había prefijado para 2015.  </w:t>
      </w:r>
      <w:r w:rsidRPr="00B85AEC">
        <w:rPr>
          <w:rFonts w:cs="Arial"/>
          <w:lang w:val="es-ES"/>
        </w:rPr>
        <w:t>Sin embargo, hubo un problema importante a propós</w:t>
      </w:r>
      <w:r>
        <w:rPr>
          <w:rFonts w:cs="Arial"/>
          <w:lang w:val="es-ES"/>
        </w:rPr>
        <w:t>ito de la inscripción incorrecta de los datos de los solicitantes y de los representantes o mandatarios</w:t>
      </w:r>
      <w:r w:rsidRPr="00B85AEC">
        <w:rPr>
          <w:rFonts w:cs="Arial"/>
          <w:lang w:val="es-ES"/>
        </w:rPr>
        <w:t>.</w:t>
      </w:r>
    </w:p>
    <w:p w:rsidR="0023753C" w:rsidRPr="00B85AEC" w:rsidRDefault="0023753C" w:rsidP="00DC1333">
      <w:pPr>
        <w:tabs>
          <w:tab w:val="left" w:pos="567"/>
        </w:tabs>
        <w:jc w:val="both"/>
        <w:rPr>
          <w:sz w:val="20"/>
        </w:rPr>
      </w:pPr>
    </w:p>
    <w:p w:rsidR="0023753C" w:rsidRDefault="0023753C" w:rsidP="00DC1333">
      <w:pPr>
        <w:tabs>
          <w:tab w:val="left" w:pos="567"/>
        </w:tabs>
        <w:jc w:val="center"/>
        <w:rPr>
          <w:sz w:val="20"/>
        </w:rPr>
      </w:pPr>
      <w:r>
        <w:rPr>
          <w:noProof/>
          <w:lang w:val="en-US" w:eastAsia="en-US"/>
        </w:rPr>
        <w:drawing>
          <wp:inline distT="0" distB="0" distL="0" distR="0" wp14:anchorId="4E004AF4" wp14:editId="7C484894">
            <wp:extent cx="5343525" cy="3419560"/>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45232" cy="3420653"/>
                    </a:xfrm>
                    <a:prstGeom prst="rect">
                      <a:avLst/>
                    </a:prstGeom>
                    <a:noFill/>
                    <a:ln>
                      <a:noFill/>
                    </a:ln>
                  </pic:spPr>
                </pic:pic>
              </a:graphicData>
            </a:graphic>
          </wp:inline>
        </w:drawing>
      </w:r>
    </w:p>
    <w:p w:rsidR="0023753C" w:rsidRDefault="0023753C" w:rsidP="00DC1333">
      <w:pPr>
        <w:tabs>
          <w:tab w:val="left" w:pos="567"/>
        </w:tabs>
        <w:jc w:val="both"/>
        <w:rPr>
          <w:sz w:val="20"/>
        </w:rPr>
      </w:pPr>
    </w:p>
    <w:p w:rsidR="0023753C" w:rsidRPr="00B85AEC" w:rsidRDefault="0023753C" w:rsidP="0023753C">
      <w:pPr>
        <w:pStyle w:val="ListParagraph"/>
        <w:numPr>
          <w:ilvl w:val="0"/>
          <w:numId w:val="37"/>
        </w:numPr>
        <w:tabs>
          <w:tab w:val="left" w:pos="567"/>
        </w:tabs>
        <w:contextualSpacing/>
        <w:jc w:val="both"/>
        <w:rPr>
          <w:rFonts w:cs="Arial"/>
          <w:lang w:val="es-ES"/>
        </w:rPr>
      </w:pPr>
      <w:r w:rsidRPr="00B85AEC">
        <w:rPr>
          <w:rFonts w:cs="Arial"/>
          <w:lang w:val="es-ES"/>
        </w:rPr>
        <w:t>En 2015</w:t>
      </w:r>
      <w:r>
        <w:rPr>
          <w:rFonts w:cs="Arial"/>
          <w:lang w:val="es-ES"/>
        </w:rPr>
        <w:t>, el nivel global de calidad obtenido</w:t>
      </w:r>
      <w:r w:rsidRPr="00807F91">
        <w:rPr>
          <w:rFonts w:cs="Arial"/>
          <w:lang w:val="es-ES"/>
        </w:rPr>
        <w:t xml:space="preserve"> </w:t>
      </w:r>
      <w:r w:rsidRPr="00B85AEC">
        <w:rPr>
          <w:rFonts w:cs="Arial"/>
          <w:lang w:val="es-ES"/>
        </w:rPr>
        <w:t xml:space="preserve">en </w:t>
      </w:r>
      <w:r>
        <w:rPr>
          <w:rFonts w:cs="Arial"/>
          <w:lang w:val="es-ES"/>
        </w:rPr>
        <w:t>el tratamiento</w:t>
      </w:r>
      <w:r w:rsidRPr="00B85AEC">
        <w:rPr>
          <w:rFonts w:cs="Arial"/>
          <w:lang w:val="es-ES"/>
        </w:rPr>
        <w:t xml:space="preserve"> de las decisiones </w:t>
      </w:r>
      <w:r>
        <w:rPr>
          <w:rFonts w:cs="Arial"/>
          <w:lang w:val="es-ES"/>
        </w:rPr>
        <w:t xml:space="preserve">superó </w:t>
      </w:r>
      <w:r w:rsidRPr="00B85AEC">
        <w:rPr>
          <w:rFonts w:cs="Arial"/>
          <w:lang w:val="es-ES"/>
        </w:rPr>
        <w:t>en dos puntos porcentuales el objetivo fijado.</w:t>
      </w:r>
    </w:p>
    <w:p w:rsidR="0023753C" w:rsidRPr="00B85AEC" w:rsidRDefault="0023753C" w:rsidP="00DC1333">
      <w:pPr>
        <w:tabs>
          <w:tab w:val="left" w:pos="567"/>
        </w:tabs>
        <w:jc w:val="both"/>
        <w:rPr>
          <w:sz w:val="20"/>
        </w:rPr>
      </w:pPr>
    </w:p>
    <w:p w:rsidR="0023753C" w:rsidRDefault="0023753C" w:rsidP="00DC1333">
      <w:pPr>
        <w:tabs>
          <w:tab w:val="left" w:pos="567"/>
        </w:tabs>
        <w:jc w:val="center"/>
        <w:rPr>
          <w:sz w:val="20"/>
        </w:rPr>
      </w:pPr>
      <w:r>
        <w:rPr>
          <w:noProof/>
          <w:lang w:val="en-US" w:eastAsia="en-US"/>
        </w:rPr>
        <w:drawing>
          <wp:inline distT="0" distB="0" distL="0" distR="0" wp14:anchorId="7C156314" wp14:editId="5B86E622">
            <wp:extent cx="5510023" cy="353251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14603" cy="3535453"/>
                    </a:xfrm>
                    <a:prstGeom prst="rect">
                      <a:avLst/>
                    </a:prstGeom>
                    <a:noFill/>
                    <a:ln>
                      <a:noFill/>
                    </a:ln>
                  </pic:spPr>
                </pic:pic>
              </a:graphicData>
            </a:graphic>
          </wp:inline>
        </w:drawing>
      </w:r>
    </w:p>
    <w:p w:rsidR="0023753C" w:rsidRDefault="0023753C" w:rsidP="00DC1333">
      <w:pPr>
        <w:tabs>
          <w:tab w:val="left" w:pos="567"/>
        </w:tabs>
        <w:jc w:val="center"/>
        <w:rPr>
          <w:sz w:val="20"/>
        </w:rPr>
      </w:pPr>
    </w:p>
    <w:p w:rsidR="0023753C" w:rsidRPr="00687A4E" w:rsidRDefault="0023753C" w:rsidP="0023753C">
      <w:pPr>
        <w:pStyle w:val="ListParagraph"/>
        <w:numPr>
          <w:ilvl w:val="0"/>
          <w:numId w:val="37"/>
        </w:numPr>
        <w:tabs>
          <w:tab w:val="left" w:pos="567"/>
        </w:tabs>
        <w:contextualSpacing/>
        <w:jc w:val="both"/>
        <w:rPr>
          <w:rFonts w:cs="Arial"/>
          <w:lang w:val="es-ES"/>
        </w:rPr>
      </w:pPr>
      <w:r>
        <w:rPr>
          <w:rFonts w:cs="Arial"/>
          <w:lang w:val="es-ES"/>
        </w:rPr>
        <w:t>El nivel global de calidad obtenido</w:t>
      </w:r>
      <w:r w:rsidRPr="00807F91">
        <w:rPr>
          <w:rFonts w:cs="Arial"/>
          <w:lang w:val="es-ES"/>
        </w:rPr>
        <w:t xml:space="preserve"> </w:t>
      </w:r>
      <w:r>
        <w:rPr>
          <w:rFonts w:cs="Arial"/>
          <w:lang w:val="es-ES"/>
        </w:rPr>
        <w:t>coincidió con el que se había prefijado, es decir, alcanzó el </w:t>
      </w:r>
      <w:r w:rsidRPr="00B85AEC">
        <w:rPr>
          <w:rFonts w:cs="Arial"/>
          <w:lang w:val="es-ES"/>
        </w:rPr>
        <w:t>95</w:t>
      </w:r>
      <w:r>
        <w:rPr>
          <w:rFonts w:cs="Arial"/>
          <w:lang w:val="es-ES"/>
        </w:rPr>
        <w:t>%</w:t>
      </w:r>
      <w:r w:rsidRPr="00B85AEC">
        <w:rPr>
          <w:rFonts w:cs="Arial"/>
          <w:lang w:val="es-ES"/>
        </w:rPr>
        <w:t xml:space="preserve">.  </w:t>
      </w:r>
      <w:r w:rsidRPr="00687A4E">
        <w:rPr>
          <w:rFonts w:cs="Arial"/>
          <w:lang w:val="es-ES"/>
        </w:rPr>
        <w:t>Sin embargo, se observ</w:t>
      </w:r>
      <w:r>
        <w:rPr>
          <w:rFonts w:cs="Arial"/>
          <w:lang w:val="es-ES"/>
        </w:rPr>
        <w:t xml:space="preserve">ó </w:t>
      </w:r>
      <w:r w:rsidRPr="00687A4E">
        <w:rPr>
          <w:rFonts w:cs="Arial"/>
          <w:lang w:val="es-ES"/>
        </w:rPr>
        <w:t>el mismo problema que en el caso de</w:t>
      </w:r>
      <w:r>
        <w:rPr>
          <w:rFonts w:cs="Arial"/>
          <w:lang w:val="es-ES"/>
        </w:rPr>
        <w:t xml:space="preserve">l </w:t>
      </w:r>
      <w:r w:rsidRPr="00687A4E">
        <w:rPr>
          <w:rFonts w:cs="Arial"/>
          <w:lang w:val="es-ES"/>
        </w:rPr>
        <w:t>ex</w:t>
      </w:r>
      <w:r>
        <w:rPr>
          <w:rFonts w:cs="Arial"/>
          <w:lang w:val="es-ES"/>
        </w:rPr>
        <w:t>amen de forma</w:t>
      </w:r>
      <w:r w:rsidRPr="00687A4E">
        <w:rPr>
          <w:rFonts w:cs="Arial"/>
          <w:lang w:val="es-ES"/>
        </w:rPr>
        <w:t>.</w:t>
      </w:r>
    </w:p>
    <w:p w:rsidR="0023753C" w:rsidRPr="00F03797" w:rsidRDefault="0023753C" w:rsidP="00DC1333">
      <w:pPr>
        <w:tabs>
          <w:tab w:val="left" w:pos="567"/>
        </w:tabs>
        <w:jc w:val="both"/>
        <w:rPr>
          <w:sz w:val="20"/>
        </w:rPr>
      </w:pPr>
    </w:p>
    <w:p w:rsidR="0023753C" w:rsidRDefault="0023753C" w:rsidP="00DC1333">
      <w:pPr>
        <w:jc w:val="center"/>
        <w:rPr>
          <w:sz w:val="20"/>
        </w:rPr>
      </w:pPr>
      <w:r>
        <w:rPr>
          <w:noProof/>
          <w:lang w:val="en-US" w:eastAsia="en-US"/>
        </w:rPr>
        <w:lastRenderedPageBreak/>
        <w:drawing>
          <wp:inline distT="0" distB="0" distL="0" distR="0" wp14:anchorId="61378788" wp14:editId="2A575CCD">
            <wp:extent cx="5372100" cy="3447569"/>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73816" cy="3448670"/>
                    </a:xfrm>
                    <a:prstGeom prst="rect">
                      <a:avLst/>
                    </a:prstGeom>
                    <a:noFill/>
                    <a:ln>
                      <a:noFill/>
                    </a:ln>
                  </pic:spPr>
                </pic:pic>
              </a:graphicData>
            </a:graphic>
          </wp:inline>
        </w:drawing>
      </w:r>
    </w:p>
    <w:p w:rsidR="0023753C" w:rsidRDefault="0023753C" w:rsidP="00DC1333">
      <w:pPr>
        <w:jc w:val="center"/>
        <w:rPr>
          <w:sz w:val="20"/>
        </w:rPr>
      </w:pPr>
    </w:p>
    <w:p w:rsidR="0023753C" w:rsidRPr="00687A4E" w:rsidRDefault="0023753C" w:rsidP="0023753C">
      <w:pPr>
        <w:pStyle w:val="ListParagraph"/>
        <w:numPr>
          <w:ilvl w:val="0"/>
          <w:numId w:val="36"/>
        </w:numPr>
        <w:spacing w:after="200"/>
        <w:contextualSpacing/>
        <w:rPr>
          <w:rFonts w:cs="Arial"/>
          <w:lang w:val="es-ES"/>
        </w:rPr>
      </w:pPr>
      <w:r>
        <w:rPr>
          <w:rFonts w:cs="Arial"/>
          <w:lang w:val="es-ES"/>
        </w:rPr>
        <w:t>El nivel global de calidad obtenido</w:t>
      </w:r>
      <w:r w:rsidRPr="00807F91">
        <w:rPr>
          <w:rFonts w:cs="Arial"/>
          <w:lang w:val="es-ES"/>
        </w:rPr>
        <w:t xml:space="preserve"> </w:t>
      </w:r>
      <w:r w:rsidRPr="00687A4E">
        <w:rPr>
          <w:rFonts w:cs="Arial"/>
          <w:lang w:val="es-ES"/>
        </w:rPr>
        <w:t xml:space="preserve">en la </w:t>
      </w:r>
      <w:r>
        <w:rPr>
          <w:rFonts w:cs="Arial"/>
          <w:lang w:val="es-ES"/>
        </w:rPr>
        <w:t>tramitación de las renovaciones se situó en 2015 en tres</w:t>
      </w:r>
      <w:r w:rsidRPr="00687A4E">
        <w:rPr>
          <w:rFonts w:cs="Arial"/>
          <w:lang w:val="es-ES"/>
        </w:rPr>
        <w:t xml:space="preserve"> puntos</w:t>
      </w:r>
      <w:r>
        <w:rPr>
          <w:rFonts w:cs="Arial"/>
          <w:lang w:val="es-ES"/>
        </w:rPr>
        <w:t xml:space="preserve"> porcentuales por debajo del objetivo</w:t>
      </w:r>
      <w:r w:rsidRPr="00687A4E">
        <w:rPr>
          <w:rFonts w:cs="Arial"/>
          <w:lang w:val="es-ES"/>
        </w:rPr>
        <w:t xml:space="preserve">.  El problema principal </w:t>
      </w:r>
      <w:r>
        <w:rPr>
          <w:rFonts w:cs="Arial"/>
          <w:lang w:val="es-ES"/>
        </w:rPr>
        <w:t xml:space="preserve">reside en </w:t>
      </w:r>
      <w:r w:rsidRPr="00687A4E">
        <w:rPr>
          <w:rFonts w:cs="Arial"/>
          <w:lang w:val="es-ES"/>
        </w:rPr>
        <w:t>el cálculo de las tasas, debido a</w:t>
      </w:r>
      <w:r>
        <w:rPr>
          <w:rFonts w:cs="Arial"/>
          <w:lang w:val="es-ES"/>
        </w:rPr>
        <w:t xml:space="preserve"> la inscripción incorrecta</w:t>
      </w:r>
      <w:r w:rsidRPr="00687A4E">
        <w:rPr>
          <w:rFonts w:cs="Arial"/>
          <w:lang w:val="es-ES"/>
        </w:rPr>
        <w:t xml:space="preserve"> del número de clases de </w:t>
      </w:r>
      <w:r>
        <w:rPr>
          <w:rFonts w:cs="Arial"/>
          <w:lang w:val="es-ES"/>
        </w:rPr>
        <w:t>productos</w:t>
      </w:r>
      <w:r w:rsidRPr="00687A4E">
        <w:rPr>
          <w:rFonts w:cs="Arial"/>
          <w:lang w:val="es-ES"/>
        </w:rPr>
        <w:t xml:space="preserve"> y servicios.</w:t>
      </w:r>
    </w:p>
    <w:p w:rsidR="0023753C" w:rsidRPr="00916DE1" w:rsidRDefault="0023753C" w:rsidP="00DC1333">
      <w:pPr>
        <w:ind w:left="720"/>
        <w:rPr>
          <w:sz w:val="20"/>
        </w:rPr>
      </w:pPr>
      <w:r w:rsidRPr="00760842">
        <w:rPr>
          <w:i/>
          <w:sz w:val="20"/>
        </w:rPr>
        <w:t>Error</w:t>
      </w:r>
      <w:r>
        <w:rPr>
          <w:i/>
          <w:sz w:val="20"/>
        </w:rPr>
        <w:t>e</w:t>
      </w:r>
      <w:r w:rsidRPr="00760842">
        <w:rPr>
          <w:i/>
          <w:sz w:val="20"/>
        </w:rPr>
        <w:t xml:space="preserve">s </w:t>
      </w:r>
      <w:r>
        <w:rPr>
          <w:i/>
          <w:sz w:val="20"/>
        </w:rPr>
        <w:t>cometidos por la Oficina Internacional</w:t>
      </w:r>
      <w:r w:rsidRPr="00E7186C">
        <w:rPr>
          <w:noProof/>
        </w:rPr>
        <w:t xml:space="preserve"> </w:t>
      </w:r>
      <w:r>
        <w:rPr>
          <w:noProof/>
          <w:lang w:val="en-US" w:eastAsia="en-US"/>
        </w:rPr>
        <w:drawing>
          <wp:inline distT="0" distB="0" distL="0" distR="0" wp14:anchorId="748FE9A1" wp14:editId="5002B86D">
            <wp:extent cx="5210175" cy="381738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09354" cy="3816786"/>
                    </a:xfrm>
                    <a:prstGeom prst="rect">
                      <a:avLst/>
                    </a:prstGeom>
                    <a:noFill/>
                    <a:ln>
                      <a:noFill/>
                    </a:ln>
                  </pic:spPr>
                </pic:pic>
              </a:graphicData>
            </a:graphic>
          </wp:inline>
        </w:drawing>
      </w:r>
    </w:p>
    <w:p w:rsidR="0023753C" w:rsidRDefault="0023753C" w:rsidP="00DC1333">
      <w:pPr>
        <w:jc w:val="center"/>
        <w:rPr>
          <w:sz w:val="20"/>
        </w:rPr>
      </w:pPr>
    </w:p>
    <w:p w:rsidR="0023753C" w:rsidRDefault="0023753C" w:rsidP="00DC1333">
      <w:pPr>
        <w:jc w:val="center"/>
        <w:rPr>
          <w:sz w:val="20"/>
        </w:rPr>
      </w:pPr>
    </w:p>
    <w:p w:rsidR="0023753C" w:rsidRPr="00687A4E" w:rsidRDefault="0023753C" w:rsidP="0023753C">
      <w:pPr>
        <w:pStyle w:val="ListParagraph"/>
        <w:numPr>
          <w:ilvl w:val="0"/>
          <w:numId w:val="38"/>
        </w:numPr>
        <w:ind w:left="714" w:hanging="357"/>
        <w:contextualSpacing/>
        <w:rPr>
          <w:rFonts w:cs="Arial"/>
          <w:lang w:val="es-ES"/>
        </w:rPr>
      </w:pPr>
      <w:r w:rsidRPr="00687A4E">
        <w:rPr>
          <w:rFonts w:cs="Arial"/>
          <w:lang w:val="es-ES"/>
        </w:rPr>
        <w:t>La clasificación errónea representó casi un tercio de todos los errores cometidos en relaci</w:t>
      </w:r>
      <w:r>
        <w:rPr>
          <w:rFonts w:cs="Arial"/>
          <w:lang w:val="es-ES"/>
        </w:rPr>
        <w:t xml:space="preserve">ón con las clasificaciones en </w:t>
      </w:r>
      <w:r w:rsidRPr="00687A4E">
        <w:rPr>
          <w:rFonts w:cs="Arial"/>
          <w:lang w:val="es-ES"/>
        </w:rPr>
        <w:t>2015.</w:t>
      </w:r>
    </w:p>
    <w:p w:rsidR="0023753C" w:rsidRPr="00687A4E" w:rsidRDefault="0023753C" w:rsidP="00DC1333">
      <w:pPr>
        <w:jc w:val="center"/>
        <w:rPr>
          <w:sz w:val="20"/>
        </w:rPr>
      </w:pPr>
    </w:p>
    <w:p w:rsidR="0023753C" w:rsidRDefault="0023753C" w:rsidP="00DC1333">
      <w:pPr>
        <w:jc w:val="center"/>
        <w:rPr>
          <w:sz w:val="20"/>
        </w:rPr>
      </w:pPr>
      <w:r>
        <w:rPr>
          <w:noProof/>
          <w:lang w:val="en-US" w:eastAsia="en-US"/>
        </w:rPr>
        <w:lastRenderedPageBreak/>
        <w:drawing>
          <wp:inline distT="0" distB="0" distL="0" distR="0" wp14:anchorId="136A1FDE" wp14:editId="69553B32">
            <wp:extent cx="5345278" cy="3892453"/>
            <wp:effectExtent l="0" t="0" r="825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49886" cy="3895809"/>
                    </a:xfrm>
                    <a:prstGeom prst="rect">
                      <a:avLst/>
                    </a:prstGeom>
                    <a:noFill/>
                    <a:ln>
                      <a:noFill/>
                    </a:ln>
                  </pic:spPr>
                </pic:pic>
              </a:graphicData>
            </a:graphic>
          </wp:inline>
        </w:drawing>
      </w:r>
    </w:p>
    <w:p w:rsidR="0023753C" w:rsidRDefault="0023753C" w:rsidP="00DC1333">
      <w:pPr>
        <w:jc w:val="center"/>
        <w:rPr>
          <w:sz w:val="20"/>
        </w:rPr>
      </w:pPr>
    </w:p>
    <w:p w:rsidR="0023753C" w:rsidRPr="00687A4E" w:rsidRDefault="0023753C" w:rsidP="0023753C">
      <w:pPr>
        <w:pStyle w:val="ListParagraph"/>
        <w:numPr>
          <w:ilvl w:val="0"/>
          <w:numId w:val="38"/>
        </w:numPr>
        <w:contextualSpacing/>
        <w:rPr>
          <w:rFonts w:cs="Arial"/>
          <w:lang w:val="es-ES"/>
        </w:rPr>
      </w:pPr>
      <w:r w:rsidRPr="00687A4E">
        <w:rPr>
          <w:rFonts w:cs="Arial"/>
          <w:lang w:val="es-ES"/>
        </w:rPr>
        <w:t>En 2015, la mayoría de las correc</w:t>
      </w:r>
      <w:r>
        <w:rPr>
          <w:rFonts w:cs="Arial"/>
          <w:lang w:val="es-ES"/>
        </w:rPr>
        <w:t>c</w:t>
      </w:r>
      <w:r w:rsidRPr="00687A4E">
        <w:rPr>
          <w:rFonts w:cs="Arial"/>
          <w:lang w:val="es-ES"/>
        </w:rPr>
        <w:t xml:space="preserve">iones en </w:t>
      </w:r>
      <w:r>
        <w:rPr>
          <w:rFonts w:cs="Arial"/>
          <w:lang w:val="es-ES"/>
        </w:rPr>
        <w:t>e</w:t>
      </w:r>
      <w:r w:rsidRPr="00687A4E">
        <w:rPr>
          <w:rFonts w:cs="Arial"/>
          <w:lang w:val="es-ES"/>
        </w:rPr>
        <w:t>l ex</w:t>
      </w:r>
      <w:r>
        <w:rPr>
          <w:rFonts w:cs="Arial"/>
          <w:lang w:val="es-ES"/>
        </w:rPr>
        <w:t>amen</w:t>
      </w:r>
      <w:r w:rsidRPr="00687A4E">
        <w:rPr>
          <w:rFonts w:cs="Arial"/>
          <w:lang w:val="es-ES"/>
        </w:rPr>
        <w:t xml:space="preserve"> de forma se debió a errores en la introducción de los datos de los </w:t>
      </w:r>
      <w:r>
        <w:rPr>
          <w:rFonts w:cs="Arial"/>
          <w:lang w:val="es-ES"/>
        </w:rPr>
        <w:t xml:space="preserve">solicitantes </w:t>
      </w:r>
      <w:r w:rsidRPr="00687A4E">
        <w:rPr>
          <w:rFonts w:cs="Arial"/>
          <w:lang w:val="es-ES"/>
        </w:rPr>
        <w:t>(45</w:t>
      </w:r>
      <w:r>
        <w:rPr>
          <w:rFonts w:cs="Arial"/>
          <w:lang w:val="es-ES"/>
        </w:rPr>
        <w:t>,</w:t>
      </w:r>
      <w:r w:rsidRPr="00687A4E">
        <w:rPr>
          <w:rFonts w:cs="Arial"/>
          <w:lang w:val="es-ES"/>
        </w:rPr>
        <w:t>3</w:t>
      </w:r>
      <w:r>
        <w:rPr>
          <w:rFonts w:cs="Arial"/>
          <w:lang w:val="es-ES"/>
        </w:rPr>
        <w:t>%</w:t>
      </w:r>
      <w:r w:rsidRPr="00687A4E">
        <w:rPr>
          <w:rFonts w:cs="Arial"/>
          <w:lang w:val="es-ES"/>
        </w:rPr>
        <w:t xml:space="preserve">) </w:t>
      </w:r>
      <w:r>
        <w:rPr>
          <w:rFonts w:cs="Arial"/>
          <w:lang w:val="es-ES"/>
        </w:rPr>
        <w:t>y de los representantes o mandatarios </w:t>
      </w:r>
      <w:r w:rsidRPr="00687A4E">
        <w:rPr>
          <w:rFonts w:cs="Arial"/>
          <w:lang w:val="es-ES"/>
        </w:rPr>
        <w:t>(8</w:t>
      </w:r>
      <w:r>
        <w:rPr>
          <w:rFonts w:cs="Arial"/>
          <w:lang w:val="es-ES"/>
        </w:rPr>
        <w:t>,</w:t>
      </w:r>
      <w:r w:rsidRPr="00687A4E">
        <w:rPr>
          <w:rFonts w:cs="Arial"/>
          <w:lang w:val="es-ES"/>
        </w:rPr>
        <w:t>3</w:t>
      </w:r>
      <w:r>
        <w:rPr>
          <w:rFonts w:cs="Arial"/>
          <w:lang w:val="es-ES"/>
        </w:rPr>
        <w:t>%</w:t>
      </w:r>
      <w:r w:rsidRPr="00687A4E">
        <w:rPr>
          <w:rFonts w:cs="Arial"/>
          <w:lang w:val="es-ES"/>
        </w:rPr>
        <w:t>).</w:t>
      </w:r>
    </w:p>
    <w:p w:rsidR="0023753C" w:rsidRPr="00687A4E" w:rsidRDefault="0023753C" w:rsidP="00DC1333">
      <w:pPr>
        <w:pStyle w:val="ListParagraph"/>
        <w:rPr>
          <w:rFonts w:cs="Arial"/>
          <w:lang w:val="es-ES"/>
        </w:rPr>
      </w:pPr>
    </w:p>
    <w:p w:rsidR="0023753C" w:rsidRDefault="0023753C" w:rsidP="00DC1333">
      <w:pPr>
        <w:jc w:val="center"/>
        <w:rPr>
          <w:sz w:val="20"/>
        </w:rPr>
      </w:pPr>
      <w:r>
        <w:rPr>
          <w:noProof/>
          <w:lang w:val="en-US" w:eastAsia="en-US"/>
        </w:rPr>
        <w:drawing>
          <wp:inline distT="0" distB="0" distL="0" distR="0" wp14:anchorId="05CCEC2C" wp14:editId="218D02E4">
            <wp:extent cx="4991100" cy="4132985"/>
            <wp:effectExtent l="0" t="0" r="0"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87325" cy="4129859"/>
                    </a:xfrm>
                    <a:prstGeom prst="rect">
                      <a:avLst/>
                    </a:prstGeom>
                    <a:noFill/>
                    <a:ln>
                      <a:noFill/>
                    </a:ln>
                  </pic:spPr>
                </pic:pic>
              </a:graphicData>
            </a:graphic>
          </wp:inline>
        </w:drawing>
      </w:r>
    </w:p>
    <w:p w:rsidR="0023753C" w:rsidRDefault="0023753C" w:rsidP="00DC1333">
      <w:pPr>
        <w:jc w:val="center"/>
        <w:rPr>
          <w:sz w:val="20"/>
        </w:rPr>
      </w:pPr>
    </w:p>
    <w:p w:rsidR="0023753C" w:rsidRPr="00687A4E" w:rsidRDefault="0023753C" w:rsidP="0023753C">
      <w:pPr>
        <w:pStyle w:val="ListParagraph"/>
        <w:numPr>
          <w:ilvl w:val="0"/>
          <w:numId w:val="38"/>
        </w:numPr>
        <w:contextualSpacing/>
        <w:rPr>
          <w:rFonts w:cs="Arial"/>
          <w:lang w:val="es-ES"/>
        </w:rPr>
      </w:pPr>
      <w:r w:rsidRPr="00687A4E">
        <w:rPr>
          <w:rFonts w:cs="Arial"/>
          <w:lang w:val="es-ES"/>
        </w:rPr>
        <w:lastRenderedPageBreak/>
        <w:t>Aproximadamente el 83% de todas las correcciones relacionadas con los cambios en 2015 afectan a cuatro tr</w:t>
      </w:r>
      <w:r>
        <w:rPr>
          <w:rFonts w:cs="Arial"/>
          <w:lang w:val="es-ES"/>
        </w:rPr>
        <w:t>ansacciones</w:t>
      </w:r>
      <w:r w:rsidRPr="00687A4E">
        <w:rPr>
          <w:rFonts w:cs="Arial"/>
          <w:lang w:val="es-ES"/>
        </w:rPr>
        <w:t>, a saber, las designaciones posterior</w:t>
      </w:r>
      <w:r>
        <w:rPr>
          <w:rFonts w:cs="Arial"/>
          <w:lang w:val="es-ES"/>
        </w:rPr>
        <w:t>e</w:t>
      </w:r>
      <w:r w:rsidRPr="00687A4E">
        <w:rPr>
          <w:rFonts w:cs="Arial"/>
          <w:lang w:val="es-ES"/>
        </w:rPr>
        <w:t>s (24</w:t>
      </w:r>
      <w:r>
        <w:rPr>
          <w:rFonts w:cs="Arial"/>
          <w:lang w:val="es-ES"/>
        </w:rPr>
        <w:t>,</w:t>
      </w:r>
      <w:r w:rsidRPr="00687A4E">
        <w:rPr>
          <w:rFonts w:cs="Arial"/>
          <w:lang w:val="es-ES"/>
        </w:rPr>
        <w:t>8</w:t>
      </w:r>
      <w:r>
        <w:rPr>
          <w:rFonts w:cs="Arial"/>
          <w:lang w:val="es-ES"/>
        </w:rPr>
        <w:t>%</w:t>
      </w:r>
      <w:r w:rsidRPr="00687A4E">
        <w:rPr>
          <w:rFonts w:cs="Arial"/>
          <w:lang w:val="es-ES"/>
        </w:rPr>
        <w:t xml:space="preserve">), </w:t>
      </w:r>
      <w:r>
        <w:rPr>
          <w:rFonts w:cs="Arial"/>
          <w:lang w:val="es-ES"/>
        </w:rPr>
        <w:t xml:space="preserve">los cambios en la titularidad </w:t>
      </w:r>
      <w:r w:rsidRPr="00687A4E">
        <w:rPr>
          <w:rFonts w:cs="Arial"/>
          <w:lang w:val="es-ES"/>
        </w:rPr>
        <w:t>(21</w:t>
      </w:r>
      <w:r>
        <w:rPr>
          <w:rFonts w:cs="Arial"/>
          <w:lang w:val="es-ES"/>
        </w:rPr>
        <w:t>,</w:t>
      </w:r>
      <w:r w:rsidRPr="00687A4E">
        <w:rPr>
          <w:rFonts w:cs="Arial"/>
          <w:lang w:val="es-ES"/>
        </w:rPr>
        <w:t>7</w:t>
      </w:r>
      <w:r>
        <w:rPr>
          <w:rFonts w:cs="Arial"/>
          <w:lang w:val="es-ES"/>
        </w:rPr>
        <w:t>%</w:t>
      </w:r>
      <w:r w:rsidRPr="00687A4E">
        <w:rPr>
          <w:rFonts w:cs="Arial"/>
          <w:lang w:val="es-ES"/>
        </w:rPr>
        <w:t xml:space="preserve">), </w:t>
      </w:r>
      <w:r>
        <w:rPr>
          <w:rFonts w:cs="Arial"/>
          <w:lang w:val="es-ES"/>
        </w:rPr>
        <w:t xml:space="preserve">los cambios en el nombre o la dirección del titular </w:t>
      </w:r>
      <w:r w:rsidRPr="00687A4E">
        <w:rPr>
          <w:rFonts w:cs="Arial"/>
          <w:lang w:val="es-ES"/>
        </w:rPr>
        <w:t>(19</w:t>
      </w:r>
      <w:r>
        <w:rPr>
          <w:rFonts w:cs="Arial"/>
          <w:lang w:val="es-ES"/>
        </w:rPr>
        <w:t>,</w:t>
      </w:r>
      <w:r w:rsidRPr="00687A4E">
        <w:rPr>
          <w:rFonts w:cs="Arial"/>
          <w:lang w:val="es-ES"/>
        </w:rPr>
        <w:t>3</w:t>
      </w:r>
      <w:r>
        <w:rPr>
          <w:rFonts w:cs="Arial"/>
          <w:lang w:val="es-ES"/>
        </w:rPr>
        <w:t>%</w:t>
      </w:r>
      <w:r w:rsidRPr="00687A4E">
        <w:rPr>
          <w:rFonts w:cs="Arial"/>
          <w:lang w:val="es-ES"/>
        </w:rPr>
        <w:t xml:space="preserve">) </w:t>
      </w:r>
      <w:r>
        <w:rPr>
          <w:rFonts w:cs="Arial"/>
          <w:lang w:val="es-ES"/>
        </w:rPr>
        <w:t>y las limitaciones</w:t>
      </w:r>
      <w:r w:rsidRPr="00687A4E">
        <w:rPr>
          <w:rFonts w:cs="Arial"/>
          <w:lang w:val="es-ES"/>
        </w:rPr>
        <w:t xml:space="preserve"> (16</w:t>
      </w:r>
      <w:r>
        <w:rPr>
          <w:rFonts w:cs="Arial"/>
          <w:lang w:val="es-ES"/>
        </w:rPr>
        <w:t>,</w:t>
      </w:r>
      <w:r w:rsidRPr="00687A4E">
        <w:rPr>
          <w:rFonts w:cs="Arial"/>
          <w:lang w:val="es-ES"/>
        </w:rPr>
        <w:t>9</w:t>
      </w:r>
      <w:r>
        <w:rPr>
          <w:rFonts w:cs="Arial"/>
          <w:lang w:val="es-ES"/>
        </w:rPr>
        <w:t>%</w:t>
      </w:r>
      <w:r w:rsidRPr="00687A4E">
        <w:rPr>
          <w:rFonts w:cs="Arial"/>
          <w:lang w:val="es-ES"/>
        </w:rPr>
        <w:t>).</w:t>
      </w:r>
    </w:p>
    <w:p w:rsidR="0023753C" w:rsidRPr="00687A4E" w:rsidRDefault="0023753C" w:rsidP="00DC1333">
      <w:pPr>
        <w:jc w:val="center"/>
        <w:rPr>
          <w:sz w:val="20"/>
        </w:rPr>
      </w:pPr>
    </w:p>
    <w:p w:rsidR="0023753C" w:rsidRDefault="0023753C" w:rsidP="00DC1333">
      <w:pPr>
        <w:jc w:val="center"/>
        <w:rPr>
          <w:sz w:val="20"/>
        </w:rPr>
      </w:pPr>
      <w:r w:rsidRPr="000B5979">
        <w:rPr>
          <w:noProof/>
          <w:lang w:val="en-US" w:eastAsia="en-US"/>
        </w:rPr>
        <w:drawing>
          <wp:inline distT="0" distB="0" distL="0" distR="0" wp14:anchorId="39B4B36E" wp14:editId="64544B31">
            <wp:extent cx="4815462" cy="3564000"/>
            <wp:effectExtent l="0" t="0" r="444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15462" cy="3564000"/>
                    </a:xfrm>
                    <a:prstGeom prst="rect">
                      <a:avLst/>
                    </a:prstGeom>
                    <a:noFill/>
                    <a:ln>
                      <a:noFill/>
                    </a:ln>
                  </pic:spPr>
                </pic:pic>
              </a:graphicData>
            </a:graphic>
          </wp:inline>
        </w:drawing>
      </w:r>
    </w:p>
    <w:p w:rsidR="0023753C" w:rsidRDefault="0023753C" w:rsidP="00DC1333">
      <w:pPr>
        <w:jc w:val="center"/>
        <w:rPr>
          <w:sz w:val="20"/>
        </w:rPr>
      </w:pPr>
    </w:p>
    <w:p w:rsidR="0023753C" w:rsidRPr="00572CB5" w:rsidRDefault="0023753C" w:rsidP="0023753C">
      <w:pPr>
        <w:pStyle w:val="ListParagraph"/>
        <w:numPr>
          <w:ilvl w:val="0"/>
          <w:numId w:val="38"/>
        </w:numPr>
        <w:contextualSpacing/>
        <w:rPr>
          <w:rFonts w:cs="Arial"/>
          <w:lang w:val="es-ES"/>
        </w:rPr>
      </w:pPr>
      <w:r w:rsidRPr="00572CB5">
        <w:rPr>
          <w:rFonts w:cs="Arial"/>
          <w:lang w:val="es-ES"/>
        </w:rPr>
        <w:t xml:space="preserve">El cálculo incorrecto de </w:t>
      </w:r>
      <w:r>
        <w:rPr>
          <w:rFonts w:cs="Arial"/>
          <w:lang w:val="es-ES"/>
        </w:rPr>
        <w:t xml:space="preserve">las </w:t>
      </w:r>
      <w:r w:rsidRPr="00572CB5">
        <w:rPr>
          <w:rFonts w:cs="Arial"/>
          <w:lang w:val="es-ES"/>
        </w:rPr>
        <w:t xml:space="preserve">tasas (33,8%) y los errores en </w:t>
      </w:r>
      <w:r>
        <w:rPr>
          <w:rFonts w:cs="Arial"/>
          <w:lang w:val="es-ES"/>
        </w:rPr>
        <w:t>la inscripción</w:t>
      </w:r>
      <w:r w:rsidRPr="00572CB5">
        <w:rPr>
          <w:rFonts w:cs="Arial"/>
          <w:lang w:val="es-ES"/>
        </w:rPr>
        <w:t xml:space="preserve"> de las designaciones (32,5%) </w:t>
      </w:r>
      <w:r>
        <w:rPr>
          <w:rFonts w:cs="Arial"/>
          <w:lang w:val="es-ES"/>
        </w:rPr>
        <w:t>representaron,</w:t>
      </w:r>
      <w:r w:rsidRPr="00572CB5">
        <w:rPr>
          <w:rFonts w:cs="Arial"/>
          <w:lang w:val="es-ES"/>
        </w:rPr>
        <w:t xml:space="preserve"> de manera conjunta, </w:t>
      </w:r>
      <w:r>
        <w:rPr>
          <w:rFonts w:cs="Arial"/>
          <w:lang w:val="es-ES"/>
        </w:rPr>
        <w:t xml:space="preserve">dos terceras partes de las correcciones realizadas en relación con las renovaciones en </w:t>
      </w:r>
      <w:r w:rsidRPr="00572CB5">
        <w:rPr>
          <w:rFonts w:cs="Arial"/>
          <w:lang w:val="es-ES"/>
        </w:rPr>
        <w:t>2015.</w:t>
      </w:r>
    </w:p>
    <w:p w:rsidR="0023753C" w:rsidRPr="00572CB5" w:rsidRDefault="0023753C" w:rsidP="00DC1333">
      <w:pPr>
        <w:pStyle w:val="ListParagraph"/>
        <w:rPr>
          <w:rFonts w:cs="Arial"/>
          <w:lang w:val="es-ES"/>
        </w:rPr>
      </w:pPr>
    </w:p>
    <w:p w:rsidR="0023753C" w:rsidRPr="00572CB5" w:rsidRDefault="0023753C" w:rsidP="00DC1333">
      <w:pPr>
        <w:pStyle w:val="ListParagraph"/>
        <w:rPr>
          <w:rFonts w:cs="Arial"/>
          <w:lang w:val="es-ES"/>
        </w:rPr>
      </w:pPr>
    </w:p>
    <w:p w:rsidR="0023753C" w:rsidRPr="00572CB5" w:rsidRDefault="006E48FE" w:rsidP="006E48FE">
      <w:pPr>
        <w:pStyle w:val="ListParagraph"/>
        <w:jc w:val="right"/>
        <w:rPr>
          <w:rFonts w:cs="Arial"/>
          <w:lang w:val="es-ES"/>
        </w:rPr>
      </w:pPr>
      <w:r>
        <w:rPr>
          <w:rFonts w:cs="Arial"/>
          <w:lang w:val="es-ES"/>
        </w:rPr>
        <w:t>[Fin del Anexo]</w:t>
      </w:r>
    </w:p>
    <w:p w:rsidR="0023753C" w:rsidRPr="00572CB5" w:rsidRDefault="0023753C" w:rsidP="00DC1333">
      <w:pPr>
        <w:pStyle w:val="ListParagraph"/>
        <w:rPr>
          <w:rFonts w:cs="Arial"/>
          <w:lang w:val="es-ES"/>
        </w:rPr>
      </w:pPr>
    </w:p>
    <w:p w:rsidR="0023753C" w:rsidRPr="00572CB5" w:rsidRDefault="0023753C" w:rsidP="00DC1333">
      <w:pPr>
        <w:pStyle w:val="ListParagraph"/>
        <w:rPr>
          <w:rFonts w:cs="Arial"/>
          <w:lang w:val="es-ES"/>
        </w:rPr>
      </w:pPr>
    </w:p>
    <w:p w:rsidR="0023753C" w:rsidRPr="00572CB5" w:rsidRDefault="0023753C" w:rsidP="00DC1333">
      <w:pPr>
        <w:pStyle w:val="ListParagraph"/>
        <w:rPr>
          <w:rFonts w:cs="Arial"/>
          <w:lang w:val="es-ES"/>
        </w:rPr>
      </w:pPr>
    </w:p>
    <w:p w:rsidR="00212829" w:rsidRDefault="00212829">
      <w:r>
        <w:br w:type="page"/>
      </w:r>
    </w:p>
    <w:p w:rsidR="002640BF" w:rsidRPr="00B5757D" w:rsidRDefault="002640BF" w:rsidP="00DC1333">
      <w:pPr>
        <w:pStyle w:val="Heading2"/>
        <w:keepNext w:val="0"/>
        <w:widowControl w:val="0"/>
        <w:ind w:left="2410" w:hanging="2410"/>
        <w:rPr>
          <w:b/>
        </w:rPr>
      </w:pPr>
      <w:bookmarkStart w:id="85" w:name="_Toc455159079"/>
      <w:r w:rsidRPr="00B5757D">
        <w:rPr>
          <w:b/>
        </w:rPr>
        <w:lastRenderedPageBreak/>
        <w:t>PROGRAMA 31</w:t>
      </w:r>
      <w:r w:rsidRPr="00B5757D">
        <w:rPr>
          <w:b/>
        </w:rPr>
        <w:tab/>
        <w:t>SISTEMA DE LA HAYA</w:t>
      </w:r>
      <w:bookmarkEnd w:id="85"/>
    </w:p>
    <w:p w:rsidR="002640BF" w:rsidRPr="00B5757D" w:rsidRDefault="002640BF" w:rsidP="00DC1333">
      <w:pPr>
        <w:widowControl w:val="0"/>
      </w:pPr>
    </w:p>
    <w:p w:rsidR="002640BF" w:rsidRPr="00B5757D" w:rsidRDefault="002640BF" w:rsidP="00DC1333">
      <w:pPr>
        <w:widowControl w:val="0"/>
        <w:tabs>
          <w:tab w:val="left" w:pos="2410"/>
        </w:tabs>
        <w:rPr>
          <w:b/>
          <w:sz w:val="20"/>
        </w:rPr>
      </w:pPr>
      <w:r w:rsidRPr="00B5757D">
        <w:rPr>
          <w:b/>
          <w:sz w:val="20"/>
        </w:rPr>
        <w:t>Directora de programa</w:t>
      </w:r>
      <w:r w:rsidRPr="00B5757D">
        <w:rPr>
          <w:b/>
          <w:sz w:val="20"/>
        </w:rPr>
        <w:tab/>
        <w:t>Sra. B. Wang</w:t>
      </w:r>
    </w:p>
    <w:p w:rsidR="002640BF" w:rsidRPr="00B5757D" w:rsidRDefault="002640BF" w:rsidP="00DC1333">
      <w:pPr>
        <w:widowControl w:val="0"/>
        <w:rPr>
          <w:sz w:val="20"/>
        </w:rPr>
      </w:pPr>
    </w:p>
    <w:p w:rsidR="002640BF" w:rsidRPr="00B5757D" w:rsidRDefault="002640BF" w:rsidP="00DC1333">
      <w:pPr>
        <w:widowControl w:val="0"/>
        <w:rPr>
          <w:sz w:val="20"/>
        </w:rPr>
      </w:pPr>
    </w:p>
    <w:p w:rsidR="002640BF" w:rsidRPr="00B5757D" w:rsidRDefault="008F7CBE" w:rsidP="00DC1333">
      <w:pPr>
        <w:widowControl w:val="0"/>
        <w:rPr>
          <w:bCs/>
          <w:szCs w:val="22"/>
        </w:rPr>
      </w:pPr>
      <w:r w:rsidRPr="008F7CBE">
        <w:rPr>
          <w:bCs/>
          <w:sz w:val="20"/>
          <w:szCs w:val="22"/>
        </w:rPr>
        <w:t>LOGROS ALCANZADOS EN EL BIENIO 2014/15</w:t>
      </w:r>
    </w:p>
    <w:p w:rsidR="002640BF" w:rsidRPr="00B5757D" w:rsidRDefault="002640BF" w:rsidP="00DC1333">
      <w:pPr>
        <w:widowControl w:val="0"/>
      </w:pPr>
    </w:p>
    <w:p w:rsidR="002640BF" w:rsidRPr="00B5757D" w:rsidRDefault="002640BF" w:rsidP="002640BF">
      <w:pPr>
        <w:pStyle w:val="ListParagraph"/>
        <w:widowControl w:val="0"/>
        <w:numPr>
          <w:ilvl w:val="0"/>
          <w:numId w:val="39"/>
        </w:numPr>
        <w:tabs>
          <w:tab w:val="left" w:pos="709"/>
        </w:tabs>
        <w:ind w:left="0" w:firstLine="0"/>
        <w:jc w:val="both"/>
        <w:rPr>
          <w:lang w:val="es-ES"/>
        </w:rPr>
      </w:pPr>
      <w:r w:rsidRPr="00B5757D">
        <w:rPr>
          <w:lang w:val="es-ES"/>
        </w:rPr>
        <w:t xml:space="preserve">El Sistema de La Haya experimentó un buen crecimiento durante el bienio 2014/15.  En 2014 la República de Corea pasó a ser parte en el Acta de Ginebra (1999) del Arreglo de La Haya relativo al registro internacional de dibujos y modelos industriales (denominado en lo sucesivo "el Acta de 1999"), y en 2015 hicieron lo propio los Estados Unidos de América, el Japón y Turkmenistán.  </w:t>
      </w:r>
      <w:r w:rsidRPr="00B5757D">
        <w:rPr>
          <w:color w:val="000000"/>
          <w:lang w:val="es-ES"/>
        </w:rPr>
        <w:t>Con estas adhesiones se alcanzaron las 50 Partes Contratantes en el Acta.  Aun cuando esta cifra sigue estando por debajo del objetivo, las adhesiones en particular de la República de Corea, los Estados Unidos de América y el Japón, que ocupan respectivamente los puestos tercero, cuarto y quinto entre las jurisdicciones en que más solicitudes de registro de dibujos y modelos industriales se presentan a nivel mundial, aumentaron notablemente el atractivo del Sistema de La Haya.  Por consiguiente, en 2015 las solicitudes internacionales aumentaron más de un 40%, cifra muy sup</w:t>
      </w:r>
      <w:r>
        <w:rPr>
          <w:color w:val="000000"/>
          <w:lang w:val="es-ES"/>
        </w:rPr>
        <w:t>erior al incremento previsto en </w:t>
      </w:r>
      <w:r w:rsidRPr="00B5757D">
        <w:rPr>
          <w:color w:val="000000"/>
          <w:lang w:val="es-ES"/>
        </w:rPr>
        <w:t>2014.</w:t>
      </w:r>
      <w:r w:rsidR="00DA11AF">
        <w:rPr>
          <w:color w:val="000000"/>
          <w:lang w:val="es-ES"/>
        </w:rPr>
        <w:t xml:space="preserve">  </w:t>
      </w:r>
      <w:r w:rsidRPr="00B5757D">
        <w:rPr>
          <w:color w:val="000000"/>
          <w:lang w:val="es-ES"/>
        </w:rPr>
        <w:t>También debido a esta ampliación, al término del bienio algunas otras posibles Partes Contratantes daban ya importantes muestras de interés por adherirse, incluidos países obligados por actas más antiguas.  En este sentido, a finales de 2015 solo</w:t>
      </w:r>
      <w:r w:rsidRPr="00B5757D">
        <w:rPr>
          <w:lang w:val="es-ES"/>
        </w:rPr>
        <w:t xml:space="preserve"> se necesitaban dos autorizaciones para el cese de la aplicación del Acta de 1934, y cuatro Partes Contratantes al margen de la Unión Europea (UE) y la Organización Africana de la Propiedad Intelectual (OAPI) continuaban obligadas exclusivamente por el Acta de 1960.</w:t>
      </w:r>
    </w:p>
    <w:p w:rsidR="002640BF" w:rsidRPr="00B5757D" w:rsidRDefault="002640BF" w:rsidP="00DC1333">
      <w:pPr>
        <w:pStyle w:val="ListParagraph"/>
        <w:widowControl w:val="0"/>
        <w:tabs>
          <w:tab w:val="left" w:pos="709"/>
        </w:tabs>
        <w:ind w:left="0"/>
        <w:jc w:val="both"/>
        <w:rPr>
          <w:lang w:val="es-ES"/>
        </w:rPr>
      </w:pPr>
    </w:p>
    <w:p w:rsidR="002640BF" w:rsidRPr="00B5757D" w:rsidRDefault="002640BF" w:rsidP="002640BF">
      <w:pPr>
        <w:pStyle w:val="ListParagraph"/>
        <w:widowControl w:val="0"/>
        <w:numPr>
          <w:ilvl w:val="0"/>
          <w:numId w:val="39"/>
        </w:numPr>
        <w:tabs>
          <w:tab w:val="left" w:pos="709"/>
        </w:tabs>
        <w:ind w:left="0" w:firstLine="0"/>
        <w:jc w:val="both"/>
        <w:rPr>
          <w:lang w:val="es-ES"/>
        </w:rPr>
      </w:pPr>
      <w:r w:rsidRPr="00B5757D">
        <w:rPr>
          <w:lang w:val="es-ES"/>
        </w:rPr>
        <w:t xml:space="preserve">Sin embargo, la incorporación de los países mencionados tuvo un costo, ya que conllevó la aplicación de algunas de las características más complejas del Sistema, como las relativas al requisito de una declaración jurada del creador o el pago en dos cuotas de una tasa individual, y además obligó a desarrollar nuevas características, por ejemplo las relacionadas con la noción de dibujos o modelos conexos.  Para hacer frente a todo ello se han efectuado una serie de actualizaciones y adiciones al sistema de examen, el sistema de presentación electrónica y los formularios, a fin de incorporar los nuevos requisitos con fluidez.  En lo que respecta a la información que se suministra a los usuarios, la completa renovación de la base de datos Hague Express y la integración de los datos de La Haya en la Base Mundial de Datos sobre Dibujos y Modelos Industriales aumentaron la calidad de información que se encuentra a disposición de los usuarios finales, las oficinas y los terceros.  La Guía de La Haya se ha convertido totalmente a un formato web para facilitar el acceso, con la posibilidad incluso de acceder directamente desde la interfaz de presentación electrónica de solicitudes.  A pesar del aumento repentino de solicitudes registrado en 2015 y la mayor complejidad, las operaciones del Sistema de La Haya absorbieron el crecimiento y consiguieron mantener un nivel de puntualidad acorde con la media de los cinco años anteriores.  Esto se tradujo en una disminución del 8% del costo unitario por dibujo o modelo industrial entre 2014 y 2015, y del 22% del costo unitario por documento durante el mismo período de tiempo.  Se han automatizado dos nuevos procesos, concretamente la recepción y tramitación por la Oficina de la República de Corea (KIPO) de las solicitudes presentadas indirectamente y el examen de las declaraciones de concesión de protección que envía la </w:t>
      </w:r>
      <w:r w:rsidRPr="00B5757D">
        <w:rPr>
          <w:rStyle w:val="preferred"/>
          <w:lang w:val="es-ES"/>
        </w:rPr>
        <w:t>Oficina de Armonización del Mercado Interior (OAMI) de la Unión Europea, con lo que ya son cuatro los procesos automatizados.</w:t>
      </w:r>
    </w:p>
    <w:p w:rsidR="002640BF" w:rsidRPr="00B5757D" w:rsidRDefault="002640BF" w:rsidP="00DC1333">
      <w:pPr>
        <w:widowControl w:val="0"/>
        <w:tabs>
          <w:tab w:val="left" w:pos="709"/>
        </w:tabs>
        <w:jc w:val="both"/>
      </w:pPr>
    </w:p>
    <w:p w:rsidR="002640BF" w:rsidRPr="00B5757D" w:rsidRDefault="002640BF" w:rsidP="002640BF">
      <w:pPr>
        <w:pStyle w:val="ListParagraph"/>
        <w:widowControl w:val="0"/>
        <w:numPr>
          <w:ilvl w:val="0"/>
          <w:numId w:val="39"/>
        </w:numPr>
        <w:tabs>
          <w:tab w:val="left" w:pos="709"/>
        </w:tabs>
        <w:ind w:left="0" w:firstLine="0"/>
        <w:jc w:val="both"/>
        <w:rPr>
          <w:lang w:val="es-ES"/>
        </w:rPr>
      </w:pPr>
      <w:r w:rsidRPr="00B5757D">
        <w:rPr>
          <w:color w:val="000000"/>
          <w:lang w:val="es-ES"/>
        </w:rPr>
        <w:t xml:space="preserve">En el bienio 2014/15 se lograron avances significativos en la mejora del marco jurídico del </w:t>
      </w:r>
      <w:r w:rsidRPr="00B5757D">
        <w:rPr>
          <w:lang w:val="es-ES"/>
        </w:rPr>
        <w:t xml:space="preserve">Sistema de La Haya.  </w:t>
      </w:r>
      <w:r w:rsidRPr="00B5757D">
        <w:rPr>
          <w:color w:val="000000"/>
          <w:lang w:val="es-ES"/>
        </w:rPr>
        <w:t xml:space="preserve">Cabe destacar que, tras la cuarta reunión del Grupo de Trabajo sobre el Desarrollo Jurídico del Sistema de La Haya para el Registro Internacional de Dibujos y Modelos Industriales, la Asamblea de la Unión de La Haya adoptó disposiciones que entraron en vigor el 1 de enero de 2015, y permitieron la introducción de un "mecanismo de información" a fin de garantizar la disponibilidad pública de la información relacionada con las modificaciones de dibujos y modelos industriales a los que se ha concedido protección mediante su registro internacional, tras haberse efectuado el trámite correspondiente en la oficina de una Parte Contratante designada. </w:t>
      </w:r>
      <w:r w:rsidRPr="00B5757D">
        <w:rPr>
          <w:lang w:val="es-ES"/>
        </w:rPr>
        <w:t xml:space="preserve"> </w:t>
      </w:r>
      <w:r w:rsidRPr="00B5757D">
        <w:rPr>
          <w:color w:val="000000"/>
          <w:lang w:val="es-ES"/>
        </w:rPr>
        <w:t xml:space="preserve">Además, se introdujeron modificaciones de las Instrucciones Administrativas para que los usuarios dispongan de mayor flexibilidad respecto de la divulgación de sus dibujos y modelos industriales, que entraron en vigor el 1 de julio de 2014. </w:t>
      </w:r>
      <w:r w:rsidRPr="00B5757D">
        <w:rPr>
          <w:lang w:val="es-ES"/>
        </w:rPr>
        <w:t xml:space="preserve"> </w:t>
      </w:r>
      <w:r w:rsidRPr="00B5757D">
        <w:rPr>
          <w:color w:val="000000"/>
          <w:lang w:val="es-ES"/>
        </w:rPr>
        <w:t xml:space="preserve">Estos dos hechos establecieron los cimientos necesarios para avanzar en la tan esperada expansión a jurisdicciones donde se llevan a </w:t>
      </w:r>
      <w:r w:rsidRPr="00B5757D">
        <w:rPr>
          <w:lang w:val="es-ES"/>
        </w:rPr>
        <w:t>cabo exámenes sustantivos</w:t>
      </w:r>
      <w:r w:rsidRPr="00B5757D">
        <w:rPr>
          <w:color w:val="000000"/>
          <w:lang w:val="es-ES"/>
        </w:rPr>
        <w:t>.</w:t>
      </w:r>
      <w:r w:rsidRPr="00B5757D">
        <w:rPr>
          <w:lang w:val="es-ES"/>
        </w:rPr>
        <w:t xml:space="preserve">  </w:t>
      </w:r>
      <w:r w:rsidRPr="00B5757D">
        <w:rPr>
          <w:color w:val="000000"/>
          <w:lang w:val="es-ES"/>
        </w:rPr>
        <w:t>Además de las modificaciones realizadas a la interfaz de presentación electrónica de solicitudes, se ha equipado el Sistema para hacer frente a las complejidades adicionales, lo que ha hecho posibles las adhesiones de los Estados Unidos de América, el Japón y la República de Corea.</w:t>
      </w:r>
    </w:p>
    <w:p w:rsidR="002640BF" w:rsidRPr="00B5757D" w:rsidRDefault="002640BF" w:rsidP="00DC1333">
      <w:pPr>
        <w:widowControl w:val="0"/>
        <w:tabs>
          <w:tab w:val="left" w:pos="709"/>
        </w:tabs>
        <w:jc w:val="both"/>
      </w:pPr>
    </w:p>
    <w:p w:rsidR="002640BF" w:rsidRPr="00B5757D" w:rsidRDefault="002640BF" w:rsidP="002640BF">
      <w:pPr>
        <w:pStyle w:val="ListParagraph"/>
        <w:keepNext/>
        <w:keepLines/>
        <w:widowControl w:val="0"/>
        <w:numPr>
          <w:ilvl w:val="0"/>
          <w:numId w:val="39"/>
        </w:numPr>
        <w:tabs>
          <w:tab w:val="left" w:pos="709"/>
        </w:tabs>
        <w:ind w:left="0" w:firstLine="0"/>
        <w:jc w:val="both"/>
        <w:rPr>
          <w:lang w:val="es-ES"/>
        </w:rPr>
      </w:pPr>
      <w:r w:rsidRPr="00B5757D">
        <w:rPr>
          <w:lang w:val="es-ES"/>
        </w:rPr>
        <w:lastRenderedPageBreak/>
        <w:t>Para el diseño, la planificación y la ejecución de las actividades del programa 31 se tomó como base y guía las recomendaciones pertinentes de la Agenda para el Desarrollo, en particular las recomendaciones 1 y 6.</w:t>
      </w:r>
    </w:p>
    <w:p w:rsidR="002640BF" w:rsidRPr="00B5757D" w:rsidRDefault="002640BF" w:rsidP="00DC1333">
      <w:pPr>
        <w:widowControl w:val="0"/>
        <w:rPr>
          <w:bCs/>
          <w:szCs w:val="22"/>
        </w:rPr>
      </w:pPr>
    </w:p>
    <w:p w:rsidR="002640BF" w:rsidRPr="00B5757D" w:rsidRDefault="002640BF" w:rsidP="00DC1333">
      <w:pPr>
        <w:widowControl w:val="0"/>
        <w:rPr>
          <w:bCs/>
          <w:szCs w:val="22"/>
        </w:rPr>
      </w:pPr>
    </w:p>
    <w:p w:rsidR="002640BF" w:rsidRPr="00B5757D" w:rsidRDefault="008F7CBE" w:rsidP="00DC1333">
      <w:pPr>
        <w:widowControl w:val="0"/>
        <w:rPr>
          <w:szCs w:val="22"/>
        </w:rPr>
      </w:pPr>
      <w:r w:rsidRPr="008F7CBE">
        <w:rPr>
          <w:sz w:val="20"/>
          <w:szCs w:val="22"/>
        </w:rPr>
        <w:t>DATOS SOBRE EL RENDIMIENTO</w:t>
      </w:r>
    </w:p>
    <w:p w:rsidR="002640BF" w:rsidRPr="00B5757D" w:rsidRDefault="002640BF" w:rsidP="00DC1333">
      <w:pPr>
        <w:widowControl w:val="0"/>
        <w:rPr>
          <w:bCs/>
          <w:szCs w:val="22"/>
        </w:rPr>
      </w:pPr>
    </w:p>
    <w:tbl>
      <w:tblPr>
        <w:tblW w:w="4877"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4"/>
        <w:gridCol w:w="9"/>
        <w:gridCol w:w="35"/>
        <w:gridCol w:w="2125"/>
        <w:gridCol w:w="90"/>
        <w:gridCol w:w="1540"/>
        <w:gridCol w:w="37"/>
        <w:gridCol w:w="32"/>
        <w:gridCol w:w="1987"/>
        <w:gridCol w:w="1397"/>
      </w:tblGrid>
      <w:tr w:rsidR="002640BF" w:rsidRPr="00B5757D" w:rsidTr="00DC1333">
        <w:trPr>
          <w:cantSplit/>
          <w:trHeight w:val="559"/>
        </w:trPr>
        <w:tc>
          <w:tcPr>
            <w:tcW w:w="5000" w:type="pct"/>
            <w:gridSpan w:val="10"/>
            <w:tcBorders>
              <w:top w:val="single" w:sz="4" w:space="0" w:color="auto"/>
              <w:bottom w:val="single" w:sz="4" w:space="0" w:color="auto"/>
            </w:tcBorders>
            <w:shd w:val="clear" w:color="auto" w:fill="C6D9F1" w:themeFill="text2" w:themeFillTint="33"/>
            <w:vAlign w:val="center"/>
          </w:tcPr>
          <w:p w:rsidR="002640BF" w:rsidRPr="00B5757D" w:rsidRDefault="002640BF" w:rsidP="00DC1333">
            <w:pPr>
              <w:widowControl w:val="0"/>
              <w:ind w:left="2019" w:hanging="2019"/>
              <w:rPr>
                <w:b/>
                <w:bCs/>
                <w:sz w:val="16"/>
                <w:szCs w:val="16"/>
              </w:rPr>
            </w:pPr>
            <w:r w:rsidRPr="00B5757D">
              <w:rPr>
                <w:b/>
                <w:bCs/>
                <w:color w:val="000000"/>
                <w:sz w:val="16"/>
                <w:szCs w:val="16"/>
              </w:rPr>
              <w:t>Resultados previstos</w:t>
            </w:r>
            <w:r w:rsidRPr="00B5757D">
              <w:rPr>
                <w:bCs/>
                <w:sz w:val="16"/>
                <w:szCs w:val="16"/>
              </w:rPr>
              <w:t>:</w:t>
            </w:r>
            <w:r w:rsidRPr="00B5757D">
              <w:rPr>
                <w:bCs/>
              </w:rPr>
              <w:t xml:space="preserve"> </w:t>
            </w:r>
            <w:r w:rsidRPr="00B5757D">
              <w:rPr>
                <w:bCs/>
              </w:rPr>
              <w:tab/>
            </w:r>
            <w:r w:rsidRPr="00B5757D">
              <w:rPr>
                <w:bCs/>
                <w:sz w:val="16"/>
                <w:szCs w:val="16"/>
              </w:rPr>
              <w:t xml:space="preserve">II.4 </w:t>
            </w:r>
            <w:r w:rsidRPr="00B5757D">
              <w:rPr>
                <w:sz w:val="16"/>
                <w:szCs w:val="16"/>
              </w:rPr>
              <w:t>Ampliación</w:t>
            </w:r>
            <w:r w:rsidRPr="00B5757D">
              <w:rPr>
                <w:bCs/>
                <w:sz w:val="16"/>
                <w:szCs w:val="16"/>
              </w:rPr>
              <w:t xml:space="preserve"> y mejora del uso del Sistema de La Haya por los países en desarrollo y los PMA, entre otros</w:t>
            </w:r>
          </w:p>
        </w:tc>
      </w:tr>
      <w:tr w:rsidR="002640BF" w:rsidRPr="00B5757D" w:rsidTr="00DC1333">
        <w:trPr>
          <w:cantSplit/>
        </w:trPr>
        <w:tc>
          <w:tcPr>
            <w:tcW w:w="1116" w:type="pct"/>
            <w:tcBorders>
              <w:top w:val="single" w:sz="4" w:space="0" w:color="auto"/>
            </w:tcBorders>
            <w:shd w:val="clear" w:color="auto" w:fill="auto"/>
            <w:vAlign w:val="center"/>
          </w:tcPr>
          <w:p w:rsidR="002640BF" w:rsidRPr="00B5757D" w:rsidRDefault="002640BF" w:rsidP="00DC1333">
            <w:pPr>
              <w:widowControl w:val="0"/>
              <w:rPr>
                <w:sz w:val="16"/>
                <w:szCs w:val="16"/>
              </w:rPr>
            </w:pPr>
            <w:r w:rsidRPr="00B5757D">
              <w:rPr>
                <w:b/>
                <w:sz w:val="16"/>
                <w:szCs w:val="16"/>
              </w:rPr>
              <w:t>Indicadores de rendimiento</w:t>
            </w:r>
          </w:p>
        </w:tc>
        <w:tc>
          <w:tcPr>
            <w:tcW w:w="1210" w:type="pct"/>
            <w:gridSpan w:val="4"/>
            <w:tcBorders>
              <w:top w:val="single" w:sz="4" w:space="0" w:color="auto"/>
            </w:tcBorders>
            <w:shd w:val="clear" w:color="auto" w:fill="auto"/>
            <w:vAlign w:val="center"/>
          </w:tcPr>
          <w:p w:rsidR="002640BF" w:rsidRPr="00B5757D" w:rsidRDefault="002640BF" w:rsidP="00DC1333">
            <w:pPr>
              <w:widowControl w:val="0"/>
              <w:rPr>
                <w:b/>
                <w:bCs/>
                <w:sz w:val="16"/>
                <w:szCs w:val="16"/>
              </w:rPr>
            </w:pPr>
            <w:r w:rsidRPr="00B5757D">
              <w:rPr>
                <w:b/>
                <w:bCs/>
                <w:sz w:val="16"/>
                <w:szCs w:val="16"/>
              </w:rPr>
              <w:t>Referencia</w:t>
            </w:r>
          </w:p>
        </w:tc>
        <w:tc>
          <w:tcPr>
            <w:tcW w:w="825" w:type="pct"/>
            <w:tcBorders>
              <w:top w:val="single" w:sz="4" w:space="0" w:color="auto"/>
            </w:tcBorders>
            <w:shd w:val="clear" w:color="auto" w:fill="auto"/>
            <w:tcMar>
              <w:top w:w="110" w:type="dxa"/>
            </w:tcMar>
            <w:vAlign w:val="center"/>
          </w:tcPr>
          <w:p w:rsidR="002640BF" w:rsidRPr="00B5757D" w:rsidRDefault="002640BF" w:rsidP="00DC1333">
            <w:pPr>
              <w:widowControl w:val="0"/>
              <w:rPr>
                <w:b/>
                <w:sz w:val="16"/>
                <w:szCs w:val="16"/>
              </w:rPr>
            </w:pPr>
            <w:r w:rsidRPr="00B5757D">
              <w:rPr>
                <w:b/>
                <w:sz w:val="16"/>
                <w:szCs w:val="16"/>
              </w:rPr>
              <w:t>Objetivos</w:t>
            </w:r>
          </w:p>
        </w:tc>
        <w:tc>
          <w:tcPr>
            <w:tcW w:w="1101" w:type="pct"/>
            <w:gridSpan w:val="3"/>
            <w:tcBorders>
              <w:top w:val="single" w:sz="4" w:space="0" w:color="auto"/>
            </w:tcBorders>
            <w:shd w:val="clear" w:color="auto" w:fill="FFFFFF"/>
            <w:tcMar>
              <w:top w:w="110" w:type="dxa"/>
            </w:tcMar>
            <w:vAlign w:val="center"/>
          </w:tcPr>
          <w:p w:rsidR="002640BF" w:rsidRPr="00B5757D" w:rsidRDefault="002640BF" w:rsidP="00DC1333">
            <w:pPr>
              <w:widowControl w:val="0"/>
              <w:rPr>
                <w:sz w:val="16"/>
                <w:szCs w:val="16"/>
              </w:rPr>
            </w:pPr>
            <w:r w:rsidRPr="00B5757D">
              <w:rPr>
                <w:b/>
                <w:sz w:val="16"/>
                <w:szCs w:val="16"/>
              </w:rPr>
              <w:t>Datos sobre el rendimiento</w:t>
            </w:r>
          </w:p>
        </w:tc>
        <w:tc>
          <w:tcPr>
            <w:tcW w:w="748" w:type="pct"/>
            <w:tcBorders>
              <w:top w:val="single" w:sz="4" w:space="0" w:color="auto"/>
              <w:bottom w:val="nil"/>
            </w:tcBorders>
            <w:shd w:val="clear" w:color="auto" w:fill="auto"/>
            <w:tcMar>
              <w:top w:w="110" w:type="dxa"/>
            </w:tcMar>
            <w:vAlign w:val="center"/>
          </w:tcPr>
          <w:p w:rsidR="002640BF" w:rsidRPr="00B5757D" w:rsidRDefault="002640BF" w:rsidP="00DC1333">
            <w:pPr>
              <w:widowControl w:val="0"/>
              <w:jc w:val="center"/>
              <w:rPr>
                <w:b/>
                <w:bCs/>
                <w:color w:val="808080"/>
                <w:sz w:val="16"/>
                <w:szCs w:val="16"/>
              </w:rPr>
            </w:pPr>
            <w:r w:rsidRPr="00B5757D">
              <w:rPr>
                <w:b/>
                <w:bCs/>
                <w:sz w:val="16"/>
                <w:szCs w:val="16"/>
              </w:rPr>
              <w:t>Clave de colores</w:t>
            </w:r>
          </w:p>
        </w:tc>
      </w:tr>
      <w:tr w:rsidR="002640BF" w:rsidRPr="00B5757D" w:rsidTr="00DC1333">
        <w:trPr>
          <w:cantSplit/>
          <w:trHeight w:val="1381"/>
        </w:trPr>
        <w:tc>
          <w:tcPr>
            <w:tcW w:w="1116" w:type="pct"/>
            <w:shd w:val="clear" w:color="auto" w:fill="auto"/>
          </w:tcPr>
          <w:p w:rsidR="002640BF" w:rsidRPr="00B5757D" w:rsidRDefault="002640BF" w:rsidP="00DC1333">
            <w:pPr>
              <w:widowControl w:val="0"/>
              <w:rPr>
                <w:sz w:val="16"/>
                <w:szCs w:val="16"/>
              </w:rPr>
            </w:pPr>
            <w:r w:rsidRPr="00B5757D">
              <w:rPr>
                <w:sz w:val="16"/>
                <w:szCs w:val="16"/>
              </w:rPr>
              <w:t>Número de miembros del Acta de Ginebra (1999)</w:t>
            </w:r>
          </w:p>
        </w:tc>
        <w:tc>
          <w:tcPr>
            <w:tcW w:w="1210" w:type="pct"/>
            <w:gridSpan w:val="4"/>
            <w:shd w:val="clear" w:color="auto" w:fill="auto"/>
          </w:tcPr>
          <w:p w:rsidR="002640BF" w:rsidRPr="00B5757D" w:rsidRDefault="002640BF" w:rsidP="00DC1333">
            <w:pPr>
              <w:rPr>
                <w:i/>
                <w:color w:val="002060"/>
                <w:sz w:val="16"/>
                <w:szCs w:val="16"/>
              </w:rPr>
            </w:pPr>
            <w:r w:rsidRPr="00B5757D">
              <w:rPr>
                <w:i/>
                <w:color w:val="002060"/>
                <w:sz w:val="16"/>
                <w:szCs w:val="16"/>
              </w:rPr>
              <w:t>Referencia actualizada a fines de 2013:  46 Partes Contratantes (fines de 2013)</w:t>
            </w:r>
          </w:p>
          <w:p w:rsidR="002640BF" w:rsidRPr="00B5757D" w:rsidRDefault="002640BF" w:rsidP="00DC1333">
            <w:pPr>
              <w:widowControl w:val="0"/>
              <w:rPr>
                <w:sz w:val="16"/>
                <w:szCs w:val="16"/>
              </w:rPr>
            </w:pPr>
          </w:p>
          <w:p w:rsidR="002640BF" w:rsidRPr="00B5757D" w:rsidRDefault="002640BF" w:rsidP="00DC1333">
            <w:pPr>
              <w:widowControl w:val="0"/>
              <w:rPr>
                <w:sz w:val="16"/>
                <w:szCs w:val="16"/>
              </w:rPr>
            </w:pPr>
            <w:r w:rsidRPr="00B5757D">
              <w:rPr>
                <w:i/>
                <w:sz w:val="16"/>
                <w:szCs w:val="16"/>
              </w:rPr>
              <w:t xml:space="preserve">Referencia original en el presupuesto de 2014/15:  </w:t>
            </w:r>
            <w:r w:rsidRPr="00B5757D">
              <w:rPr>
                <w:sz w:val="16"/>
                <w:szCs w:val="16"/>
              </w:rPr>
              <w:t>45 Partes Contratantes</w:t>
            </w:r>
          </w:p>
        </w:tc>
        <w:tc>
          <w:tcPr>
            <w:tcW w:w="825" w:type="pct"/>
            <w:shd w:val="clear" w:color="auto" w:fill="auto"/>
            <w:tcMar>
              <w:top w:w="110" w:type="dxa"/>
            </w:tcMar>
          </w:tcPr>
          <w:p w:rsidR="002640BF" w:rsidRPr="00B5757D" w:rsidRDefault="002640BF" w:rsidP="00DC1333">
            <w:pPr>
              <w:widowControl w:val="0"/>
              <w:rPr>
                <w:sz w:val="16"/>
                <w:szCs w:val="16"/>
              </w:rPr>
            </w:pPr>
            <w:r w:rsidRPr="00B5757D">
              <w:rPr>
                <w:sz w:val="16"/>
                <w:szCs w:val="16"/>
              </w:rPr>
              <w:t>58 Partes Contratantes</w:t>
            </w:r>
          </w:p>
        </w:tc>
        <w:tc>
          <w:tcPr>
            <w:tcW w:w="1101" w:type="pct"/>
            <w:gridSpan w:val="3"/>
            <w:shd w:val="clear" w:color="auto" w:fill="FFFFFF"/>
            <w:tcMar>
              <w:top w:w="110" w:type="dxa"/>
            </w:tcMar>
          </w:tcPr>
          <w:p w:rsidR="002640BF" w:rsidRPr="00B5757D" w:rsidRDefault="002640BF" w:rsidP="00DC1333">
            <w:pPr>
              <w:widowControl w:val="0"/>
              <w:rPr>
                <w:sz w:val="16"/>
                <w:szCs w:val="16"/>
              </w:rPr>
            </w:pPr>
            <w:r w:rsidRPr="00B5757D">
              <w:rPr>
                <w:sz w:val="16"/>
                <w:szCs w:val="16"/>
                <w:lang w:bidi="th-TH"/>
              </w:rPr>
              <w:t>50 Partes Contratantes del Acta de Ginebra (fines de 2015)</w:t>
            </w:r>
          </w:p>
        </w:tc>
        <w:tc>
          <w:tcPr>
            <w:tcW w:w="748" w:type="pct"/>
            <w:tcBorders>
              <w:top w:val="nil"/>
              <w:bottom w:val="nil"/>
            </w:tcBorders>
            <w:shd w:val="clear" w:color="auto" w:fill="auto"/>
            <w:tcMar>
              <w:top w:w="110" w:type="dxa"/>
            </w:tcMar>
          </w:tcPr>
          <w:p w:rsidR="002640BF" w:rsidRPr="00B5757D" w:rsidRDefault="002640BF" w:rsidP="00DC1333">
            <w:pPr>
              <w:widowControl w:val="0"/>
              <w:ind w:left="-108" w:right="-141"/>
              <w:jc w:val="center"/>
              <w:rPr>
                <w:b/>
                <w:bCs/>
                <w:color w:val="FF0000"/>
                <w:sz w:val="16"/>
                <w:szCs w:val="16"/>
              </w:rPr>
            </w:pPr>
            <w:r w:rsidRPr="00B5757D">
              <w:rPr>
                <w:b/>
                <w:bCs/>
                <w:color w:val="E26B0A"/>
                <w:sz w:val="16"/>
                <w:szCs w:val="16"/>
              </w:rPr>
              <w:t>Parcialmente logrado</w:t>
            </w:r>
          </w:p>
        </w:tc>
      </w:tr>
      <w:tr w:rsidR="002640BF" w:rsidRPr="00B5757D" w:rsidTr="00DC1333">
        <w:trPr>
          <w:cantSplit/>
        </w:trPr>
        <w:tc>
          <w:tcPr>
            <w:tcW w:w="1116" w:type="pct"/>
            <w:tcBorders>
              <w:bottom w:val="nil"/>
            </w:tcBorders>
            <w:shd w:val="clear" w:color="auto" w:fill="auto"/>
          </w:tcPr>
          <w:p w:rsidR="002640BF" w:rsidRPr="00B5757D" w:rsidRDefault="002640BF" w:rsidP="00DC1333">
            <w:pPr>
              <w:widowControl w:val="0"/>
              <w:rPr>
                <w:sz w:val="16"/>
                <w:szCs w:val="16"/>
              </w:rPr>
            </w:pPr>
            <w:r w:rsidRPr="00B5757D">
              <w:rPr>
                <w:sz w:val="16"/>
                <w:szCs w:val="16"/>
              </w:rPr>
              <w:t>Porcentaje de oficinas que proporcionan información sobre el Sistema de La Haya</w:t>
            </w:r>
          </w:p>
        </w:tc>
        <w:tc>
          <w:tcPr>
            <w:tcW w:w="1210" w:type="pct"/>
            <w:gridSpan w:val="4"/>
            <w:tcBorders>
              <w:bottom w:val="nil"/>
            </w:tcBorders>
            <w:shd w:val="clear" w:color="auto" w:fill="auto"/>
          </w:tcPr>
          <w:p w:rsidR="002640BF" w:rsidRPr="00B5757D" w:rsidRDefault="002640BF" w:rsidP="00DC1333">
            <w:pPr>
              <w:rPr>
                <w:i/>
                <w:color w:val="002060"/>
                <w:sz w:val="16"/>
                <w:szCs w:val="16"/>
              </w:rPr>
            </w:pPr>
            <w:r w:rsidRPr="00B5757D">
              <w:rPr>
                <w:i/>
                <w:color w:val="002060"/>
                <w:sz w:val="16"/>
                <w:szCs w:val="16"/>
              </w:rPr>
              <w:t>Referencia actualizada a fines de 2013</w:t>
            </w:r>
            <w:proofErr w:type="gramStart"/>
            <w:r w:rsidRPr="00B5757D">
              <w:rPr>
                <w:i/>
                <w:color w:val="002060"/>
                <w:sz w:val="16"/>
                <w:szCs w:val="16"/>
              </w:rPr>
              <w:t>:  42</w:t>
            </w:r>
            <w:proofErr w:type="gramEnd"/>
            <w:r w:rsidRPr="00B5757D">
              <w:rPr>
                <w:i/>
                <w:color w:val="002060"/>
                <w:sz w:val="16"/>
                <w:szCs w:val="16"/>
              </w:rPr>
              <w:t xml:space="preserve"> oficinas nacionales o regionales proporcionaban información adecuada sobre el Sistema de La Haya.  Nueve oficinas no disponían de sitio web.</w:t>
            </w:r>
          </w:p>
          <w:p w:rsidR="002640BF" w:rsidRPr="00B5757D" w:rsidRDefault="002640BF" w:rsidP="00DC1333">
            <w:pPr>
              <w:widowControl w:val="0"/>
              <w:rPr>
                <w:i/>
                <w:sz w:val="16"/>
                <w:szCs w:val="16"/>
              </w:rPr>
            </w:pPr>
          </w:p>
          <w:p w:rsidR="002640BF" w:rsidRPr="00B5757D" w:rsidRDefault="002640BF" w:rsidP="00DC1333">
            <w:pPr>
              <w:widowControl w:val="0"/>
              <w:rPr>
                <w:i/>
                <w:sz w:val="16"/>
                <w:szCs w:val="16"/>
              </w:rPr>
            </w:pPr>
            <w:r w:rsidRPr="00B5757D">
              <w:rPr>
                <w:i/>
                <w:color w:val="000000"/>
                <w:sz w:val="16"/>
                <w:szCs w:val="16"/>
              </w:rPr>
              <w:t>Referencia original en el presupuesto de 2014/15</w:t>
            </w:r>
            <w:r w:rsidRPr="00B5757D">
              <w:rPr>
                <w:color w:val="000000"/>
                <w:sz w:val="16"/>
                <w:szCs w:val="16"/>
              </w:rPr>
              <w:t>:  Porcentaje de oficinas que proporcionan dicha información</w:t>
            </w:r>
          </w:p>
          <w:p w:rsidR="002640BF" w:rsidRPr="00B5757D" w:rsidRDefault="002640BF" w:rsidP="00DC1333">
            <w:pPr>
              <w:widowControl w:val="0"/>
              <w:rPr>
                <w:sz w:val="16"/>
                <w:szCs w:val="16"/>
              </w:rPr>
            </w:pPr>
          </w:p>
        </w:tc>
        <w:tc>
          <w:tcPr>
            <w:tcW w:w="825" w:type="pct"/>
            <w:tcBorders>
              <w:bottom w:val="nil"/>
            </w:tcBorders>
            <w:shd w:val="clear" w:color="auto" w:fill="auto"/>
            <w:tcMar>
              <w:top w:w="110" w:type="dxa"/>
            </w:tcMar>
          </w:tcPr>
          <w:p w:rsidR="002640BF" w:rsidRPr="00B5757D" w:rsidRDefault="002640BF" w:rsidP="00DC1333">
            <w:pPr>
              <w:widowControl w:val="0"/>
              <w:rPr>
                <w:color w:val="993300"/>
                <w:sz w:val="16"/>
                <w:szCs w:val="16"/>
                <w:lang w:bidi="th-TH"/>
              </w:rPr>
            </w:pPr>
            <w:r w:rsidRPr="00B5757D">
              <w:rPr>
                <w:sz w:val="16"/>
                <w:szCs w:val="16"/>
                <w:lang w:bidi="th-TH"/>
              </w:rPr>
              <w:t>Mayor porcentaje</w:t>
            </w:r>
            <w:r w:rsidRPr="00B5757D">
              <w:rPr>
                <w:color w:val="808080"/>
                <w:sz w:val="16"/>
                <w:szCs w:val="16"/>
                <w:lang w:bidi="th-TH"/>
              </w:rPr>
              <w:t>.</w:t>
            </w:r>
          </w:p>
        </w:tc>
        <w:tc>
          <w:tcPr>
            <w:tcW w:w="1101" w:type="pct"/>
            <w:gridSpan w:val="3"/>
            <w:tcBorders>
              <w:bottom w:val="nil"/>
            </w:tcBorders>
            <w:shd w:val="clear" w:color="auto" w:fill="FFFFFF"/>
            <w:tcMar>
              <w:top w:w="110" w:type="dxa"/>
            </w:tcMar>
          </w:tcPr>
          <w:p w:rsidR="002640BF" w:rsidRPr="00B5757D" w:rsidRDefault="002640BF" w:rsidP="00DC1333">
            <w:pPr>
              <w:widowControl w:val="0"/>
              <w:rPr>
                <w:i/>
                <w:sz w:val="16"/>
                <w:szCs w:val="16"/>
              </w:rPr>
            </w:pPr>
            <w:r w:rsidRPr="00B5757D">
              <w:rPr>
                <w:color w:val="000000"/>
                <w:sz w:val="16"/>
                <w:szCs w:val="16"/>
              </w:rPr>
              <w:t xml:space="preserve">47 oficinas nacionales o regionales proporcionaban información sobre el Sistema de La Haya a fines de 2015. </w:t>
            </w:r>
            <w:r w:rsidRPr="00B5757D">
              <w:rPr>
                <w:sz w:val="16"/>
                <w:szCs w:val="16"/>
              </w:rPr>
              <w:t> Diez oficinas no disponían de sitio web.</w:t>
            </w:r>
          </w:p>
        </w:tc>
        <w:tc>
          <w:tcPr>
            <w:tcW w:w="748" w:type="pct"/>
            <w:tcBorders>
              <w:top w:val="nil"/>
              <w:bottom w:val="nil"/>
            </w:tcBorders>
            <w:shd w:val="clear" w:color="auto" w:fill="auto"/>
            <w:tcMar>
              <w:top w:w="110" w:type="dxa"/>
            </w:tcMar>
          </w:tcPr>
          <w:p w:rsidR="002640BF" w:rsidRPr="00B5757D" w:rsidRDefault="002640BF" w:rsidP="00DC1333">
            <w:pPr>
              <w:widowControl w:val="0"/>
              <w:jc w:val="center"/>
              <w:rPr>
                <w:b/>
                <w:bCs/>
                <w:color w:val="FF0000"/>
                <w:sz w:val="16"/>
                <w:szCs w:val="16"/>
              </w:rPr>
            </w:pPr>
            <w:r w:rsidRPr="00B5757D">
              <w:rPr>
                <w:b/>
                <w:bCs/>
                <w:color w:val="00B050"/>
                <w:sz w:val="16"/>
                <w:szCs w:val="16"/>
              </w:rPr>
              <w:t>Plenamente logrado</w:t>
            </w:r>
          </w:p>
        </w:tc>
      </w:tr>
      <w:tr w:rsidR="002640BF" w:rsidRPr="00B5757D" w:rsidTr="00DC1333">
        <w:trPr>
          <w:cantSplit/>
        </w:trPr>
        <w:tc>
          <w:tcPr>
            <w:tcW w:w="1116" w:type="pct"/>
            <w:tcBorders>
              <w:top w:val="nil"/>
              <w:left w:val="single" w:sz="4" w:space="0" w:color="auto"/>
              <w:bottom w:val="single" w:sz="4" w:space="0" w:color="auto"/>
            </w:tcBorders>
            <w:shd w:val="clear" w:color="auto" w:fill="auto"/>
          </w:tcPr>
          <w:p w:rsidR="002640BF" w:rsidRPr="00B5757D" w:rsidRDefault="002640BF" w:rsidP="00DC1333">
            <w:pPr>
              <w:widowControl w:val="0"/>
              <w:rPr>
                <w:sz w:val="16"/>
                <w:szCs w:val="16"/>
              </w:rPr>
            </w:pPr>
            <w:r w:rsidRPr="00B5757D">
              <w:rPr>
                <w:sz w:val="16"/>
                <w:szCs w:val="16"/>
              </w:rPr>
              <w:t>Solicitudes de registro y renovaciones en virtud del Sistema de La Haya</w:t>
            </w:r>
          </w:p>
        </w:tc>
        <w:tc>
          <w:tcPr>
            <w:tcW w:w="1210" w:type="pct"/>
            <w:gridSpan w:val="4"/>
            <w:tcBorders>
              <w:top w:val="nil"/>
              <w:bottom w:val="single" w:sz="4" w:space="0" w:color="auto"/>
            </w:tcBorders>
            <w:shd w:val="clear" w:color="auto" w:fill="auto"/>
          </w:tcPr>
          <w:p w:rsidR="002640BF" w:rsidRPr="00B5757D" w:rsidRDefault="002640BF" w:rsidP="00DC1333">
            <w:pPr>
              <w:rPr>
                <w:i/>
                <w:color w:val="002060"/>
                <w:sz w:val="16"/>
                <w:szCs w:val="16"/>
              </w:rPr>
            </w:pPr>
            <w:r w:rsidRPr="00B5757D">
              <w:rPr>
                <w:i/>
                <w:color w:val="002060"/>
                <w:sz w:val="16"/>
                <w:szCs w:val="16"/>
              </w:rPr>
              <w:t>Referencia actualizada a fines de 2013:  2.990 solicitudes</w:t>
            </w:r>
          </w:p>
          <w:p w:rsidR="002640BF" w:rsidRPr="00B5757D" w:rsidRDefault="002640BF" w:rsidP="00DC1333">
            <w:pPr>
              <w:rPr>
                <w:i/>
                <w:color w:val="002060"/>
                <w:sz w:val="16"/>
                <w:szCs w:val="16"/>
              </w:rPr>
            </w:pPr>
            <w:r w:rsidRPr="00B5757D">
              <w:rPr>
                <w:i/>
                <w:color w:val="002060"/>
                <w:sz w:val="16"/>
                <w:szCs w:val="16"/>
              </w:rPr>
              <w:t xml:space="preserve">13.172 dibujos y modelos contenidos </w:t>
            </w:r>
          </w:p>
          <w:p w:rsidR="002640BF" w:rsidRPr="00B5757D" w:rsidRDefault="002640BF" w:rsidP="00DC1333">
            <w:pPr>
              <w:rPr>
                <w:i/>
                <w:color w:val="002060"/>
                <w:sz w:val="16"/>
                <w:szCs w:val="16"/>
              </w:rPr>
            </w:pPr>
            <w:r w:rsidRPr="00B5757D">
              <w:rPr>
                <w:i/>
                <w:color w:val="002060"/>
                <w:sz w:val="16"/>
                <w:szCs w:val="16"/>
              </w:rPr>
              <w:t>2.859 renovaciones</w:t>
            </w:r>
          </w:p>
          <w:p w:rsidR="002640BF" w:rsidRPr="00B5757D" w:rsidRDefault="002640BF" w:rsidP="00DC1333">
            <w:pPr>
              <w:rPr>
                <w:i/>
                <w:color w:val="002060"/>
                <w:sz w:val="16"/>
                <w:szCs w:val="16"/>
              </w:rPr>
            </w:pPr>
            <w:r w:rsidRPr="00B5757D">
              <w:rPr>
                <w:i/>
                <w:color w:val="002060"/>
                <w:sz w:val="16"/>
                <w:szCs w:val="16"/>
              </w:rPr>
              <w:t>(2013)</w:t>
            </w:r>
          </w:p>
          <w:p w:rsidR="002640BF" w:rsidRPr="00B5757D" w:rsidRDefault="002640BF" w:rsidP="00DC1333">
            <w:pPr>
              <w:widowControl w:val="0"/>
              <w:rPr>
                <w:i/>
                <w:sz w:val="16"/>
                <w:szCs w:val="16"/>
              </w:rPr>
            </w:pPr>
          </w:p>
          <w:p w:rsidR="002640BF" w:rsidRPr="00B5757D" w:rsidRDefault="002640BF" w:rsidP="00DC1333">
            <w:pPr>
              <w:widowControl w:val="0"/>
              <w:rPr>
                <w:i/>
                <w:sz w:val="16"/>
                <w:szCs w:val="16"/>
              </w:rPr>
            </w:pPr>
            <w:r w:rsidRPr="00B5757D">
              <w:rPr>
                <w:i/>
                <w:sz w:val="16"/>
                <w:szCs w:val="16"/>
              </w:rPr>
              <w:t>Referencia original en el presupuesto de 2014/15:  2.604 solicitudes</w:t>
            </w:r>
          </w:p>
          <w:p w:rsidR="002640BF" w:rsidRPr="00B5757D" w:rsidRDefault="002640BF" w:rsidP="00DC1333">
            <w:pPr>
              <w:widowControl w:val="0"/>
              <w:rPr>
                <w:i/>
                <w:sz w:val="16"/>
                <w:szCs w:val="16"/>
              </w:rPr>
            </w:pPr>
            <w:r w:rsidRPr="00B5757D">
              <w:rPr>
                <w:i/>
                <w:sz w:val="16"/>
                <w:szCs w:val="16"/>
              </w:rPr>
              <w:t>12.454</w:t>
            </w:r>
            <w:r w:rsidRPr="00B5757D">
              <w:rPr>
                <w:rStyle w:val="FootnoteReference"/>
                <w:i/>
                <w:sz w:val="16"/>
                <w:szCs w:val="16"/>
              </w:rPr>
              <w:footnoteReference w:id="37"/>
            </w:r>
            <w:r w:rsidRPr="00B5757D">
              <w:rPr>
                <w:i/>
                <w:sz w:val="16"/>
                <w:szCs w:val="16"/>
              </w:rPr>
              <w:t xml:space="preserve"> dibujos y modelos contenidos</w:t>
            </w:r>
          </w:p>
          <w:p w:rsidR="002640BF" w:rsidRPr="00B5757D" w:rsidRDefault="002640BF" w:rsidP="00DC1333">
            <w:pPr>
              <w:widowControl w:val="0"/>
              <w:rPr>
                <w:i/>
                <w:sz w:val="16"/>
                <w:szCs w:val="16"/>
              </w:rPr>
            </w:pPr>
            <w:r w:rsidRPr="00B5757D">
              <w:rPr>
                <w:i/>
                <w:sz w:val="16"/>
                <w:szCs w:val="16"/>
              </w:rPr>
              <w:t xml:space="preserve">3.120 renovaciones </w:t>
            </w:r>
          </w:p>
          <w:p w:rsidR="002640BF" w:rsidRPr="00B5757D" w:rsidRDefault="002640BF" w:rsidP="00DC1333">
            <w:pPr>
              <w:widowControl w:val="0"/>
              <w:rPr>
                <w:sz w:val="16"/>
                <w:szCs w:val="16"/>
              </w:rPr>
            </w:pPr>
            <w:r w:rsidRPr="00B5757D">
              <w:rPr>
                <w:i/>
                <w:sz w:val="16"/>
                <w:szCs w:val="16"/>
              </w:rPr>
              <w:t>(2012)</w:t>
            </w:r>
          </w:p>
        </w:tc>
        <w:tc>
          <w:tcPr>
            <w:tcW w:w="825" w:type="pct"/>
            <w:tcBorders>
              <w:top w:val="nil"/>
              <w:bottom w:val="single" w:sz="4" w:space="0" w:color="auto"/>
            </w:tcBorders>
            <w:shd w:val="clear" w:color="auto" w:fill="auto"/>
            <w:tcMar>
              <w:top w:w="110" w:type="dxa"/>
            </w:tcMar>
          </w:tcPr>
          <w:p w:rsidR="002640BF" w:rsidRPr="00B5757D" w:rsidRDefault="002640BF" w:rsidP="00DC1333">
            <w:pPr>
              <w:widowControl w:val="0"/>
              <w:rPr>
                <w:sz w:val="16"/>
                <w:szCs w:val="16"/>
              </w:rPr>
            </w:pPr>
            <w:r w:rsidRPr="00B5757D">
              <w:rPr>
                <w:sz w:val="16"/>
                <w:szCs w:val="16"/>
              </w:rPr>
              <w:t>2014:</w:t>
            </w:r>
            <w:r w:rsidRPr="00B5757D">
              <w:rPr>
                <w:rStyle w:val="FootnoteReference"/>
                <w:sz w:val="16"/>
                <w:szCs w:val="16"/>
              </w:rPr>
              <w:footnoteReference w:id="38"/>
            </w:r>
            <w:r w:rsidRPr="00B5757D">
              <w:rPr>
                <w:sz w:val="16"/>
                <w:szCs w:val="16"/>
              </w:rPr>
              <w:t xml:space="preserve">  </w:t>
            </w:r>
          </w:p>
          <w:p w:rsidR="002640BF" w:rsidRPr="00B5757D" w:rsidRDefault="002640BF" w:rsidP="00DC1333">
            <w:pPr>
              <w:widowControl w:val="0"/>
              <w:rPr>
                <w:sz w:val="16"/>
                <w:szCs w:val="16"/>
              </w:rPr>
            </w:pPr>
            <w:r w:rsidRPr="00B5757D">
              <w:rPr>
                <w:sz w:val="16"/>
                <w:szCs w:val="16"/>
              </w:rPr>
              <w:t xml:space="preserve">Solicitudes: </w:t>
            </w:r>
            <w:r>
              <w:rPr>
                <w:sz w:val="16"/>
                <w:szCs w:val="16"/>
              </w:rPr>
              <w:t xml:space="preserve"> a</w:t>
            </w:r>
            <w:r w:rsidRPr="00B5757D">
              <w:rPr>
                <w:sz w:val="16"/>
                <w:szCs w:val="16"/>
              </w:rPr>
              <w:t>umento del 33,9%</w:t>
            </w:r>
          </w:p>
          <w:p w:rsidR="002640BF" w:rsidRPr="00B5757D" w:rsidRDefault="002640BF" w:rsidP="00DC1333">
            <w:pPr>
              <w:widowControl w:val="0"/>
              <w:rPr>
                <w:sz w:val="16"/>
                <w:szCs w:val="16"/>
              </w:rPr>
            </w:pPr>
            <w:r w:rsidRPr="00B5757D">
              <w:rPr>
                <w:sz w:val="16"/>
                <w:szCs w:val="16"/>
              </w:rPr>
              <w:t xml:space="preserve">Dibujos y modelos contenidos: </w:t>
            </w:r>
            <w:r>
              <w:rPr>
                <w:sz w:val="16"/>
                <w:szCs w:val="16"/>
              </w:rPr>
              <w:t xml:space="preserve"> aumento del 33% Renovaciones:  d</w:t>
            </w:r>
            <w:r w:rsidRPr="00B5757D">
              <w:rPr>
                <w:sz w:val="16"/>
                <w:szCs w:val="16"/>
              </w:rPr>
              <w:t>isminución del 2,9%</w:t>
            </w:r>
          </w:p>
          <w:p w:rsidR="002640BF" w:rsidRPr="00B5757D" w:rsidRDefault="002640BF" w:rsidP="00DC1333">
            <w:pPr>
              <w:widowControl w:val="0"/>
              <w:rPr>
                <w:sz w:val="16"/>
                <w:szCs w:val="16"/>
              </w:rPr>
            </w:pPr>
          </w:p>
          <w:p w:rsidR="002640BF" w:rsidRPr="00B5757D" w:rsidRDefault="002640BF" w:rsidP="00DC1333">
            <w:pPr>
              <w:widowControl w:val="0"/>
              <w:rPr>
                <w:sz w:val="16"/>
                <w:szCs w:val="16"/>
              </w:rPr>
            </w:pPr>
            <w:r w:rsidRPr="00B5757D">
              <w:rPr>
                <w:sz w:val="16"/>
                <w:szCs w:val="16"/>
              </w:rPr>
              <w:t xml:space="preserve">2015:  </w:t>
            </w:r>
          </w:p>
          <w:p w:rsidR="002640BF" w:rsidRPr="00B5757D" w:rsidRDefault="002640BF" w:rsidP="00DC1333">
            <w:pPr>
              <w:widowControl w:val="0"/>
              <w:rPr>
                <w:sz w:val="16"/>
                <w:szCs w:val="16"/>
              </w:rPr>
            </w:pPr>
            <w:r>
              <w:rPr>
                <w:sz w:val="16"/>
                <w:szCs w:val="16"/>
              </w:rPr>
              <w:t>Solicitudes</w:t>
            </w:r>
            <w:proofErr w:type="gramStart"/>
            <w:r>
              <w:rPr>
                <w:sz w:val="16"/>
                <w:szCs w:val="16"/>
              </w:rPr>
              <w:t>:  a</w:t>
            </w:r>
            <w:r w:rsidRPr="00B5757D">
              <w:rPr>
                <w:sz w:val="16"/>
                <w:szCs w:val="16"/>
              </w:rPr>
              <w:t>umento</w:t>
            </w:r>
            <w:proofErr w:type="gramEnd"/>
            <w:r w:rsidRPr="00B5757D">
              <w:rPr>
                <w:sz w:val="16"/>
                <w:szCs w:val="16"/>
              </w:rPr>
              <w:t xml:space="preserve"> del 23,4%.  Dibujos y modelos contenidos:</w:t>
            </w:r>
            <w:r>
              <w:rPr>
                <w:sz w:val="16"/>
                <w:szCs w:val="16"/>
              </w:rPr>
              <w:t xml:space="preserve"> </w:t>
            </w:r>
            <w:r w:rsidRPr="00B5757D">
              <w:rPr>
                <w:sz w:val="16"/>
                <w:szCs w:val="16"/>
              </w:rPr>
              <w:t xml:space="preserve"> au</w:t>
            </w:r>
            <w:r>
              <w:rPr>
                <w:sz w:val="16"/>
                <w:szCs w:val="16"/>
              </w:rPr>
              <w:t xml:space="preserve">mento del 23,5% Renovaciones:  a </w:t>
            </w:r>
            <w:r w:rsidRPr="00B5757D">
              <w:rPr>
                <w:sz w:val="16"/>
                <w:szCs w:val="16"/>
              </w:rPr>
              <w:t>aumento del 5,5%</w:t>
            </w:r>
          </w:p>
        </w:tc>
        <w:tc>
          <w:tcPr>
            <w:tcW w:w="1101" w:type="pct"/>
            <w:gridSpan w:val="3"/>
            <w:tcBorders>
              <w:top w:val="nil"/>
              <w:bottom w:val="single" w:sz="4" w:space="0" w:color="auto"/>
            </w:tcBorders>
            <w:shd w:val="clear" w:color="auto" w:fill="FFFFFF"/>
            <w:tcMar>
              <w:top w:w="110" w:type="dxa"/>
            </w:tcMar>
          </w:tcPr>
          <w:p w:rsidR="002640BF" w:rsidRPr="00B5757D" w:rsidRDefault="002640BF" w:rsidP="00DC1333">
            <w:pPr>
              <w:widowControl w:val="0"/>
              <w:rPr>
                <w:sz w:val="16"/>
                <w:szCs w:val="16"/>
                <w:lang w:bidi="th-TH"/>
              </w:rPr>
            </w:pPr>
            <w:r w:rsidRPr="00B5757D">
              <w:rPr>
                <w:sz w:val="16"/>
                <w:szCs w:val="16"/>
                <w:lang w:bidi="th-TH"/>
              </w:rPr>
              <w:t>2014:</w:t>
            </w:r>
          </w:p>
          <w:p w:rsidR="002640BF" w:rsidRPr="00B5757D" w:rsidRDefault="002640BF" w:rsidP="00DC1333">
            <w:pPr>
              <w:widowControl w:val="0"/>
              <w:rPr>
                <w:sz w:val="16"/>
                <w:szCs w:val="16"/>
                <w:lang w:bidi="th-TH"/>
              </w:rPr>
            </w:pPr>
            <w:r w:rsidRPr="00B5757D">
              <w:rPr>
                <w:sz w:val="16"/>
                <w:szCs w:val="16"/>
                <w:lang w:bidi="th-TH"/>
              </w:rPr>
              <w:t xml:space="preserve">Solicitudes: </w:t>
            </w:r>
            <w:r>
              <w:rPr>
                <w:sz w:val="16"/>
                <w:szCs w:val="16"/>
                <w:lang w:bidi="th-TH"/>
              </w:rPr>
              <w:t xml:space="preserve"> d</w:t>
            </w:r>
            <w:r w:rsidRPr="00B5757D">
              <w:rPr>
                <w:sz w:val="16"/>
                <w:szCs w:val="16"/>
                <w:lang w:bidi="th-TH"/>
              </w:rPr>
              <w:t>isminución del 2,2% (2.924)</w:t>
            </w:r>
          </w:p>
          <w:p w:rsidR="002640BF" w:rsidRPr="00B5757D" w:rsidRDefault="002640BF" w:rsidP="00DC1333">
            <w:pPr>
              <w:widowControl w:val="0"/>
              <w:rPr>
                <w:sz w:val="16"/>
                <w:szCs w:val="16"/>
                <w:lang w:bidi="th-TH"/>
              </w:rPr>
            </w:pPr>
          </w:p>
          <w:p w:rsidR="002640BF" w:rsidRPr="00B5757D" w:rsidRDefault="002640BF" w:rsidP="00DC1333">
            <w:pPr>
              <w:widowControl w:val="0"/>
              <w:rPr>
                <w:sz w:val="16"/>
                <w:szCs w:val="16"/>
                <w:lang w:bidi="th-TH"/>
              </w:rPr>
            </w:pPr>
            <w:r w:rsidRPr="00B5757D">
              <w:rPr>
                <w:sz w:val="16"/>
                <w:szCs w:val="16"/>
                <w:lang w:bidi="th-TH"/>
              </w:rPr>
              <w:t>Dibujos y modelos contenidos:</w:t>
            </w:r>
            <w:r>
              <w:rPr>
                <w:sz w:val="16"/>
                <w:szCs w:val="16"/>
                <w:lang w:bidi="th-TH"/>
              </w:rPr>
              <w:t xml:space="preserve">  a</w:t>
            </w:r>
            <w:r w:rsidRPr="00B5757D">
              <w:rPr>
                <w:sz w:val="16"/>
                <w:szCs w:val="16"/>
                <w:lang w:bidi="th-TH"/>
              </w:rPr>
              <w:t>umento del 9,6% (14.441)</w:t>
            </w:r>
          </w:p>
          <w:p w:rsidR="002640BF" w:rsidRPr="00B5757D" w:rsidRDefault="002640BF" w:rsidP="00DC1333">
            <w:pPr>
              <w:widowControl w:val="0"/>
              <w:rPr>
                <w:sz w:val="16"/>
                <w:szCs w:val="16"/>
                <w:lang w:bidi="th-TH"/>
              </w:rPr>
            </w:pPr>
          </w:p>
          <w:p w:rsidR="002640BF" w:rsidRPr="00B5757D" w:rsidRDefault="002640BF" w:rsidP="00DC1333">
            <w:pPr>
              <w:widowControl w:val="0"/>
              <w:rPr>
                <w:sz w:val="16"/>
                <w:szCs w:val="16"/>
                <w:lang w:bidi="th-TH"/>
              </w:rPr>
            </w:pPr>
            <w:r>
              <w:rPr>
                <w:sz w:val="16"/>
                <w:szCs w:val="16"/>
                <w:lang w:bidi="th-TH"/>
              </w:rPr>
              <w:t>Renovaciones:  d</w:t>
            </w:r>
            <w:r w:rsidRPr="00B5757D">
              <w:rPr>
                <w:sz w:val="16"/>
                <w:szCs w:val="16"/>
                <w:lang w:bidi="th-TH"/>
              </w:rPr>
              <w:t>isminución del 5,5% (2.703)</w:t>
            </w:r>
          </w:p>
          <w:p w:rsidR="002640BF" w:rsidRPr="00B5757D" w:rsidRDefault="002640BF" w:rsidP="00DC1333">
            <w:pPr>
              <w:widowControl w:val="0"/>
              <w:rPr>
                <w:sz w:val="16"/>
                <w:szCs w:val="16"/>
                <w:lang w:bidi="th-TH"/>
              </w:rPr>
            </w:pPr>
          </w:p>
          <w:p w:rsidR="002640BF" w:rsidRPr="00B5757D" w:rsidRDefault="002640BF" w:rsidP="00DC1333">
            <w:pPr>
              <w:widowControl w:val="0"/>
              <w:rPr>
                <w:sz w:val="16"/>
                <w:szCs w:val="16"/>
                <w:lang w:bidi="th-TH"/>
              </w:rPr>
            </w:pPr>
            <w:r w:rsidRPr="00B5757D">
              <w:rPr>
                <w:sz w:val="16"/>
                <w:szCs w:val="16"/>
                <w:lang w:bidi="th-TH"/>
              </w:rPr>
              <w:t>2015:</w:t>
            </w:r>
            <w:r w:rsidRPr="00B5757D">
              <w:rPr>
                <w:rStyle w:val="FootnoteReference"/>
                <w:sz w:val="16"/>
                <w:szCs w:val="16"/>
                <w:lang w:bidi="th-TH"/>
              </w:rPr>
              <w:footnoteReference w:id="39"/>
            </w:r>
            <w:r w:rsidRPr="00B5757D">
              <w:rPr>
                <w:sz w:val="16"/>
                <w:szCs w:val="16"/>
                <w:lang w:bidi="th-TH"/>
              </w:rPr>
              <w:t xml:space="preserve">  </w:t>
            </w:r>
          </w:p>
          <w:p w:rsidR="002640BF" w:rsidRPr="00B5757D" w:rsidRDefault="002640BF" w:rsidP="00DC1333">
            <w:pPr>
              <w:widowControl w:val="0"/>
              <w:rPr>
                <w:sz w:val="16"/>
                <w:szCs w:val="16"/>
                <w:lang w:bidi="th-TH"/>
              </w:rPr>
            </w:pPr>
            <w:r>
              <w:rPr>
                <w:sz w:val="16"/>
                <w:szCs w:val="16"/>
                <w:lang w:bidi="th-TH"/>
              </w:rPr>
              <w:t>Solicitudes:  a</w:t>
            </w:r>
            <w:r w:rsidRPr="00B5757D">
              <w:rPr>
                <w:sz w:val="16"/>
                <w:szCs w:val="16"/>
                <w:lang w:bidi="th-TH"/>
              </w:rPr>
              <w:t>umento del 2,7% por encima del objetivo para 2014 (4.111)</w:t>
            </w:r>
          </w:p>
          <w:p w:rsidR="002640BF" w:rsidRPr="00B5757D" w:rsidRDefault="002640BF" w:rsidP="00DC1333">
            <w:pPr>
              <w:widowControl w:val="0"/>
              <w:rPr>
                <w:sz w:val="16"/>
                <w:szCs w:val="16"/>
                <w:lang w:bidi="th-TH"/>
              </w:rPr>
            </w:pPr>
          </w:p>
          <w:p w:rsidR="002640BF" w:rsidRPr="00B5757D" w:rsidRDefault="002640BF" w:rsidP="00DC1333">
            <w:pPr>
              <w:widowControl w:val="0"/>
              <w:rPr>
                <w:sz w:val="16"/>
                <w:szCs w:val="16"/>
                <w:lang w:bidi="th-TH"/>
              </w:rPr>
            </w:pPr>
            <w:r w:rsidRPr="00B5757D">
              <w:rPr>
                <w:sz w:val="16"/>
                <w:szCs w:val="16"/>
                <w:lang w:bidi="th-TH"/>
              </w:rPr>
              <w:t>Dibuj</w:t>
            </w:r>
            <w:r>
              <w:rPr>
                <w:sz w:val="16"/>
                <w:szCs w:val="16"/>
                <w:lang w:bidi="th-TH"/>
              </w:rPr>
              <w:t>os y modelos contenidos:  d</w:t>
            </w:r>
            <w:r w:rsidRPr="00B5757D">
              <w:rPr>
                <w:sz w:val="16"/>
                <w:szCs w:val="16"/>
                <w:lang w:bidi="th-TH"/>
              </w:rPr>
              <w:t>isminución del 6,2% por debajo del objetivo para 2014 (16.435)</w:t>
            </w:r>
          </w:p>
          <w:p w:rsidR="002640BF" w:rsidRPr="00B5757D" w:rsidRDefault="002640BF" w:rsidP="00DC1333">
            <w:pPr>
              <w:widowControl w:val="0"/>
              <w:rPr>
                <w:sz w:val="16"/>
                <w:szCs w:val="16"/>
                <w:lang w:bidi="th-TH"/>
              </w:rPr>
            </w:pPr>
          </w:p>
          <w:p w:rsidR="002640BF" w:rsidRDefault="002640BF" w:rsidP="00DC1333">
            <w:pPr>
              <w:widowControl w:val="0"/>
              <w:rPr>
                <w:sz w:val="16"/>
                <w:szCs w:val="16"/>
                <w:lang w:bidi="th-TH"/>
              </w:rPr>
            </w:pPr>
            <w:r w:rsidRPr="00B5757D">
              <w:rPr>
                <w:sz w:val="16"/>
                <w:szCs w:val="16"/>
                <w:lang w:bidi="th-TH"/>
              </w:rPr>
              <w:t xml:space="preserve">Renovaciones:  </w:t>
            </w:r>
            <w:r>
              <w:rPr>
                <w:sz w:val="16"/>
                <w:szCs w:val="16"/>
                <w:lang w:bidi="th-TH"/>
              </w:rPr>
              <w:t>a</w:t>
            </w:r>
            <w:r w:rsidRPr="00B5757D">
              <w:rPr>
                <w:sz w:val="16"/>
                <w:szCs w:val="16"/>
                <w:lang w:bidi="th-TH"/>
              </w:rPr>
              <w:t>umento del 8,57% por encima del objetivo para 2014 (3.194)</w:t>
            </w:r>
          </w:p>
          <w:p w:rsidR="002640BF" w:rsidRPr="00B5757D" w:rsidRDefault="002640BF" w:rsidP="00DC1333">
            <w:pPr>
              <w:widowControl w:val="0"/>
              <w:rPr>
                <w:sz w:val="16"/>
                <w:szCs w:val="16"/>
              </w:rPr>
            </w:pPr>
          </w:p>
        </w:tc>
        <w:tc>
          <w:tcPr>
            <w:tcW w:w="748" w:type="pct"/>
            <w:tcBorders>
              <w:top w:val="nil"/>
              <w:bottom w:val="single" w:sz="4" w:space="0" w:color="auto"/>
              <w:right w:val="single" w:sz="4" w:space="0" w:color="auto"/>
            </w:tcBorders>
            <w:shd w:val="clear" w:color="auto" w:fill="auto"/>
            <w:tcMar>
              <w:top w:w="110" w:type="dxa"/>
            </w:tcMar>
          </w:tcPr>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E36C0A" w:themeColor="accent6" w:themeShade="BF"/>
                <w:sz w:val="16"/>
                <w:szCs w:val="16"/>
              </w:rPr>
            </w:pPr>
            <w:r w:rsidRPr="00B5757D">
              <w:rPr>
                <w:b/>
                <w:bCs/>
                <w:color w:val="E36C0A" w:themeColor="accent6" w:themeShade="BF"/>
                <w:sz w:val="16"/>
                <w:szCs w:val="16"/>
              </w:rPr>
              <w:t>Parcialmente logrado</w:t>
            </w:r>
          </w:p>
          <w:p w:rsidR="002640BF" w:rsidRPr="00B5757D" w:rsidRDefault="002640BF" w:rsidP="00DC1333">
            <w:pPr>
              <w:widowControl w:val="0"/>
              <w:jc w:val="center"/>
              <w:rPr>
                <w:b/>
                <w:bCs/>
                <w:color w:val="E36C0A" w:themeColor="accent6" w:themeShade="BF"/>
                <w:sz w:val="16"/>
                <w:szCs w:val="16"/>
              </w:rPr>
            </w:pPr>
          </w:p>
          <w:p w:rsidR="002640BF" w:rsidRPr="00B5757D" w:rsidRDefault="002640BF" w:rsidP="00DC1333">
            <w:pPr>
              <w:widowControl w:val="0"/>
              <w:jc w:val="center"/>
              <w:rPr>
                <w:b/>
                <w:bCs/>
                <w:color w:val="E36C0A" w:themeColor="accent6" w:themeShade="BF"/>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p>
          <w:p w:rsidR="002640BF" w:rsidRPr="00B5757D" w:rsidRDefault="002640BF" w:rsidP="00DC1333">
            <w:pPr>
              <w:widowControl w:val="0"/>
              <w:jc w:val="center"/>
              <w:rPr>
                <w:b/>
                <w:bCs/>
                <w:color w:val="FF0000"/>
                <w:sz w:val="16"/>
                <w:szCs w:val="16"/>
              </w:rPr>
            </w:pPr>
            <w:r w:rsidRPr="00B5757D">
              <w:rPr>
                <w:b/>
                <w:bCs/>
                <w:color w:val="00B050"/>
                <w:sz w:val="16"/>
                <w:szCs w:val="16"/>
              </w:rPr>
              <w:t>Plenamente logrado</w:t>
            </w:r>
          </w:p>
        </w:tc>
      </w:tr>
      <w:tr w:rsidR="002640BF" w:rsidRPr="00B5757D" w:rsidTr="00DC1333">
        <w:trPr>
          <w:cantSplit/>
        </w:trPr>
        <w:tc>
          <w:tcPr>
            <w:tcW w:w="5000" w:type="pct"/>
            <w:gridSpan w:val="10"/>
            <w:tcBorders>
              <w:top w:val="single" w:sz="4" w:space="0" w:color="auto"/>
              <w:bottom w:val="single" w:sz="4" w:space="0" w:color="auto"/>
            </w:tcBorders>
            <w:shd w:val="clear" w:color="auto" w:fill="C6D9F1" w:themeFill="text2" w:themeFillTint="33"/>
            <w:vAlign w:val="center"/>
          </w:tcPr>
          <w:p w:rsidR="002640BF" w:rsidRPr="00B5757D" w:rsidRDefault="002640BF" w:rsidP="00DC1333">
            <w:pPr>
              <w:keepNext/>
              <w:widowControl w:val="0"/>
              <w:spacing w:before="120" w:after="120"/>
              <w:ind w:left="2019" w:hanging="2019"/>
              <w:rPr>
                <w:b/>
                <w:bCs/>
                <w:sz w:val="16"/>
                <w:szCs w:val="16"/>
              </w:rPr>
            </w:pPr>
            <w:r w:rsidRPr="00B5757D">
              <w:rPr>
                <w:b/>
                <w:bCs/>
                <w:sz w:val="16"/>
                <w:szCs w:val="16"/>
              </w:rPr>
              <w:lastRenderedPageBreak/>
              <w:t>Resultado previsto</w:t>
            </w:r>
            <w:r w:rsidRPr="00B5757D">
              <w:rPr>
                <w:b/>
                <w:bCs/>
                <w:color w:val="808080"/>
                <w:sz w:val="16"/>
                <w:szCs w:val="16"/>
              </w:rPr>
              <w:t>:</w:t>
            </w:r>
            <w:r w:rsidRPr="00B5757D">
              <w:rPr>
                <w:b/>
                <w:bCs/>
                <w:color w:val="808080"/>
                <w:sz w:val="16"/>
                <w:szCs w:val="16"/>
              </w:rPr>
              <w:tab/>
            </w:r>
            <w:r w:rsidRPr="00B5757D">
              <w:rPr>
                <w:sz w:val="16"/>
                <w:szCs w:val="16"/>
              </w:rPr>
              <w:t>II.5 Mejora de la productividad y de la calidad de los servicios en las operaciones del Sistema de La Haya</w:t>
            </w:r>
          </w:p>
        </w:tc>
      </w:tr>
      <w:tr w:rsidR="002640BF" w:rsidRPr="00B5757D" w:rsidTr="00DC1333">
        <w:trPr>
          <w:cantSplit/>
        </w:trPr>
        <w:tc>
          <w:tcPr>
            <w:tcW w:w="1121" w:type="pct"/>
            <w:gridSpan w:val="2"/>
            <w:tcBorders>
              <w:top w:val="single" w:sz="4" w:space="0" w:color="auto"/>
            </w:tcBorders>
            <w:shd w:val="clear" w:color="auto" w:fill="auto"/>
            <w:vAlign w:val="center"/>
          </w:tcPr>
          <w:p w:rsidR="002640BF" w:rsidRPr="00B5757D" w:rsidRDefault="002640BF" w:rsidP="00DC1333">
            <w:pPr>
              <w:keepNext/>
              <w:widowControl w:val="0"/>
              <w:rPr>
                <w:sz w:val="16"/>
                <w:szCs w:val="16"/>
              </w:rPr>
            </w:pPr>
            <w:r w:rsidRPr="00B5757D">
              <w:rPr>
                <w:b/>
                <w:sz w:val="16"/>
                <w:szCs w:val="16"/>
              </w:rPr>
              <w:t>Indicadores de rendimiento</w:t>
            </w:r>
          </w:p>
        </w:tc>
        <w:tc>
          <w:tcPr>
            <w:tcW w:w="1205" w:type="pct"/>
            <w:gridSpan w:val="3"/>
            <w:tcBorders>
              <w:top w:val="single" w:sz="4" w:space="0" w:color="auto"/>
            </w:tcBorders>
            <w:shd w:val="clear" w:color="auto" w:fill="auto"/>
            <w:vAlign w:val="center"/>
          </w:tcPr>
          <w:p w:rsidR="002640BF" w:rsidRPr="00B5757D" w:rsidRDefault="002640BF" w:rsidP="00DC1333">
            <w:pPr>
              <w:keepNext/>
              <w:widowControl w:val="0"/>
              <w:rPr>
                <w:b/>
                <w:bCs/>
                <w:sz w:val="16"/>
                <w:szCs w:val="16"/>
              </w:rPr>
            </w:pPr>
            <w:r w:rsidRPr="00B5757D">
              <w:rPr>
                <w:b/>
                <w:bCs/>
                <w:sz w:val="16"/>
                <w:szCs w:val="16"/>
              </w:rPr>
              <w:t>Referencia</w:t>
            </w:r>
          </w:p>
        </w:tc>
        <w:tc>
          <w:tcPr>
            <w:tcW w:w="845" w:type="pct"/>
            <w:gridSpan w:val="2"/>
            <w:tcBorders>
              <w:top w:val="single" w:sz="4" w:space="0" w:color="auto"/>
            </w:tcBorders>
            <w:shd w:val="clear" w:color="auto" w:fill="auto"/>
            <w:tcMar>
              <w:top w:w="110" w:type="dxa"/>
            </w:tcMar>
            <w:vAlign w:val="center"/>
          </w:tcPr>
          <w:p w:rsidR="002640BF" w:rsidRPr="00B5757D" w:rsidRDefault="002640BF" w:rsidP="00DC1333">
            <w:pPr>
              <w:keepNext/>
              <w:widowControl w:val="0"/>
              <w:rPr>
                <w:b/>
                <w:sz w:val="16"/>
                <w:szCs w:val="16"/>
              </w:rPr>
            </w:pPr>
            <w:r w:rsidRPr="00B5757D">
              <w:rPr>
                <w:b/>
                <w:sz w:val="16"/>
                <w:szCs w:val="16"/>
              </w:rPr>
              <w:t>Objetivos</w:t>
            </w:r>
          </w:p>
        </w:tc>
        <w:tc>
          <w:tcPr>
            <w:tcW w:w="1081" w:type="pct"/>
            <w:gridSpan w:val="2"/>
            <w:tcBorders>
              <w:top w:val="single" w:sz="4" w:space="0" w:color="auto"/>
            </w:tcBorders>
            <w:shd w:val="clear" w:color="auto" w:fill="FFFFFF"/>
            <w:tcMar>
              <w:top w:w="110" w:type="dxa"/>
            </w:tcMar>
            <w:vAlign w:val="center"/>
          </w:tcPr>
          <w:p w:rsidR="002640BF" w:rsidRPr="00B5757D" w:rsidRDefault="002640BF" w:rsidP="00DC1333">
            <w:pPr>
              <w:keepNext/>
              <w:widowControl w:val="0"/>
              <w:rPr>
                <w:sz w:val="16"/>
                <w:szCs w:val="16"/>
              </w:rPr>
            </w:pPr>
            <w:r w:rsidRPr="00B5757D">
              <w:rPr>
                <w:b/>
                <w:sz w:val="16"/>
                <w:szCs w:val="16"/>
              </w:rPr>
              <w:t>Datos sobre el rendimiento</w:t>
            </w:r>
          </w:p>
        </w:tc>
        <w:tc>
          <w:tcPr>
            <w:tcW w:w="748" w:type="pct"/>
            <w:tcBorders>
              <w:top w:val="single" w:sz="4" w:space="0" w:color="auto"/>
            </w:tcBorders>
            <w:shd w:val="clear" w:color="auto" w:fill="auto"/>
            <w:tcMar>
              <w:top w:w="110" w:type="dxa"/>
            </w:tcMar>
            <w:vAlign w:val="center"/>
          </w:tcPr>
          <w:p w:rsidR="002640BF" w:rsidRPr="00B5757D" w:rsidRDefault="002640BF" w:rsidP="00DC1333">
            <w:pPr>
              <w:keepNext/>
              <w:widowControl w:val="0"/>
              <w:jc w:val="center"/>
              <w:rPr>
                <w:b/>
                <w:bCs/>
                <w:sz w:val="16"/>
                <w:szCs w:val="16"/>
              </w:rPr>
            </w:pPr>
            <w:r w:rsidRPr="00B5757D">
              <w:rPr>
                <w:b/>
                <w:bCs/>
                <w:sz w:val="16"/>
                <w:szCs w:val="16"/>
              </w:rPr>
              <w:t>Clave de colores</w:t>
            </w:r>
          </w:p>
        </w:tc>
      </w:tr>
      <w:tr w:rsidR="002640BF" w:rsidRPr="00B5757D" w:rsidTr="00DC1333">
        <w:trPr>
          <w:cantSplit/>
        </w:trPr>
        <w:tc>
          <w:tcPr>
            <w:tcW w:w="1121" w:type="pct"/>
            <w:gridSpan w:val="2"/>
            <w:tcBorders>
              <w:bottom w:val="nil"/>
            </w:tcBorders>
            <w:shd w:val="clear" w:color="auto" w:fill="auto"/>
          </w:tcPr>
          <w:p w:rsidR="002640BF" w:rsidRPr="00B5757D" w:rsidRDefault="002640BF" w:rsidP="00DC1333">
            <w:pPr>
              <w:widowControl w:val="0"/>
              <w:rPr>
                <w:sz w:val="16"/>
                <w:szCs w:val="16"/>
              </w:rPr>
            </w:pPr>
            <w:r w:rsidRPr="00B5757D">
              <w:rPr>
                <w:sz w:val="16"/>
                <w:szCs w:val="16"/>
              </w:rPr>
              <w:t>Predominio del Acta de Ginebra (1999) en el Sistema de La Haya</w:t>
            </w:r>
          </w:p>
        </w:tc>
        <w:tc>
          <w:tcPr>
            <w:tcW w:w="1205" w:type="pct"/>
            <w:gridSpan w:val="3"/>
            <w:tcBorders>
              <w:bottom w:val="nil"/>
            </w:tcBorders>
            <w:shd w:val="clear" w:color="auto" w:fill="auto"/>
          </w:tcPr>
          <w:p w:rsidR="002640BF" w:rsidRPr="00B5757D" w:rsidRDefault="002640BF" w:rsidP="00DC1333">
            <w:pPr>
              <w:rPr>
                <w:i/>
                <w:color w:val="002060"/>
                <w:sz w:val="16"/>
                <w:szCs w:val="16"/>
              </w:rPr>
            </w:pPr>
            <w:r w:rsidRPr="00B5757D">
              <w:rPr>
                <w:i/>
                <w:color w:val="002060"/>
                <w:sz w:val="16"/>
                <w:szCs w:val="16"/>
              </w:rPr>
              <w:t xml:space="preserve">Referencia actualizada a fines de 2013: </w:t>
            </w:r>
            <w:r>
              <w:rPr>
                <w:i/>
                <w:color w:val="002060"/>
                <w:sz w:val="16"/>
                <w:szCs w:val="16"/>
              </w:rPr>
              <w:t xml:space="preserve"> t</w:t>
            </w:r>
            <w:r w:rsidRPr="00B5757D">
              <w:rPr>
                <w:i/>
                <w:color w:val="002060"/>
                <w:sz w:val="16"/>
                <w:szCs w:val="16"/>
              </w:rPr>
              <w:t>odavía se necesitaban tres autorizaciones para el cese de la aplicación del Acta de 1934, y cuatro Partes Contratantes al margen de la UE y la OAPI continuaban obligadas por el Acta de 1960</w:t>
            </w:r>
          </w:p>
          <w:p w:rsidR="002640BF" w:rsidRPr="00B5757D" w:rsidRDefault="002640BF" w:rsidP="00DC1333">
            <w:pPr>
              <w:widowControl w:val="0"/>
              <w:rPr>
                <w:sz w:val="16"/>
                <w:szCs w:val="16"/>
              </w:rPr>
            </w:pPr>
          </w:p>
          <w:p w:rsidR="002640BF" w:rsidRPr="00B5757D" w:rsidRDefault="002640BF" w:rsidP="00DC1333">
            <w:pPr>
              <w:widowControl w:val="0"/>
              <w:rPr>
                <w:sz w:val="16"/>
                <w:szCs w:val="16"/>
              </w:rPr>
            </w:pPr>
          </w:p>
          <w:p w:rsidR="002640BF" w:rsidRPr="00B5757D" w:rsidRDefault="002640BF" w:rsidP="00DC1333">
            <w:pPr>
              <w:widowControl w:val="0"/>
              <w:rPr>
                <w:sz w:val="16"/>
                <w:szCs w:val="16"/>
              </w:rPr>
            </w:pPr>
            <w:r w:rsidRPr="00B5757D">
              <w:rPr>
                <w:i/>
                <w:sz w:val="16"/>
                <w:szCs w:val="16"/>
              </w:rPr>
              <w:t xml:space="preserve">Referencia original en el presupuesto de 2014/15: </w:t>
            </w:r>
            <w:r>
              <w:rPr>
                <w:i/>
                <w:sz w:val="16"/>
                <w:szCs w:val="16"/>
              </w:rPr>
              <w:t xml:space="preserve"> </w:t>
            </w:r>
            <w:r w:rsidRPr="00B5757D">
              <w:rPr>
                <w:sz w:val="16"/>
                <w:szCs w:val="16"/>
              </w:rPr>
              <w:t>15 miembros del Sistema de La Haya siguen sin estar obligados por el Acta de Ginebra (1999);  siguen pendientes las comunicaciones de consentimiento de 5 miembros para cesar la aplicación del Acta de 1934 (a fines de 2012).</w:t>
            </w:r>
            <w:r w:rsidRPr="00B5757D">
              <w:rPr>
                <w:sz w:val="16"/>
                <w:szCs w:val="16"/>
              </w:rPr>
              <w:br/>
            </w:r>
          </w:p>
        </w:tc>
        <w:tc>
          <w:tcPr>
            <w:tcW w:w="845" w:type="pct"/>
            <w:gridSpan w:val="2"/>
            <w:tcBorders>
              <w:bottom w:val="nil"/>
            </w:tcBorders>
            <w:shd w:val="clear" w:color="auto" w:fill="auto"/>
            <w:tcMar>
              <w:top w:w="110" w:type="dxa"/>
            </w:tcMar>
          </w:tcPr>
          <w:p w:rsidR="002640BF" w:rsidRPr="00B5757D" w:rsidRDefault="002640BF" w:rsidP="00DC1333">
            <w:pPr>
              <w:widowControl w:val="0"/>
              <w:rPr>
                <w:sz w:val="16"/>
                <w:szCs w:val="16"/>
                <w:lang w:bidi="th-TH"/>
              </w:rPr>
            </w:pPr>
            <w:r w:rsidRPr="00B5757D">
              <w:rPr>
                <w:sz w:val="16"/>
                <w:szCs w:val="16"/>
                <w:lang w:bidi="th-TH"/>
              </w:rPr>
              <w:t>Ningún país está obligado únicamente por el Acta de La Haya de 1960 fuera de la UE o la OAPI;  se han recibido las (cinco) comunicaciones de consentimiento restantes para cesar la aplicación del Acta de 1934</w:t>
            </w:r>
          </w:p>
        </w:tc>
        <w:tc>
          <w:tcPr>
            <w:tcW w:w="1081" w:type="pct"/>
            <w:gridSpan w:val="2"/>
            <w:tcBorders>
              <w:bottom w:val="nil"/>
            </w:tcBorders>
            <w:shd w:val="clear" w:color="auto" w:fill="FFFFFF"/>
            <w:tcMar>
              <w:top w:w="110" w:type="dxa"/>
            </w:tcMar>
          </w:tcPr>
          <w:p w:rsidR="002640BF" w:rsidRPr="00B5757D" w:rsidRDefault="002640BF" w:rsidP="00DC1333">
            <w:pPr>
              <w:widowControl w:val="0"/>
              <w:rPr>
                <w:sz w:val="16"/>
                <w:szCs w:val="16"/>
                <w:lang w:bidi="th-TH"/>
              </w:rPr>
            </w:pPr>
            <w:r w:rsidRPr="00B5757D">
              <w:rPr>
                <w:sz w:val="16"/>
                <w:szCs w:val="16"/>
                <w:lang w:bidi="th-TH"/>
              </w:rPr>
              <w:t>Se había recibido una autorización y todavía se necesitaban dos más para el cese de la aplicación del Acta de 1934, y cuatro Partes Contratantes al margen de la UE y la OAPI continuaban obligadas por el Acta de 1960.</w:t>
            </w:r>
          </w:p>
        </w:tc>
        <w:tc>
          <w:tcPr>
            <w:tcW w:w="748" w:type="pct"/>
            <w:tcBorders>
              <w:bottom w:val="nil"/>
            </w:tcBorders>
            <w:shd w:val="clear" w:color="auto" w:fill="auto"/>
            <w:tcMar>
              <w:top w:w="110" w:type="dxa"/>
            </w:tcMar>
          </w:tcPr>
          <w:p w:rsidR="002640BF" w:rsidRPr="00B5757D" w:rsidRDefault="002640BF" w:rsidP="00DC1333">
            <w:pPr>
              <w:widowControl w:val="0"/>
              <w:jc w:val="center"/>
              <w:rPr>
                <w:b/>
                <w:bCs/>
                <w:color w:val="FF0000"/>
                <w:sz w:val="16"/>
                <w:szCs w:val="16"/>
              </w:rPr>
            </w:pPr>
            <w:r w:rsidRPr="00B5757D">
              <w:rPr>
                <w:b/>
                <w:bCs/>
                <w:color w:val="FF0000"/>
                <w:sz w:val="16"/>
                <w:szCs w:val="16"/>
              </w:rPr>
              <w:t>No logrado</w:t>
            </w:r>
          </w:p>
        </w:tc>
      </w:tr>
      <w:tr w:rsidR="002640BF" w:rsidRPr="00B5757D" w:rsidTr="007D557F">
        <w:trPr>
          <w:cantSplit/>
        </w:trPr>
        <w:tc>
          <w:tcPr>
            <w:tcW w:w="1121" w:type="pct"/>
            <w:gridSpan w:val="2"/>
            <w:tcBorders>
              <w:top w:val="nil"/>
              <w:bottom w:val="nil"/>
            </w:tcBorders>
            <w:shd w:val="clear" w:color="auto" w:fill="auto"/>
          </w:tcPr>
          <w:p w:rsidR="002640BF" w:rsidRPr="00B5757D" w:rsidRDefault="002640BF" w:rsidP="00DC1333">
            <w:pPr>
              <w:keepNext/>
              <w:keepLines/>
              <w:widowControl w:val="0"/>
              <w:rPr>
                <w:sz w:val="16"/>
                <w:szCs w:val="16"/>
              </w:rPr>
            </w:pPr>
            <w:r w:rsidRPr="00B5757D">
              <w:rPr>
                <w:sz w:val="16"/>
                <w:szCs w:val="16"/>
              </w:rPr>
              <w:t>Avances en la mejora del marco jurídico</w:t>
            </w:r>
          </w:p>
        </w:tc>
        <w:tc>
          <w:tcPr>
            <w:tcW w:w="1205" w:type="pct"/>
            <w:gridSpan w:val="3"/>
            <w:tcBorders>
              <w:top w:val="nil"/>
              <w:bottom w:val="nil"/>
            </w:tcBorders>
            <w:shd w:val="clear" w:color="auto" w:fill="auto"/>
          </w:tcPr>
          <w:p w:rsidR="002640BF" w:rsidRPr="00B5757D" w:rsidRDefault="002640BF" w:rsidP="00DC1333">
            <w:pPr>
              <w:rPr>
                <w:i/>
                <w:color w:val="002060"/>
                <w:sz w:val="16"/>
                <w:szCs w:val="16"/>
              </w:rPr>
            </w:pPr>
            <w:r w:rsidRPr="00B5757D">
              <w:rPr>
                <w:i/>
                <w:sz w:val="16"/>
                <w:szCs w:val="16"/>
              </w:rPr>
              <w:t>Referencia original en el presupuesto de 2014/15:  Marco jurídico vigente</w:t>
            </w:r>
          </w:p>
        </w:tc>
        <w:tc>
          <w:tcPr>
            <w:tcW w:w="862" w:type="pct"/>
            <w:gridSpan w:val="3"/>
            <w:tcBorders>
              <w:top w:val="nil"/>
              <w:bottom w:val="nil"/>
            </w:tcBorders>
            <w:shd w:val="clear" w:color="auto" w:fill="auto"/>
            <w:tcMar>
              <w:top w:w="110" w:type="dxa"/>
            </w:tcMar>
          </w:tcPr>
          <w:p w:rsidR="002640BF" w:rsidRPr="00B5757D" w:rsidRDefault="002640BF" w:rsidP="00DC1333">
            <w:pPr>
              <w:widowControl w:val="0"/>
              <w:autoSpaceDE w:val="0"/>
              <w:autoSpaceDN w:val="0"/>
              <w:adjustRightInd w:val="0"/>
              <w:rPr>
                <w:sz w:val="16"/>
                <w:szCs w:val="16"/>
              </w:rPr>
            </w:pPr>
            <w:r w:rsidRPr="00B5757D">
              <w:rPr>
                <w:sz w:val="16"/>
                <w:szCs w:val="16"/>
              </w:rPr>
              <w:t>Modificaciones del Reglamento del Arreglo de La Haya y de las Instrucciones Administrativas, y nuevos mecanismos introducidos a raíz de las adhesiones de nuevas Partes Contratantes.</w:t>
            </w:r>
          </w:p>
        </w:tc>
        <w:tc>
          <w:tcPr>
            <w:tcW w:w="1064" w:type="pct"/>
            <w:tcBorders>
              <w:top w:val="nil"/>
              <w:bottom w:val="nil"/>
            </w:tcBorders>
            <w:shd w:val="clear" w:color="auto" w:fill="FFFFFF"/>
            <w:tcMar>
              <w:top w:w="110" w:type="dxa"/>
            </w:tcMar>
          </w:tcPr>
          <w:p w:rsidR="002640BF" w:rsidRPr="00B5757D" w:rsidRDefault="002640BF" w:rsidP="00DC1333">
            <w:pPr>
              <w:widowControl w:val="0"/>
              <w:rPr>
                <w:sz w:val="16"/>
                <w:szCs w:val="16"/>
              </w:rPr>
            </w:pPr>
            <w:r w:rsidRPr="00B5757D">
              <w:rPr>
                <w:sz w:val="16"/>
                <w:szCs w:val="16"/>
              </w:rPr>
              <w:t>Modificaciones del Reglamento Común, entre otras, la introducción de un “mecanismo de información”, que entraron en vigor el 1 de enero de 2015.  Modificaciones de las Instrucciones Administrativas, entre otras, suavizar en cierto grado algunos requisitos relativos a las reproducciones y las representaciones, que entraron en vigor el 1 de julio de 2014.</w:t>
            </w:r>
          </w:p>
          <w:p w:rsidR="002640BF" w:rsidRPr="00B5757D" w:rsidRDefault="002640BF" w:rsidP="00DC1333">
            <w:pPr>
              <w:widowControl w:val="0"/>
              <w:rPr>
                <w:sz w:val="16"/>
                <w:szCs w:val="16"/>
              </w:rPr>
            </w:pPr>
          </w:p>
        </w:tc>
        <w:tc>
          <w:tcPr>
            <w:tcW w:w="748" w:type="pct"/>
            <w:tcBorders>
              <w:top w:val="nil"/>
              <w:bottom w:val="nil"/>
            </w:tcBorders>
            <w:shd w:val="clear" w:color="auto" w:fill="auto"/>
            <w:tcMar>
              <w:top w:w="110" w:type="dxa"/>
            </w:tcMar>
          </w:tcPr>
          <w:p w:rsidR="002640BF" w:rsidRPr="00B5757D" w:rsidRDefault="002640BF" w:rsidP="00DC1333">
            <w:pPr>
              <w:widowControl w:val="0"/>
              <w:jc w:val="center"/>
              <w:rPr>
                <w:b/>
                <w:bCs/>
                <w:color w:val="808080"/>
                <w:sz w:val="16"/>
                <w:szCs w:val="16"/>
              </w:rPr>
            </w:pPr>
            <w:r w:rsidRPr="00B5757D">
              <w:rPr>
                <w:b/>
                <w:color w:val="00B050"/>
                <w:sz w:val="16"/>
                <w:szCs w:val="16"/>
              </w:rPr>
              <w:t>Plenamente logrado</w:t>
            </w:r>
          </w:p>
        </w:tc>
      </w:tr>
      <w:tr w:rsidR="002640BF" w:rsidRPr="00B5757D" w:rsidTr="007D557F">
        <w:trPr>
          <w:cantSplit/>
        </w:trPr>
        <w:tc>
          <w:tcPr>
            <w:tcW w:w="1121" w:type="pct"/>
            <w:gridSpan w:val="2"/>
            <w:tcBorders>
              <w:top w:val="nil"/>
              <w:bottom w:val="single" w:sz="4" w:space="0" w:color="auto"/>
            </w:tcBorders>
            <w:shd w:val="clear" w:color="auto" w:fill="auto"/>
          </w:tcPr>
          <w:p w:rsidR="002640BF" w:rsidRPr="00B5757D" w:rsidRDefault="002640BF" w:rsidP="00DC1333">
            <w:pPr>
              <w:widowControl w:val="0"/>
              <w:rPr>
                <w:sz w:val="16"/>
                <w:szCs w:val="16"/>
              </w:rPr>
            </w:pPr>
            <w:r w:rsidRPr="00B5757D">
              <w:rPr>
                <w:sz w:val="16"/>
                <w:szCs w:val="16"/>
              </w:rPr>
              <w:t>Flexibilidad de los datos inscritos en el Registro Internacional</w:t>
            </w:r>
          </w:p>
        </w:tc>
        <w:tc>
          <w:tcPr>
            <w:tcW w:w="1205" w:type="pct"/>
            <w:gridSpan w:val="3"/>
            <w:tcBorders>
              <w:top w:val="nil"/>
              <w:bottom w:val="single" w:sz="4" w:space="0" w:color="auto"/>
            </w:tcBorders>
            <w:shd w:val="clear" w:color="auto" w:fill="auto"/>
          </w:tcPr>
          <w:p w:rsidR="002640BF" w:rsidRPr="00B5757D" w:rsidRDefault="002640BF" w:rsidP="00DC1333">
            <w:pPr>
              <w:widowControl w:val="0"/>
              <w:rPr>
                <w:sz w:val="16"/>
                <w:szCs w:val="16"/>
              </w:rPr>
            </w:pPr>
            <w:r w:rsidRPr="00B5757D">
              <w:rPr>
                <w:i/>
                <w:sz w:val="16"/>
                <w:szCs w:val="16"/>
              </w:rPr>
              <w:t>Referencia original en el presupuesto de 2014/15</w:t>
            </w:r>
            <w:proofErr w:type="gramStart"/>
            <w:r w:rsidRPr="00B5757D">
              <w:rPr>
                <w:i/>
                <w:sz w:val="16"/>
                <w:szCs w:val="16"/>
              </w:rPr>
              <w:t>:  Incapacidad</w:t>
            </w:r>
            <w:proofErr w:type="gramEnd"/>
            <w:r w:rsidRPr="00B5757D">
              <w:rPr>
                <w:i/>
                <w:sz w:val="16"/>
                <w:szCs w:val="16"/>
              </w:rPr>
              <w:t xml:space="preserve"> de inscribir información detallada sobre los dibujos y modelos.</w:t>
            </w:r>
          </w:p>
        </w:tc>
        <w:tc>
          <w:tcPr>
            <w:tcW w:w="862" w:type="pct"/>
            <w:gridSpan w:val="3"/>
            <w:tcBorders>
              <w:top w:val="nil"/>
              <w:bottom w:val="single" w:sz="4" w:space="0" w:color="auto"/>
            </w:tcBorders>
            <w:shd w:val="clear" w:color="auto" w:fill="auto"/>
            <w:tcMar>
              <w:top w:w="110" w:type="dxa"/>
            </w:tcMar>
          </w:tcPr>
          <w:p w:rsidR="002640BF" w:rsidRPr="00B5757D" w:rsidRDefault="002640BF" w:rsidP="00DC1333">
            <w:pPr>
              <w:widowControl w:val="0"/>
              <w:rPr>
                <w:sz w:val="16"/>
                <w:szCs w:val="16"/>
              </w:rPr>
            </w:pPr>
            <w:r w:rsidRPr="00B5757D">
              <w:rPr>
                <w:sz w:val="16"/>
                <w:szCs w:val="16"/>
              </w:rPr>
              <w:t>Capacidad de inscribir información detallada sobre los dibujos y modelos.</w:t>
            </w:r>
          </w:p>
        </w:tc>
        <w:tc>
          <w:tcPr>
            <w:tcW w:w="1064" w:type="pct"/>
            <w:tcBorders>
              <w:top w:val="nil"/>
              <w:bottom w:val="single" w:sz="4" w:space="0" w:color="auto"/>
            </w:tcBorders>
            <w:shd w:val="clear" w:color="auto" w:fill="FFFFFF"/>
            <w:tcMar>
              <w:top w:w="110" w:type="dxa"/>
            </w:tcMar>
          </w:tcPr>
          <w:p w:rsidR="002640BF" w:rsidRPr="00B5757D" w:rsidRDefault="002640BF" w:rsidP="00DC1333">
            <w:pPr>
              <w:widowControl w:val="0"/>
              <w:rPr>
                <w:sz w:val="16"/>
                <w:szCs w:val="16"/>
              </w:rPr>
            </w:pPr>
            <w:r w:rsidRPr="00B5757D">
              <w:rPr>
                <w:sz w:val="16"/>
                <w:szCs w:val="16"/>
              </w:rPr>
              <w:t>Se ha avanzado en relación con las decisiones relativas a los dibujos y modelos, pero la aplicación estaba prevista para cuando se haya transformado el sistema principal de T.I., hecho que no se produjo durante el bienio</w:t>
            </w:r>
            <w:proofErr w:type="gramStart"/>
            <w:r w:rsidRPr="00B5757D">
              <w:rPr>
                <w:sz w:val="16"/>
                <w:szCs w:val="16"/>
              </w:rPr>
              <w:t>:  DIRIS</w:t>
            </w:r>
            <w:proofErr w:type="gramEnd"/>
            <w:r w:rsidRPr="00B5757D">
              <w:rPr>
                <w:sz w:val="16"/>
                <w:szCs w:val="16"/>
              </w:rPr>
              <w:t>.</w:t>
            </w:r>
          </w:p>
        </w:tc>
        <w:tc>
          <w:tcPr>
            <w:tcW w:w="748" w:type="pct"/>
            <w:tcBorders>
              <w:top w:val="nil"/>
              <w:bottom w:val="single" w:sz="4" w:space="0" w:color="auto"/>
            </w:tcBorders>
            <w:shd w:val="clear" w:color="auto" w:fill="auto"/>
            <w:tcMar>
              <w:top w:w="110" w:type="dxa"/>
            </w:tcMar>
          </w:tcPr>
          <w:p w:rsidR="002640BF" w:rsidRPr="00B5757D" w:rsidRDefault="002640BF" w:rsidP="00DC1333">
            <w:pPr>
              <w:widowControl w:val="0"/>
              <w:jc w:val="center"/>
              <w:rPr>
                <w:b/>
                <w:bCs/>
                <w:color w:val="FF0000"/>
                <w:sz w:val="16"/>
                <w:szCs w:val="16"/>
              </w:rPr>
            </w:pPr>
            <w:r w:rsidRPr="00B5757D">
              <w:rPr>
                <w:rStyle w:val="Style5"/>
                <w:b/>
                <w:color w:val="FF0000"/>
                <w:sz w:val="16"/>
                <w:szCs w:val="16"/>
              </w:rPr>
              <w:t>No logrado</w:t>
            </w:r>
          </w:p>
        </w:tc>
      </w:tr>
      <w:tr w:rsidR="002640BF" w:rsidRPr="00B5757D" w:rsidTr="007D557F">
        <w:trPr>
          <w:cantSplit/>
        </w:trPr>
        <w:tc>
          <w:tcPr>
            <w:tcW w:w="1140" w:type="pct"/>
            <w:gridSpan w:val="3"/>
            <w:tcBorders>
              <w:top w:val="single" w:sz="4" w:space="0" w:color="auto"/>
              <w:bottom w:val="single" w:sz="4" w:space="0" w:color="auto"/>
            </w:tcBorders>
            <w:shd w:val="clear" w:color="auto" w:fill="auto"/>
          </w:tcPr>
          <w:p w:rsidR="002640BF" w:rsidRPr="00B5757D" w:rsidRDefault="002640BF" w:rsidP="00DC1333">
            <w:pPr>
              <w:widowControl w:val="0"/>
              <w:rPr>
                <w:sz w:val="16"/>
                <w:szCs w:val="16"/>
              </w:rPr>
            </w:pPr>
            <w:r w:rsidRPr="00B5757D">
              <w:rPr>
                <w:sz w:val="16"/>
                <w:szCs w:val="16"/>
              </w:rPr>
              <w:lastRenderedPageBreak/>
              <w:t>Número de procedimientos automatizados</w:t>
            </w:r>
          </w:p>
        </w:tc>
        <w:tc>
          <w:tcPr>
            <w:tcW w:w="1138" w:type="pct"/>
            <w:tcBorders>
              <w:top w:val="single" w:sz="4" w:space="0" w:color="auto"/>
              <w:bottom w:val="single" w:sz="4" w:space="0" w:color="auto"/>
            </w:tcBorders>
            <w:shd w:val="clear" w:color="auto" w:fill="auto"/>
          </w:tcPr>
          <w:p w:rsidR="002640BF" w:rsidRPr="00B5757D" w:rsidRDefault="002640BF" w:rsidP="00DC1333">
            <w:pPr>
              <w:rPr>
                <w:i/>
                <w:color w:val="002060"/>
                <w:sz w:val="16"/>
                <w:szCs w:val="16"/>
                <w:vertAlign w:val="superscript"/>
              </w:rPr>
            </w:pPr>
            <w:r w:rsidRPr="00B5757D">
              <w:rPr>
                <w:i/>
                <w:color w:val="002060"/>
                <w:sz w:val="16"/>
                <w:szCs w:val="16"/>
              </w:rPr>
              <w:t>Referencia a</w:t>
            </w:r>
            <w:r>
              <w:rPr>
                <w:i/>
                <w:color w:val="002060"/>
                <w:sz w:val="16"/>
                <w:szCs w:val="16"/>
              </w:rPr>
              <w:t>ctualizada a fines de 2013:  2</w:t>
            </w:r>
            <w:r w:rsidRPr="00B5757D">
              <w:rPr>
                <w:i/>
                <w:color w:val="002060"/>
                <w:sz w:val="16"/>
                <w:szCs w:val="16"/>
              </w:rPr>
              <w:t xml:space="preserve"> (presentación y renovación electrónicas)</w:t>
            </w:r>
            <w:r w:rsidRPr="00B5757D">
              <w:rPr>
                <w:i/>
                <w:color w:val="002060"/>
                <w:sz w:val="16"/>
                <w:szCs w:val="16"/>
                <w:vertAlign w:val="superscript"/>
              </w:rPr>
              <w:footnoteReference w:id="40"/>
            </w:r>
            <w:r w:rsidRPr="00B5757D">
              <w:rPr>
                <w:i/>
                <w:color w:val="002060"/>
                <w:sz w:val="16"/>
                <w:szCs w:val="16"/>
                <w:vertAlign w:val="superscript"/>
              </w:rPr>
              <w:t xml:space="preserve">  </w:t>
            </w:r>
          </w:p>
          <w:p w:rsidR="002640BF" w:rsidRPr="00B5757D" w:rsidRDefault="002640BF" w:rsidP="00DC1333">
            <w:pPr>
              <w:widowControl w:val="0"/>
              <w:rPr>
                <w:i/>
                <w:sz w:val="16"/>
                <w:szCs w:val="16"/>
              </w:rPr>
            </w:pPr>
          </w:p>
          <w:p w:rsidR="002640BF" w:rsidRPr="00B5757D" w:rsidRDefault="002640BF" w:rsidP="00DC1333">
            <w:pPr>
              <w:widowControl w:val="0"/>
              <w:rPr>
                <w:i/>
                <w:sz w:val="16"/>
                <w:szCs w:val="16"/>
              </w:rPr>
            </w:pPr>
            <w:r w:rsidRPr="00B5757D">
              <w:rPr>
                <w:i/>
                <w:sz w:val="16"/>
                <w:szCs w:val="16"/>
              </w:rPr>
              <w:t>Referencia original en el presupuesto de 2014/15:  2</w:t>
            </w:r>
          </w:p>
          <w:p w:rsidR="002640BF" w:rsidRPr="00B5757D" w:rsidRDefault="002640BF" w:rsidP="00DC1333">
            <w:pPr>
              <w:widowControl w:val="0"/>
              <w:rPr>
                <w:sz w:val="16"/>
                <w:szCs w:val="16"/>
              </w:rPr>
            </w:pPr>
          </w:p>
        </w:tc>
        <w:tc>
          <w:tcPr>
            <w:tcW w:w="910" w:type="pct"/>
            <w:gridSpan w:val="4"/>
            <w:tcBorders>
              <w:top w:val="single" w:sz="4" w:space="0" w:color="auto"/>
              <w:bottom w:val="single" w:sz="4" w:space="0" w:color="auto"/>
            </w:tcBorders>
            <w:shd w:val="clear" w:color="auto" w:fill="auto"/>
            <w:tcMar>
              <w:top w:w="110" w:type="dxa"/>
            </w:tcMar>
          </w:tcPr>
          <w:p w:rsidR="002640BF" w:rsidRPr="00B5757D" w:rsidRDefault="002640BF" w:rsidP="00DC1333">
            <w:pPr>
              <w:widowControl w:val="0"/>
              <w:autoSpaceDE w:val="0"/>
              <w:autoSpaceDN w:val="0"/>
              <w:adjustRightInd w:val="0"/>
              <w:rPr>
                <w:sz w:val="16"/>
                <w:szCs w:val="16"/>
              </w:rPr>
            </w:pPr>
            <w:r w:rsidRPr="00B5757D">
              <w:rPr>
                <w:sz w:val="16"/>
                <w:szCs w:val="16"/>
              </w:rPr>
              <w:t>4</w:t>
            </w:r>
          </w:p>
        </w:tc>
        <w:tc>
          <w:tcPr>
            <w:tcW w:w="1064" w:type="pct"/>
            <w:tcBorders>
              <w:top w:val="single" w:sz="4" w:space="0" w:color="auto"/>
              <w:bottom w:val="single" w:sz="4" w:space="0" w:color="auto"/>
            </w:tcBorders>
            <w:shd w:val="clear" w:color="auto" w:fill="FFFFFF"/>
            <w:tcMar>
              <w:top w:w="110" w:type="dxa"/>
            </w:tcMar>
          </w:tcPr>
          <w:p w:rsidR="002640BF" w:rsidRPr="00B5757D" w:rsidRDefault="002640BF" w:rsidP="00DC1333">
            <w:pPr>
              <w:widowControl w:val="0"/>
              <w:rPr>
                <w:sz w:val="16"/>
                <w:szCs w:val="16"/>
              </w:rPr>
            </w:pPr>
            <w:r w:rsidRPr="00B5757D">
              <w:rPr>
                <w:sz w:val="16"/>
                <w:szCs w:val="16"/>
              </w:rPr>
              <w:t xml:space="preserve">2 nuevos procesos automatizados en 2014/15 (declaración de concesión de protección de la OAMI en 2014 y recepción y tramitación por la KIPO de las solicitudes presentadas indirectamente) </w:t>
            </w:r>
          </w:p>
          <w:p w:rsidR="002640BF" w:rsidRDefault="002640BF" w:rsidP="00DC1333">
            <w:pPr>
              <w:widowControl w:val="0"/>
              <w:rPr>
                <w:sz w:val="16"/>
                <w:szCs w:val="16"/>
              </w:rPr>
            </w:pPr>
            <w:r w:rsidRPr="00B5757D">
              <w:rPr>
                <w:sz w:val="16"/>
                <w:szCs w:val="16"/>
              </w:rPr>
              <w:t>(4 en total)</w:t>
            </w:r>
          </w:p>
          <w:p w:rsidR="002640BF" w:rsidRPr="00B5757D" w:rsidRDefault="002640BF" w:rsidP="00DC1333">
            <w:pPr>
              <w:widowControl w:val="0"/>
              <w:rPr>
                <w:sz w:val="16"/>
                <w:szCs w:val="16"/>
              </w:rPr>
            </w:pPr>
          </w:p>
        </w:tc>
        <w:tc>
          <w:tcPr>
            <w:tcW w:w="748" w:type="pct"/>
            <w:tcBorders>
              <w:top w:val="single" w:sz="4" w:space="0" w:color="auto"/>
              <w:bottom w:val="single" w:sz="4" w:space="0" w:color="auto"/>
            </w:tcBorders>
            <w:shd w:val="clear" w:color="auto" w:fill="auto"/>
            <w:tcMar>
              <w:top w:w="110" w:type="dxa"/>
            </w:tcMar>
          </w:tcPr>
          <w:p w:rsidR="002640BF" w:rsidRPr="00B5757D" w:rsidRDefault="002640BF" w:rsidP="00DC1333">
            <w:pPr>
              <w:widowControl w:val="0"/>
              <w:jc w:val="center"/>
              <w:rPr>
                <w:b/>
                <w:bCs/>
                <w:color w:val="00B050"/>
                <w:sz w:val="16"/>
                <w:szCs w:val="16"/>
              </w:rPr>
            </w:pPr>
            <w:r w:rsidRPr="00B5757D">
              <w:rPr>
                <w:b/>
                <w:color w:val="00B050"/>
                <w:sz w:val="16"/>
                <w:szCs w:val="16"/>
              </w:rPr>
              <w:t>Plenamente logrado</w:t>
            </w:r>
          </w:p>
        </w:tc>
      </w:tr>
    </w:tbl>
    <w:p w:rsidR="002640BF" w:rsidRDefault="002640BF" w:rsidP="00DC1333">
      <w:pPr>
        <w:widowControl w:val="0"/>
        <w:rPr>
          <w:szCs w:val="22"/>
        </w:rPr>
      </w:pPr>
    </w:p>
    <w:p w:rsidR="008B0CA7" w:rsidRPr="00B5757D" w:rsidRDefault="008B0CA7" w:rsidP="00DC1333">
      <w:pPr>
        <w:widowControl w:val="0"/>
        <w:rPr>
          <w:szCs w:val="22"/>
        </w:rPr>
      </w:pPr>
    </w:p>
    <w:p w:rsidR="002640BF" w:rsidRPr="00B5757D" w:rsidRDefault="008F7CBE" w:rsidP="00DC1333">
      <w:pPr>
        <w:keepNext/>
        <w:keepLines/>
        <w:rPr>
          <w:color w:val="000000"/>
          <w:szCs w:val="22"/>
        </w:rPr>
      </w:pPr>
      <w:r w:rsidRPr="008F7CBE">
        <w:rPr>
          <w:sz w:val="20"/>
        </w:rPr>
        <w:t>INFORMACIÓN SOBRE LOS RIESGOS PLANTEADOS EN EL BIENIO</w:t>
      </w:r>
    </w:p>
    <w:p w:rsidR="002640BF" w:rsidRPr="00B5757D" w:rsidRDefault="002640BF" w:rsidP="00DC1333">
      <w:pPr>
        <w:keepNext/>
        <w:keepLines/>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0"/>
        <w:gridCol w:w="2310"/>
        <w:gridCol w:w="2468"/>
        <w:gridCol w:w="2410"/>
      </w:tblGrid>
      <w:tr w:rsidR="002640BF" w:rsidRPr="00B5757D" w:rsidTr="00DC1333">
        <w:trPr>
          <w:trHeight w:val="362"/>
        </w:trPr>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640BF" w:rsidRPr="00B5757D" w:rsidRDefault="002640BF" w:rsidP="00DC1333">
            <w:pPr>
              <w:keepNext/>
              <w:autoSpaceDE w:val="0"/>
              <w:autoSpaceDN w:val="0"/>
              <w:adjustRightInd w:val="0"/>
              <w:ind w:right="-59"/>
              <w:jc w:val="center"/>
              <w:rPr>
                <w:b/>
                <w:bCs/>
                <w:iCs/>
                <w:sz w:val="18"/>
                <w:szCs w:val="18"/>
              </w:rPr>
            </w:pPr>
            <w:r w:rsidRPr="00B5757D">
              <w:rPr>
                <w:b/>
                <w:bCs/>
                <w:iCs/>
                <w:sz w:val="18"/>
                <w:szCs w:val="18"/>
              </w:rPr>
              <w:t>Riesgos en el logro de los resultados del programa</w:t>
            </w:r>
          </w:p>
        </w:tc>
        <w:tc>
          <w:tcPr>
            <w:tcW w:w="231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640BF" w:rsidRPr="00B5757D" w:rsidRDefault="002640BF" w:rsidP="00DC1333">
            <w:pPr>
              <w:autoSpaceDE w:val="0"/>
              <w:autoSpaceDN w:val="0"/>
              <w:adjustRightInd w:val="0"/>
              <w:ind w:right="-59"/>
              <w:jc w:val="center"/>
              <w:rPr>
                <w:b/>
                <w:bCs/>
                <w:iCs/>
                <w:sz w:val="18"/>
                <w:szCs w:val="18"/>
              </w:rPr>
            </w:pPr>
            <w:r w:rsidRPr="00B5757D">
              <w:rPr>
                <w:b/>
                <w:bCs/>
                <w:iCs/>
                <w:sz w:val="18"/>
                <w:szCs w:val="18"/>
              </w:rPr>
              <w:t>Planes de mitigación ejecutados o en ejecución</w:t>
            </w:r>
          </w:p>
        </w:tc>
        <w:tc>
          <w:tcPr>
            <w:tcW w:w="2468" w:type="dxa"/>
            <w:tcBorders>
              <w:top w:val="single" w:sz="4" w:space="0" w:color="auto"/>
              <w:bottom w:val="single" w:sz="4" w:space="0" w:color="auto"/>
            </w:tcBorders>
            <w:shd w:val="clear" w:color="auto" w:fill="C6D9F1" w:themeFill="text2" w:themeFillTint="33"/>
          </w:tcPr>
          <w:p w:rsidR="002640BF" w:rsidRPr="00B5757D" w:rsidRDefault="002640BF" w:rsidP="00DC1333">
            <w:pPr>
              <w:jc w:val="center"/>
              <w:rPr>
                <w:b/>
                <w:bCs/>
                <w:sz w:val="18"/>
                <w:szCs w:val="18"/>
              </w:rPr>
            </w:pPr>
            <w:r w:rsidRPr="00B5757D">
              <w:rPr>
                <w:b/>
                <w:bCs/>
                <w:iCs/>
                <w:sz w:val="18"/>
                <w:szCs w:val="18"/>
              </w:rPr>
              <w:t>Evolución de los riesgos y estrategias de mitigación durante el bienio</w:t>
            </w:r>
          </w:p>
        </w:tc>
        <w:tc>
          <w:tcPr>
            <w:tcW w:w="2410" w:type="dxa"/>
            <w:tcBorders>
              <w:top w:val="single" w:sz="4" w:space="0" w:color="auto"/>
              <w:bottom w:val="single" w:sz="4" w:space="0" w:color="auto"/>
            </w:tcBorders>
            <w:shd w:val="clear" w:color="auto" w:fill="C6D9F1" w:themeFill="text2" w:themeFillTint="33"/>
          </w:tcPr>
          <w:p w:rsidR="002640BF" w:rsidRPr="00B5757D" w:rsidRDefault="002640BF" w:rsidP="00DC1333">
            <w:pPr>
              <w:jc w:val="center"/>
              <w:rPr>
                <w:b/>
                <w:bCs/>
                <w:sz w:val="18"/>
                <w:szCs w:val="18"/>
              </w:rPr>
            </w:pPr>
            <w:r w:rsidRPr="00B5757D">
              <w:rPr>
                <w:b/>
                <w:bCs/>
                <w:sz w:val="18"/>
                <w:szCs w:val="18"/>
              </w:rPr>
              <w:t>Incidencia en el rendimiento del programa</w:t>
            </w:r>
          </w:p>
        </w:tc>
      </w:tr>
      <w:tr w:rsidR="002640BF" w:rsidRPr="00B5757D" w:rsidTr="00DC1333">
        <w:trPr>
          <w:trHeight w:val="1051"/>
        </w:trPr>
        <w:tc>
          <w:tcPr>
            <w:tcW w:w="2310" w:type="dxa"/>
            <w:tcBorders>
              <w:top w:val="single" w:sz="4" w:space="0" w:color="auto"/>
            </w:tcBorders>
            <w:shd w:val="clear" w:color="auto" w:fill="auto"/>
            <w:tcMar>
              <w:top w:w="113" w:type="dxa"/>
              <w:bottom w:w="85" w:type="dxa"/>
            </w:tcMar>
          </w:tcPr>
          <w:p w:rsidR="002640BF" w:rsidRPr="00B5757D" w:rsidRDefault="002640BF" w:rsidP="00DC1333">
            <w:pPr>
              <w:keepNext/>
              <w:rPr>
                <w:sz w:val="16"/>
                <w:szCs w:val="16"/>
              </w:rPr>
            </w:pPr>
            <w:r w:rsidRPr="00B5757D">
              <w:rPr>
                <w:sz w:val="16"/>
                <w:szCs w:val="16"/>
              </w:rPr>
              <w:t>Disminución del grado de satisfacción de los usuarios debido a las dificultades que plantea el aumento del número de solicitudes presentadas y de peticiones de información y a la creciente complejidad del Sistema como consecuencia de la ejecución de funciones relativas al examen de la novedad en determinadas oficinas designadas.</w:t>
            </w:r>
          </w:p>
        </w:tc>
        <w:tc>
          <w:tcPr>
            <w:tcW w:w="2310" w:type="dxa"/>
            <w:tcBorders>
              <w:top w:val="single" w:sz="4" w:space="0" w:color="auto"/>
            </w:tcBorders>
            <w:shd w:val="clear" w:color="auto" w:fill="auto"/>
            <w:tcMar>
              <w:top w:w="113" w:type="dxa"/>
              <w:bottom w:w="85" w:type="dxa"/>
            </w:tcMar>
          </w:tcPr>
          <w:p w:rsidR="002640BF" w:rsidRPr="00B5757D" w:rsidRDefault="002640BF" w:rsidP="00DC1333">
            <w:pPr>
              <w:autoSpaceDE w:val="0"/>
              <w:autoSpaceDN w:val="0"/>
              <w:adjustRightInd w:val="0"/>
              <w:ind w:right="-59"/>
              <w:rPr>
                <w:sz w:val="16"/>
                <w:szCs w:val="16"/>
              </w:rPr>
            </w:pPr>
            <w:r w:rsidRPr="00B5757D">
              <w:rPr>
                <w:sz w:val="16"/>
                <w:szCs w:val="16"/>
              </w:rPr>
              <w:t xml:space="preserve">Potenciación de la eficiencia y efectividad en todos los aspectos de la administración del Sistema; </w:t>
            </w:r>
            <w:r>
              <w:rPr>
                <w:sz w:val="16"/>
                <w:szCs w:val="16"/>
              </w:rPr>
              <w:t xml:space="preserve"> </w:t>
            </w:r>
            <w:r w:rsidRPr="00B5757D">
              <w:rPr>
                <w:sz w:val="16"/>
                <w:szCs w:val="16"/>
              </w:rPr>
              <w:t xml:space="preserve">fomento de las prácticas más extendidas y de la convergencia entre las oficinas concernidas; </w:t>
            </w:r>
            <w:r>
              <w:rPr>
                <w:sz w:val="16"/>
                <w:szCs w:val="16"/>
              </w:rPr>
              <w:t xml:space="preserve"> </w:t>
            </w:r>
            <w:r w:rsidRPr="00B5757D">
              <w:rPr>
                <w:sz w:val="16"/>
                <w:szCs w:val="16"/>
              </w:rPr>
              <w:t>adopción de soluciones de T.I. para asistir a los usuarios y examinadores de las oficinas y de la Oficina Internacional.</w:t>
            </w:r>
          </w:p>
        </w:tc>
        <w:tc>
          <w:tcPr>
            <w:tcW w:w="2468" w:type="dxa"/>
            <w:tcBorders>
              <w:top w:val="single" w:sz="4" w:space="0" w:color="auto"/>
            </w:tcBorders>
          </w:tcPr>
          <w:p w:rsidR="002640BF" w:rsidRPr="00B5757D" w:rsidRDefault="002640BF" w:rsidP="00DC1333">
            <w:pPr>
              <w:autoSpaceDE w:val="0"/>
              <w:autoSpaceDN w:val="0"/>
              <w:adjustRightInd w:val="0"/>
              <w:ind w:right="-59"/>
              <w:rPr>
                <w:sz w:val="16"/>
                <w:szCs w:val="16"/>
              </w:rPr>
            </w:pPr>
            <w:r w:rsidRPr="00B5757D">
              <w:rPr>
                <w:sz w:val="16"/>
                <w:szCs w:val="16"/>
              </w:rPr>
              <w:t>Este es un riesgo continuo para el programa</w:t>
            </w:r>
            <w:r>
              <w:rPr>
                <w:sz w:val="16"/>
                <w:szCs w:val="16"/>
              </w:rPr>
              <w:t>,</w:t>
            </w:r>
            <w:r w:rsidRPr="00B5757D">
              <w:rPr>
                <w:sz w:val="16"/>
                <w:szCs w:val="16"/>
              </w:rPr>
              <w:t xml:space="preserve"> y las estrategias de mitigación se han ido ampliando en el transcurso del bienio con herramientas electrónicas y material informativo que han permitido a la Oficina Internacional hacer frente al incremento del 40% de las solicitudes y han ayudado a limitar al mínimo el número de consultas y quejas de los usuarios debido al aumento de la complejidad del Sistema.</w:t>
            </w:r>
          </w:p>
        </w:tc>
        <w:tc>
          <w:tcPr>
            <w:tcW w:w="2410" w:type="dxa"/>
            <w:tcBorders>
              <w:top w:val="single" w:sz="4" w:space="0" w:color="auto"/>
            </w:tcBorders>
          </w:tcPr>
          <w:p w:rsidR="002640BF" w:rsidRPr="00B5757D" w:rsidRDefault="002640BF" w:rsidP="00DC1333">
            <w:pPr>
              <w:autoSpaceDE w:val="0"/>
              <w:autoSpaceDN w:val="0"/>
              <w:adjustRightInd w:val="0"/>
              <w:ind w:right="-59"/>
              <w:rPr>
                <w:sz w:val="16"/>
                <w:szCs w:val="16"/>
              </w:rPr>
            </w:pPr>
            <w:r w:rsidRPr="00B5757D">
              <w:rPr>
                <w:sz w:val="16"/>
                <w:szCs w:val="16"/>
              </w:rPr>
              <w:t>Ninguna, ya que el aumento de las solicitudes registrado entre 2014 y 2015 superó las expectativas, poniendo de manifiesto que se había mantenido el atractivo general del Sistema, y tampoco se vio afectada la satisfacción de los clientes.</w:t>
            </w:r>
          </w:p>
        </w:tc>
      </w:tr>
    </w:tbl>
    <w:p w:rsidR="002640BF" w:rsidRDefault="002640BF" w:rsidP="00DC1333">
      <w:pPr>
        <w:widowControl w:val="0"/>
        <w:rPr>
          <w:szCs w:val="22"/>
        </w:rPr>
      </w:pPr>
    </w:p>
    <w:p w:rsidR="002640BF" w:rsidRPr="00B5757D" w:rsidRDefault="002640BF" w:rsidP="00DC1333">
      <w:pPr>
        <w:widowControl w:val="0"/>
        <w:rPr>
          <w:szCs w:val="22"/>
        </w:rPr>
      </w:pPr>
    </w:p>
    <w:p w:rsidR="002640BF" w:rsidRPr="00B5757D" w:rsidRDefault="00403D2C" w:rsidP="00DC1333">
      <w:pPr>
        <w:widowControl w:val="0"/>
        <w:rPr>
          <w:b/>
          <w:sz w:val="18"/>
          <w:szCs w:val="18"/>
        </w:rPr>
      </w:pPr>
      <w:r w:rsidRPr="00403D2C">
        <w:rPr>
          <w:sz w:val="20"/>
          <w:szCs w:val="22"/>
        </w:rPr>
        <w:t>UTILIZACIÓN DE LOS RECURSOS</w:t>
      </w:r>
    </w:p>
    <w:p w:rsidR="002640BF" w:rsidRPr="00B5757D" w:rsidRDefault="002640BF" w:rsidP="00DC1333">
      <w:pPr>
        <w:widowControl w:val="0"/>
      </w:pPr>
    </w:p>
    <w:p w:rsidR="002640BF" w:rsidRPr="00B5757D" w:rsidRDefault="002640BF" w:rsidP="00DC1333">
      <w:pPr>
        <w:pStyle w:val="NormalWeb"/>
        <w:widowControl w:val="0"/>
        <w:spacing w:before="0" w:beforeAutospacing="0" w:after="0" w:afterAutospacing="0"/>
        <w:jc w:val="center"/>
        <w:rPr>
          <w:sz w:val="20"/>
          <w:szCs w:val="20"/>
          <w:lang w:val="es-ES"/>
        </w:rPr>
      </w:pPr>
      <w:r w:rsidRPr="00B5757D">
        <w:rPr>
          <w:sz w:val="20"/>
          <w:szCs w:val="20"/>
          <w:lang w:val="es-ES"/>
        </w:rPr>
        <w:t xml:space="preserve">Presupuesto y gastos reales (por resultado) </w:t>
      </w:r>
    </w:p>
    <w:p w:rsidR="002640BF" w:rsidRPr="00B5757D" w:rsidRDefault="002640BF" w:rsidP="00DC1333">
      <w:pPr>
        <w:pStyle w:val="NormalWeb"/>
        <w:widowControl w:val="0"/>
        <w:spacing w:before="0" w:beforeAutospacing="0" w:after="0" w:afterAutospacing="0"/>
        <w:jc w:val="center"/>
        <w:rPr>
          <w:i/>
          <w:iCs/>
          <w:sz w:val="20"/>
          <w:szCs w:val="20"/>
          <w:lang w:val="es-ES"/>
        </w:rPr>
      </w:pPr>
      <w:r w:rsidRPr="00B5757D">
        <w:rPr>
          <w:i/>
          <w:iCs/>
          <w:sz w:val="20"/>
          <w:szCs w:val="20"/>
          <w:lang w:val="es-ES"/>
        </w:rPr>
        <w:t>(</w:t>
      </w:r>
      <w:proofErr w:type="gramStart"/>
      <w:r w:rsidRPr="00B5757D">
        <w:rPr>
          <w:i/>
          <w:iCs/>
          <w:sz w:val="20"/>
          <w:szCs w:val="20"/>
          <w:lang w:val="es-ES"/>
        </w:rPr>
        <w:t>en</w:t>
      </w:r>
      <w:proofErr w:type="gramEnd"/>
      <w:r w:rsidRPr="00B5757D">
        <w:rPr>
          <w:i/>
          <w:iCs/>
          <w:sz w:val="20"/>
          <w:szCs w:val="20"/>
          <w:lang w:val="es-ES"/>
        </w:rPr>
        <w:t xml:space="preserve"> miles de francos suizos)</w:t>
      </w:r>
    </w:p>
    <w:p w:rsidR="002640BF" w:rsidRPr="00B5757D" w:rsidRDefault="002640BF" w:rsidP="00DC1333">
      <w:pPr>
        <w:widowControl w:val="0"/>
      </w:pPr>
    </w:p>
    <w:p w:rsidR="002640BF" w:rsidRPr="00B5757D" w:rsidRDefault="002640BF" w:rsidP="00DC1333">
      <w:pPr>
        <w:widowControl w:val="0"/>
        <w:jc w:val="center"/>
      </w:pPr>
      <w:bookmarkStart w:id="86" w:name="Bm31"/>
      <w:bookmarkStart w:id="87" w:name="Punto31"/>
      <w:r>
        <w:rPr>
          <w:noProof/>
          <w:lang w:val="en-US" w:eastAsia="en-US"/>
        </w:rPr>
        <w:drawing>
          <wp:inline distT="0" distB="0" distL="0" distR="0" wp14:anchorId="10D5748A" wp14:editId="67E48E86">
            <wp:extent cx="5676900" cy="160972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76900" cy="1609725"/>
                    </a:xfrm>
                    <a:prstGeom prst="rect">
                      <a:avLst/>
                    </a:prstGeom>
                    <a:noFill/>
                    <a:ln>
                      <a:noFill/>
                    </a:ln>
                  </pic:spPr>
                </pic:pic>
              </a:graphicData>
            </a:graphic>
          </wp:inline>
        </w:drawing>
      </w:r>
      <w:bookmarkEnd w:id="86"/>
      <w:bookmarkEnd w:id="87"/>
    </w:p>
    <w:p w:rsidR="002640BF" w:rsidRPr="00B5757D" w:rsidRDefault="002640BF" w:rsidP="00DC1333">
      <w:pPr>
        <w:rPr>
          <w:color w:val="000000"/>
        </w:rPr>
      </w:pPr>
    </w:p>
    <w:p w:rsidR="002640BF" w:rsidRPr="00B5757D" w:rsidRDefault="002640BF" w:rsidP="00DC1333">
      <w:pPr>
        <w:pStyle w:val="NormalWeb"/>
        <w:widowControl w:val="0"/>
        <w:spacing w:before="0" w:beforeAutospacing="0" w:after="0" w:afterAutospacing="0"/>
        <w:jc w:val="center"/>
        <w:rPr>
          <w:color w:val="000000"/>
          <w:sz w:val="20"/>
          <w:szCs w:val="20"/>
          <w:lang w:val="es-ES"/>
        </w:rPr>
      </w:pPr>
    </w:p>
    <w:p w:rsidR="002640BF" w:rsidRPr="00B5757D" w:rsidRDefault="002640BF" w:rsidP="008B0CA7">
      <w:pPr>
        <w:pStyle w:val="NormalWeb"/>
        <w:keepNext/>
        <w:widowControl w:val="0"/>
        <w:spacing w:before="0" w:beforeAutospacing="0" w:after="0" w:afterAutospacing="0"/>
        <w:jc w:val="center"/>
        <w:rPr>
          <w:sz w:val="20"/>
          <w:szCs w:val="20"/>
          <w:lang w:val="es-ES"/>
        </w:rPr>
      </w:pPr>
      <w:r w:rsidRPr="00B5757D">
        <w:rPr>
          <w:sz w:val="20"/>
          <w:szCs w:val="20"/>
          <w:lang w:val="es-ES"/>
        </w:rPr>
        <w:lastRenderedPageBreak/>
        <w:t xml:space="preserve">Presupuesto y gastos reales (de personal y no relativos a personal) </w:t>
      </w:r>
    </w:p>
    <w:p w:rsidR="002640BF" w:rsidRPr="00B5757D" w:rsidRDefault="002640BF" w:rsidP="008B0CA7">
      <w:pPr>
        <w:pStyle w:val="NormalWeb"/>
        <w:keepNext/>
        <w:widowControl w:val="0"/>
        <w:spacing w:before="0" w:beforeAutospacing="0" w:after="0" w:afterAutospacing="0"/>
        <w:jc w:val="center"/>
        <w:rPr>
          <w:i/>
          <w:iCs/>
          <w:sz w:val="20"/>
          <w:szCs w:val="20"/>
          <w:lang w:val="es-ES"/>
        </w:rPr>
      </w:pPr>
      <w:r w:rsidRPr="00B5757D">
        <w:rPr>
          <w:i/>
          <w:iCs/>
          <w:sz w:val="20"/>
          <w:szCs w:val="20"/>
          <w:lang w:val="es-ES"/>
        </w:rPr>
        <w:t>(</w:t>
      </w:r>
      <w:proofErr w:type="gramStart"/>
      <w:r w:rsidRPr="00B5757D">
        <w:rPr>
          <w:i/>
          <w:iCs/>
          <w:sz w:val="20"/>
          <w:szCs w:val="20"/>
          <w:lang w:val="es-ES"/>
        </w:rPr>
        <w:t>en</w:t>
      </w:r>
      <w:proofErr w:type="gramEnd"/>
      <w:r w:rsidRPr="00B5757D">
        <w:rPr>
          <w:i/>
          <w:iCs/>
          <w:sz w:val="20"/>
          <w:szCs w:val="20"/>
          <w:lang w:val="es-ES"/>
        </w:rPr>
        <w:t xml:space="preserve"> miles de francos suizos)</w:t>
      </w:r>
    </w:p>
    <w:p w:rsidR="002640BF" w:rsidRPr="00B5757D" w:rsidRDefault="002640BF" w:rsidP="008B0CA7">
      <w:pPr>
        <w:pStyle w:val="NormalWeb"/>
        <w:keepNext/>
        <w:widowControl w:val="0"/>
        <w:spacing w:before="0" w:beforeAutospacing="0" w:after="0" w:afterAutospacing="0"/>
        <w:jc w:val="center"/>
        <w:rPr>
          <w:color w:val="808080"/>
          <w:lang w:val="es-ES"/>
        </w:rPr>
      </w:pPr>
    </w:p>
    <w:p w:rsidR="002640BF" w:rsidRPr="00B5757D" w:rsidRDefault="002640BF" w:rsidP="008B0CA7">
      <w:pPr>
        <w:keepNext/>
        <w:widowControl w:val="0"/>
        <w:jc w:val="center"/>
      </w:pPr>
      <w:bookmarkStart w:id="88" w:name="Point31"/>
      <w:r>
        <w:rPr>
          <w:noProof/>
          <w:lang w:val="en-US" w:eastAsia="en-US"/>
        </w:rPr>
        <w:drawing>
          <wp:inline distT="0" distB="0" distL="0" distR="0" wp14:anchorId="463C93F4" wp14:editId="1D04D959">
            <wp:extent cx="5940425" cy="1059884"/>
            <wp:effectExtent l="0" t="0" r="3175"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425" cy="1059884"/>
                    </a:xfrm>
                    <a:prstGeom prst="rect">
                      <a:avLst/>
                    </a:prstGeom>
                    <a:noFill/>
                    <a:ln>
                      <a:noFill/>
                    </a:ln>
                  </pic:spPr>
                </pic:pic>
              </a:graphicData>
            </a:graphic>
          </wp:inline>
        </w:drawing>
      </w:r>
      <w:bookmarkEnd w:id="88"/>
    </w:p>
    <w:p w:rsidR="002640BF" w:rsidRDefault="002640BF" w:rsidP="00DC1333">
      <w:pPr>
        <w:widowControl w:val="0"/>
        <w:autoSpaceDE w:val="0"/>
        <w:autoSpaceDN w:val="0"/>
        <w:adjustRightInd w:val="0"/>
        <w:rPr>
          <w:sz w:val="20"/>
        </w:rPr>
      </w:pPr>
    </w:p>
    <w:p w:rsidR="002640BF" w:rsidRPr="00B5757D" w:rsidRDefault="002640BF" w:rsidP="00DC1333">
      <w:pPr>
        <w:widowControl w:val="0"/>
        <w:autoSpaceDE w:val="0"/>
        <w:autoSpaceDN w:val="0"/>
        <w:adjustRightInd w:val="0"/>
        <w:rPr>
          <w:sz w:val="20"/>
        </w:rPr>
      </w:pPr>
    </w:p>
    <w:p w:rsidR="002640BF" w:rsidRPr="00B5757D" w:rsidRDefault="00403D2C" w:rsidP="00DC1333">
      <w:pPr>
        <w:widowControl w:val="0"/>
        <w:rPr>
          <w:sz w:val="20"/>
          <w:u w:val="single"/>
        </w:rPr>
      </w:pPr>
      <w:r w:rsidRPr="00403D2C">
        <w:rPr>
          <w:sz w:val="20"/>
        </w:rPr>
        <w:t>A.</w:t>
      </w:r>
      <w:r w:rsidRPr="00403D2C">
        <w:rPr>
          <w:sz w:val="20"/>
        </w:rPr>
        <w:tab/>
      </w:r>
      <w:r w:rsidRPr="00403D2C">
        <w:rPr>
          <w:sz w:val="20"/>
          <w:u w:val="single"/>
        </w:rPr>
        <w:t>Presupuesto final de 2014/15 tras las transferencias</w:t>
      </w:r>
    </w:p>
    <w:p w:rsidR="002640BF" w:rsidRPr="00B5757D" w:rsidRDefault="002640BF" w:rsidP="00DC1333">
      <w:pPr>
        <w:pStyle w:val="ListParagraph"/>
        <w:widowControl w:val="0"/>
        <w:tabs>
          <w:tab w:val="left" w:pos="709"/>
        </w:tabs>
        <w:ind w:left="0"/>
        <w:jc w:val="both"/>
        <w:rPr>
          <w:lang w:val="es-ES"/>
        </w:rPr>
      </w:pPr>
    </w:p>
    <w:p w:rsidR="002640BF" w:rsidRPr="00B5757D" w:rsidRDefault="002640BF" w:rsidP="002640BF">
      <w:pPr>
        <w:pStyle w:val="ListParagraph"/>
        <w:widowControl w:val="0"/>
        <w:numPr>
          <w:ilvl w:val="0"/>
          <w:numId w:val="39"/>
        </w:numPr>
        <w:tabs>
          <w:tab w:val="left" w:pos="709"/>
        </w:tabs>
        <w:ind w:left="0" w:firstLine="0"/>
        <w:jc w:val="both"/>
        <w:rPr>
          <w:lang w:val="es-ES"/>
        </w:rPr>
      </w:pPr>
      <w:r w:rsidRPr="00B5757D">
        <w:rPr>
          <w:color w:val="000000"/>
          <w:lang w:val="es-ES"/>
        </w:rPr>
        <w:t>El presupuesto final de 2014/15 tras las transferencias refleja un incremento neto de los recursos de personal debido principalmente a:  i) la transferencia temporal al programa de un</w:t>
      </w:r>
      <w:r w:rsidRPr="00B5757D">
        <w:rPr>
          <w:color w:val="0000FF"/>
          <w:lang w:val="es-ES"/>
        </w:rPr>
        <w:t xml:space="preserve"> </w:t>
      </w:r>
      <w:r w:rsidRPr="00B5757D">
        <w:rPr>
          <w:lang w:val="es-ES"/>
        </w:rPr>
        <w:t xml:space="preserve">funcionario </w:t>
      </w:r>
      <w:r w:rsidRPr="00B5757D">
        <w:rPr>
          <w:color w:val="000000"/>
          <w:lang w:val="es-ES"/>
        </w:rPr>
        <w:t>del programa 10 (Cooperación con determinados países de Europa y Asia) para brindar mayor apoyo durante las reuniones del Grupo de Trabajo y las actividades de promoción, y</w:t>
      </w:r>
      <w:r w:rsidRPr="00B5757D">
        <w:rPr>
          <w:lang w:val="es-ES"/>
        </w:rPr>
        <w:t xml:space="preserve"> ii) la transferencia de más recursos de personal</w:t>
      </w:r>
      <w:r w:rsidRPr="00B5757D">
        <w:rPr>
          <w:color w:val="000000"/>
          <w:lang w:val="es-ES"/>
        </w:rPr>
        <w:t>, incluidos dos puestos temporales de los programas 9 y 19, para brindar apoyo en relación con el aumento de demandas de examen derivadas de las adhesiones de los Estados Unidos de América, el Japón y la República de Corea.  Esto se refleja en el resultado II.5 (Mejora de la productividad y de la calidad de los servicios en las operaciones del Sistema de La Haya).</w:t>
      </w:r>
    </w:p>
    <w:p w:rsidR="002640BF" w:rsidRPr="00B5757D" w:rsidRDefault="002640BF" w:rsidP="00DC1333">
      <w:pPr>
        <w:pStyle w:val="ListParagraph"/>
        <w:widowControl w:val="0"/>
        <w:tabs>
          <w:tab w:val="left" w:pos="709"/>
        </w:tabs>
        <w:ind w:left="0"/>
        <w:jc w:val="both"/>
        <w:rPr>
          <w:lang w:val="es-ES"/>
        </w:rPr>
      </w:pPr>
    </w:p>
    <w:p w:rsidR="002640BF" w:rsidRPr="00B5757D" w:rsidRDefault="002640BF" w:rsidP="002640BF">
      <w:pPr>
        <w:pStyle w:val="ListParagraph"/>
        <w:keepNext/>
        <w:keepLines/>
        <w:widowControl w:val="0"/>
        <w:numPr>
          <w:ilvl w:val="0"/>
          <w:numId w:val="39"/>
        </w:numPr>
        <w:tabs>
          <w:tab w:val="left" w:pos="709"/>
        </w:tabs>
        <w:ind w:left="0" w:firstLine="0"/>
        <w:jc w:val="both"/>
        <w:rPr>
          <w:lang w:val="es-ES"/>
        </w:rPr>
      </w:pPr>
      <w:r w:rsidRPr="00B5757D">
        <w:rPr>
          <w:color w:val="000000"/>
          <w:lang w:val="es-ES"/>
        </w:rPr>
        <w:t>La disminución neta de los recursos no relativos a personal en el marco del resultado II.4 (Ampliación</w:t>
      </w:r>
      <w:r w:rsidRPr="00B5757D">
        <w:rPr>
          <w:bCs/>
          <w:color w:val="000000"/>
          <w:lang w:val="es-ES"/>
        </w:rPr>
        <w:t xml:space="preserve"> y mejora del uso del Sistema de La Haya por los países en desarrollo y los PMA, entre otros</w:t>
      </w:r>
      <w:r w:rsidRPr="00B5757D">
        <w:rPr>
          <w:color w:val="000000"/>
          <w:lang w:val="es-ES"/>
        </w:rPr>
        <w:t>) se debe principalmente a:</w:t>
      </w:r>
      <w:r>
        <w:rPr>
          <w:color w:val="000000"/>
          <w:lang w:val="es-ES"/>
        </w:rPr>
        <w:t xml:space="preserve"> </w:t>
      </w:r>
      <w:r w:rsidRPr="00B5757D">
        <w:rPr>
          <w:color w:val="000000"/>
          <w:lang w:val="es-ES"/>
        </w:rPr>
        <w:t xml:space="preserve"> i) la transferencia de recursos no relativos a personal correspondientes a un pasante (al programa 23 (Gestión y desarrollo de los recursos humanos), que gestiona las pasantías) a fin de ayudar en el trabajo relativo a las nuevas adhesiones, y ii) la transferencia de fondos al programa 6 (</w:t>
      </w:r>
      <w:r w:rsidRPr="00B5757D">
        <w:rPr>
          <w:lang w:val="es-ES"/>
        </w:rPr>
        <w:t>Sistemas de Madrid y de Lisboa)</w:t>
      </w:r>
      <w:r w:rsidRPr="00B5757D">
        <w:rPr>
          <w:color w:val="000000"/>
          <w:lang w:val="es-ES"/>
        </w:rPr>
        <w:t xml:space="preserve"> para la labor en materia de T.I., así como para cubrir los costos del aumento de delegados en las Asambleas de las Uniones de Madrid, La Haya y Lisboa, como resultado del crecimiento de los Sistemas.</w:t>
      </w:r>
    </w:p>
    <w:p w:rsidR="002640BF" w:rsidRPr="00B5757D" w:rsidRDefault="002640BF" w:rsidP="00DC1333">
      <w:pPr>
        <w:widowControl w:val="0"/>
        <w:autoSpaceDE w:val="0"/>
        <w:autoSpaceDN w:val="0"/>
        <w:jc w:val="both"/>
        <w:rPr>
          <w:sz w:val="20"/>
          <w:lang w:eastAsia="ko-KR"/>
        </w:rPr>
      </w:pPr>
    </w:p>
    <w:p w:rsidR="002640BF" w:rsidRPr="00B5757D" w:rsidRDefault="00403D2C" w:rsidP="00DC1333">
      <w:pPr>
        <w:widowControl w:val="0"/>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640BF" w:rsidRPr="00B5757D" w:rsidRDefault="002640BF" w:rsidP="00DC1333">
      <w:pPr>
        <w:widowControl w:val="0"/>
        <w:tabs>
          <w:tab w:val="left" w:pos="709"/>
        </w:tabs>
        <w:jc w:val="both"/>
        <w:rPr>
          <w:sz w:val="20"/>
          <w:u w:val="single"/>
          <w:lang w:eastAsia="ko-KR"/>
        </w:rPr>
      </w:pPr>
    </w:p>
    <w:p w:rsidR="002640BF" w:rsidRPr="00526BBA" w:rsidRDefault="002640BF" w:rsidP="002640BF">
      <w:pPr>
        <w:pStyle w:val="ListParagraph"/>
        <w:widowControl w:val="0"/>
        <w:numPr>
          <w:ilvl w:val="0"/>
          <w:numId w:val="39"/>
        </w:numPr>
        <w:tabs>
          <w:tab w:val="left" w:pos="709"/>
        </w:tabs>
        <w:ind w:left="0" w:firstLine="0"/>
        <w:jc w:val="both"/>
        <w:rPr>
          <w:lang w:val="es-ES"/>
        </w:rPr>
      </w:pPr>
      <w:r w:rsidRPr="00B5757D">
        <w:rPr>
          <w:lang w:val="es-ES" w:eastAsia="ko-KR"/>
        </w:rPr>
        <w:t>La utilización del presupuesto no relativo a personal correspondió al 81%</w:t>
      </w:r>
      <w:r w:rsidRPr="00B5757D">
        <w:rPr>
          <w:lang w:val="es-ES"/>
        </w:rPr>
        <w:t xml:space="preserve"> del presupuesto de 2014/15 tras las </w:t>
      </w:r>
      <w:r w:rsidRPr="00B5757D">
        <w:rPr>
          <w:color w:val="000000"/>
          <w:lang w:val="es-ES"/>
        </w:rPr>
        <w:t>transferencias</w:t>
      </w:r>
      <w:r w:rsidRPr="00B5757D">
        <w:rPr>
          <w:lang w:val="es-ES"/>
        </w:rPr>
        <w:t xml:space="preserve">.  </w:t>
      </w:r>
      <w:r w:rsidRPr="00B5757D">
        <w:rPr>
          <w:color w:val="000000"/>
          <w:lang w:val="es-ES"/>
        </w:rPr>
        <w:t xml:space="preserve">Esto se debió principalmente al retraso de la labor en materia de T.I. como consecuencia del aplazamiento de las adhesiones de determinadas Partes Contratantes, a tenor del resultado II.4 (Ampliación y mejora del uso del Sistema de La Haya </w:t>
      </w:r>
      <w:r w:rsidRPr="00B5757D">
        <w:rPr>
          <w:bCs/>
          <w:color w:val="000000"/>
          <w:lang w:val="es-ES"/>
        </w:rPr>
        <w:t>por los países en desarrollo y los PMA, entre otros</w:t>
      </w:r>
      <w:r w:rsidRPr="00B5757D">
        <w:rPr>
          <w:color w:val="000000"/>
          <w:lang w:val="es-ES"/>
        </w:rPr>
        <w:t>).</w:t>
      </w:r>
    </w:p>
    <w:p w:rsidR="002640BF" w:rsidRDefault="002640BF" w:rsidP="00DC1333">
      <w:pPr>
        <w:widowControl w:val="0"/>
        <w:tabs>
          <w:tab w:val="left" w:pos="709"/>
        </w:tabs>
        <w:jc w:val="both"/>
      </w:pPr>
    </w:p>
    <w:p w:rsidR="002640BF" w:rsidRPr="00526BBA" w:rsidRDefault="002640BF" w:rsidP="00DC1333">
      <w:pPr>
        <w:widowControl w:val="0"/>
        <w:tabs>
          <w:tab w:val="left" w:pos="709"/>
        </w:tabs>
        <w:jc w:val="both"/>
      </w:pPr>
    </w:p>
    <w:p w:rsidR="00F35363" w:rsidRDefault="00F35363">
      <w:r>
        <w:br w:type="page"/>
      </w:r>
    </w:p>
    <w:p w:rsidR="00264980" w:rsidRPr="00821C88" w:rsidRDefault="00264980" w:rsidP="00DC1333">
      <w:pPr>
        <w:pStyle w:val="StyleHeading3BoldNounderline"/>
        <w:rPr>
          <w:b/>
          <w:szCs w:val="22"/>
          <w:lang w:val="es-ES"/>
        </w:rPr>
      </w:pPr>
      <w:bookmarkStart w:id="89" w:name="_Toc422927412"/>
      <w:bookmarkStart w:id="90" w:name="_Toc455159080"/>
      <w:r w:rsidRPr="00821C88">
        <w:rPr>
          <w:b/>
          <w:szCs w:val="22"/>
          <w:lang w:val="es-ES"/>
        </w:rPr>
        <w:lastRenderedPageBreak/>
        <w:t>Programa 31, Anexo</w:t>
      </w:r>
      <w:proofErr w:type="gramStart"/>
      <w:r w:rsidRPr="00821C88">
        <w:rPr>
          <w:b/>
          <w:szCs w:val="22"/>
          <w:lang w:val="es-ES"/>
        </w:rPr>
        <w:t>:  Indicadores</w:t>
      </w:r>
      <w:proofErr w:type="gramEnd"/>
      <w:r w:rsidRPr="00821C88">
        <w:rPr>
          <w:b/>
          <w:szCs w:val="22"/>
          <w:lang w:val="es-ES"/>
        </w:rPr>
        <w:t xml:space="preserve"> de las operaciones del Sistema de La Haya</w:t>
      </w:r>
      <w:bookmarkEnd w:id="89"/>
      <w:bookmarkEnd w:id="90"/>
    </w:p>
    <w:p w:rsidR="00264980" w:rsidRPr="002B202E" w:rsidRDefault="00264980" w:rsidP="00DC1333">
      <w:pPr>
        <w:rPr>
          <w:sz w:val="20"/>
        </w:rPr>
      </w:pPr>
    </w:p>
    <w:p w:rsidR="00264980" w:rsidRPr="002B202E" w:rsidRDefault="00264980" w:rsidP="00DC1333">
      <w:pPr>
        <w:rPr>
          <w:sz w:val="20"/>
        </w:rPr>
      </w:pPr>
      <w:r w:rsidRPr="002B202E">
        <w:rPr>
          <w:sz w:val="20"/>
        </w:rPr>
        <w:t>INDICADORES DE RENDIMIENTO CON RESPECTO AL RESULTADO PREVISTO</w:t>
      </w:r>
    </w:p>
    <w:p w:rsidR="00264980" w:rsidRPr="002B202E" w:rsidRDefault="00264980" w:rsidP="00DC1333">
      <w:pPr>
        <w:rPr>
          <w:sz w:val="20"/>
        </w:rPr>
      </w:pPr>
      <w:r w:rsidRPr="002B202E">
        <w:rPr>
          <w:sz w:val="20"/>
        </w:rPr>
        <w:t>“MEJORA DE LA PRODUCTIVIDAD Y DE LA CALIDAD DE LOS SERVICIOS EN LAS OPERACIONES DEL SISTEMA DE LA HAYA”</w:t>
      </w:r>
    </w:p>
    <w:p w:rsidR="00264980" w:rsidRPr="002B202E" w:rsidRDefault="00264980" w:rsidP="00DC1333">
      <w:pPr>
        <w:rPr>
          <w:b/>
          <w:sz w:val="20"/>
        </w:rPr>
      </w:pPr>
    </w:p>
    <w:p w:rsidR="00264980" w:rsidRPr="002B202E" w:rsidRDefault="00264980" w:rsidP="00DC1333">
      <w:pPr>
        <w:rPr>
          <w:sz w:val="20"/>
        </w:rPr>
      </w:pPr>
    </w:p>
    <w:p w:rsidR="00264980" w:rsidRPr="002B202E" w:rsidRDefault="00264980" w:rsidP="00264980">
      <w:pPr>
        <w:pStyle w:val="ListParagraph"/>
        <w:numPr>
          <w:ilvl w:val="0"/>
          <w:numId w:val="47"/>
        </w:numPr>
        <w:tabs>
          <w:tab w:val="left" w:pos="0"/>
          <w:tab w:val="left" w:pos="567"/>
        </w:tabs>
        <w:ind w:left="0" w:firstLine="0"/>
        <w:contextualSpacing/>
        <w:jc w:val="both"/>
        <w:rPr>
          <w:rFonts w:cs="Arial"/>
          <w:lang w:val="es-ES"/>
        </w:rPr>
      </w:pPr>
      <w:r w:rsidRPr="002B202E">
        <w:rPr>
          <w:rFonts w:cs="Arial"/>
          <w:lang w:val="es-ES"/>
        </w:rPr>
        <w:t>Como referencia de los indicadores de rendimiento en lo que respecta al resultado previsto “Mejora de la productividad y de la calidad de los servicios en las operaciones del Sistema de La Haya”, es necesario considerar la evolución de los siguientes factores:</w:t>
      </w:r>
    </w:p>
    <w:p w:rsidR="00264980" w:rsidRPr="002B202E" w:rsidRDefault="00264980" w:rsidP="00DC1333">
      <w:pPr>
        <w:pStyle w:val="ListParagraph"/>
        <w:tabs>
          <w:tab w:val="left" w:pos="0"/>
          <w:tab w:val="left" w:pos="567"/>
        </w:tabs>
        <w:ind w:left="0"/>
        <w:jc w:val="both"/>
        <w:rPr>
          <w:rFonts w:cs="Arial"/>
          <w:lang w:val="es-ES"/>
        </w:rPr>
      </w:pPr>
    </w:p>
    <w:p w:rsidR="00264980" w:rsidRPr="002B202E" w:rsidRDefault="00264980" w:rsidP="00264980">
      <w:pPr>
        <w:numPr>
          <w:ilvl w:val="0"/>
          <w:numId w:val="30"/>
        </w:numPr>
        <w:tabs>
          <w:tab w:val="clear" w:pos="720"/>
        </w:tabs>
        <w:spacing w:after="120"/>
        <w:ind w:left="1134" w:hanging="567"/>
        <w:jc w:val="both"/>
        <w:rPr>
          <w:sz w:val="20"/>
        </w:rPr>
      </w:pPr>
      <w:r w:rsidRPr="002B202E">
        <w:rPr>
          <w:sz w:val="20"/>
        </w:rPr>
        <w:t>volúmenes de trabajo del Sistema de La Haya;</w:t>
      </w:r>
    </w:p>
    <w:p w:rsidR="00264980" w:rsidRPr="002B202E" w:rsidRDefault="00264980" w:rsidP="00264980">
      <w:pPr>
        <w:numPr>
          <w:ilvl w:val="0"/>
          <w:numId w:val="30"/>
        </w:numPr>
        <w:tabs>
          <w:tab w:val="clear" w:pos="720"/>
        </w:tabs>
        <w:spacing w:after="120"/>
        <w:ind w:left="1134" w:hanging="567"/>
        <w:jc w:val="both"/>
        <w:rPr>
          <w:sz w:val="20"/>
        </w:rPr>
      </w:pPr>
      <w:r w:rsidRPr="002B202E">
        <w:rPr>
          <w:sz w:val="20"/>
        </w:rPr>
        <w:t>composición de esos volúmenes;</w:t>
      </w:r>
    </w:p>
    <w:p w:rsidR="00264980" w:rsidRPr="002B202E" w:rsidRDefault="00264980" w:rsidP="00264980">
      <w:pPr>
        <w:numPr>
          <w:ilvl w:val="0"/>
          <w:numId w:val="30"/>
        </w:numPr>
        <w:tabs>
          <w:tab w:val="clear" w:pos="720"/>
        </w:tabs>
        <w:spacing w:after="120"/>
        <w:ind w:left="1134" w:hanging="567"/>
        <w:jc w:val="both"/>
        <w:rPr>
          <w:sz w:val="20"/>
        </w:rPr>
      </w:pPr>
      <w:r w:rsidRPr="002B202E">
        <w:rPr>
          <w:sz w:val="20"/>
        </w:rPr>
        <w:t>nivel de automatización, y</w:t>
      </w:r>
    </w:p>
    <w:p w:rsidR="00264980" w:rsidRPr="002B202E" w:rsidRDefault="00264980" w:rsidP="00264980">
      <w:pPr>
        <w:numPr>
          <w:ilvl w:val="0"/>
          <w:numId w:val="30"/>
        </w:numPr>
        <w:tabs>
          <w:tab w:val="clear" w:pos="720"/>
        </w:tabs>
        <w:ind w:left="1134" w:hanging="567"/>
        <w:jc w:val="both"/>
        <w:rPr>
          <w:sz w:val="20"/>
        </w:rPr>
      </w:pPr>
      <w:r w:rsidRPr="002B202E">
        <w:rPr>
          <w:sz w:val="20"/>
        </w:rPr>
        <w:t>recursos asignados para hacer frente al volumen de trabajo.</w:t>
      </w:r>
    </w:p>
    <w:p w:rsidR="00264980" w:rsidRPr="002B202E" w:rsidRDefault="00264980" w:rsidP="00DC1333">
      <w:pPr>
        <w:jc w:val="both"/>
        <w:rPr>
          <w:sz w:val="20"/>
        </w:rPr>
      </w:pPr>
    </w:p>
    <w:p w:rsidR="00264980" w:rsidRPr="002B202E" w:rsidRDefault="00264980" w:rsidP="00264980">
      <w:pPr>
        <w:pStyle w:val="ListParagraph"/>
        <w:numPr>
          <w:ilvl w:val="0"/>
          <w:numId w:val="47"/>
        </w:numPr>
        <w:tabs>
          <w:tab w:val="left" w:pos="0"/>
          <w:tab w:val="left" w:pos="567"/>
        </w:tabs>
        <w:ind w:left="0" w:firstLine="0"/>
        <w:contextualSpacing/>
        <w:jc w:val="both"/>
        <w:rPr>
          <w:rFonts w:cs="Arial"/>
          <w:lang w:val="es-ES"/>
        </w:rPr>
      </w:pPr>
      <w:r w:rsidRPr="002B202E">
        <w:rPr>
          <w:rFonts w:cs="Arial"/>
          <w:lang w:val="es-ES"/>
        </w:rPr>
        <w:t xml:space="preserve">La Oficina Internacional recibe principalmente cuatro tipos de documentos, a saber, solicitudes internacionales, renovaciones, cambios y decisiones.  Se presentan, </w:t>
      </w:r>
      <w:r w:rsidRPr="002B202E">
        <w:rPr>
          <w:rFonts w:cs="Arial"/>
          <w:i/>
          <w:lang w:val="es-ES"/>
        </w:rPr>
        <w:t>infra</w:t>
      </w:r>
      <w:r w:rsidRPr="002B202E">
        <w:rPr>
          <w:rFonts w:cs="Arial"/>
          <w:lang w:val="es-ES"/>
        </w:rPr>
        <w:t>, las tendencias más recientes para cada uno de esos documentos.  También se proporciona otra información sobre las solicitudes recibidas, por ejemplo, el número medio de dibujos o modelos correspondiente a cada una.  Por motivos técnicos, el indicador relativo a las irregularidades declaradas presenta datos basados en documentos tramitados más que recibidos.</w:t>
      </w:r>
    </w:p>
    <w:p w:rsidR="00264980" w:rsidRPr="002B202E" w:rsidRDefault="00264980" w:rsidP="00DC1333">
      <w:pPr>
        <w:pStyle w:val="ListParagraph"/>
        <w:tabs>
          <w:tab w:val="left" w:pos="0"/>
          <w:tab w:val="left" w:pos="567"/>
        </w:tabs>
        <w:ind w:left="0"/>
        <w:jc w:val="both"/>
        <w:rPr>
          <w:rFonts w:cs="Arial"/>
          <w:lang w:val="es-ES"/>
        </w:rPr>
      </w:pPr>
    </w:p>
    <w:p w:rsidR="00264980" w:rsidRPr="002B202E" w:rsidRDefault="00264980" w:rsidP="00DC1333">
      <w:pPr>
        <w:tabs>
          <w:tab w:val="left" w:pos="567"/>
        </w:tabs>
        <w:spacing w:before="120" w:after="240"/>
        <w:rPr>
          <w:b/>
          <w:sz w:val="20"/>
        </w:rPr>
      </w:pPr>
      <w:r w:rsidRPr="002B202E">
        <w:rPr>
          <w:b/>
          <w:sz w:val="20"/>
        </w:rPr>
        <w:t>I.</w:t>
      </w:r>
      <w:r w:rsidRPr="002B202E">
        <w:rPr>
          <w:b/>
          <w:sz w:val="20"/>
        </w:rPr>
        <w:tab/>
        <w:t>Documentos recibidos</w:t>
      </w:r>
    </w:p>
    <w:p w:rsidR="00264980" w:rsidRPr="002B202E" w:rsidRDefault="00264980" w:rsidP="00DC1333">
      <w:pPr>
        <w:spacing w:before="120" w:after="240"/>
        <w:rPr>
          <w:sz w:val="20"/>
          <w:u w:val="single"/>
        </w:rPr>
      </w:pPr>
      <w:r w:rsidRPr="002B202E">
        <w:rPr>
          <w:sz w:val="20"/>
          <w:u w:val="single"/>
        </w:rPr>
        <w:t>Solicitudes recibidas</w:t>
      </w:r>
    </w:p>
    <w:p w:rsidR="00264980" w:rsidRPr="002B202E" w:rsidRDefault="00264980" w:rsidP="00DC1333">
      <w:pPr>
        <w:spacing w:before="120" w:after="240"/>
        <w:jc w:val="center"/>
        <w:rPr>
          <w:sz w:val="20"/>
        </w:rPr>
      </w:pPr>
      <w:r w:rsidRPr="002B202E">
        <w:rPr>
          <w:noProof/>
          <w:sz w:val="20"/>
          <w:lang w:val="en-US" w:eastAsia="en-US"/>
        </w:rPr>
        <w:drawing>
          <wp:inline distT="0" distB="0" distL="0" distR="0" wp14:anchorId="5E12FFC6" wp14:editId="19EB43F8">
            <wp:extent cx="4667693" cy="2869098"/>
            <wp:effectExtent l="0" t="0" r="0" b="762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80143" cy="2876751"/>
                    </a:xfrm>
                    <a:prstGeom prst="rect">
                      <a:avLst/>
                    </a:prstGeom>
                    <a:noFill/>
                    <a:ln>
                      <a:noFill/>
                    </a:ln>
                  </pic:spPr>
                </pic:pic>
              </a:graphicData>
            </a:graphic>
          </wp:inline>
        </w:drawing>
      </w:r>
    </w:p>
    <w:p w:rsidR="00264980" w:rsidRPr="002B202E" w:rsidRDefault="00264980" w:rsidP="00264980">
      <w:pPr>
        <w:pStyle w:val="ListParagraph"/>
        <w:numPr>
          <w:ilvl w:val="0"/>
          <w:numId w:val="40"/>
        </w:numPr>
        <w:spacing w:after="120"/>
        <w:ind w:left="992" w:hanging="425"/>
        <w:jc w:val="both"/>
        <w:rPr>
          <w:rFonts w:cs="Arial"/>
          <w:lang w:val="es-ES"/>
        </w:rPr>
      </w:pPr>
      <w:r w:rsidRPr="002B202E">
        <w:rPr>
          <w:rFonts w:cs="Arial"/>
          <w:lang w:val="es-ES"/>
        </w:rPr>
        <w:t>En 2015 la Oficina Internacional recibió 4.111 solicitudes internacionales, lo que representa un aumento del 41% con respecto a 2014.  Además de las solicitudes de la Unión Europea (+352 solicitudes), también contribuyeron a este aumento las procedentes de la República de Corea (+487 solicitudes), los Estados Unidos de América (+140 solicitudes) y el Japón (+128 solicitudes), países que se incorporaron al Sistema de La Haya durante el bienio 2014/15.  El número total de solicitudes recibidas durante el bienio fue 7.035, lo que supuso un 26 % más que en el bienio 2012/13 (5.594).</w:t>
      </w:r>
    </w:p>
    <w:p w:rsidR="00264980" w:rsidRPr="002B202E" w:rsidRDefault="00264980" w:rsidP="00264980">
      <w:pPr>
        <w:pStyle w:val="ListParagraph"/>
        <w:numPr>
          <w:ilvl w:val="0"/>
          <w:numId w:val="40"/>
        </w:numPr>
        <w:spacing w:after="200"/>
        <w:ind w:left="993" w:hanging="426"/>
        <w:contextualSpacing/>
        <w:jc w:val="both"/>
        <w:rPr>
          <w:rFonts w:cs="Arial"/>
          <w:lang w:val="es-ES"/>
        </w:rPr>
      </w:pPr>
      <w:r w:rsidRPr="002B202E">
        <w:rPr>
          <w:rFonts w:cs="Arial"/>
          <w:lang w:val="es-ES"/>
        </w:rPr>
        <w:t>En 2015 el 93% de las solicitudes se presentaron por medios electrónicos</w:t>
      </w:r>
      <w:r w:rsidR="00F71118">
        <w:rPr>
          <w:rFonts w:cs="Arial"/>
          <w:lang w:val="es-ES"/>
        </w:rPr>
        <w:t>, un 4% más que en </w:t>
      </w:r>
      <w:r w:rsidRPr="002B202E">
        <w:rPr>
          <w:rFonts w:cs="Arial"/>
          <w:lang w:val="es-ES"/>
        </w:rPr>
        <w:t>2014.  La proporción de presentación electrónica de solicitudes aumentó  14 puntos porcentuales entre 2011 y 2015, pasando del 79% en 2011 al 93% en 2015.</w:t>
      </w:r>
    </w:p>
    <w:p w:rsidR="00264980" w:rsidRPr="002B202E" w:rsidRDefault="00264980" w:rsidP="00DC1333">
      <w:pPr>
        <w:rPr>
          <w:sz w:val="20"/>
        </w:rPr>
      </w:pPr>
    </w:p>
    <w:p w:rsidR="00264980" w:rsidRPr="002B202E" w:rsidRDefault="00264980" w:rsidP="00DC1333">
      <w:pPr>
        <w:pStyle w:val="ListParagraph"/>
        <w:keepNext/>
        <w:keepLines/>
        <w:ind w:left="567"/>
        <w:rPr>
          <w:rFonts w:cs="Arial"/>
          <w:i/>
          <w:lang w:val="es-ES"/>
        </w:rPr>
      </w:pPr>
      <w:r w:rsidRPr="002B202E">
        <w:rPr>
          <w:rFonts w:cs="Arial"/>
          <w:i/>
          <w:lang w:val="es-ES"/>
        </w:rPr>
        <w:t>Número medio de dibujos o modelos por solicitud</w:t>
      </w:r>
    </w:p>
    <w:p w:rsidR="00264980" w:rsidRPr="002B202E" w:rsidRDefault="00264980" w:rsidP="00DC1333">
      <w:pPr>
        <w:keepNext/>
        <w:keepLines/>
        <w:spacing w:before="120" w:after="240"/>
        <w:jc w:val="center"/>
        <w:rPr>
          <w:sz w:val="20"/>
        </w:rPr>
      </w:pPr>
      <w:r w:rsidRPr="002B202E">
        <w:rPr>
          <w:noProof/>
          <w:sz w:val="20"/>
          <w:lang w:val="en-US" w:eastAsia="en-US"/>
        </w:rPr>
        <w:drawing>
          <wp:inline distT="0" distB="0" distL="0" distR="0" wp14:anchorId="719B504A" wp14:editId="6E6426DC">
            <wp:extent cx="4417621" cy="2755075"/>
            <wp:effectExtent l="0" t="0" r="2540" b="762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418041" cy="2755337"/>
                    </a:xfrm>
                    <a:prstGeom prst="rect">
                      <a:avLst/>
                    </a:prstGeom>
                    <a:noFill/>
                    <a:ln>
                      <a:noFill/>
                    </a:ln>
                  </pic:spPr>
                </pic:pic>
              </a:graphicData>
            </a:graphic>
          </wp:inline>
        </w:drawing>
      </w:r>
    </w:p>
    <w:p w:rsidR="00264980" w:rsidRPr="002B202E" w:rsidRDefault="00264980" w:rsidP="00264980">
      <w:pPr>
        <w:pStyle w:val="ListParagraph"/>
        <w:numPr>
          <w:ilvl w:val="0"/>
          <w:numId w:val="41"/>
        </w:numPr>
        <w:spacing w:after="200"/>
        <w:ind w:left="993" w:hanging="426"/>
        <w:contextualSpacing/>
        <w:jc w:val="both"/>
        <w:rPr>
          <w:rFonts w:cs="Arial"/>
          <w:lang w:val="es-ES"/>
        </w:rPr>
      </w:pPr>
      <w:r w:rsidRPr="002B202E">
        <w:rPr>
          <w:rFonts w:cs="Arial"/>
          <w:lang w:val="es-ES"/>
        </w:rPr>
        <w:t>En 2015 cada solicitud contuvo una media de cuatro dibujos o modelos, lo que representa casi un dibujo o modelo menos que la media de 2014.  Entre  2011 y 2015 el número medio de dibujos o modelos por solicitud osciló entre cuatro y cinco.</w:t>
      </w:r>
    </w:p>
    <w:p w:rsidR="00264980" w:rsidRPr="002B202E" w:rsidRDefault="00264980" w:rsidP="00DC1333">
      <w:pPr>
        <w:pStyle w:val="ListParagraph"/>
        <w:ind w:left="567"/>
        <w:jc w:val="both"/>
        <w:rPr>
          <w:rFonts w:cs="Arial"/>
          <w:lang w:val="es-ES"/>
        </w:rPr>
      </w:pPr>
    </w:p>
    <w:p w:rsidR="00264980" w:rsidRPr="002B202E" w:rsidRDefault="00264980" w:rsidP="00DC1333">
      <w:pPr>
        <w:pStyle w:val="ListParagraph"/>
        <w:ind w:left="567"/>
        <w:jc w:val="both"/>
        <w:rPr>
          <w:rFonts w:cs="Arial"/>
          <w:lang w:val="es-ES"/>
        </w:rPr>
      </w:pPr>
    </w:p>
    <w:p w:rsidR="00264980" w:rsidRPr="002B202E" w:rsidRDefault="00264980" w:rsidP="00DC1333">
      <w:pPr>
        <w:pStyle w:val="ListParagraph"/>
        <w:keepNext/>
        <w:keepLines/>
        <w:ind w:left="567"/>
        <w:rPr>
          <w:rFonts w:cs="Arial"/>
          <w:i/>
          <w:lang w:val="es-ES"/>
        </w:rPr>
      </w:pPr>
      <w:r w:rsidRPr="002B202E">
        <w:rPr>
          <w:rFonts w:cs="Arial"/>
          <w:i/>
          <w:lang w:val="es-ES"/>
        </w:rPr>
        <w:t>Número medio de designaciones por solicitud</w:t>
      </w:r>
    </w:p>
    <w:p w:rsidR="00264980" w:rsidRPr="002B202E" w:rsidRDefault="00264980" w:rsidP="00DC1333">
      <w:pPr>
        <w:spacing w:before="120" w:after="240"/>
        <w:jc w:val="center"/>
        <w:rPr>
          <w:sz w:val="20"/>
        </w:rPr>
      </w:pPr>
      <w:r w:rsidRPr="002B202E">
        <w:rPr>
          <w:noProof/>
          <w:sz w:val="20"/>
          <w:lang w:val="en-US" w:eastAsia="en-US"/>
        </w:rPr>
        <w:drawing>
          <wp:inline distT="0" distB="0" distL="0" distR="0" wp14:anchorId="1333A90E" wp14:editId="3FE93D8D">
            <wp:extent cx="4275117" cy="2541319"/>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75490" cy="2541541"/>
                    </a:xfrm>
                    <a:prstGeom prst="rect">
                      <a:avLst/>
                    </a:prstGeom>
                    <a:noFill/>
                    <a:ln>
                      <a:noFill/>
                    </a:ln>
                  </pic:spPr>
                </pic:pic>
              </a:graphicData>
            </a:graphic>
          </wp:inline>
        </w:drawing>
      </w:r>
    </w:p>
    <w:p w:rsidR="00264980" w:rsidRPr="002B202E" w:rsidRDefault="00264980" w:rsidP="00264980">
      <w:pPr>
        <w:pStyle w:val="ListParagraph"/>
        <w:numPr>
          <w:ilvl w:val="0"/>
          <w:numId w:val="41"/>
        </w:numPr>
        <w:spacing w:after="200"/>
        <w:ind w:left="993" w:hanging="426"/>
        <w:contextualSpacing/>
        <w:jc w:val="both"/>
        <w:rPr>
          <w:rFonts w:cs="Arial"/>
          <w:lang w:val="es-ES"/>
        </w:rPr>
      </w:pPr>
      <w:r w:rsidRPr="002B202E">
        <w:rPr>
          <w:rFonts w:cs="Arial"/>
          <w:lang w:val="es-ES"/>
        </w:rPr>
        <w:t>En 2015 cada solicitud contuvo una media de 4,5 designaciones, frente a una media de casi 5 designaciones en 2014, lo que representa la cifra media más baja de designaciones por solicitud que se ha registrado desde 2011.</w:t>
      </w:r>
    </w:p>
    <w:p w:rsidR="00264980" w:rsidRPr="002B202E" w:rsidRDefault="00264980" w:rsidP="00DC1333">
      <w:pPr>
        <w:jc w:val="both"/>
        <w:rPr>
          <w:sz w:val="20"/>
        </w:rPr>
      </w:pPr>
    </w:p>
    <w:p w:rsidR="00264980" w:rsidRPr="002B202E" w:rsidRDefault="00264980" w:rsidP="00DC1333">
      <w:pPr>
        <w:pStyle w:val="ListParagraph"/>
        <w:keepNext/>
        <w:keepLines/>
        <w:spacing w:before="120" w:after="240"/>
        <w:ind w:left="567"/>
        <w:rPr>
          <w:rFonts w:cs="Arial"/>
          <w:i/>
          <w:lang w:val="es-ES"/>
        </w:rPr>
      </w:pPr>
      <w:r w:rsidRPr="002B202E">
        <w:rPr>
          <w:rFonts w:cs="Arial"/>
          <w:i/>
          <w:lang w:val="es-ES"/>
        </w:rPr>
        <w:lastRenderedPageBreak/>
        <w:t>Tendencia observada en las irregularidades en solicitudes</w:t>
      </w:r>
    </w:p>
    <w:p w:rsidR="00264980" w:rsidRPr="002B202E" w:rsidRDefault="00264980" w:rsidP="00264980">
      <w:pPr>
        <w:pStyle w:val="ListParagraph"/>
        <w:keepNext/>
        <w:keepLines/>
        <w:numPr>
          <w:ilvl w:val="0"/>
          <w:numId w:val="47"/>
        </w:numPr>
        <w:tabs>
          <w:tab w:val="left" w:pos="0"/>
          <w:tab w:val="left" w:pos="567"/>
        </w:tabs>
        <w:ind w:left="0" w:firstLine="0"/>
        <w:contextualSpacing/>
        <w:jc w:val="both"/>
        <w:rPr>
          <w:rFonts w:cs="Arial"/>
          <w:lang w:val="es-ES"/>
        </w:rPr>
      </w:pPr>
      <w:r w:rsidRPr="002B202E">
        <w:rPr>
          <w:rFonts w:cs="Arial"/>
          <w:lang w:val="es-ES"/>
        </w:rPr>
        <w:t xml:space="preserve">Las irregularidades en las solicitudes se agrupan en las 10 categorías indicadas </w:t>
      </w:r>
      <w:r w:rsidRPr="002B202E">
        <w:rPr>
          <w:rFonts w:cs="Arial"/>
          <w:i/>
          <w:lang w:val="es-ES"/>
        </w:rPr>
        <w:t>infra</w:t>
      </w:r>
      <w:r w:rsidRPr="002B202E">
        <w:rPr>
          <w:rFonts w:cs="Arial"/>
          <w:lang w:val="es-ES"/>
        </w:rPr>
        <w:t>.</w:t>
      </w:r>
    </w:p>
    <w:p w:rsidR="00264980" w:rsidRPr="002B202E" w:rsidRDefault="00264980" w:rsidP="00DC1333">
      <w:pPr>
        <w:keepNext/>
        <w:keepLines/>
        <w:spacing w:before="120" w:after="240"/>
        <w:jc w:val="center"/>
        <w:rPr>
          <w:sz w:val="20"/>
        </w:rPr>
      </w:pPr>
      <w:r w:rsidRPr="002B202E">
        <w:rPr>
          <w:noProof/>
          <w:sz w:val="20"/>
          <w:lang w:val="en-US" w:eastAsia="en-US"/>
        </w:rPr>
        <w:drawing>
          <wp:inline distT="0" distB="0" distL="0" distR="0" wp14:anchorId="71EB1E4A" wp14:editId="63F5F571">
            <wp:extent cx="5106389" cy="2811526"/>
            <wp:effectExtent l="0" t="0" r="0" b="825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119407" cy="2818693"/>
                    </a:xfrm>
                    <a:prstGeom prst="rect">
                      <a:avLst/>
                    </a:prstGeom>
                    <a:noFill/>
                    <a:ln>
                      <a:noFill/>
                    </a:ln>
                  </pic:spPr>
                </pic:pic>
              </a:graphicData>
            </a:graphic>
          </wp:inline>
        </w:drawing>
      </w:r>
    </w:p>
    <w:p w:rsidR="00264980" w:rsidRPr="002B202E" w:rsidRDefault="00264980" w:rsidP="00264980">
      <w:pPr>
        <w:pStyle w:val="ListParagraph"/>
        <w:numPr>
          <w:ilvl w:val="0"/>
          <w:numId w:val="41"/>
        </w:numPr>
        <w:spacing w:after="120"/>
        <w:ind w:left="992" w:hanging="425"/>
        <w:jc w:val="both"/>
        <w:rPr>
          <w:rFonts w:cs="Arial"/>
          <w:lang w:val="es-ES"/>
        </w:rPr>
      </w:pPr>
      <w:r w:rsidRPr="002B202E">
        <w:rPr>
          <w:rFonts w:cs="Arial"/>
          <w:lang w:val="es-ES"/>
        </w:rPr>
        <w:t>En 2015 la Oficina Internacional encontró 2.118 irregularidades en solicitudes, lo que equivale a un aumento del 36% con respecto a 2014.</w:t>
      </w:r>
    </w:p>
    <w:p w:rsidR="00264980" w:rsidRPr="002B202E" w:rsidRDefault="00264980" w:rsidP="00264980">
      <w:pPr>
        <w:pStyle w:val="ListParagraph"/>
        <w:numPr>
          <w:ilvl w:val="0"/>
          <w:numId w:val="41"/>
        </w:numPr>
        <w:ind w:left="993" w:hanging="426"/>
        <w:contextualSpacing/>
        <w:jc w:val="both"/>
        <w:rPr>
          <w:rFonts w:cs="Arial"/>
          <w:lang w:val="es-ES"/>
        </w:rPr>
      </w:pPr>
      <w:r w:rsidRPr="002B202E">
        <w:rPr>
          <w:rFonts w:cs="Arial"/>
          <w:lang w:val="es-ES"/>
        </w:rPr>
        <w:t>Se registraron aumentos en todas las irregularidades excepto en la clasificación y el aplazamiento que, juntas, representan solo el 1,5% del total de las irregularidades en las solicitudes.  Las irregularidades que más aumentaron en 2015 fueron las reproducciones (+129 irregularidades), las indicaciones del producto (+ 105 irregularidades), los poderes (+99 irregularidades) y los pagos (+95 irregularidades).</w:t>
      </w:r>
    </w:p>
    <w:p w:rsidR="00264980" w:rsidRPr="002B202E" w:rsidRDefault="00264980" w:rsidP="00DC1333">
      <w:pPr>
        <w:rPr>
          <w:sz w:val="20"/>
        </w:rPr>
      </w:pPr>
    </w:p>
    <w:p w:rsidR="00264980" w:rsidRPr="002B202E" w:rsidRDefault="00264980" w:rsidP="00DC1333">
      <w:pPr>
        <w:spacing w:before="120"/>
        <w:rPr>
          <w:sz w:val="20"/>
        </w:rPr>
      </w:pPr>
      <w:r w:rsidRPr="002B202E">
        <w:rPr>
          <w:sz w:val="20"/>
        </w:rPr>
        <w:t>4.</w:t>
      </w:r>
      <w:r w:rsidRPr="002B202E">
        <w:rPr>
          <w:sz w:val="20"/>
        </w:rPr>
        <w:tab/>
        <w:t>A continuación se muestra la evolución del porcentaje de solicitudes que contenían irregularidades.</w:t>
      </w:r>
    </w:p>
    <w:p w:rsidR="00264980" w:rsidRPr="002B202E" w:rsidRDefault="00264980" w:rsidP="00DC1333">
      <w:pPr>
        <w:spacing w:before="120"/>
        <w:jc w:val="center"/>
        <w:rPr>
          <w:sz w:val="20"/>
        </w:rPr>
      </w:pPr>
      <w:r w:rsidRPr="002B202E">
        <w:rPr>
          <w:noProof/>
          <w:sz w:val="20"/>
          <w:lang w:val="en-US" w:eastAsia="en-US"/>
        </w:rPr>
        <w:drawing>
          <wp:inline distT="0" distB="0" distL="0" distR="0" wp14:anchorId="6DD5D3ED" wp14:editId="3F30302C">
            <wp:extent cx="4412771" cy="2701984"/>
            <wp:effectExtent l="0" t="0" r="6985" b="31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417060" cy="2704610"/>
                    </a:xfrm>
                    <a:prstGeom prst="rect">
                      <a:avLst/>
                    </a:prstGeom>
                    <a:noFill/>
                    <a:ln>
                      <a:noFill/>
                    </a:ln>
                  </pic:spPr>
                </pic:pic>
              </a:graphicData>
            </a:graphic>
          </wp:inline>
        </w:drawing>
      </w:r>
    </w:p>
    <w:p w:rsidR="00264980" w:rsidRPr="002B202E" w:rsidRDefault="00264980" w:rsidP="00DC1333">
      <w:pPr>
        <w:spacing w:before="120"/>
        <w:jc w:val="center"/>
        <w:rPr>
          <w:sz w:val="20"/>
        </w:rPr>
      </w:pPr>
    </w:p>
    <w:p w:rsidR="00264980" w:rsidRPr="002B202E" w:rsidRDefault="00264980" w:rsidP="00DC1333">
      <w:pPr>
        <w:spacing w:before="120"/>
        <w:rPr>
          <w:sz w:val="20"/>
        </w:rPr>
      </w:pPr>
      <w:r w:rsidRPr="002B202E">
        <w:rPr>
          <w:sz w:val="20"/>
        </w:rPr>
        <w:t>En 2015 el 63% de las solicitudes registradas contenían al menos una irregularidad o fueron objeto de una observación sustantiva.  Esto representa un aumento del 3% en comparación con 2014.</w:t>
      </w:r>
    </w:p>
    <w:p w:rsidR="00264980" w:rsidRPr="002B202E" w:rsidRDefault="00264980" w:rsidP="00DC1333">
      <w:pPr>
        <w:spacing w:before="120"/>
        <w:rPr>
          <w:sz w:val="20"/>
        </w:rPr>
      </w:pPr>
    </w:p>
    <w:p w:rsidR="00264980" w:rsidRPr="002B202E" w:rsidRDefault="00264980" w:rsidP="00553C52">
      <w:pPr>
        <w:keepNext/>
        <w:spacing w:before="120"/>
        <w:rPr>
          <w:sz w:val="20"/>
          <w:u w:val="single"/>
        </w:rPr>
      </w:pPr>
      <w:r w:rsidRPr="002B202E">
        <w:rPr>
          <w:sz w:val="20"/>
          <w:u w:val="single"/>
        </w:rPr>
        <w:lastRenderedPageBreak/>
        <w:t>Renovaciones</w:t>
      </w:r>
    </w:p>
    <w:p w:rsidR="00264980" w:rsidRPr="002B202E" w:rsidRDefault="00264980" w:rsidP="00553C52">
      <w:pPr>
        <w:keepNext/>
        <w:spacing w:before="120" w:after="240"/>
        <w:jc w:val="center"/>
        <w:rPr>
          <w:sz w:val="20"/>
        </w:rPr>
      </w:pPr>
      <w:r w:rsidRPr="002B202E">
        <w:rPr>
          <w:noProof/>
          <w:sz w:val="20"/>
          <w:lang w:val="en-US" w:eastAsia="en-US"/>
        </w:rPr>
        <w:drawing>
          <wp:inline distT="0" distB="0" distL="0" distR="0" wp14:anchorId="36B4D23D" wp14:editId="51F24839">
            <wp:extent cx="4681846" cy="2956956"/>
            <wp:effectExtent l="0" t="0" r="508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80451" cy="2956075"/>
                    </a:xfrm>
                    <a:prstGeom prst="rect">
                      <a:avLst/>
                    </a:prstGeom>
                    <a:noFill/>
                    <a:ln>
                      <a:noFill/>
                    </a:ln>
                  </pic:spPr>
                </pic:pic>
              </a:graphicData>
            </a:graphic>
          </wp:inline>
        </w:drawing>
      </w:r>
    </w:p>
    <w:p w:rsidR="00264980" w:rsidRPr="002B202E" w:rsidRDefault="00264980" w:rsidP="00264980">
      <w:pPr>
        <w:pStyle w:val="ListParagraph"/>
        <w:numPr>
          <w:ilvl w:val="0"/>
          <w:numId w:val="42"/>
        </w:numPr>
        <w:spacing w:after="120"/>
        <w:ind w:left="992" w:hanging="425"/>
        <w:jc w:val="both"/>
        <w:rPr>
          <w:rFonts w:cs="Arial"/>
          <w:lang w:val="es-ES"/>
        </w:rPr>
      </w:pPr>
      <w:r w:rsidRPr="002B202E">
        <w:rPr>
          <w:rFonts w:cs="Arial"/>
          <w:lang w:val="es-ES"/>
        </w:rPr>
        <w:t>En 2015 el número de renovaciones aumentó un 18% en relación con 2014, totalizando 3.194 renovaciones.</w:t>
      </w:r>
    </w:p>
    <w:p w:rsidR="00264980" w:rsidRPr="002B202E" w:rsidRDefault="00264980" w:rsidP="00264980">
      <w:pPr>
        <w:pStyle w:val="ListParagraph"/>
        <w:numPr>
          <w:ilvl w:val="0"/>
          <w:numId w:val="42"/>
        </w:numPr>
        <w:spacing w:after="200"/>
        <w:ind w:left="993" w:hanging="426"/>
        <w:contextualSpacing/>
        <w:jc w:val="both"/>
        <w:rPr>
          <w:rFonts w:cs="Arial"/>
          <w:lang w:val="es-ES"/>
        </w:rPr>
      </w:pPr>
      <w:r w:rsidRPr="002B202E">
        <w:rPr>
          <w:rFonts w:cs="Arial"/>
          <w:lang w:val="es-ES"/>
        </w:rPr>
        <w:t>Desde 2012 la mayoría de las renovaciones se han tramitado electrónicamente, es decir, el 73% del total de renovaciones en 2015, lo que en comparación con el 69%</w:t>
      </w:r>
      <w:r w:rsidRPr="002B202E">
        <w:rPr>
          <w:rStyle w:val="FootnoteReference"/>
          <w:rFonts w:cs="Arial"/>
          <w:lang w:val="es-ES"/>
        </w:rPr>
        <w:footnoteReference w:id="41"/>
      </w:r>
      <w:r w:rsidR="00A426DF">
        <w:rPr>
          <w:rFonts w:cs="Arial"/>
          <w:lang w:val="es-ES"/>
        </w:rPr>
        <w:t xml:space="preserve"> registrado en </w:t>
      </w:r>
      <w:r w:rsidRPr="002B202E">
        <w:rPr>
          <w:rFonts w:cs="Arial"/>
          <w:lang w:val="es-ES"/>
        </w:rPr>
        <w:t>2014 representa un aumento de 4 puntos porcentuales.</w:t>
      </w:r>
    </w:p>
    <w:p w:rsidR="00264980" w:rsidRPr="002B202E" w:rsidRDefault="00264980" w:rsidP="00DC1333">
      <w:pPr>
        <w:spacing w:before="120"/>
        <w:rPr>
          <w:sz w:val="20"/>
          <w:u w:val="single"/>
        </w:rPr>
      </w:pPr>
      <w:r w:rsidRPr="002B202E">
        <w:rPr>
          <w:sz w:val="20"/>
          <w:u w:val="single"/>
        </w:rPr>
        <w:t>Cambios</w:t>
      </w:r>
    </w:p>
    <w:p w:rsidR="00264980" w:rsidRPr="002B202E" w:rsidRDefault="00264980" w:rsidP="00DC1333">
      <w:pPr>
        <w:spacing w:before="120" w:after="240"/>
        <w:jc w:val="center"/>
        <w:rPr>
          <w:sz w:val="20"/>
        </w:rPr>
      </w:pPr>
      <w:r w:rsidRPr="002B202E">
        <w:rPr>
          <w:noProof/>
          <w:sz w:val="20"/>
          <w:lang w:val="en-US" w:eastAsia="en-US"/>
        </w:rPr>
        <w:drawing>
          <wp:inline distT="0" distB="0" distL="0" distR="0" wp14:anchorId="56C99948" wp14:editId="0F0A528D">
            <wp:extent cx="4690753" cy="3004457"/>
            <wp:effectExtent l="0" t="0" r="0" b="571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97132" cy="3008543"/>
                    </a:xfrm>
                    <a:prstGeom prst="rect">
                      <a:avLst/>
                    </a:prstGeom>
                    <a:noFill/>
                    <a:ln>
                      <a:noFill/>
                    </a:ln>
                  </pic:spPr>
                </pic:pic>
              </a:graphicData>
            </a:graphic>
          </wp:inline>
        </w:drawing>
      </w:r>
    </w:p>
    <w:p w:rsidR="00264980" w:rsidRPr="002B202E" w:rsidRDefault="00264980" w:rsidP="00264980">
      <w:pPr>
        <w:pStyle w:val="ListParagraph"/>
        <w:numPr>
          <w:ilvl w:val="0"/>
          <w:numId w:val="42"/>
        </w:numPr>
        <w:ind w:left="992" w:hanging="425"/>
        <w:jc w:val="both"/>
        <w:rPr>
          <w:rFonts w:cs="Arial"/>
          <w:lang w:val="es-ES"/>
        </w:rPr>
      </w:pPr>
      <w:r w:rsidRPr="002B202E">
        <w:rPr>
          <w:rFonts w:cs="Arial"/>
          <w:lang w:val="es-ES"/>
        </w:rPr>
        <w:t>En 2015 los solicitantes pidieron 1.018 cambios en registros internacionales, lo que equivale a una disminución del 4% con respecto a 2014.</w:t>
      </w:r>
    </w:p>
    <w:p w:rsidR="00264980" w:rsidRPr="002B202E" w:rsidRDefault="00264980" w:rsidP="00DC1333">
      <w:pPr>
        <w:spacing w:before="120"/>
        <w:rPr>
          <w:sz w:val="20"/>
        </w:rPr>
      </w:pPr>
    </w:p>
    <w:p w:rsidR="00264980" w:rsidRPr="002B202E" w:rsidRDefault="00264980" w:rsidP="00DC1333">
      <w:pPr>
        <w:keepNext/>
        <w:spacing w:before="120"/>
        <w:rPr>
          <w:sz w:val="20"/>
          <w:u w:val="single"/>
        </w:rPr>
      </w:pPr>
      <w:r w:rsidRPr="002B202E">
        <w:rPr>
          <w:sz w:val="20"/>
          <w:u w:val="single"/>
        </w:rPr>
        <w:lastRenderedPageBreak/>
        <w:t>Decisiones</w:t>
      </w:r>
    </w:p>
    <w:p w:rsidR="00264980" w:rsidRPr="002B202E" w:rsidRDefault="00264980" w:rsidP="00DC1333">
      <w:pPr>
        <w:keepNext/>
        <w:spacing w:before="120" w:after="240"/>
        <w:jc w:val="center"/>
        <w:rPr>
          <w:sz w:val="20"/>
        </w:rPr>
      </w:pPr>
      <w:r w:rsidRPr="002B202E">
        <w:rPr>
          <w:noProof/>
          <w:sz w:val="20"/>
          <w:lang w:val="en-US" w:eastAsia="en-US"/>
        </w:rPr>
        <w:drawing>
          <wp:inline distT="0" distB="0" distL="0" distR="0" wp14:anchorId="1A0D9436" wp14:editId="15FB9CCF">
            <wp:extent cx="4251366" cy="2816359"/>
            <wp:effectExtent l="0" t="0" r="0" b="317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54683" cy="2818557"/>
                    </a:xfrm>
                    <a:prstGeom prst="rect">
                      <a:avLst/>
                    </a:prstGeom>
                    <a:noFill/>
                    <a:ln>
                      <a:noFill/>
                    </a:ln>
                  </pic:spPr>
                </pic:pic>
              </a:graphicData>
            </a:graphic>
          </wp:inline>
        </w:drawing>
      </w:r>
    </w:p>
    <w:p w:rsidR="00264980" w:rsidRPr="002B202E" w:rsidRDefault="00264980" w:rsidP="00264980">
      <w:pPr>
        <w:pStyle w:val="ListParagraph"/>
        <w:keepNext/>
        <w:numPr>
          <w:ilvl w:val="0"/>
          <w:numId w:val="46"/>
        </w:numPr>
        <w:spacing w:after="120"/>
        <w:ind w:left="992" w:hanging="425"/>
        <w:rPr>
          <w:rFonts w:cs="Arial"/>
          <w:lang w:val="es-ES"/>
        </w:rPr>
      </w:pPr>
      <w:r w:rsidRPr="002B202E">
        <w:rPr>
          <w:rFonts w:cs="Arial"/>
          <w:lang w:val="es-ES"/>
        </w:rPr>
        <w:t>El número de decisiones recibidas en 2015 aumentó un 25% en comparación con 2014, pasando de 3.169 a 3.961 decisiones.</w:t>
      </w:r>
    </w:p>
    <w:p w:rsidR="00264980" w:rsidRPr="002B202E" w:rsidRDefault="00264980" w:rsidP="00264980">
      <w:pPr>
        <w:pStyle w:val="ListParagraph"/>
        <w:keepNext/>
        <w:numPr>
          <w:ilvl w:val="0"/>
          <w:numId w:val="46"/>
        </w:numPr>
        <w:spacing w:after="200"/>
        <w:ind w:left="993" w:hanging="426"/>
        <w:contextualSpacing/>
        <w:rPr>
          <w:rFonts w:cs="Arial"/>
          <w:lang w:val="es-ES"/>
        </w:rPr>
      </w:pPr>
      <w:r w:rsidRPr="002B202E">
        <w:rPr>
          <w:rFonts w:cs="Arial"/>
          <w:lang w:val="es-ES"/>
        </w:rPr>
        <w:t>Desde 2011 se han tramitado automáticamente entre el 68% y el 72% de las decisiones.</w:t>
      </w:r>
    </w:p>
    <w:p w:rsidR="00264980" w:rsidRPr="002B202E" w:rsidRDefault="00264980" w:rsidP="00DC1333">
      <w:pPr>
        <w:pStyle w:val="ListParagraph"/>
        <w:keepNext/>
        <w:rPr>
          <w:rFonts w:cs="Arial"/>
          <w:lang w:val="es-ES"/>
        </w:rPr>
      </w:pPr>
    </w:p>
    <w:p w:rsidR="00264980" w:rsidRPr="002B202E" w:rsidRDefault="00264980" w:rsidP="00DC1333">
      <w:pPr>
        <w:pStyle w:val="ListParagraph"/>
        <w:rPr>
          <w:rFonts w:cs="Arial"/>
          <w:lang w:val="es-ES"/>
        </w:rPr>
      </w:pPr>
    </w:p>
    <w:p w:rsidR="00264980" w:rsidRPr="002B202E" w:rsidRDefault="00264980" w:rsidP="00DC1333">
      <w:pPr>
        <w:tabs>
          <w:tab w:val="left" w:pos="567"/>
        </w:tabs>
        <w:rPr>
          <w:b/>
          <w:sz w:val="20"/>
        </w:rPr>
      </w:pPr>
      <w:r w:rsidRPr="002B202E">
        <w:rPr>
          <w:b/>
          <w:sz w:val="20"/>
        </w:rPr>
        <w:t>II.</w:t>
      </w:r>
      <w:r w:rsidRPr="002B202E">
        <w:rPr>
          <w:b/>
          <w:sz w:val="20"/>
        </w:rPr>
        <w:tab/>
        <w:t>Volumen total de trabajo</w:t>
      </w:r>
    </w:p>
    <w:p w:rsidR="00264980" w:rsidRPr="002B202E" w:rsidRDefault="00264980" w:rsidP="00DC1333">
      <w:pPr>
        <w:pStyle w:val="ListParagraph"/>
        <w:ind w:left="1080"/>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El volumen total de trabajo representa el número total ponderado de documentos recibidos en la Oficina Internacional.  Están incluidas las cuatro categorías de documentos (solicitudes, renovaciones, cambios y decisiones).</w:t>
      </w:r>
    </w:p>
    <w:p w:rsidR="00264980" w:rsidRPr="002B202E" w:rsidRDefault="00264980" w:rsidP="00DC1333">
      <w:pPr>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Habida cuenta de que la cantidad de recursos necesarios para tramitar estos tipos de documentos es diferente, cada uno de ellos se pondera de forma distinta.  Conforme a la ponderación actual, en el tiempo necesario para tramitar una solicitud internacional un examinador puede tramitar ocho renovaciones, cuatro cambios y cuatro decisiones (una proporción del volumen de trabajo de 1:8:4:4).  En el bienio 2014/15 se produjo un aumento general de la complejidad de los exámenes de las solicitudes internacionales, motivado por el incremento a su vez del grado de complejidad de otros documentos, en especial las decisiones de las oficinas.  Aun así, la proporción del volumen de trabajo se mantuvo estable.</w:t>
      </w:r>
    </w:p>
    <w:p w:rsidR="00264980" w:rsidRPr="002B202E" w:rsidRDefault="00264980" w:rsidP="00DC1333">
      <w:pPr>
        <w:pStyle w:val="ListParagraph"/>
        <w:tabs>
          <w:tab w:val="left" w:pos="0"/>
          <w:tab w:val="left" w:pos="567"/>
        </w:tabs>
        <w:ind w:left="0"/>
        <w:contextualSpacing/>
        <w:jc w:val="both"/>
        <w:rPr>
          <w:rFonts w:cs="Arial"/>
          <w:lang w:val="es-ES"/>
        </w:rPr>
      </w:pPr>
    </w:p>
    <w:p w:rsidR="00264980" w:rsidRPr="002B202E" w:rsidRDefault="00264980" w:rsidP="00DC1333">
      <w:pPr>
        <w:jc w:val="center"/>
        <w:rPr>
          <w:sz w:val="20"/>
        </w:rPr>
      </w:pPr>
      <w:r w:rsidRPr="002B202E">
        <w:rPr>
          <w:noProof/>
          <w:sz w:val="20"/>
          <w:lang w:val="en-US" w:eastAsia="en-US"/>
        </w:rPr>
        <w:drawing>
          <wp:inline distT="0" distB="0" distL="0" distR="0" wp14:anchorId="70BB65B9" wp14:editId="603A50B5">
            <wp:extent cx="5702874" cy="2707338"/>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14341" cy="2712782"/>
                    </a:xfrm>
                    <a:prstGeom prst="rect">
                      <a:avLst/>
                    </a:prstGeom>
                    <a:noFill/>
                    <a:ln>
                      <a:noFill/>
                    </a:ln>
                  </pic:spPr>
                </pic:pic>
              </a:graphicData>
            </a:graphic>
          </wp:inline>
        </w:drawing>
      </w:r>
    </w:p>
    <w:p w:rsidR="00264980" w:rsidRPr="002B202E" w:rsidRDefault="00264980" w:rsidP="00DC1333">
      <w:pPr>
        <w:jc w:val="center"/>
        <w:rPr>
          <w:sz w:val="20"/>
        </w:rPr>
      </w:pPr>
    </w:p>
    <w:p w:rsidR="00264980" w:rsidRPr="002B202E" w:rsidRDefault="00264980" w:rsidP="00264980">
      <w:pPr>
        <w:pStyle w:val="ListParagraph"/>
        <w:numPr>
          <w:ilvl w:val="0"/>
          <w:numId w:val="43"/>
        </w:numPr>
        <w:spacing w:after="120"/>
        <w:ind w:left="992" w:hanging="425"/>
        <w:jc w:val="both"/>
        <w:rPr>
          <w:rFonts w:cs="Arial"/>
          <w:lang w:val="es-ES"/>
        </w:rPr>
      </w:pPr>
      <w:r w:rsidRPr="002B202E">
        <w:rPr>
          <w:rFonts w:cs="Arial"/>
          <w:lang w:val="es-ES"/>
        </w:rPr>
        <w:lastRenderedPageBreak/>
        <w:t>En 2015 el volumen total de trabajo aumentó un 35% en comparación con 2014.  El volumen total de trabajo durante el bienio aumentó un 22% en comparación con el bienio 2012/13.  Entre 2011 y 2015 el aumento en el volumen de trabajo se debió principalmente al incremento en el número de solicitudes recibidas.</w:t>
      </w:r>
    </w:p>
    <w:p w:rsidR="00264980" w:rsidRPr="002B202E" w:rsidRDefault="00264980" w:rsidP="00264980">
      <w:pPr>
        <w:pStyle w:val="ListParagraph"/>
        <w:numPr>
          <w:ilvl w:val="0"/>
          <w:numId w:val="43"/>
        </w:numPr>
        <w:spacing w:after="200"/>
        <w:ind w:left="993" w:hanging="426"/>
        <w:contextualSpacing/>
        <w:jc w:val="both"/>
        <w:rPr>
          <w:rFonts w:cs="Arial"/>
          <w:lang w:val="es-ES"/>
        </w:rPr>
      </w:pPr>
      <w:r w:rsidRPr="002B202E">
        <w:rPr>
          <w:rFonts w:cs="Arial"/>
          <w:lang w:val="es-ES"/>
        </w:rPr>
        <w:t>En 2015 las solicitudes por sí solas representaron el 79% del volumen total de trabajo, lo que supone un aumento del 3% con respecto a 2014.</w:t>
      </w:r>
    </w:p>
    <w:p w:rsidR="00264980" w:rsidRPr="002B202E" w:rsidRDefault="00264980" w:rsidP="00DC1333">
      <w:pPr>
        <w:rPr>
          <w:sz w:val="20"/>
        </w:rPr>
      </w:pPr>
    </w:p>
    <w:p w:rsidR="00264980" w:rsidRPr="002B202E" w:rsidRDefault="00264980" w:rsidP="00DC1333">
      <w:pPr>
        <w:tabs>
          <w:tab w:val="left" w:pos="567"/>
        </w:tabs>
        <w:rPr>
          <w:b/>
          <w:sz w:val="20"/>
        </w:rPr>
      </w:pPr>
      <w:r w:rsidRPr="002B202E">
        <w:rPr>
          <w:b/>
          <w:sz w:val="20"/>
        </w:rPr>
        <w:t>III.</w:t>
      </w:r>
      <w:r w:rsidRPr="002B202E">
        <w:rPr>
          <w:b/>
          <w:sz w:val="20"/>
        </w:rPr>
        <w:tab/>
        <w:t>Costo de tramitación</w:t>
      </w:r>
    </w:p>
    <w:p w:rsidR="00264980" w:rsidRPr="002B202E" w:rsidRDefault="00264980" w:rsidP="00DC1333">
      <w:pPr>
        <w:pStyle w:val="ListParagraph"/>
        <w:ind w:left="0"/>
        <w:rPr>
          <w:rFonts w:cs="Arial"/>
          <w:lang w:val="es-ES"/>
        </w:rPr>
      </w:pPr>
    </w:p>
    <w:p w:rsidR="00264980" w:rsidRPr="002B202E" w:rsidRDefault="00264980" w:rsidP="00DC1333">
      <w:pPr>
        <w:rPr>
          <w:sz w:val="20"/>
          <w:u w:val="single"/>
        </w:rPr>
      </w:pPr>
      <w:r w:rsidRPr="002B202E">
        <w:rPr>
          <w:sz w:val="20"/>
          <w:u w:val="single"/>
        </w:rPr>
        <w:t>Costo total de producción</w:t>
      </w:r>
    </w:p>
    <w:p w:rsidR="00264980" w:rsidRPr="002B202E" w:rsidRDefault="00264980" w:rsidP="00DC1333">
      <w:pPr>
        <w:pStyle w:val="ListParagraph"/>
        <w:ind w:left="0"/>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El costo total de producción comprende el gasto relacionado exclusivamente con el Sistema de La Haya y el gasto en concepto de actividades de apoyo al Sistema.</w:t>
      </w:r>
      <w:r w:rsidRPr="002B202E">
        <w:rPr>
          <w:rStyle w:val="FootnoteReference"/>
          <w:rFonts w:cs="Arial"/>
          <w:lang w:val="es-ES"/>
        </w:rPr>
        <w:footnoteReference w:id="42"/>
      </w:r>
      <w:r w:rsidRPr="002B202E">
        <w:rPr>
          <w:rFonts w:cs="Arial"/>
          <w:lang w:val="es-ES"/>
        </w:rPr>
        <w:t xml:space="preserve">  Los costos indirectos reflejan el gasto de las actividades de apoyo (por ejemplo, edificios y tecnología de la información).  Estos últimos se ponderan para tener en cuenta únicamente la proporción imputable al Sistema de La Haya.</w:t>
      </w:r>
    </w:p>
    <w:p w:rsidR="00264980" w:rsidRPr="002B202E" w:rsidRDefault="00264980" w:rsidP="00DC1333">
      <w:pPr>
        <w:pStyle w:val="ListParagraph"/>
        <w:tabs>
          <w:tab w:val="left" w:pos="0"/>
          <w:tab w:val="left" w:pos="567"/>
        </w:tabs>
        <w:ind w:left="0"/>
        <w:contextualSpacing/>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En el gasto relacionado exclusivamente con el Sistema de La Haya se incluye el relativo al programa 31 (Sistema de La Haya) y aproximadamente el 7% del gasto de la Oficina del Director General Adjunto encargado del Sector de Marcas y Dise</w:t>
      </w:r>
      <w:r w:rsidRPr="002B202E">
        <w:rPr>
          <w:rFonts w:ascii="Tahoma" w:hAnsi="Tahoma" w:cs="Tahoma"/>
          <w:lang w:val="es-ES"/>
        </w:rPr>
        <w:t>ñ</w:t>
      </w:r>
      <w:r w:rsidRPr="002B202E">
        <w:rPr>
          <w:rFonts w:cs="Arial"/>
          <w:lang w:val="es-ES"/>
        </w:rPr>
        <w:t>os (programa 6 – Sistemas de Madrid y de Lisboa).</w:t>
      </w:r>
      <w:r w:rsidRPr="002B202E">
        <w:rPr>
          <w:rStyle w:val="FootnoteReference"/>
          <w:rFonts w:cs="Arial"/>
          <w:lang w:val="es-ES"/>
        </w:rPr>
        <w:footnoteReference w:id="43"/>
      </w:r>
    </w:p>
    <w:p w:rsidR="00264980" w:rsidRPr="002B202E" w:rsidRDefault="00264980" w:rsidP="00DC1333">
      <w:pPr>
        <w:pStyle w:val="ListParagraph"/>
        <w:tabs>
          <w:tab w:val="left" w:pos="0"/>
          <w:tab w:val="left" w:pos="567"/>
        </w:tabs>
        <w:ind w:left="0"/>
        <w:contextualSpacing/>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El gasto en concepto de actividades de apoyo al Sistema de La Haya comprende el gasto derivado de los siguientes servicios generales</w:t>
      </w:r>
      <w:proofErr w:type="gramStart"/>
      <w:r w:rsidRPr="002B202E">
        <w:rPr>
          <w:rFonts w:cs="Arial"/>
          <w:lang w:val="es-ES"/>
        </w:rPr>
        <w:t>:  servicio</w:t>
      </w:r>
      <w:proofErr w:type="gramEnd"/>
      <w:r w:rsidRPr="002B202E">
        <w:rPr>
          <w:rFonts w:cs="Arial"/>
          <w:lang w:val="es-ES"/>
        </w:rPr>
        <w:t xml:space="preserve"> de conferencias y lingüísticos, construcción, gestión ejecutiva, finanzas y presupuesto, servicios generales de apoyo, gestión de los recursos humanos, supervisión interna, T.I. y seguridad y vigilancia.  Una pequeña parte de estos gastos (el costo del alojamiento del servidor en el </w:t>
      </w:r>
      <w:r w:rsidRPr="002B202E">
        <w:rPr>
          <w:rStyle w:val="preferred"/>
          <w:rFonts w:eastAsia="SimSun"/>
          <w:lang w:val="es-ES"/>
        </w:rPr>
        <w:t xml:space="preserve">Centro Internacional de Cálculo de las Naciones Unidas </w:t>
      </w:r>
      <w:r w:rsidRPr="002B202E">
        <w:rPr>
          <w:rFonts w:cs="Arial"/>
          <w:lang w:val="es-ES"/>
        </w:rPr>
        <w:t>y el porcentaje del costo de la Sección de Ingresos dentro del Departamento de Finanzas</w:t>
      </w:r>
      <w:r w:rsidRPr="002B202E">
        <w:rPr>
          <w:lang w:val="es-ES"/>
        </w:rPr>
        <w:t xml:space="preserve">) </w:t>
      </w:r>
      <w:r w:rsidRPr="002B202E">
        <w:rPr>
          <w:noProof/>
          <w:lang w:val="es-ES" w:eastAsia="es-ES"/>
        </w:rPr>
        <w:t>se atribuyen directamente al Sistema de La Haya, pero el resto de gastos que se pueden atribuir al Sistema se calculan en función de la dotación de personal (incluyendo el personal de plazo fijo, el personal temporal y los becarios).</w:t>
      </w:r>
    </w:p>
    <w:p w:rsidR="00264980" w:rsidRPr="002B202E" w:rsidRDefault="00264980" w:rsidP="00DC1333">
      <w:pPr>
        <w:pStyle w:val="ListParagraph"/>
        <w:tabs>
          <w:tab w:val="left" w:pos="-2127"/>
        </w:tabs>
        <w:ind w:left="0"/>
        <w:contextualSpacing/>
        <w:jc w:val="center"/>
        <w:rPr>
          <w:rFonts w:cs="Arial"/>
          <w:lang w:val="es-ES"/>
        </w:rPr>
      </w:pPr>
    </w:p>
    <w:p w:rsidR="00264980" w:rsidRPr="002B202E" w:rsidRDefault="00264980" w:rsidP="00DC1333">
      <w:pPr>
        <w:pStyle w:val="ListParagraph"/>
        <w:tabs>
          <w:tab w:val="left" w:pos="-2127"/>
        </w:tabs>
        <w:ind w:left="0"/>
        <w:contextualSpacing/>
        <w:jc w:val="center"/>
        <w:rPr>
          <w:rFonts w:cs="Arial"/>
          <w:lang w:val="es-ES"/>
        </w:rPr>
      </w:pPr>
      <w:r w:rsidRPr="002B202E">
        <w:rPr>
          <w:noProof/>
        </w:rPr>
        <w:drawing>
          <wp:inline distT="0" distB="0" distL="0" distR="0" wp14:anchorId="38371C2D" wp14:editId="3540BDD2">
            <wp:extent cx="5563400" cy="3146961"/>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572404" cy="3152054"/>
                    </a:xfrm>
                    <a:prstGeom prst="rect">
                      <a:avLst/>
                    </a:prstGeom>
                    <a:noFill/>
                    <a:ln>
                      <a:noFill/>
                    </a:ln>
                  </pic:spPr>
                </pic:pic>
              </a:graphicData>
            </a:graphic>
          </wp:inline>
        </w:drawing>
      </w:r>
    </w:p>
    <w:p w:rsidR="00264980" w:rsidRPr="002B202E" w:rsidRDefault="00264980" w:rsidP="00DC1333">
      <w:pPr>
        <w:pStyle w:val="ListParagraph"/>
        <w:tabs>
          <w:tab w:val="left" w:pos="-2127"/>
        </w:tabs>
        <w:ind w:left="0"/>
        <w:contextualSpacing/>
        <w:jc w:val="center"/>
        <w:rPr>
          <w:rFonts w:cs="Arial"/>
          <w:lang w:val="es-ES"/>
        </w:rPr>
      </w:pPr>
    </w:p>
    <w:p w:rsidR="00264980" w:rsidRPr="002B202E" w:rsidRDefault="00264980" w:rsidP="00264980">
      <w:pPr>
        <w:pStyle w:val="ListParagraph"/>
        <w:keepNext/>
        <w:keepLines/>
        <w:numPr>
          <w:ilvl w:val="0"/>
          <w:numId w:val="44"/>
        </w:numPr>
        <w:spacing w:after="120"/>
        <w:ind w:left="992" w:hanging="425"/>
        <w:jc w:val="both"/>
        <w:rPr>
          <w:rFonts w:cs="Arial"/>
          <w:lang w:val="es-ES"/>
        </w:rPr>
      </w:pPr>
      <w:r w:rsidRPr="002B202E">
        <w:rPr>
          <w:rFonts w:cs="Arial"/>
          <w:lang w:val="es-ES"/>
        </w:rPr>
        <w:lastRenderedPageBreak/>
        <w:t>El gasto total relacionado con la tramitación en el Sistema de La Haya se estima en</w:t>
      </w:r>
      <w:r w:rsidR="00EF106E">
        <w:rPr>
          <w:rFonts w:cs="Arial"/>
          <w:lang w:val="es-ES"/>
        </w:rPr>
        <w:t xml:space="preserve"> cerca de </w:t>
      </w:r>
      <w:r w:rsidRPr="002B202E">
        <w:rPr>
          <w:rFonts w:cs="Arial"/>
          <w:lang w:val="es-ES"/>
        </w:rPr>
        <w:t>6 millones de francos suizos en 2015.  Ello representa un aumento del 5% con respecto a 2014.  Los costos directos e indirectos aumentaron r</w:t>
      </w:r>
      <w:r w:rsidR="00EF106E">
        <w:rPr>
          <w:rFonts w:cs="Arial"/>
          <w:lang w:val="es-ES"/>
        </w:rPr>
        <w:t>espectivamente un 6% y un 3% en </w:t>
      </w:r>
      <w:r w:rsidRPr="002B202E">
        <w:rPr>
          <w:rFonts w:cs="Arial"/>
          <w:lang w:val="es-ES"/>
        </w:rPr>
        <w:t>2014.  Durante el bienio 2014/15 el costo total de producción aumentó un 3% en comparación con el bienio anterior.</w:t>
      </w:r>
    </w:p>
    <w:p w:rsidR="00264980" w:rsidRPr="002B202E" w:rsidRDefault="00264980" w:rsidP="00264980">
      <w:pPr>
        <w:pStyle w:val="ListParagraph"/>
        <w:numPr>
          <w:ilvl w:val="0"/>
          <w:numId w:val="44"/>
        </w:numPr>
        <w:spacing w:after="200"/>
        <w:ind w:left="993" w:hanging="426"/>
        <w:contextualSpacing/>
        <w:jc w:val="both"/>
        <w:rPr>
          <w:rFonts w:cs="Arial"/>
          <w:lang w:val="es-ES"/>
        </w:rPr>
      </w:pPr>
      <w:r w:rsidRPr="002B202E">
        <w:rPr>
          <w:rFonts w:cs="Arial"/>
          <w:lang w:val="es-ES"/>
        </w:rPr>
        <w:t>En 2015 correspondió a los costos directos el 61% del gasto total.</w:t>
      </w:r>
    </w:p>
    <w:p w:rsidR="00264980" w:rsidRPr="002B202E" w:rsidRDefault="00264980" w:rsidP="00DC1333">
      <w:pPr>
        <w:pStyle w:val="ListParagraph"/>
        <w:ind w:left="993" w:hanging="426"/>
        <w:rPr>
          <w:rFonts w:cs="Arial"/>
          <w:lang w:val="es-ES"/>
        </w:rPr>
      </w:pPr>
    </w:p>
    <w:p w:rsidR="00264980" w:rsidRPr="002B202E" w:rsidRDefault="00264980" w:rsidP="00DC1333">
      <w:pPr>
        <w:pStyle w:val="ListParagraph"/>
        <w:ind w:left="993" w:hanging="426"/>
        <w:rPr>
          <w:rFonts w:cs="Arial"/>
          <w:lang w:val="es-ES"/>
        </w:rPr>
      </w:pPr>
    </w:p>
    <w:p w:rsidR="00264980" w:rsidRPr="002B202E" w:rsidRDefault="00264980" w:rsidP="00DC1333">
      <w:pPr>
        <w:rPr>
          <w:sz w:val="20"/>
          <w:u w:val="single"/>
        </w:rPr>
      </w:pPr>
      <w:r w:rsidRPr="002B202E">
        <w:rPr>
          <w:sz w:val="20"/>
          <w:u w:val="single"/>
        </w:rPr>
        <w:t>Costo unitario</w:t>
      </w:r>
    </w:p>
    <w:p w:rsidR="00264980" w:rsidRPr="002B202E" w:rsidRDefault="00264980" w:rsidP="00DC1333">
      <w:pPr>
        <w:rPr>
          <w:sz w:val="20"/>
          <w:u w:val="single"/>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La eficiencia de la Oficina Internacional en cuanto a la tramitación de transacciones puede medirse por el costo unitario, definido como el costo medio de producción de una unidad de producto.</w:t>
      </w:r>
    </w:p>
    <w:p w:rsidR="00264980" w:rsidRPr="002B202E" w:rsidRDefault="00264980" w:rsidP="00DC1333">
      <w:pPr>
        <w:contextualSpacing/>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 xml:space="preserve">Habida cuenta de que la Oficina Internacional crea registros a partir de nuevas solicitudes y mantiene los registros existentes, resulta pertinente contar con una unidad de producto que incluya un conjunto de transacciones.  Se presentan </w:t>
      </w:r>
      <w:r w:rsidRPr="002B202E">
        <w:rPr>
          <w:rFonts w:cs="Arial"/>
          <w:i/>
          <w:lang w:val="es-ES"/>
        </w:rPr>
        <w:t>infra</w:t>
      </w:r>
      <w:r w:rsidRPr="002B202E">
        <w:rPr>
          <w:rFonts w:cs="Arial"/>
          <w:lang w:val="es-ES"/>
        </w:rPr>
        <w:t xml:space="preserve"> dos indicadores de costo unitario, utilizando dos unidades de producto diferentes.</w:t>
      </w:r>
    </w:p>
    <w:p w:rsidR="00264980" w:rsidRPr="002B202E" w:rsidRDefault="00264980" w:rsidP="00DC1333">
      <w:pPr>
        <w:pStyle w:val="ListParagraph"/>
        <w:tabs>
          <w:tab w:val="left" w:pos="0"/>
          <w:tab w:val="left" w:pos="567"/>
        </w:tabs>
        <w:ind w:left="0"/>
        <w:jc w:val="both"/>
        <w:rPr>
          <w:rFonts w:cs="Arial"/>
          <w:lang w:val="es-ES"/>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En el marco de los esfuerzos de la Oficina Internacional por seguir refinando la metodología de cálculo de los costos unitarios, en el presupuesto por programas del bienio 2016/17 se ha revisado esa metodología para reflejar con mayor exactitud el costo de tramitación del volumen de trabajo correspondiente al Sistema de La Haya en la Oficina Internacional.</w:t>
      </w:r>
      <w:r w:rsidRPr="002B202E">
        <w:rPr>
          <w:rStyle w:val="FootnoteReference"/>
          <w:rFonts w:cs="Arial"/>
          <w:lang w:val="es-ES"/>
        </w:rPr>
        <w:footnoteReference w:id="44"/>
      </w:r>
    </w:p>
    <w:p w:rsidR="00264980" w:rsidRPr="002B202E" w:rsidRDefault="00264980" w:rsidP="00DC1333">
      <w:pPr>
        <w:pStyle w:val="ListParagraph"/>
        <w:tabs>
          <w:tab w:val="left" w:pos="0"/>
          <w:tab w:val="left" w:pos="567"/>
        </w:tabs>
        <w:ind w:left="0"/>
        <w:jc w:val="both"/>
        <w:rPr>
          <w:rFonts w:cs="Arial"/>
          <w:lang w:val="es-ES"/>
        </w:rPr>
      </w:pPr>
    </w:p>
    <w:p w:rsidR="00264980" w:rsidRPr="002B202E" w:rsidRDefault="00264980" w:rsidP="00DC1333">
      <w:pPr>
        <w:jc w:val="both"/>
        <w:rPr>
          <w:i/>
          <w:sz w:val="20"/>
        </w:rPr>
      </w:pPr>
      <w:r w:rsidRPr="002B202E">
        <w:rPr>
          <w:i/>
          <w:sz w:val="20"/>
        </w:rPr>
        <w:t>Costo unitario por dibujo o modelo nuevo/renovado</w:t>
      </w:r>
    </w:p>
    <w:p w:rsidR="00264980" w:rsidRPr="002B202E" w:rsidRDefault="00264980" w:rsidP="00DC1333">
      <w:pPr>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Los dibujos o modelos nuevos son los que están contenidos en solicitudes internacionales que dan lugar a registros en un año determinado, y los dibujos o modelos renovados son los que ya existen en registros internacionales y son objeto de renovación en un año determinado.  Combinados, los dibujos o modelos contenidos en esos dos tipos de transacción reflejan las actividades principales de la Oficina Internacional en este contexto.</w:t>
      </w:r>
    </w:p>
    <w:p w:rsidR="00264980" w:rsidRPr="002B202E" w:rsidRDefault="00264980" w:rsidP="00DC1333">
      <w:pPr>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Habida cuenta de que los recursos necesarios para tramitar los dibujos o modelos contenidos en esos dos tipos de documentos son diferentes, cada uno de ellos se pondera de forma distinta.</w:t>
      </w:r>
      <w:r w:rsidRPr="002B202E">
        <w:rPr>
          <w:rStyle w:val="FootnoteReference"/>
          <w:rFonts w:cs="Arial"/>
          <w:lang w:val="es-ES"/>
        </w:rPr>
        <w:footnoteReference w:id="45"/>
      </w:r>
      <w:r w:rsidRPr="002B202E">
        <w:rPr>
          <w:rFonts w:cs="Arial"/>
          <w:lang w:val="es-ES"/>
        </w:rPr>
        <w:t xml:space="preserve">  El costo unitario se calcula dividiendo el costo total de producción por el número de dibujos o modelos nuevos/renovados.</w:t>
      </w:r>
    </w:p>
    <w:p w:rsidR="00264980" w:rsidRPr="002B202E" w:rsidRDefault="00264980" w:rsidP="00DC1333">
      <w:pPr>
        <w:spacing w:before="120" w:after="120"/>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06"/>
      </w:tblGrid>
      <w:tr w:rsidR="00264980" w:rsidRPr="002B202E" w:rsidTr="00DC1333">
        <w:tc>
          <w:tcPr>
            <w:tcW w:w="4788" w:type="dxa"/>
          </w:tcPr>
          <w:p w:rsidR="00264980" w:rsidRPr="002B202E" w:rsidRDefault="00264980" w:rsidP="00DC1333">
            <w:pPr>
              <w:spacing w:after="200" w:line="276" w:lineRule="auto"/>
              <w:jc w:val="center"/>
              <w:rPr>
                <w:sz w:val="20"/>
              </w:rPr>
            </w:pPr>
            <w:r w:rsidRPr="002B202E">
              <w:rPr>
                <w:sz w:val="20"/>
              </w:rPr>
              <w:t>Método antiguo</w:t>
            </w:r>
          </w:p>
        </w:tc>
        <w:tc>
          <w:tcPr>
            <w:tcW w:w="4788" w:type="dxa"/>
          </w:tcPr>
          <w:p w:rsidR="00264980" w:rsidRPr="002B202E" w:rsidRDefault="00264980" w:rsidP="00DC1333">
            <w:pPr>
              <w:spacing w:after="200" w:line="276" w:lineRule="auto"/>
              <w:jc w:val="center"/>
              <w:rPr>
                <w:sz w:val="20"/>
              </w:rPr>
            </w:pPr>
            <w:r w:rsidRPr="002B202E">
              <w:rPr>
                <w:sz w:val="20"/>
              </w:rPr>
              <w:t>Método nuevo</w:t>
            </w:r>
          </w:p>
        </w:tc>
      </w:tr>
      <w:tr w:rsidR="00264980" w:rsidRPr="002B202E" w:rsidTr="00DC1333">
        <w:tc>
          <w:tcPr>
            <w:tcW w:w="4788" w:type="dxa"/>
          </w:tcPr>
          <w:p w:rsidR="00264980" w:rsidRPr="002B202E" w:rsidRDefault="00264980" w:rsidP="00DC1333">
            <w:pPr>
              <w:spacing w:after="200" w:line="276" w:lineRule="auto"/>
              <w:jc w:val="center"/>
              <w:rPr>
                <w:sz w:val="20"/>
              </w:rPr>
            </w:pPr>
            <w:r w:rsidRPr="002B202E">
              <w:rPr>
                <w:noProof/>
                <w:sz w:val="20"/>
                <w:lang w:val="en-US" w:eastAsia="en-US"/>
              </w:rPr>
              <w:drawing>
                <wp:inline distT="0" distB="0" distL="0" distR="0" wp14:anchorId="0FBEE21B" wp14:editId="28F4DDDB">
                  <wp:extent cx="2832100" cy="1846574"/>
                  <wp:effectExtent l="0" t="0" r="6350" b="190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36257" cy="1849284"/>
                          </a:xfrm>
                          <a:prstGeom prst="rect">
                            <a:avLst/>
                          </a:prstGeom>
                          <a:noFill/>
                          <a:ln>
                            <a:noFill/>
                          </a:ln>
                        </pic:spPr>
                      </pic:pic>
                    </a:graphicData>
                  </a:graphic>
                </wp:inline>
              </w:drawing>
            </w:r>
          </w:p>
        </w:tc>
        <w:tc>
          <w:tcPr>
            <w:tcW w:w="4788" w:type="dxa"/>
          </w:tcPr>
          <w:p w:rsidR="00264980" w:rsidRPr="002B202E" w:rsidRDefault="00264980" w:rsidP="00DC1333">
            <w:pPr>
              <w:spacing w:after="200" w:line="276" w:lineRule="auto"/>
              <w:jc w:val="center"/>
              <w:rPr>
                <w:sz w:val="20"/>
              </w:rPr>
            </w:pPr>
            <w:r w:rsidRPr="002B202E">
              <w:rPr>
                <w:noProof/>
                <w:sz w:val="20"/>
                <w:lang w:val="en-US" w:eastAsia="en-US"/>
              </w:rPr>
              <w:drawing>
                <wp:inline distT="0" distB="0" distL="0" distR="0" wp14:anchorId="54EFEF4D" wp14:editId="13BC4786">
                  <wp:extent cx="2909810" cy="1930018"/>
                  <wp:effectExtent l="0" t="0" r="508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13643" cy="1932560"/>
                          </a:xfrm>
                          <a:prstGeom prst="rect">
                            <a:avLst/>
                          </a:prstGeom>
                          <a:noFill/>
                          <a:ln>
                            <a:noFill/>
                          </a:ln>
                        </pic:spPr>
                      </pic:pic>
                    </a:graphicData>
                  </a:graphic>
                </wp:inline>
              </w:drawing>
            </w:r>
          </w:p>
        </w:tc>
      </w:tr>
    </w:tbl>
    <w:p w:rsidR="00264980" w:rsidRPr="002B202E" w:rsidRDefault="00264980" w:rsidP="00DC1333">
      <w:pPr>
        <w:pStyle w:val="ListParagraph"/>
        <w:spacing w:before="120" w:after="120"/>
        <w:ind w:left="1080"/>
        <w:jc w:val="center"/>
        <w:rPr>
          <w:rFonts w:cs="Arial"/>
          <w:lang w:val="es-ES"/>
        </w:rPr>
      </w:pPr>
    </w:p>
    <w:p w:rsidR="00264980" w:rsidRPr="002B202E" w:rsidRDefault="00264980" w:rsidP="00264980">
      <w:pPr>
        <w:pStyle w:val="ListParagraph"/>
        <w:numPr>
          <w:ilvl w:val="0"/>
          <w:numId w:val="45"/>
        </w:numPr>
        <w:ind w:left="993" w:hanging="426"/>
        <w:contextualSpacing/>
        <w:jc w:val="both"/>
        <w:rPr>
          <w:rFonts w:cs="Arial"/>
          <w:lang w:val="es-ES"/>
        </w:rPr>
      </w:pPr>
      <w:r w:rsidRPr="002B202E">
        <w:rPr>
          <w:rFonts w:cs="Arial"/>
          <w:lang w:val="es-ES"/>
        </w:rPr>
        <w:lastRenderedPageBreak/>
        <w:t>En 2015 el costo medio de tramitación de un dibujo o modelo nuevo/renovado fue de 337 francos suizos, es decir que se produjo una disminución del 8% con respecto a 2014.  Esa disminución se debió a un fuerte aumento del 14% en el número de dibujos o modelos nuevos/renovados que se tramitaron con una cantidad de recur</w:t>
      </w:r>
      <w:r w:rsidR="005E5FB4">
        <w:rPr>
          <w:rFonts w:cs="Arial"/>
          <w:lang w:val="es-ES"/>
        </w:rPr>
        <w:t>sos disponibles similar a la de </w:t>
      </w:r>
      <w:r w:rsidRPr="002B202E">
        <w:rPr>
          <w:rFonts w:cs="Arial"/>
          <w:lang w:val="es-ES"/>
        </w:rPr>
        <w:t>2014.</w:t>
      </w:r>
    </w:p>
    <w:p w:rsidR="00264980" w:rsidRPr="002B202E" w:rsidRDefault="00264980" w:rsidP="00DC1333">
      <w:pPr>
        <w:pStyle w:val="ListParagraph"/>
        <w:ind w:left="993"/>
        <w:contextualSpacing/>
        <w:jc w:val="both"/>
        <w:rPr>
          <w:rFonts w:cs="Arial"/>
          <w:lang w:val="es-ES"/>
        </w:rPr>
      </w:pPr>
    </w:p>
    <w:p w:rsidR="00264980" w:rsidRPr="002B202E" w:rsidRDefault="00264980" w:rsidP="00264980">
      <w:pPr>
        <w:pStyle w:val="ListParagraph"/>
        <w:numPr>
          <w:ilvl w:val="0"/>
          <w:numId w:val="45"/>
        </w:numPr>
        <w:ind w:left="993" w:hanging="426"/>
        <w:contextualSpacing/>
        <w:jc w:val="both"/>
        <w:rPr>
          <w:rFonts w:cs="Arial"/>
          <w:lang w:val="es-ES"/>
        </w:rPr>
      </w:pPr>
      <w:r w:rsidRPr="002B202E">
        <w:rPr>
          <w:rFonts w:cs="Arial"/>
          <w:lang w:val="es-ES"/>
        </w:rPr>
        <w:t>En el bienio 2014/15 el costo unitario medio de tramitación de un dibujo o modelo nuevo/renovado fue de 350 francos suizos, es decir que se produjo una disminución del 12% con respecto al bienio 2012/13, en que dicha cifra fue de 400 francos suizos.</w:t>
      </w:r>
    </w:p>
    <w:p w:rsidR="00264980" w:rsidRPr="002B202E" w:rsidRDefault="00264980" w:rsidP="00DC1333">
      <w:pPr>
        <w:jc w:val="center"/>
        <w:rPr>
          <w:sz w:val="20"/>
        </w:rPr>
      </w:pPr>
    </w:p>
    <w:p w:rsidR="00264980" w:rsidRPr="002B202E" w:rsidRDefault="00264980" w:rsidP="00DC1333">
      <w:pPr>
        <w:jc w:val="both"/>
        <w:rPr>
          <w:i/>
          <w:sz w:val="20"/>
        </w:rPr>
      </w:pPr>
      <w:r w:rsidRPr="002B202E">
        <w:rPr>
          <w:i/>
          <w:sz w:val="20"/>
        </w:rPr>
        <w:t>Costo unitario por documento inscrito en el Registro</w:t>
      </w:r>
    </w:p>
    <w:p w:rsidR="00264980" w:rsidRPr="002B202E" w:rsidRDefault="00264980" w:rsidP="00DC1333">
      <w:pPr>
        <w:jc w:val="both"/>
        <w:rPr>
          <w:sz w:val="20"/>
        </w:rPr>
      </w:pP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 xml:space="preserve">Los documentos inscritos en el Registro corresponden al volumen total de trabajo (véase “Volumen total de trabajo” </w:t>
      </w:r>
      <w:r w:rsidRPr="002B202E">
        <w:rPr>
          <w:rFonts w:cs="Arial"/>
          <w:i/>
          <w:lang w:val="es-ES"/>
        </w:rPr>
        <w:t>supra</w:t>
      </w:r>
      <w:r w:rsidRPr="002B202E">
        <w:rPr>
          <w:rFonts w:cs="Arial"/>
          <w:lang w:val="es-ES"/>
        </w:rPr>
        <w:t>).</w:t>
      </w:r>
    </w:p>
    <w:p w:rsidR="00264980" w:rsidRPr="002B202E" w:rsidRDefault="00264980" w:rsidP="00DC1333">
      <w:pPr>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586"/>
      </w:tblGrid>
      <w:tr w:rsidR="00264980" w:rsidRPr="002B202E" w:rsidTr="00DC1333">
        <w:tc>
          <w:tcPr>
            <w:tcW w:w="4788" w:type="dxa"/>
          </w:tcPr>
          <w:p w:rsidR="00264980" w:rsidRPr="002B202E" w:rsidRDefault="00264980" w:rsidP="00DC1333">
            <w:pPr>
              <w:spacing w:after="200" w:line="276" w:lineRule="auto"/>
              <w:jc w:val="center"/>
              <w:rPr>
                <w:sz w:val="20"/>
              </w:rPr>
            </w:pPr>
            <w:r w:rsidRPr="002B202E">
              <w:rPr>
                <w:sz w:val="20"/>
              </w:rPr>
              <w:t>Método antiguo</w:t>
            </w:r>
          </w:p>
        </w:tc>
        <w:tc>
          <w:tcPr>
            <w:tcW w:w="4788" w:type="dxa"/>
          </w:tcPr>
          <w:p w:rsidR="00264980" w:rsidRPr="002B202E" w:rsidRDefault="00264980" w:rsidP="00DC1333">
            <w:pPr>
              <w:spacing w:after="200" w:line="276" w:lineRule="auto"/>
              <w:jc w:val="center"/>
              <w:rPr>
                <w:sz w:val="20"/>
              </w:rPr>
            </w:pPr>
            <w:r w:rsidRPr="002B202E">
              <w:rPr>
                <w:sz w:val="20"/>
              </w:rPr>
              <w:t>Método nuevo</w:t>
            </w:r>
          </w:p>
        </w:tc>
      </w:tr>
      <w:tr w:rsidR="00264980" w:rsidRPr="002B202E" w:rsidTr="00DC1333">
        <w:tc>
          <w:tcPr>
            <w:tcW w:w="4788" w:type="dxa"/>
          </w:tcPr>
          <w:p w:rsidR="00264980" w:rsidRPr="002B202E" w:rsidRDefault="00264980" w:rsidP="00DC1333">
            <w:pPr>
              <w:spacing w:after="200" w:line="276" w:lineRule="auto"/>
              <w:jc w:val="center"/>
              <w:rPr>
                <w:sz w:val="20"/>
              </w:rPr>
            </w:pPr>
            <w:r w:rsidRPr="002B202E">
              <w:rPr>
                <w:noProof/>
                <w:sz w:val="20"/>
                <w:lang w:val="en-US" w:eastAsia="en-US"/>
              </w:rPr>
              <w:drawing>
                <wp:inline distT="0" distB="0" distL="0" distR="0" wp14:anchorId="39109E65" wp14:editId="4D9963CE">
                  <wp:extent cx="3083442" cy="1873232"/>
                  <wp:effectExtent l="0" t="0" r="317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91938" cy="1878393"/>
                          </a:xfrm>
                          <a:prstGeom prst="rect">
                            <a:avLst/>
                          </a:prstGeom>
                          <a:noFill/>
                          <a:ln>
                            <a:noFill/>
                          </a:ln>
                        </pic:spPr>
                      </pic:pic>
                    </a:graphicData>
                  </a:graphic>
                </wp:inline>
              </w:drawing>
            </w:r>
          </w:p>
        </w:tc>
        <w:tc>
          <w:tcPr>
            <w:tcW w:w="4788" w:type="dxa"/>
          </w:tcPr>
          <w:p w:rsidR="00264980" w:rsidRPr="002B202E" w:rsidRDefault="00264980" w:rsidP="00DC1333">
            <w:pPr>
              <w:spacing w:after="200" w:line="276" w:lineRule="auto"/>
              <w:jc w:val="center"/>
              <w:rPr>
                <w:sz w:val="20"/>
              </w:rPr>
            </w:pPr>
            <w:r w:rsidRPr="002B202E">
              <w:rPr>
                <w:noProof/>
                <w:sz w:val="20"/>
                <w:lang w:val="en-US" w:eastAsia="en-US"/>
              </w:rPr>
              <w:drawing>
                <wp:inline distT="0" distB="0" distL="0" distR="0" wp14:anchorId="1096AAE2" wp14:editId="7F2659CB">
                  <wp:extent cx="2828260" cy="1860182"/>
                  <wp:effectExtent l="0" t="0" r="0" b="698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46432" cy="1872134"/>
                          </a:xfrm>
                          <a:prstGeom prst="rect">
                            <a:avLst/>
                          </a:prstGeom>
                          <a:noFill/>
                          <a:ln>
                            <a:noFill/>
                          </a:ln>
                        </pic:spPr>
                      </pic:pic>
                    </a:graphicData>
                  </a:graphic>
                </wp:inline>
              </w:drawing>
            </w:r>
          </w:p>
        </w:tc>
      </w:tr>
    </w:tbl>
    <w:p w:rsidR="00264980" w:rsidRPr="002B202E" w:rsidRDefault="00264980" w:rsidP="00DC1333">
      <w:pPr>
        <w:jc w:val="center"/>
        <w:rPr>
          <w:sz w:val="20"/>
        </w:rPr>
      </w:pPr>
    </w:p>
    <w:p w:rsidR="00264980" w:rsidRPr="002B202E" w:rsidRDefault="00264980" w:rsidP="00264980">
      <w:pPr>
        <w:pStyle w:val="ListParagraph"/>
        <w:numPr>
          <w:ilvl w:val="0"/>
          <w:numId w:val="45"/>
        </w:numPr>
        <w:ind w:left="993" w:hanging="426"/>
        <w:contextualSpacing/>
        <w:jc w:val="both"/>
        <w:rPr>
          <w:rFonts w:cs="Arial"/>
          <w:lang w:val="es-ES"/>
        </w:rPr>
      </w:pPr>
      <w:r w:rsidRPr="002B202E">
        <w:rPr>
          <w:rFonts w:cs="Arial"/>
          <w:lang w:val="es-ES"/>
        </w:rPr>
        <w:t>El costo medio de la inscripción de un documento en el Registro disminuyó un 22%, pasando de 1.483 francos suizos en 2014 a 1.153 francos suizos en 2015.  Ello se debe al fuerte aumento del 35% en el volumen total de trabajo tramitado</w:t>
      </w:r>
      <w:r w:rsidR="00925CC6">
        <w:rPr>
          <w:rFonts w:cs="Arial"/>
          <w:lang w:val="es-ES"/>
        </w:rPr>
        <w:t xml:space="preserve"> con los mismos recursos que en </w:t>
      </w:r>
      <w:r w:rsidRPr="002B202E">
        <w:rPr>
          <w:rFonts w:cs="Arial"/>
          <w:lang w:val="es-ES"/>
        </w:rPr>
        <w:t>2014.</w:t>
      </w:r>
    </w:p>
    <w:p w:rsidR="00264980" w:rsidRPr="002B202E" w:rsidRDefault="00264980" w:rsidP="00DC1333">
      <w:pPr>
        <w:pStyle w:val="ListParagraph"/>
        <w:ind w:left="993"/>
        <w:contextualSpacing/>
        <w:jc w:val="both"/>
        <w:rPr>
          <w:rFonts w:cs="Arial"/>
          <w:lang w:val="es-ES"/>
        </w:rPr>
      </w:pPr>
    </w:p>
    <w:p w:rsidR="00264980" w:rsidRPr="002B202E" w:rsidRDefault="00264980" w:rsidP="00264980">
      <w:pPr>
        <w:pStyle w:val="ListParagraph"/>
        <w:numPr>
          <w:ilvl w:val="0"/>
          <w:numId w:val="45"/>
        </w:numPr>
        <w:ind w:left="993" w:hanging="426"/>
        <w:contextualSpacing/>
        <w:jc w:val="both"/>
        <w:rPr>
          <w:rFonts w:cs="Arial"/>
          <w:lang w:val="es-ES"/>
        </w:rPr>
      </w:pPr>
      <w:r w:rsidRPr="002B202E">
        <w:rPr>
          <w:rFonts w:cs="Arial"/>
          <w:lang w:val="es-ES"/>
        </w:rPr>
        <w:t>En el bienio 2014/15 el costo medio de la inscripción de un documento en el</w:t>
      </w:r>
      <w:r w:rsidR="00925CC6">
        <w:rPr>
          <w:rFonts w:cs="Arial"/>
          <w:lang w:val="es-ES"/>
        </w:rPr>
        <w:t xml:space="preserve"> Registro fue de </w:t>
      </w:r>
      <w:r w:rsidRPr="002B202E">
        <w:rPr>
          <w:rFonts w:cs="Arial"/>
          <w:lang w:val="es-ES"/>
        </w:rPr>
        <w:t>1.294 francos suizos, es decir que se produjo una disminución del 15% con respecto al bienio 2012/13, en que dicha cifra fue de 1.528 francos suizos.</w:t>
      </w:r>
    </w:p>
    <w:p w:rsidR="00264980" w:rsidRPr="002B202E" w:rsidRDefault="00264980" w:rsidP="00DC1333">
      <w:pPr>
        <w:pStyle w:val="ListParagraph"/>
        <w:ind w:left="0"/>
        <w:jc w:val="both"/>
        <w:rPr>
          <w:rFonts w:cs="Arial"/>
          <w:lang w:val="es-ES"/>
        </w:rPr>
      </w:pPr>
    </w:p>
    <w:p w:rsidR="00264980" w:rsidRPr="002B202E" w:rsidRDefault="00264980" w:rsidP="00DC1333">
      <w:pPr>
        <w:pStyle w:val="ListParagraph"/>
        <w:ind w:left="0"/>
        <w:rPr>
          <w:rFonts w:cs="Arial"/>
          <w:lang w:val="es-ES"/>
        </w:rPr>
      </w:pPr>
    </w:p>
    <w:p w:rsidR="00264980" w:rsidRPr="002B202E" w:rsidRDefault="00264980" w:rsidP="00DC1333">
      <w:pPr>
        <w:tabs>
          <w:tab w:val="left" w:pos="567"/>
        </w:tabs>
        <w:spacing w:before="120" w:after="240"/>
        <w:rPr>
          <w:b/>
          <w:sz w:val="20"/>
        </w:rPr>
      </w:pPr>
      <w:r w:rsidRPr="002B202E">
        <w:rPr>
          <w:b/>
          <w:sz w:val="20"/>
        </w:rPr>
        <w:t>III.</w:t>
      </w:r>
      <w:r w:rsidRPr="002B202E">
        <w:rPr>
          <w:b/>
          <w:sz w:val="20"/>
        </w:rPr>
        <w:tab/>
        <w:t>Tiempo necesario para tramitar las solicitudes internacionales</w:t>
      </w:r>
    </w:p>
    <w:p w:rsidR="00264980" w:rsidRPr="002B202E" w:rsidRDefault="00264980" w:rsidP="00264980">
      <w:pPr>
        <w:pStyle w:val="ListParagraph"/>
        <w:numPr>
          <w:ilvl w:val="0"/>
          <w:numId w:val="48"/>
        </w:numPr>
        <w:tabs>
          <w:tab w:val="left" w:pos="0"/>
          <w:tab w:val="left" w:pos="567"/>
        </w:tabs>
        <w:ind w:left="0" w:firstLine="0"/>
        <w:contextualSpacing/>
        <w:jc w:val="both"/>
        <w:rPr>
          <w:rFonts w:cs="Arial"/>
          <w:lang w:val="es-ES"/>
        </w:rPr>
      </w:pPr>
      <w:r w:rsidRPr="002B202E">
        <w:rPr>
          <w:rFonts w:cs="Arial"/>
          <w:lang w:val="es-ES"/>
        </w:rPr>
        <w:t>Este indicador refleja el tiempo que la Oficina Internacional necesita para tramitar las solicitudes regulares.  El tiempo necesario se calcula según el tiempo transcurrido entre la fecha de recepción de una solicitud y la fecha de su registro.</w:t>
      </w:r>
    </w:p>
    <w:p w:rsidR="00264980" w:rsidRPr="002B202E" w:rsidRDefault="00264980" w:rsidP="00DC1333">
      <w:pPr>
        <w:pStyle w:val="ListParagraph"/>
        <w:tabs>
          <w:tab w:val="left" w:pos="0"/>
          <w:tab w:val="left" w:pos="567"/>
        </w:tabs>
        <w:ind w:left="0"/>
        <w:contextualSpacing/>
        <w:jc w:val="both"/>
        <w:rPr>
          <w:rFonts w:cs="Arial"/>
          <w:lang w:val="es-ES"/>
        </w:rPr>
      </w:pPr>
    </w:p>
    <w:p w:rsidR="00264980" w:rsidRPr="002B202E" w:rsidRDefault="00264980" w:rsidP="00DC1333">
      <w:pPr>
        <w:spacing w:before="120" w:after="240"/>
        <w:jc w:val="center"/>
        <w:rPr>
          <w:sz w:val="20"/>
        </w:rPr>
      </w:pPr>
      <w:r w:rsidRPr="002B202E">
        <w:rPr>
          <w:noProof/>
          <w:sz w:val="20"/>
          <w:lang w:val="en-US" w:eastAsia="en-US"/>
        </w:rPr>
        <w:lastRenderedPageBreak/>
        <w:drawing>
          <wp:inline distT="0" distB="0" distL="0" distR="0" wp14:anchorId="7D4FBBB3" wp14:editId="76E0C513">
            <wp:extent cx="4684699" cy="2708774"/>
            <wp:effectExtent l="0" t="0" r="190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689536" cy="2711571"/>
                    </a:xfrm>
                    <a:prstGeom prst="rect">
                      <a:avLst/>
                    </a:prstGeom>
                    <a:noFill/>
                    <a:ln>
                      <a:noFill/>
                    </a:ln>
                  </pic:spPr>
                </pic:pic>
              </a:graphicData>
            </a:graphic>
          </wp:inline>
        </w:drawing>
      </w:r>
    </w:p>
    <w:p w:rsidR="00264980" w:rsidRPr="002B202E" w:rsidRDefault="00264980" w:rsidP="00264980">
      <w:pPr>
        <w:pStyle w:val="ListParagraph"/>
        <w:numPr>
          <w:ilvl w:val="0"/>
          <w:numId w:val="45"/>
        </w:numPr>
        <w:spacing w:after="120"/>
        <w:ind w:left="992" w:hanging="425"/>
        <w:jc w:val="both"/>
        <w:rPr>
          <w:rFonts w:cs="Arial"/>
          <w:lang w:val="es-ES"/>
        </w:rPr>
      </w:pPr>
      <w:r w:rsidRPr="002B202E">
        <w:rPr>
          <w:rFonts w:cs="Arial"/>
          <w:lang w:val="es-ES"/>
        </w:rPr>
        <w:t>En 2015 la proporción de solicitudes regulares tramitadas en un lapso inferior a una semana disminuyó al 25% en comparación con el 45% registrado en 2014.</w:t>
      </w:r>
      <w:r w:rsidR="00925CC6">
        <w:rPr>
          <w:rFonts w:cs="Arial"/>
          <w:lang w:val="es-ES"/>
        </w:rPr>
        <w:t xml:space="preserve">  La proporción media entre </w:t>
      </w:r>
      <w:r w:rsidRPr="002B202E">
        <w:rPr>
          <w:rFonts w:cs="Arial"/>
          <w:lang w:val="es-ES"/>
        </w:rPr>
        <w:t>2011 y 2015 fue del 27%.</w:t>
      </w:r>
    </w:p>
    <w:p w:rsidR="00264980" w:rsidRPr="002B202E" w:rsidRDefault="00264980" w:rsidP="00264980">
      <w:pPr>
        <w:pStyle w:val="ListParagraph"/>
        <w:numPr>
          <w:ilvl w:val="0"/>
          <w:numId w:val="45"/>
        </w:numPr>
        <w:spacing w:after="120"/>
        <w:ind w:left="993" w:hanging="426"/>
        <w:jc w:val="both"/>
        <w:rPr>
          <w:rFonts w:cs="Arial"/>
          <w:lang w:val="es-ES"/>
        </w:rPr>
      </w:pPr>
      <w:r w:rsidRPr="002B202E">
        <w:rPr>
          <w:rFonts w:cs="Arial"/>
          <w:lang w:val="es-ES"/>
        </w:rPr>
        <w:t>En 2014 el 82%</w:t>
      </w:r>
      <w:r w:rsidRPr="002B202E">
        <w:rPr>
          <w:rStyle w:val="FootnoteReference"/>
          <w:rFonts w:cs="Arial"/>
          <w:lang w:val="es-ES"/>
        </w:rPr>
        <w:footnoteReference w:id="46"/>
      </w:r>
      <w:r w:rsidRPr="002B202E">
        <w:rPr>
          <w:rFonts w:cs="Arial"/>
          <w:lang w:val="es-ES"/>
        </w:rPr>
        <w:t xml:space="preserve"> de las solicitudes se tramitaron en un lapso de dos semanas a partir de su fecha de recepción en la Oficina Internacional.  En 2015 el 85% de las solicitudes se tramitaron en un lapso de tres semanas a partir de su fecha de recepción en la Oficina Internacional.</w:t>
      </w:r>
    </w:p>
    <w:p w:rsidR="00264980" w:rsidRPr="002B202E" w:rsidRDefault="00264980">
      <w:pPr>
        <w:rPr>
          <w:sz w:val="20"/>
        </w:rPr>
      </w:pPr>
    </w:p>
    <w:p w:rsidR="00264980" w:rsidRPr="002B202E" w:rsidRDefault="00264980">
      <w:pPr>
        <w:rPr>
          <w:sz w:val="20"/>
        </w:rPr>
      </w:pPr>
    </w:p>
    <w:p w:rsidR="00264980" w:rsidRPr="002B202E" w:rsidRDefault="00264980" w:rsidP="00DC1333">
      <w:pPr>
        <w:jc w:val="right"/>
        <w:rPr>
          <w:sz w:val="20"/>
        </w:rPr>
      </w:pPr>
      <w:r w:rsidRPr="002B202E">
        <w:rPr>
          <w:sz w:val="20"/>
        </w:rPr>
        <w:t>[Fin del Anexo]</w:t>
      </w:r>
    </w:p>
    <w:p w:rsidR="00391528" w:rsidRDefault="00391528">
      <w:pPr>
        <w:rPr>
          <w:sz w:val="20"/>
        </w:rPr>
      </w:pPr>
      <w:r>
        <w:rPr>
          <w:sz w:val="20"/>
        </w:rPr>
        <w:br w:type="page"/>
      </w:r>
    </w:p>
    <w:p w:rsidR="001836E6" w:rsidRPr="00526311" w:rsidRDefault="001836E6" w:rsidP="00DC1333">
      <w:pPr>
        <w:pStyle w:val="Heading2"/>
        <w:tabs>
          <w:tab w:val="left" w:pos="2410"/>
        </w:tabs>
        <w:rPr>
          <w:b/>
        </w:rPr>
      </w:pPr>
      <w:bookmarkStart w:id="91" w:name="_Toc422927413"/>
      <w:bookmarkStart w:id="92" w:name="_Toc455159081"/>
      <w:r w:rsidRPr="00526311">
        <w:rPr>
          <w:b/>
        </w:rPr>
        <w:lastRenderedPageBreak/>
        <w:t>PROGRAMA 7</w:t>
      </w:r>
      <w:r w:rsidRPr="00526311">
        <w:rPr>
          <w:b/>
        </w:rPr>
        <w:tab/>
        <w:t>ARBITRAJE, MEDIACIÓN Y NOMBRES DE DOMINIO</w:t>
      </w:r>
      <w:bookmarkEnd w:id="91"/>
      <w:bookmarkEnd w:id="92"/>
    </w:p>
    <w:p w:rsidR="001836E6" w:rsidRPr="00526311" w:rsidRDefault="001836E6" w:rsidP="00DC1333">
      <w:pPr>
        <w:tabs>
          <w:tab w:val="left" w:pos="2552"/>
        </w:tabs>
        <w:rPr>
          <w:sz w:val="20"/>
        </w:rPr>
      </w:pPr>
    </w:p>
    <w:p w:rsidR="001836E6" w:rsidRPr="00526311" w:rsidRDefault="001836E6" w:rsidP="00DC1333">
      <w:pPr>
        <w:tabs>
          <w:tab w:val="left" w:pos="2410"/>
        </w:tabs>
        <w:rPr>
          <w:b/>
          <w:sz w:val="20"/>
        </w:rPr>
      </w:pPr>
      <w:r w:rsidRPr="00526311">
        <w:rPr>
          <w:b/>
          <w:sz w:val="20"/>
        </w:rPr>
        <w:t>Director de programa</w:t>
      </w:r>
      <w:r w:rsidRPr="00526311">
        <w:rPr>
          <w:sz w:val="20"/>
        </w:rPr>
        <w:tab/>
      </w:r>
      <w:r w:rsidRPr="00526311">
        <w:rPr>
          <w:b/>
          <w:sz w:val="20"/>
        </w:rPr>
        <w:t>Sr. J. Sandage</w:t>
      </w:r>
    </w:p>
    <w:p w:rsidR="001836E6" w:rsidRPr="00526311" w:rsidRDefault="001836E6" w:rsidP="00DC1333">
      <w:pPr>
        <w:rPr>
          <w:sz w:val="20"/>
        </w:rPr>
      </w:pPr>
    </w:p>
    <w:p w:rsidR="001836E6" w:rsidRPr="00526311" w:rsidRDefault="001836E6" w:rsidP="00DC1333">
      <w:pPr>
        <w:rPr>
          <w:sz w:val="20"/>
        </w:rPr>
      </w:pPr>
    </w:p>
    <w:p w:rsidR="001836E6" w:rsidRPr="00526311" w:rsidRDefault="008F7CBE" w:rsidP="00DC1333">
      <w:pPr>
        <w:rPr>
          <w:bCs/>
          <w:szCs w:val="22"/>
        </w:rPr>
      </w:pPr>
      <w:r w:rsidRPr="008F7CBE">
        <w:rPr>
          <w:bCs/>
          <w:sz w:val="20"/>
          <w:szCs w:val="22"/>
        </w:rPr>
        <w:t>LOGROS ALCANZADOS EN EL BIENIO 2014/15</w:t>
      </w:r>
    </w:p>
    <w:p w:rsidR="001836E6" w:rsidRPr="00526311" w:rsidRDefault="001836E6" w:rsidP="00DC1333">
      <w:pPr>
        <w:pStyle w:val="ListParagraph"/>
        <w:tabs>
          <w:tab w:val="left" w:pos="709"/>
        </w:tabs>
        <w:ind w:left="0"/>
        <w:jc w:val="both"/>
        <w:rPr>
          <w:rFonts w:cs="Arial"/>
          <w:lang w:val="es-ES"/>
        </w:rPr>
      </w:pPr>
    </w:p>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El Centro de Arbitraje y Mediación de la OMPI (“el Centro”) es reconocido como centro de recursos a nivel mundial que ofrece alternativas puntuales y eficaces en función de los costos a los procedimientos judiciales de controversias sobre P.I.</w:t>
      </w:r>
      <w:r>
        <w:rPr>
          <w:rFonts w:cs="Arial"/>
          <w:lang w:val="es-ES"/>
        </w:rPr>
        <w:t xml:space="preserve"> y nombres de dominios de Internet</w:t>
      </w:r>
      <w:r w:rsidRPr="00526311">
        <w:rPr>
          <w:rFonts w:cs="Arial"/>
          <w:lang w:val="es-ES"/>
        </w:rPr>
        <w:t xml:space="preserve">, presta asesoramiento en cuestiones jurídicas y de organización y se ocupa de administrar las demandas.  </w:t>
      </w:r>
      <w:r>
        <w:rPr>
          <w:rFonts w:cs="Arial"/>
          <w:lang w:val="es-ES"/>
        </w:rPr>
        <w:t>La solución eficaz de las controversias facilita la protección jurídica y la utilización productiva de la P.I. a nivel internacional</w:t>
      </w:r>
      <w:r w:rsidRPr="00526311">
        <w:rPr>
          <w:rFonts w:cs="Arial"/>
          <w:lang w:val="es-ES"/>
        </w:rPr>
        <w:t>.</w:t>
      </w:r>
    </w:p>
    <w:p w:rsidR="001836E6" w:rsidRPr="00526311" w:rsidRDefault="001836E6" w:rsidP="00DC1333"/>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El Centro gestionó de forma activa las demandas presentadas ante la OMPI utilizando una infraestructura actualizada de administración de los procedimientos, en particular el mecanismo de la OMPI para la gestión electrónica de las demandas (ECAF).  Tras varias consultas internacionales, el</w:t>
      </w:r>
      <w:r>
        <w:rPr>
          <w:rFonts w:cs="Arial"/>
          <w:lang w:val="es-ES"/>
        </w:rPr>
        <w:t xml:space="preserve"> Centro elaboró</w:t>
      </w:r>
      <w:r w:rsidRPr="00526311">
        <w:rPr>
          <w:rFonts w:cs="Arial"/>
          <w:lang w:val="es-ES"/>
        </w:rPr>
        <w:t xml:space="preserve"> la versión revisad</w:t>
      </w:r>
      <w:r>
        <w:rPr>
          <w:rFonts w:cs="Arial"/>
          <w:lang w:val="es-ES"/>
        </w:rPr>
        <w:t>a del Reglamento de Arbitraje,</w:t>
      </w:r>
      <w:r w:rsidRPr="00526311">
        <w:rPr>
          <w:rFonts w:cs="Arial"/>
          <w:lang w:val="es-ES"/>
        </w:rPr>
        <w:t xml:space="preserve"> Mediación </w:t>
      </w:r>
      <w:r>
        <w:rPr>
          <w:rFonts w:cs="Arial"/>
          <w:lang w:val="es-ES"/>
        </w:rPr>
        <w:t xml:space="preserve">y Decisión de Experto </w:t>
      </w:r>
      <w:r w:rsidRPr="00526311">
        <w:rPr>
          <w:rFonts w:cs="Arial"/>
          <w:lang w:val="es-ES"/>
        </w:rPr>
        <w:t>de la OMPI.</w:t>
      </w:r>
      <w:r w:rsidRPr="00526311">
        <w:rPr>
          <w:rStyle w:val="FootnoteReference"/>
          <w:rFonts w:cs="Arial"/>
          <w:lang w:val="es-ES"/>
        </w:rPr>
        <w:footnoteReference w:id="47"/>
      </w:r>
      <w:r>
        <w:rPr>
          <w:rFonts w:cs="Arial"/>
          <w:lang w:val="es-ES"/>
        </w:rPr>
        <w:t xml:space="preserve">  En este Reglamento </w:t>
      </w:r>
      <w:r w:rsidRPr="00526311">
        <w:rPr>
          <w:rFonts w:cs="Arial"/>
          <w:lang w:val="es-ES"/>
        </w:rPr>
        <w:t>se incorporaron novedades recientes en la solución extrajudicial de controversias, sentando unas bases más adecuadas para los procedimientos que permiten ahorrar tiempo y dinero.</w:t>
      </w:r>
      <w:r>
        <w:rPr>
          <w:rFonts w:cs="Arial"/>
          <w:lang w:val="es-ES"/>
        </w:rPr>
        <w:t xml:space="preserve">  En 2015 la OMPI creó y puso en funcionamiento un generador de cláusulas</w:t>
      </w:r>
      <w:r>
        <w:rPr>
          <w:rStyle w:val="FootnoteReference"/>
          <w:rFonts w:cs="Arial"/>
          <w:lang w:val="es-ES"/>
        </w:rPr>
        <w:footnoteReference w:id="48"/>
      </w:r>
      <w:r>
        <w:rPr>
          <w:rFonts w:cs="Arial"/>
          <w:lang w:val="es-ES"/>
        </w:rPr>
        <w:t xml:space="preserve"> basándose en su experiencia en la administración de los procedimientos.  Además, el Centro celebró actos de arbitraje y mediación a medida.</w:t>
      </w:r>
    </w:p>
    <w:p w:rsidR="001836E6" w:rsidRPr="00526311" w:rsidRDefault="001836E6" w:rsidP="00DC1333">
      <w:pPr>
        <w:pStyle w:val="ListParagraph"/>
        <w:tabs>
          <w:tab w:val="left" w:pos="709"/>
        </w:tabs>
        <w:ind w:left="0"/>
        <w:jc w:val="both"/>
        <w:rPr>
          <w:rFonts w:cs="Arial"/>
          <w:lang w:val="es-ES"/>
        </w:rPr>
      </w:pPr>
    </w:p>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Los tribunales nacionales y las autoridades en materia de competencia de algunas jurisdicciones han alentado a las partes involucradas en controversias relativas a normas técnicas que guardan relación con las patentes de telecomunicaciones en varias jurisdicciones</w:t>
      </w:r>
      <w:r>
        <w:rPr>
          <w:rFonts w:cs="Arial"/>
          <w:lang w:val="es-ES"/>
        </w:rPr>
        <w:t>,</w:t>
      </w:r>
      <w:r w:rsidRPr="00526311">
        <w:rPr>
          <w:rFonts w:cs="Arial"/>
          <w:lang w:val="es-ES"/>
        </w:rPr>
        <w:t xml:space="preserve"> a que resuelvan dichas controversias mediante </w:t>
      </w:r>
      <w:r>
        <w:rPr>
          <w:rFonts w:cs="Arial"/>
          <w:lang w:val="es-ES"/>
        </w:rPr>
        <w:t>la solución extrajudicial de controversias.</w:t>
      </w:r>
      <w:r w:rsidRPr="00526311">
        <w:rPr>
          <w:rFonts w:cs="Arial"/>
          <w:lang w:val="es-ES"/>
        </w:rPr>
        <w:t xml:space="preserve">  </w:t>
      </w:r>
      <w:r>
        <w:rPr>
          <w:rFonts w:cs="Arial"/>
          <w:lang w:val="es-ES"/>
        </w:rPr>
        <w:t xml:space="preserve">A raíz de la colaboración con varias organizaciones normativas, en especial el </w:t>
      </w:r>
      <w:r w:rsidRPr="00892070">
        <w:rPr>
          <w:rStyle w:val="preferred"/>
          <w:lang w:val="es-ES"/>
        </w:rPr>
        <w:t>Instituto Europeo de Normas de Telecomunicaciones</w:t>
      </w:r>
      <w:r w:rsidRPr="00526311">
        <w:rPr>
          <w:rFonts w:cs="Arial"/>
          <w:lang w:val="es-ES"/>
        </w:rPr>
        <w:t xml:space="preserve"> </w:t>
      </w:r>
      <w:r>
        <w:rPr>
          <w:rFonts w:cs="Arial"/>
          <w:lang w:val="es-ES"/>
        </w:rPr>
        <w:t xml:space="preserve">(ETSI) y el Instituto de Ingenieros Electricistas y Electrónicos, </w:t>
      </w:r>
      <w:r w:rsidRPr="00526311">
        <w:rPr>
          <w:rFonts w:cs="Arial"/>
          <w:lang w:val="es-ES"/>
        </w:rPr>
        <w:t xml:space="preserve">en </w:t>
      </w:r>
      <w:r>
        <w:rPr>
          <w:rFonts w:cs="Arial"/>
          <w:lang w:val="es-ES"/>
        </w:rPr>
        <w:t xml:space="preserve">el bienio </w:t>
      </w:r>
      <w:r w:rsidRPr="00526311">
        <w:rPr>
          <w:rFonts w:cs="Arial"/>
          <w:lang w:val="es-ES"/>
        </w:rPr>
        <w:t>2014</w:t>
      </w:r>
      <w:r>
        <w:rPr>
          <w:rFonts w:cs="Arial"/>
          <w:lang w:val="es-ES"/>
        </w:rPr>
        <w:t>/15</w:t>
      </w:r>
      <w:r w:rsidRPr="00526311">
        <w:rPr>
          <w:rFonts w:cs="Arial"/>
          <w:lang w:val="es-ES"/>
        </w:rPr>
        <w:t xml:space="preserve"> se produjo un aumento del número de consultas de las partes en relación con el uso de acuerdos tipo de la OMPI que sirven de referencia para controversias relativas a la aplicación de condiciones justas, razonables y no discriminatorias que se sometan conforme al Reglamento de Mediación y al Reglamento de Arbitraje de la OMPI</w:t>
      </w:r>
      <w:r>
        <w:rPr>
          <w:rFonts w:cs="Arial"/>
          <w:lang w:val="es-ES"/>
        </w:rPr>
        <w:t>.</w:t>
      </w:r>
    </w:p>
    <w:p w:rsidR="001836E6" w:rsidRPr="00526311" w:rsidRDefault="001836E6" w:rsidP="00DC1333"/>
    <w:p w:rsidR="001836E6" w:rsidRDefault="001836E6" w:rsidP="001836E6">
      <w:pPr>
        <w:pStyle w:val="ListParagraph"/>
        <w:numPr>
          <w:ilvl w:val="0"/>
          <w:numId w:val="49"/>
        </w:numPr>
        <w:tabs>
          <w:tab w:val="left" w:pos="709"/>
        </w:tabs>
        <w:ind w:left="0" w:firstLine="0"/>
        <w:jc w:val="both"/>
        <w:rPr>
          <w:rFonts w:cs="Arial"/>
          <w:lang w:val="es-ES"/>
        </w:rPr>
      </w:pPr>
      <w:r>
        <w:rPr>
          <w:rFonts w:cs="Arial"/>
          <w:lang w:val="es-ES"/>
        </w:rPr>
        <w:t>Durante el bienio se suscribieron</w:t>
      </w:r>
      <w:r w:rsidRPr="00526311">
        <w:rPr>
          <w:rFonts w:cs="Arial"/>
          <w:lang w:val="es-ES"/>
        </w:rPr>
        <w:t xml:space="preserve"> memorandos de entendimiento con la Dirección Nacional de Derecho de Autor de Colombia (DNDA), la Dirección General de Derechos de Propiedad Intelectual de Indonesia (DGIPR), el Instituto Mexicano de Propiedad Industrial (IMPI) y la Oficina de Propiedad Intelectual de Filipinas (IPOPHL), que se añaden a la lista existente de colaboraciones con Estados miembros.  Esas colaboraciones tienen que ver con el desarrollo de marcos facultativos de solución extrajudicial de controversias que proporcionan a las partes opciones flexibles y eficaces en función de los costos para resolver sus controversias ante dichas Oficinas en relación con solicitudes pendientes o derechos concedidos.</w:t>
      </w:r>
      <w:r>
        <w:rPr>
          <w:rFonts w:cs="Arial"/>
          <w:lang w:val="es-ES"/>
        </w:rPr>
        <w:t xml:space="preserve">  En 2015 l</w:t>
      </w:r>
      <w:r w:rsidRPr="00400C49">
        <w:rPr>
          <w:rFonts w:cs="Arial"/>
          <w:lang w:val="es-ES"/>
        </w:rPr>
        <w:t>a Oficina de Patentes y Marcas de los Estados Unidos (USPTO) incluyó al Centro de la OMPI en su lista de proveedores de servicios</w:t>
      </w:r>
      <w:r>
        <w:rPr>
          <w:rFonts w:cs="Arial"/>
          <w:lang w:val="es-ES"/>
        </w:rPr>
        <w:t xml:space="preserve"> </w:t>
      </w:r>
      <w:r w:rsidRPr="00400C49">
        <w:rPr>
          <w:rFonts w:cs="Arial"/>
          <w:lang w:val="es-ES"/>
        </w:rPr>
        <w:t>de solución extrajudicial de controversias</w:t>
      </w:r>
      <w:r>
        <w:rPr>
          <w:rFonts w:cs="Arial"/>
          <w:lang w:val="es-ES"/>
        </w:rPr>
        <w:t xml:space="preserve"> a los que se puede recurrir para solucionar este tipo de controversias.</w:t>
      </w:r>
    </w:p>
    <w:p w:rsidR="001836E6" w:rsidRPr="00C834FF" w:rsidRDefault="001836E6" w:rsidP="00DC1333">
      <w:pPr>
        <w:pStyle w:val="ListParagraph"/>
        <w:ind w:left="0"/>
        <w:rPr>
          <w:rFonts w:cs="Arial"/>
          <w:lang w:val="es-ES"/>
        </w:rPr>
      </w:pPr>
    </w:p>
    <w:p w:rsidR="001836E6" w:rsidRPr="00C834FF" w:rsidRDefault="001836E6" w:rsidP="001836E6">
      <w:pPr>
        <w:pStyle w:val="ListParagraph"/>
        <w:numPr>
          <w:ilvl w:val="0"/>
          <w:numId w:val="49"/>
        </w:numPr>
        <w:tabs>
          <w:tab w:val="left" w:pos="709"/>
        </w:tabs>
        <w:ind w:left="0" w:firstLine="0"/>
        <w:jc w:val="both"/>
        <w:rPr>
          <w:rFonts w:cs="Arial"/>
          <w:lang w:val="es-ES"/>
        </w:rPr>
      </w:pPr>
      <w:r>
        <w:rPr>
          <w:rFonts w:cs="Arial"/>
          <w:lang w:val="es-ES"/>
        </w:rPr>
        <w:t>El Centro estableció una colaboración con la Asociación Brasileña de Franquicias (ABF), la Asociación Española de Franquiciadores (AEF) y la Asociación Suiza de la Franquicia, y ayudó en el desarrollo de acuerdos modelo de I+D, con inclusión de cláusulas de solución extrajudicial de controversias del Ministerio de Economía y Tecnología de Alemania y la Oficina Española de Patentes y Marcas (OEPM).  El Centro de la OMPI ha creado asimismo un procedimiento de urgencia para la solución de controversias sobre P.I. que surjan en las ferias comerciales, que se utilizó por primera vez en el Salón Internacional del Automóvil de Ginebra de 2015.</w:t>
      </w:r>
    </w:p>
    <w:p w:rsidR="001836E6" w:rsidRPr="00526311" w:rsidRDefault="001836E6" w:rsidP="00DC1333"/>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 xml:space="preserve">El Centro siguió desempeñando una función de liderazgo en la elaboración de mecanismos de solución extrajudicial de controversias en relación con el uso no autorizado de la P.I. en Internet.  </w:t>
      </w:r>
      <w:r>
        <w:rPr>
          <w:rFonts w:cs="Arial"/>
          <w:lang w:val="es-ES"/>
        </w:rPr>
        <w:t xml:space="preserve">Esto permitió afrontar en particular la introducción, aún en curso, de </w:t>
      </w:r>
      <w:r w:rsidRPr="00526311">
        <w:rPr>
          <w:rFonts w:cs="Arial"/>
          <w:lang w:val="es-ES"/>
        </w:rPr>
        <w:t xml:space="preserve">hasta 1.400 nuevos dominios genéricos </w:t>
      </w:r>
      <w:r w:rsidRPr="00526311">
        <w:rPr>
          <w:rFonts w:cs="Arial"/>
          <w:lang w:val="es-ES"/>
        </w:rPr>
        <w:lastRenderedPageBreak/>
        <w:t>de nivel superior (gTLD)</w:t>
      </w:r>
      <w:r>
        <w:rPr>
          <w:rFonts w:cs="Arial"/>
          <w:lang w:val="es-ES"/>
        </w:rPr>
        <w:t xml:space="preserve"> por la </w:t>
      </w:r>
      <w:r w:rsidRPr="00526311">
        <w:rPr>
          <w:rFonts w:cs="Arial"/>
          <w:lang w:val="es-ES"/>
        </w:rPr>
        <w:t>Corporación para la Asignación de Nombres y Números en Internet (ICANN)</w:t>
      </w:r>
      <w:r>
        <w:rPr>
          <w:rFonts w:cs="Arial"/>
          <w:lang w:val="es-ES"/>
        </w:rPr>
        <w:t>.  En 2014</w:t>
      </w:r>
      <w:r w:rsidRPr="00526311">
        <w:rPr>
          <w:rFonts w:cs="Arial"/>
          <w:lang w:val="es-ES"/>
        </w:rPr>
        <w:t xml:space="preserve"> el Centro aplicó el procedimiento de la ICANN de solución de controversias para la etapa posterior a la adjudicación, un mecanismo centrado en las marcas </w:t>
      </w:r>
      <w:r>
        <w:rPr>
          <w:rFonts w:cs="Arial"/>
          <w:lang w:val="es-ES"/>
        </w:rPr>
        <w:t>que se adoptó en 2013 a fin de</w:t>
      </w:r>
      <w:r w:rsidRPr="00526311">
        <w:rPr>
          <w:rFonts w:cs="Arial"/>
          <w:lang w:val="es-ES"/>
        </w:rPr>
        <w:t xml:space="preserve"> fomentar una actitud responsable por parte del administrador del registro una vez que el dominio de que se trate pase a estar operativo.</w:t>
      </w:r>
      <w:r>
        <w:rPr>
          <w:rFonts w:cs="Arial"/>
          <w:lang w:val="es-ES"/>
        </w:rPr>
        <w:t xml:space="preserve">  El Centro contribuyó además a las disposiciones relativas al bloqueo por el registrador presentes en la </w:t>
      </w:r>
      <w:r w:rsidRPr="00526311">
        <w:rPr>
          <w:rFonts w:cs="Arial"/>
          <w:lang w:val="es-ES"/>
        </w:rPr>
        <w:t>Política Uniforme de Solución de Controversias en materia de Nombres de Dominio (Política Uniforme)</w:t>
      </w:r>
      <w:r>
        <w:rPr>
          <w:rFonts w:cs="Arial"/>
          <w:lang w:val="es-ES"/>
        </w:rPr>
        <w:t>.</w:t>
      </w:r>
    </w:p>
    <w:p w:rsidR="001836E6" w:rsidRPr="00526311" w:rsidRDefault="001836E6" w:rsidP="00DC1333">
      <w:pPr>
        <w:pStyle w:val="ListParagraph"/>
        <w:tabs>
          <w:tab w:val="left" w:pos="709"/>
        </w:tabs>
        <w:ind w:left="0"/>
        <w:jc w:val="both"/>
        <w:rPr>
          <w:rFonts w:cs="Arial"/>
          <w:lang w:val="es-ES"/>
        </w:rPr>
      </w:pPr>
    </w:p>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En el año 2014 se celebró el 15º anive</w:t>
      </w:r>
      <w:r>
        <w:rPr>
          <w:rFonts w:cs="Arial"/>
          <w:lang w:val="es-ES"/>
        </w:rPr>
        <w:t>rsario de la Política Uniforme</w:t>
      </w:r>
      <w:r w:rsidRPr="00526311">
        <w:rPr>
          <w:rFonts w:cs="Arial"/>
          <w:lang w:val="es-ES"/>
        </w:rPr>
        <w:t xml:space="preserve"> elaborada por la OMPI.  Desde que el Centro administrara en 1999 el primer procedimiento con arreglo a la Política Uniforme, el total de demandas p</w:t>
      </w:r>
      <w:r>
        <w:rPr>
          <w:rFonts w:cs="Arial"/>
          <w:lang w:val="es-ES"/>
        </w:rPr>
        <w:t>resentadas ante la OMPI ha sobrepasado la cifra de 33</w:t>
      </w:r>
      <w:r w:rsidRPr="00526311">
        <w:rPr>
          <w:rFonts w:cs="Arial"/>
          <w:lang w:val="es-ES"/>
        </w:rPr>
        <w:t>.000,</w:t>
      </w:r>
      <w:r>
        <w:rPr>
          <w:rStyle w:val="FootnoteReference"/>
          <w:rFonts w:cs="Arial"/>
          <w:lang w:val="es-ES"/>
        </w:rPr>
        <w:footnoteReference w:id="49"/>
      </w:r>
      <w:r w:rsidRPr="00526311">
        <w:rPr>
          <w:rFonts w:cs="Arial"/>
          <w:lang w:val="es-ES"/>
        </w:rPr>
        <w:t xml:space="preserve"> que comprend</w:t>
      </w:r>
      <w:r>
        <w:rPr>
          <w:rFonts w:cs="Arial"/>
          <w:lang w:val="es-ES"/>
        </w:rPr>
        <w:t>e</w:t>
      </w:r>
      <w:r w:rsidRPr="00526311">
        <w:rPr>
          <w:rFonts w:cs="Arial"/>
          <w:lang w:val="es-ES"/>
        </w:rPr>
        <w:t xml:space="preserve">n </w:t>
      </w:r>
      <w:r>
        <w:rPr>
          <w:rFonts w:cs="Arial"/>
          <w:lang w:val="es-ES"/>
        </w:rPr>
        <w:t>más de 61</w:t>
      </w:r>
      <w:r w:rsidRPr="00526311">
        <w:rPr>
          <w:rFonts w:cs="Arial"/>
          <w:lang w:val="es-ES"/>
        </w:rPr>
        <w:t xml:space="preserve">.000 nombres de dominio.  </w:t>
      </w:r>
      <w:r>
        <w:rPr>
          <w:rFonts w:cs="Arial"/>
          <w:lang w:val="es-ES"/>
        </w:rPr>
        <w:t>En 2014</w:t>
      </w:r>
      <w:r w:rsidRPr="00526311">
        <w:rPr>
          <w:rFonts w:cs="Arial"/>
          <w:lang w:val="es-ES"/>
        </w:rPr>
        <w:t xml:space="preserve"> los </w:t>
      </w:r>
      <w:r>
        <w:rPr>
          <w:rFonts w:cs="Arial"/>
          <w:lang w:val="es-ES"/>
        </w:rPr>
        <w:t>titulares</w:t>
      </w:r>
      <w:r w:rsidRPr="00526311">
        <w:rPr>
          <w:rFonts w:cs="Arial"/>
          <w:lang w:val="es-ES"/>
        </w:rPr>
        <w:t xml:space="preserve"> de marcas presentaron ante la OMPI un </w:t>
      </w:r>
      <w:r>
        <w:rPr>
          <w:rFonts w:cs="Arial"/>
          <w:lang w:val="es-ES"/>
        </w:rPr>
        <w:t>1,9</w:t>
      </w:r>
      <w:r w:rsidRPr="00526311">
        <w:rPr>
          <w:rFonts w:cs="Arial"/>
          <w:lang w:val="es-ES"/>
        </w:rPr>
        <w:t>%</w:t>
      </w:r>
      <w:r>
        <w:rPr>
          <w:rFonts w:cs="Arial"/>
          <w:lang w:val="es-ES"/>
        </w:rPr>
        <w:t xml:space="preserve"> más de</w:t>
      </w:r>
      <w:r w:rsidRPr="00526311">
        <w:rPr>
          <w:rFonts w:cs="Arial"/>
          <w:lang w:val="es-ES"/>
        </w:rPr>
        <w:t xml:space="preserve"> demandas por ciberocupación </w:t>
      </w:r>
      <w:r>
        <w:rPr>
          <w:rFonts w:cs="Arial"/>
          <w:lang w:val="es-ES"/>
        </w:rPr>
        <w:t>relacionadas con supuestas infracciones de sus marcas que en 2013, y en 2015 se registró un nuevo aumento del 4,6% en comparación con 2014</w:t>
      </w:r>
      <w:r w:rsidRPr="00526311">
        <w:rPr>
          <w:rFonts w:cs="Arial"/>
          <w:lang w:val="es-ES"/>
        </w:rPr>
        <w:t>.  Entre ellas figuraban las primeras demandas presentadas en virtud de la Política Uniforme en relación con los registros efectuados en los nuevos gTLD</w:t>
      </w:r>
      <w:r>
        <w:rPr>
          <w:rFonts w:cs="Arial"/>
          <w:lang w:val="es-ES"/>
        </w:rPr>
        <w:t>, que representaron el 6,8% de los nombres de dominio que fueron objeto de controversias en 2014/15</w:t>
      </w:r>
      <w:r w:rsidRPr="00526311">
        <w:rPr>
          <w:rFonts w:cs="Arial"/>
          <w:lang w:val="es-ES"/>
        </w:rPr>
        <w:t>.</w:t>
      </w:r>
    </w:p>
    <w:p w:rsidR="001836E6" w:rsidRPr="00526311" w:rsidRDefault="001836E6" w:rsidP="00DC1333"/>
    <w:p w:rsidR="001836E6" w:rsidRPr="00526311" w:rsidRDefault="001836E6" w:rsidP="001836E6">
      <w:pPr>
        <w:pStyle w:val="ListParagraph"/>
        <w:numPr>
          <w:ilvl w:val="0"/>
          <w:numId w:val="49"/>
        </w:numPr>
        <w:tabs>
          <w:tab w:val="left" w:pos="709"/>
        </w:tabs>
        <w:ind w:left="0" w:firstLine="0"/>
        <w:jc w:val="both"/>
        <w:rPr>
          <w:rFonts w:cs="Arial"/>
          <w:lang w:val="es-ES"/>
        </w:rPr>
      </w:pPr>
      <w:r>
        <w:rPr>
          <w:rFonts w:cs="Arial"/>
          <w:lang w:val="es-ES"/>
        </w:rPr>
        <w:t>Durante el bienio e</w:t>
      </w:r>
      <w:r w:rsidRPr="00526311">
        <w:rPr>
          <w:rFonts w:cs="Arial"/>
          <w:lang w:val="es-ES"/>
        </w:rPr>
        <w:t xml:space="preserve">l Centro </w:t>
      </w:r>
      <w:r>
        <w:rPr>
          <w:rFonts w:cs="Arial"/>
          <w:lang w:val="es-ES"/>
        </w:rPr>
        <w:t xml:space="preserve">intercambió mejores prácticas en materia de solución de controversias </w:t>
      </w:r>
      <w:r w:rsidRPr="00526311">
        <w:rPr>
          <w:rFonts w:cs="Arial"/>
          <w:lang w:val="es-ES"/>
        </w:rPr>
        <w:t>con los administradores de dominios de nivel superior correspondientes a códigos de países (ccTLD) en diferentes regiones.  El Centro pasó a ser proveedor de servicios para los espacios de dominios .GQ (Guinea Ecuatorial)</w:t>
      </w:r>
      <w:r w:rsidRPr="00C231AB">
        <w:rPr>
          <w:rFonts w:cs="Arial"/>
          <w:lang w:val="es-ES"/>
        </w:rPr>
        <w:t xml:space="preserve"> </w:t>
      </w:r>
      <w:r w:rsidRPr="00526311">
        <w:rPr>
          <w:rFonts w:cs="Arial"/>
          <w:lang w:val="es-ES"/>
        </w:rPr>
        <w:t xml:space="preserve">y </w:t>
      </w:r>
      <w:r>
        <w:rPr>
          <w:rFonts w:cs="Arial"/>
          <w:lang w:val="es-ES"/>
        </w:rPr>
        <w:t>.</w:t>
      </w:r>
      <w:r w:rsidRPr="00526311">
        <w:rPr>
          <w:rFonts w:cs="Arial"/>
          <w:lang w:val="es-ES"/>
        </w:rPr>
        <w:t>VG (Islas Vírgenes (británicas))</w:t>
      </w:r>
      <w:r>
        <w:rPr>
          <w:rFonts w:cs="Arial"/>
          <w:lang w:val="es-ES"/>
        </w:rPr>
        <w:t>, con lo que se eleva a 71</w:t>
      </w:r>
      <w:r>
        <w:rPr>
          <w:rStyle w:val="FootnoteReference"/>
          <w:rFonts w:cs="Arial"/>
          <w:lang w:val="es-ES"/>
        </w:rPr>
        <w:footnoteReference w:id="50"/>
      </w:r>
      <w:r w:rsidRPr="00526311">
        <w:rPr>
          <w:rFonts w:cs="Arial"/>
          <w:lang w:val="es-ES"/>
        </w:rPr>
        <w:t xml:space="preserve"> el número de ccTLD </w:t>
      </w:r>
      <w:r>
        <w:rPr>
          <w:rFonts w:cs="Arial"/>
          <w:lang w:val="es-ES"/>
        </w:rPr>
        <w:t>a</w:t>
      </w:r>
      <w:r w:rsidRPr="00526311">
        <w:rPr>
          <w:rFonts w:cs="Arial"/>
          <w:lang w:val="es-ES"/>
        </w:rPr>
        <w:t xml:space="preserve"> los que la OMPI ofrece dichos servicios.</w:t>
      </w:r>
    </w:p>
    <w:p w:rsidR="001836E6" w:rsidRPr="00526311" w:rsidRDefault="001836E6" w:rsidP="00DC1333"/>
    <w:p w:rsidR="001836E6" w:rsidRPr="00526311" w:rsidRDefault="001836E6" w:rsidP="001836E6">
      <w:pPr>
        <w:pStyle w:val="ListParagraph"/>
        <w:numPr>
          <w:ilvl w:val="0"/>
          <w:numId w:val="49"/>
        </w:numPr>
        <w:tabs>
          <w:tab w:val="left" w:pos="709"/>
        </w:tabs>
        <w:ind w:left="0" w:firstLine="0"/>
        <w:jc w:val="both"/>
        <w:rPr>
          <w:rFonts w:cs="Arial"/>
          <w:lang w:val="es-ES"/>
        </w:rPr>
      </w:pPr>
      <w:r w:rsidRPr="00526311">
        <w:rPr>
          <w:rFonts w:cs="Arial"/>
          <w:lang w:val="es-ES"/>
        </w:rPr>
        <w:t>El diseño, la planificación y la ejecución de las actividades del Centro se basaron y se guiaron por las recomendaciones pertinentes de la Agenda para e</w:t>
      </w:r>
      <w:r>
        <w:rPr>
          <w:rFonts w:cs="Arial"/>
          <w:lang w:val="es-ES"/>
        </w:rPr>
        <w:t>l Desarrollo, en particular las recomendaciones </w:t>
      </w:r>
      <w:r w:rsidRPr="00526311">
        <w:rPr>
          <w:rFonts w:cs="Arial"/>
          <w:lang w:val="es-ES"/>
        </w:rPr>
        <w:t>1, 6 y 10.  A este respecto, el Centro organizó programas de a</w:t>
      </w:r>
      <w:r>
        <w:rPr>
          <w:rFonts w:cs="Arial"/>
          <w:lang w:val="es-ES"/>
        </w:rPr>
        <w:t xml:space="preserve">rbitraje y mediación diseñados </w:t>
      </w:r>
      <w:r w:rsidRPr="00526311">
        <w:rPr>
          <w:rFonts w:cs="Arial"/>
          <w:lang w:val="es-ES"/>
        </w:rPr>
        <w:t xml:space="preserve">específicamente para funcionarios y profesionales del ámbito de la P.I., brindó asistencia a las oficinas de P.I. para establecer marcos optativos de solución extrajudicial de controversias para casos de controversias pendientes, y también ayudó a los administradores de registros de ccTLD a establecer </w:t>
      </w:r>
      <w:r>
        <w:rPr>
          <w:rFonts w:cs="Arial"/>
          <w:lang w:val="es-ES"/>
        </w:rPr>
        <w:t xml:space="preserve">normas de registro y </w:t>
      </w:r>
      <w:r w:rsidRPr="00526311">
        <w:rPr>
          <w:rFonts w:cs="Arial"/>
          <w:lang w:val="es-ES"/>
        </w:rPr>
        <w:t xml:space="preserve">mecanismos más eficaces de solución de controversias, aplicables a los países en desarrollo y países con economías en transición. </w:t>
      </w:r>
    </w:p>
    <w:p w:rsidR="001836E6" w:rsidRDefault="001836E6" w:rsidP="00DC1333">
      <w:pPr>
        <w:tabs>
          <w:tab w:val="left" w:pos="709"/>
        </w:tabs>
        <w:jc w:val="both"/>
      </w:pPr>
    </w:p>
    <w:p w:rsidR="001836E6" w:rsidRPr="00526311" w:rsidRDefault="001836E6" w:rsidP="00DC1333">
      <w:pPr>
        <w:tabs>
          <w:tab w:val="left" w:pos="709"/>
        </w:tabs>
        <w:jc w:val="both"/>
      </w:pPr>
    </w:p>
    <w:p w:rsidR="001836E6" w:rsidRPr="00526311" w:rsidRDefault="008F7CBE" w:rsidP="001836E6">
      <w:pPr>
        <w:keepNext/>
        <w:jc w:val="both"/>
      </w:pPr>
      <w:r w:rsidRPr="008F7CBE">
        <w:rPr>
          <w:sz w:val="20"/>
        </w:rPr>
        <w:lastRenderedPageBreak/>
        <w:t>DATOS SOBRE EL RENDIMIENTO</w:t>
      </w:r>
    </w:p>
    <w:p w:rsidR="001836E6" w:rsidRPr="00526311" w:rsidRDefault="001836E6" w:rsidP="001836E6">
      <w:pPr>
        <w:keepNext/>
        <w:jc w:val="both"/>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4"/>
        <w:gridCol w:w="2264"/>
        <w:gridCol w:w="1703"/>
        <w:gridCol w:w="2122"/>
        <w:gridCol w:w="1134"/>
      </w:tblGrid>
      <w:tr w:rsidR="001836E6" w:rsidRPr="00526311" w:rsidTr="00DC1333">
        <w:trPr>
          <w:cantSplit/>
          <w:trHeight w:val="773"/>
        </w:trPr>
        <w:tc>
          <w:tcPr>
            <w:tcW w:w="4999" w:type="pct"/>
            <w:gridSpan w:val="5"/>
            <w:tcBorders>
              <w:top w:val="single" w:sz="4" w:space="0" w:color="auto"/>
              <w:bottom w:val="single" w:sz="4" w:space="0" w:color="auto"/>
            </w:tcBorders>
            <w:shd w:val="clear" w:color="auto" w:fill="C6D9F1" w:themeFill="text2" w:themeFillTint="33"/>
            <w:vAlign w:val="center"/>
          </w:tcPr>
          <w:p w:rsidR="001836E6" w:rsidRPr="00526311" w:rsidRDefault="001836E6" w:rsidP="001836E6">
            <w:pPr>
              <w:keepNext/>
              <w:ind w:left="2019" w:hanging="2019"/>
              <w:rPr>
                <w:b/>
                <w:bCs/>
                <w:sz w:val="16"/>
                <w:szCs w:val="16"/>
              </w:rPr>
            </w:pPr>
            <w:r w:rsidRPr="00526311">
              <w:rPr>
                <w:b/>
                <w:bCs/>
                <w:sz w:val="16"/>
                <w:szCs w:val="16"/>
              </w:rPr>
              <w:t>Resultado previsto:</w:t>
            </w:r>
            <w:r w:rsidRPr="00526311">
              <w:rPr>
                <w:bCs/>
                <w:sz w:val="16"/>
                <w:szCs w:val="16"/>
              </w:rPr>
              <w:tab/>
              <w:t>II.8 Las controversias nacionales e internacionales en materia de P.I. se evitan o resuelven cada vez con más frecuencia mediante procedimientos de mediación, arbitraje y demás métodos de solución extrajudicial de controversias</w:t>
            </w:r>
          </w:p>
        </w:tc>
      </w:tr>
      <w:tr w:rsidR="001836E6" w:rsidRPr="00526311" w:rsidTr="00DC1333">
        <w:trPr>
          <w:cantSplit/>
        </w:trPr>
        <w:tc>
          <w:tcPr>
            <w:tcW w:w="1140" w:type="pct"/>
            <w:tcBorders>
              <w:top w:val="single" w:sz="4" w:space="0" w:color="auto"/>
            </w:tcBorders>
            <w:shd w:val="clear" w:color="auto" w:fill="auto"/>
            <w:vAlign w:val="center"/>
          </w:tcPr>
          <w:p w:rsidR="001836E6" w:rsidRPr="00526311" w:rsidRDefault="001836E6" w:rsidP="001836E6">
            <w:pPr>
              <w:keepNext/>
              <w:rPr>
                <w:sz w:val="16"/>
                <w:szCs w:val="16"/>
              </w:rPr>
            </w:pPr>
            <w:r w:rsidRPr="00526311">
              <w:rPr>
                <w:b/>
                <w:sz w:val="16"/>
                <w:szCs w:val="16"/>
              </w:rPr>
              <w:t>Indicadores de rendimiento</w:t>
            </w:r>
          </w:p>
        </w:tc>
        <w:tc>
          <w:tcPr>
            <w:tcW w:w="1210" w:type="pct"/>
            <w:tcBorders>
              <w:top w:val="single" w:sz="4" w:space="0" w:color="auto"/>
            </w:tcBorders>
            <w:shd w:val="clear" w:color="auto" w:fill="auto"/>
            <w:vAlign w:val="center"/>
          </w:tcPr>
          <w:p w:rsidR="001836E6" w:rsidRPr="00526311" w:rsidRDefault="001836E6" w:rsidP="001836E6">
            <w:pPr>
              <w:keepNext/>
              <w:rPr>
                <w:b/>
                <w:bCs/>
                <w:sz w:val="16"/>
                <w:szCs w:val="16"/>
              </w:rPr>
            </w:pPr>
            <w:r w:rsidRPr="00526311">
              <w:rPr>
                <w:b/>
                <w:bCs/>
                <w:sz w:val="16"/>
                <w:szCs w:val="16"/>
              </w:rPr>
              <w:t>Referencia</w:t>
            </w:r>
          </w:p>
        </w:tc>
        <w:tc>
          <w:tcPr>
            <w:tcW w:w="910" w:type="pct"/>
            <w:tcBorders>
              <w:top w:val="single" w:sz="4" w:space="0" w:color="auto"/>
            </w:tcBorders>
            <w:shd w:val="clear" w:color="auto" w:fill="auto"/>
            <w:tcMar>
              <w:top w:w="110" w:type="dxa"/>
            </w:tcMar>
            <w:vAlign w:val="center"/>
          </w:tcPr>
          <w:p w:rsidR="001836E6" w:rsidRPr="00526311" w:rsidRDefault="001836E6" w:rsidP="001836E6">
            <w:pPr>
              <w:keepNext/>
              <w:rPr>
                <w:b/>
                <w:sz w:val="16"/>
                <w:szCs w:val="16"/>
              </w:rPr>
            </w:pPr>
            <w:r w:rsidRPr="00526311">
              <w:rPr>
                <w:b/>
                <w:sz w:val="16"/>
                <w:szCs w:val="16"/>
              </w:rPr>
              <w:t>Objetivos</w:t>
            </w:r>
          </w:p>
        </w:tc>
        <w:tc>
          <w:tcPr>
            <w:tcW w:w="1134" w:type="pct"/>
            <w:tcBorders>
              <w:top w:val="single" w:sz="4" w:space="0" w:color="auto"/>
            </w:tcBorders>
            <w:shd w:val="clear" w:color="auto" w:fill="auto"/>
            <w:tcMar>
              <w:top w:w="110" w:type="dxa"/>
            </w:tcMar>
            <w:vAlign w:val="center"/>
          </w:tcPr>
          <w:p w:rsidR="001836E6" w:rsidRPr="00526311" w:rsidRDefault="001836E6" w:rsidP="001836E6">
            <w:pPr>
              <w:keepNext/>
              <w:rPr>
                <w:sz w:val="16"/>
                <w:szCs w:val="16"/>
              </w:rPr>
            </w:pPr>
            <w:r w:rsidRPr="00526311">
              <w:rPr>
                <w:b/>
                <w:sz w:val="16"/>
                <w:szCs w:val="16"/>
              </w:rPr>
              <w:t>Datos sobre el rendimiento</w:t>
            </w:r>
          </w:p>
        </w:tc>
        <w:tc>
          <w:tcPr>
            <w:tcW w:w="605" w:type="pct"/>
            <w:tcBorders>
              <w:top w:val="single" w:sz="4" w:space="0" w:color="auto"/>
            </w:tcBorders>
            <w:shd w:val="clear" w:color="auto" w:fill="auto"/>
            <w:tcMar>
              <w:top w:w="110" w:type="dxa"/>
            </w:tcMar>
            <w:vAlign w:val="center"/>
          </w:tcPr>
          <w:p w:rsidR="001836E6" w:rsidRPr="00526311" w:rsidRDefault="001836E6" w:rsidP="001836E6">
            <w:pPr>
              <w:keepNext/>
              <w:keepLines/>
              <w:ind w:left="-112"/>
              <w:jc w:val="center"/>
              <w:rPr>
                <w:b/>
                <w:bCs/>
                <w:sz w:val="16"/>
                <w:szCs w:val="16"/>
              </w:rPr>
            </w:pPr>
            <w:r w:rsidRPr="00526311">
              <w:rPr>
                <w:b/>
                <w:bCs/>
                <w:sz w:val="16"/>
                <w:szCs w:val="16"/>
              </w:rPr>
              <w:t>Clave de colores</w:t>
            </w:r>
          </w:p>
        </w:tc>
      </w:tr>
      <w:tr w:rsidR="001836E6" w:rsidRPr="00526311" w:rsidTr="00DC1333">
        <w:trPr>
          <w:cantSplit/>
          <w:trHeight w:val="2148"/>
        </w:trPr>
        <w:tc>
          <w:tcPr>
            <w:tcW w:w="1140" w:type="pct"/>
            <w:shd w:val="clear" w:color="auto" w:fill="auto"/>
          </w:tcPr>
          <w:p w:rsidR="001836E6" w:rsidRPr="00526311" w:rsidRDefault="001836E6" w:rsidP="001836E6">
            <w:pPr>
              <w:keepNext/>
              <w:rPr>
                <w:sz w:val="16"/>
                <w:szCs w:val="16"/>
              </w:rPr>
            </w:pPr>
            <w:r w:rsidRPr="00526311">
              <w:rPr>
                <w:sz w:val="16"/>
                <w:szCs w:val="16"/>
              </w:rPr>
              <w:t>Cada vez más se considera la posibilidad de utilizar servicios extrajudiciales de solución de controversias en las transacciones sobre P.I., entre otras cosas, valiéndose de los procedimientos de la OMPI</w:t>
            </w:r>
          </w:p>
        </w:tc>
        <w:tc>
          <w:tcPr>
            <w:tcW w:w="1210" w:type="pct"/>
            <w:shd w:val="clear" w:color="auto" w:fill="auto"/>
          </w:tcPr>
          <w:p w:rsidR="001836E6" w:rsidRPr="00526311" w:rsidRDefault="001836E6" w:rsidP="001836E6">
            <w:pPr>
              <w:keepNext/>
              <w:rPr>
                <w:color w:val="002060"/>
                <w:sz w:val="16"/>
                <w:szCs w:val="16"/>
              </w:rPr>
            </w:pPr>
            <w:r w:rsidRPr="00526311">
              <w:rPr>
                <w:i/>
                <w:color w:val="002060"/>
                <w:sz w:val="16"/>
                <w:szCs w:val="16"/>
              </w:rPr>
              <w:t xml:space="preserve">Referencia actualizada a fines de 2013:  </w:t>
            </w:r>
            <w:r w:rsidRPr="00526311">
              <w:rPr>
                <w:color w:val="002060"/>
                <w:sz w:val="16"/>
                <w:szCs w:val="16"/>
              </w:rPr>
              <w:t xml:space="preserve">375 controversias y 95 buenos oficios (en total al final de 2013) </w:t>
            </w:r>
          </w:p>
          <w:p w:rsidR="001836E6" w:rsidRDefault="001836E6" w:rsidP="001836E6">
            <w:pPr>
              <w:keepNext/>
              <w:rPr>
                <w:color w:val="002060"/>
                <w:sz w:val="16"/>
                <w:szCs w:val="16"/>
              </w:rPr>
            </w:pPr>
          </w:p>
          <w:p w:rsidR="001836E6" w:rsidRDefault="001836E6" w:rsidP="001836E6">
            <w:pPr>
              <w:keepNext/>
              <w:rPr>
                <w:color w:val="002060"/>
                <w:sz w:val="16"/>
                <w:szCs w:val="16"/>
              </w:rPr>
            </w:pPr>
          </w:p>
          <w:p w:rsidR="001836E6" w:rsidRDefault="001836E6" w:rsidP="001836E6">
            <w:pPr>
              <w:keepNext/>
              <w:rPr>
                <w:color w:val="002060"/>
                <w:sz w:val="16"/>
                <w:szCs w:val="16"/>
              </w:rPr>
            </w:pPr>
            <w:r w:rsidRPr="00526311">
              <w:rPr>
                <w:color w:val="002060"/>
                <w:sz w:val="16"/>
                <w:szCs w:val="16"/>
              </w:rPr>
              <w:t>4.000 consultas recibidas (2012/13)</w:t>
            </w:r>
          </w:p>
          <w:p w:rsidR="001836E6" w:rsidRDefault="001836E6" w:rsidP="001836E6">
            <w:pPr>
              <w:keepNext/>
              <w:rPr>
                <w:color w:val="002060"/>
                <w:sz w:val="16"/>
                <w:szCs w:val="16"/>
              </w:rPr>
            </w:pPr>
          </w:p>
          <w:p w:rsidR="001836E6" w:rsidRDefault="001836E6" w:rsidP="001836E6">
            <w:pPr>
              <w:keepNext/>
              <w:rPr>
                <w:color w:val="002060"/>
                <w:sz w:val="16"/>
                <w:szCs w:val="16"/>
              </w:rPr>
            </w:pPr>
            <w:r w:rsidRPr="00526311">
              <w:rPr>
                <w:color w:val="002060"/>
                <w:sz w:val="16"/>
                <w:szCs w:val="16"/>
              </w:rPr>
              <w:t xml:space="preserve">3,5 millones de visitas al sitio web </w:t>
            </w:r>
            <w:r>
              <w:rPr>
                <w:color w:val="002060"/>
                <w:sz w:val="16"/>
                <w:szCs w:val="16"/>
              </w:rPr>
              <w:t>(2012/13)</w:t>
            </w:r>
          </w:p>
          <w:p w:rsidR="001836E6" w:rsidRPr="00526311" w:rsidRDefault="001836E6" w:rsidP="001836E6">
            <w:pPr>
              <w:keepNext/>
              <w:rPr>
                <w:color w:val="002060"/>
                <w:sz w:val="16"/>
                <w:szCs w:val="16"/>
              </w:rPr>
            </w:pPr>
          </w:p>
          <w:p w:rsidR="001836E6" w:rsidRDefault="001836E6" w:rsidP="001836E6">
            <w:pPr>
              <w:keepNext/>
              <w:rPr>
                <w:color w:val="002060"/>
                <w:sz w:val="16"/>
                <w:szCs w:val="16"/>
              </w:rPr>
            </w:pPr>
            <w:r w:rsidRPr="00526311">
              <w:rPr>
                <w:color w:val="002060"/>
                <w:sz w:val="16"/>
                <w:szCs w:val="16"/>
              </w:rPr>
              <w:t>408 participantes en actividades corrientes del Centro (2012/13)</w:t>
            </w:r>
          </w:p>
          <w:p w:rsidR="001836E6" w:rsidRDefault="001836E6" w:rsidP="001836E6">
            <w:pPr>
              <w:keepNext/>
              <w:rPr>
                <w:color w:val="002060"/>
                <w:sz w:val="16"/>
                <w:szCs w:val="16"/>
              </w:rPr>
            </w:pPr>
          </w:p>
          <w:p w:rsidR="001836E6" w:rsidRPr="00526311" w:rsidRDefault="001836E6" w:rsidP="001836E6">
            <w:pPr>
              <w:keepNext/>
              <w:rPr>
                <w:color w:val="002060"/>
                <w:sz w:val="16"/>
                <w:szCs w:val="16"/>
              </w:rPr>
            </w:pPr>
          </w:p>
          <w:p w:rsidR="001836E6" w:rsidRPr="00526311" w:rsidRDefault="001836E6" w:rsidP="001836E6">
            <w:pPr>
              <w:keepNext/>
              <w:rPr>
                <w:color w:val="002060"/>
                <w:sz w:val="16"/>
                <w:szCs w:val="16"/>
                <w:lang w:bidi="th-TH"/>
              </w:rPr>
            </w:pPr>
            <w:r w:rsidRPr="00526311">
              <w:rPr>
                <w:color w:val="002060"/>
                <w:sz w:val="16"/>
                <w:szCs w:val="16"/>
              </w:rPr>
              <w:t>4.000 participantes en reuniones externas del Centro (2012/13)</w:t>
            </w:r>
          </w:p>
          <w:p w:rsidR="001836E6" w:rsidRDefault="001836E6" w:rsidP="001836E6">
            <w:pPr>
              <w:keepNext/>
              <w:rPr>
                <w:i/>
                <w:sz w:val="16"/>
                <w:szCs w:val="16"/>
              </w:rPr>
            </w:pPr>
          </w:p>
          <w:p w:rsidR="001836E6" w:rsidRPr="00526311" w:rsidRDefault="001836E6" w:rsidP="001836E6">
            <w:pPr>
              <w:keepNext/>
              <w:rPr>
                <w:color w:val="002060"/>
                <w:sz w:val="16"/>
                <w:szCs w:val="16"/>
              </w:rPr>
            </w:pPr>
          </w:p>
          <w:p w:rsidR="001836E6" w:rsidRPr="00526311" w:rsidRDefault="001836E6" w:rsidP="001836E6">
            <w:pPr>
              <w:keepNext/>
              <w:rPr>
                <w:sz w:val="16"/>
                <w:szCs w:val="16"/>
              </w:rPr>
            </w:pPr>
          </w:p>
        </w:tc>
        <w:tc>
          <w:tcPr>
            <w:tcW w:w="910" w:type="pct"/>
            <w:shd w:val="clear" w:color="auto" w:fill="auto"/>
            <w:tcMar>
              <w:top w:w="110" w:type="dxa"/>
            </w:tcMar>
          </w:tcPr>
          <w:p w:rsidR="001836E6" w:rsidRPr="00526311" w:rsidRDefault="001836E6" w:rsidP="001836E6">
            <w:pPr>
              <w:keepNext/>
              <w:autoSpaceDE w:val="0"/>
              <w:autoSpaceDN w:val="0"/>
              <w:adjustRightInd w:val="0"/>
              <w:rPr>
                <w:sz w:val="16"/>
                <w:szCs w:val="16"/>
              </w:rPr>
            </w:pPr>
            <w:r w:rsidRPr="00526311">
              <w:rPr>
                <w:sz w:val="16"/>
                <w:szCs w:val="16"/>
              </w:rPr>
              <w:t xml:space="preserve">Otras 40 controversias y buenos oficios </w:t>
            </w:r>
          </w:p>
          <w:p w:rsidR="001836E6" w:rsidRPr="00526311" w:rsidRDefault="001836E6" w:rsidP="001836E6">
            <w:pPr>
              <w:keepNext/>
              <w:autoSpaceDE w:val="0"/>
              <w:autoSpaceDN w:val="0"/>
              <w:adjustRightInd w:val="0"/>
              <w:rPr>
                <w:sz w:val="16"/>
                <w:szCs w:val="16"/>
              </w:rPr>
            </w:pPr>
          </w:p>
          <w:p w:rsidR="001836E6" w:rsidRDefault="001836E6" w:rsidP="001836E6">
            <w:pPr>
              <w:keepNext/>
              <w:autoSpaceDE w:val="0"/>
              <w:autoSpaceDN w:val="0"/>
              <w:adjustRightInd w:val="0"/>
              <w:rPr>
                <w:sz w:val="16"/>
                <w:szCs w:val="16"/>
              </w:rPr>
            </w:pPr>
          </w:p>
          <w:p w:rsidR="001836E6" w:rsidRDefault="001836E6" w:rsidP="001836E6">
            <w:pPr>
              <w:keepNext/>
              <w:autoSpaceDE w:val="0"/>
              <w:autoSpaceDN w:val="0"/>
              <w:adjustRightInd w:val="0"/>
              <w:rPr>
                <w:sz w:val="16"/>
                <w:szCs w:val="16"/>
              </w:rPr>
            </w:pPr>
          </w:p>
          <w:p w:rsidR="001836E6"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r w:rsidRPr="00526311">
              <w:rPr>
                <w:sz w:val="16"/>
                <w:szCs w:val="16"/>
              </w:rPr>
              <w:t>Otras 4.000 consultas recibidas</w:t>
            </w:r>
          </w:p>
          <w:p w:rsidR="001836E6" w:rsidRPr="00526311"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r w:rsidRPr="00526311">
              <w:rPr>
                <w:sz w:val="16"/>
                <w:szCs w:val="16"/>
              </w:rPr>
              <w:t xml:space="preserve">Otros 3,5 millones de visitas </w:t>
            </w:r>
          </w:p>
          <w:p w:rsidR="001836E6" w:rsidRPr="00526311"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r w:rsidRPr="00526311">
              <w:rPr>
                <w:sz w:val="16"/>
                <w:szCs w:val="16"/>
              </w:rPr>
              <w:t>250 participantes en actividades corrientes del Centro</w:t>
            </w:r>
          </w:p>
          <w:p w:rsidR="001836E6"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p>
          <w:p w:rsidR="001836E6" w:rsidRPr="00526311" w:rsidRDefault="001836E6" w:rsidP="001836E6">
            <w:pPr>
              <w:keepNext/>
              <w:autoSpaceDE w:val="0"/>
              <w:autoSpaceDN w:val="0"/>
              <w:adjustRightInd w:val="0"/>
              <w:rPr>
                <w:sz w:val="16"/>
                <w:szCs w:val="16"/>
              </w:rPr>
            </w:pPr>
            <w:r w:rsidRPr="00526311">
              <w:rPr>
                <w:sz w:val="16"/>
                <w:szCs w:val="16"/>
              </w:rPr>
              <w:t>6.000 participantes en reuniones externas del Centro</w:t>
            </w:r>
          </w:p>
        </w:tc>
        <w:tc>
          <w:tcPr>
            <w:tcW w:w="1134" w:type="pct"/>
            <w:shd w:val="clear" w:color="auto" w:fill="auto"/>
            <w:tcMar>
              <w:top w:w="110" w:type="dxa"/>
            </w:tcMar>
          </w:tcPr>
          <w:p w:rsidR="001836E6" w:rsidRPr="00526311" w:rsidRDefault="001836E6" w:rsidP="001836E6">
            <w:pPr>
              <w:keepNext/>
              <w:rPr>
                <w:sz w:val="16"/>
                <w:szCs w:val="16"/>
                <w:lang w:bidi="th-TH"/>
              </w:rPr>
            </w:pPr>
            <w:r>
              <w:rPr>
                <w:sz w:val="16"/>
                <w:szCs w:val="16"/>
                <w:lang w:bidi="th-TH"/>
              </w:rPr>
              <w:t>Otras 15</w:t>
            </w:r>
            <w:r w:rsidR="005F1818">
              <w:rPr>
                <w:sz w:val="16"/>
                <w:szCs w:val="16"/>
                <w:lang w:bidi="th-TH"/>
              </w:rPr>
              <w:t>3</w:t>
            </w:r>
            <w:r>
              <w:rPr>
                <w:sz w:val="16"/>
                <w:szCs w:val="16"/>
                <w:lang w:bidi="th-TH"/>
              </w:rPr>
              <w:t xml:space="preserve"> controversias y </w:t>
            </w:r>
            <w:r w:rsidRPr="00526311">
              <w:rPr>
                <w:sz w:val="16"/>
                <w:szCs w:val="16"/>
                <w:lang w:bidi="th-TH"/>
              </w:rPr>
              <w:t>buenos of</w:t>
            </w:r>
            <w:r>
              <w:rPr>
                <w:sz w:val="16"/>
                <w:szCs w:val="16"/>
                <w:lang w:bidi="th-TH"/>
              </w:rPr>
              <w:t>icios en 2014/15</w:t>
            </w:r>
            <w:r w:rsidR="005F1818">
              <w:rPr>
                <w:sz w:val="16"/>
                <w:szCs w:val="16"/>
                <w:lang w:bidi="th-TH"/>
              </w:rPr>
              <w:br/>
            </w:r>
          </w:p>
          <w:p w:rsidR="001836E6" w:rsidRDefault="001836E6" w:rsidP="001836E6">
            <w:pPr>
              <w:keepNext/>
              <w:rPr>
                <w:sz w:val="16"/>
                <w:szCs w:val="16"/>
                <w:lang w:bidi="th-TH"/>
              </w:rPr>
            </w:pPr>
            <w:r>
              <w:rPr>
                <w:sz w:val="16"/>
                <w:szCs w:val="16"/>
                <w:lang w:bidi="th-TH"/>
              </w:rPr>
              <w:t>62</w:t>
            </w:r>
            <w:r w:rsidR="005F1818">
              <w:rPr>
                <w:sz w:val="16"/>
                <w:szCs w:val="16"/>
                <w:lang w:bidi="th-TH"/>
              </w:rPr>
              <w:t>3</w:t>
            </w:r>
            <w:r>
              <w:rPr>
                <w:sz w:val="16"/>
                <w:szCs w:val="16"/>
                <w:lang w:bidi="th-TH"/>
              </w:rPr>
              <w:t xml:space="preserve"> controversias y buenos oficios (en total a fin</w:t>
            </w:r>
            <w:r w:rsidR="005F1818">
              <w:rPr>
                <w:sz w:val="16"/>
                <w:szCs w:val="16"/>
                <w:lang w:bidi="th-TH"/>
              </w:rPr>
              <w:t>es</w:t>
            </w:r>
            <w:r>
              <w:rPr>
                <w:sz w:val="16"/>
                <w:szCs w:val="16"/>
                <w:lang w:bidi="th-TH"/>
              </w:rPr>
              <w:t xml:space="preserve"> de 2015)</w:t>
            </w: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r>
              <w:rPr>
                <w:sz w:val="16"/>
                <w:szCs w:val="16"/>
                <w:lang w:bidi="th-TH"/>
              </w:rPr>
              <w:t>Otras 7.</w:t>
            </w:r>
            <w:r w:rsidRPr="00526311">
              <w:rPr>
                <w:sz w:val="16"/>
                <w:szCs w:val="16"/>
                <w:lang w:bidi="th-TH"/>
              </w:rPr>
              <w:t>5</w:t>
            </w:r>
            <w:r>
              <w:rPr>
                <w:sz w:val="16"/>
                <w:szCs w:val="16"/>
                <w:lang w:bidi="th-TH"/>
              </w:rPr>
              <w:t>00</w:t>
            </w:r>
            <w:r w:rsidRPr="00526311">
              <w:rPr>
                <w:sz w:val="16"/>
                <w:szCs w:val="16"/>
                <w:lang w:bidi="th-TH"/>
              </w:rPr>
              <w:t xml:space="preserve"> consultas recibidas (2014</w:t>
            </w:r>
            <w:r>
              <w:rPr>
                <w:sz w:val="16"/>
                <w:szCs w:val="16"/>
                <w:lang w:bidi="th-TH"/>
              </w:rPr>
              <w:t>/15</w:t>
            </w:r>
            <w:r w:rsidRPr="00526311">
              <w:rPr>
                <w:sz w:val="16"/>
                <w:szCs w:val="16"/>
                <w:lang w:bidi="th-TH"/>
              </w:rPr>
              <w:t>)</w:t>
            </w: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r>
              <w:rPr>
                <w:sz w:val="16"/>
                <w:szCs w:val="16"/>
                <w:lang w:bidi="th-TH"/>
              </w:rPr>
              <w:t>Otros 3,1</w:t>
            </w:r>
            <w:r w:rsidRPr="00526311">
              <w:rPr>
                <w:sz w:val="16"/>
                <w:szCs w:val="16"/>
                <w:lang w:bidi="th-TH"/>
              </w:rPr>
              <w:t xml:space="preserve"> millones de visitas (2014</w:t>
            </w:r>
            <w:r>
              <w:rPr>
                <w:sz w:val="16"/>
                <w:szCs w:val="16"/>
                <w:lang w:bidi="th-TH"/>
              </w:rPr>
              <w:t>/15</w:t>
            </w:r>
            <w:r w:rsidRPr="00526311">
              <w:rPr>
                <w:sz w:val="16"/>
                <w:szCs w:val="16"/>
                <w:lang w:bidi="th-TH"/>
              </w:rPr>
              <w:t>)</w:t>
            </w: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r>
              <w:rPr>
                <w:sz w:val="16"/>
                <w:szCs w:val="16"/>
                <w:lang w:bidi="th-TH"/>
              </w:rPr>
              <w:t>262</w:t>
            </w:r>
            <w:r w:rsidRPr="00526311">
              <w:rPr>
                <w:sz w:val="16"/>
                <w:szCs w:val="16"/>
                <w:lang w:bidi="th-TH"/>
              </w:rPr>
              <w:t xml:space="preserve"> participantes en actividades co</w:t>
            </w:r>
            <w:r>
              <w:rPr>
                <w:sz w:val="16"/>
                <w:szCs w:val="16"/>
                <w:lang w:bidi="th-TH"/>
              </w:rPr>
              <w:t xml:space="preserve">rrientes del Centro </w:t>
            </w:r>
            <w:r w:rsidRPr="00526311">
              <w:rPr>
                <w:sz w:val="16"/>
                <w:szCs w:val="16"/>
                <w:lang w:bidi="th-TH"/>
              </w:rPr>
              <w:t>(2014</w:t>
            </w:r>
            <w:r>
              <w:rPr>
                <w:sz w:val="16"/>
                <w:szCs w:val="16"/>
                <w:lang w:bidi="th-TH"/>
              </w:rPr>
              <w:t>/15</w:t>
            </w:r>
            <w:r w:rsidRPr="00526311">
              <w:rPr>
                <w:sz w:val="16"/>
                <w:szCs w:val="16"/>
                <w:lang w:bidi="th-TH"/>
              </w:rPr>
              <w:t>)</w:t>
            </w:r>
          </w:p>
          <w:p w:rsidR="001836E6" w:rsidRPr="00526311" w:rsidRDefault="001836E6" w:rsidP="001836E6">
            <w:pPr>
              <w:keepNext/>
              <w:rPr>
                <w:sz w:val="16"/>
                <w:szCs w:val="16"/>
                <w:lang w:bidi="th-TH"/>
              </w:rPr>
            </w:pPr>
          </w:p>
          <w:p w:rsidR="001836E6" w:rsidRPr="00526311" w:rsidRDefault="001836E6" w:rsidP="001836E6">
            <w:pPr>
              <w:keepNext/>
              <w:rPr>
                <w:sz w:val="16"/>
                <w:szCs w:val="16"/>
                <w:lang w:bidi="th-TH"/>
              </w:rPr>
            </w:pPr>
          </w:p>
          <w:p w:rsidR="001836E6" w:rsidRPr="00526311" w:rsidRDefault="001836E6" w:rsidP="001836E6">
            <w:pPr>
              <w:keepNext/>
              <w:rPr>
                <w:sz w:val="16"/>
                <w:szCs w:val="16"/>
              </w:rPr>
            </w:pPr>
            <w:r>
              <w:rPr>
                <w:sz w:val="16"/>
                <w:szCs w:val="16"/>
                <w:lang w:bidi="th-TH"/>
              </w:rPr>
              <w:t xml:space="preserve">9.670 participantes </w:t>
            </w:r>
            <w:r w:rsidRPr="00526311">
              <w:rPr>
                <w:sz w:val="16"/>
                <w:szCs w:val="16"/>
                <w:lang w:bidi="th-TH"/>
              </w:rPr>
              <w:t xml:space="preserve">en </w:t>
            </w:r>
            <w:r>
              <w:rPr>
                <w:sz w:val="16"/>
                <w:szCs w:val="16"/>
                <w:lang w:bidi="th-TH"/>
              </w:rPr>
              <w:t xml:space="preserve">reuniones externas del Centro </w:t>
            </w:r>
            <w:r w:rsidRPr="00526311">
              <w:rPr>
                <w:sz w:val="16"/>
                <w:szCs w:val="16"/>
                <w:lang w:bidi="th-TH"/>
              </w:rPr>
              <w:t>(2014</w:t>
            </w:r>
            <w:r>
              <w:rPr>
                <w:sz w:val="16"/>
                <w:szCs w:val="16"/>
                <w:lang w:bidi="th-TH"/>
              </w:rPr>
              <w:t>/15</w:t>
            </w:r>
            <w:r w:rsidRPr="00526311">
              <w:rPr>
                <w:sz w:val="16"/>
                <w:szCs w:val="16"/>
                <w:lang w:bidi="th-TH"/>
              </w:rPr>
              <w:t>)</w:t>
            </w:r>
          </w:p>
        </w:tc>
        <w:tc>
          <w:tcPr>
            <w:tcW w:w="605" w:type="pct"/>
            <w:shd w:val="clear" w:color="auto" w:fill="auto"/>
            <w:tcMar>
              <w:top w:w="110" w:type="dxa"/>
            </w:tcMar>
          </w:tcPr>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p>
          <w:p w:rsidR="001836E6" w:rsidRDefault="001836E6" w:rsidP="001836E6">
            <w:pPr>
              <w:keepNext/>
              <w:keepLines/>
              <w:ind w:left="-112" w:right="-115"/>
              <w:jc w:val="center"/>
              <w:rPr>
                <w:b/>
                <w:bCs/>
                <w:color w:val="00B050"/>
                <w:sz w:val="16"/>
                <w:szCs w:val="16"/>
              </w:rPr>
            </w:pPr>
            <w:r>
              <w:rPr>
                <w:b/>
                <w:bCs/>
                <w:color w:val="00B050"/>
                <w:sz w:val="16"/>
                <w:szCs w:val="16"/>
              </w:rPr>
              <w:t>Plenamente logrado</w:t>
            </w:r>
          </w:p>
          <w:p w:rsidR="001836E6" w:rsidRPr="00526311" w:rsidRDefault="001836E6" w:rsidP="001836E6">
            <w:pPr>
              <w:keepNext/>
              <w:keepLines/>
              <w:ind w:left="-112" w:right="-115"/>
              <w:jc w:val="center"/>
              <w:rPr>
                <w:b/>
                <w:bCs/>
                <w:color w:val="00B050"/>
                <w:sz w:val="16"/>
                <w:szCs w:val="16"/>
              </w:rPr>
            </w:pPr>
          </w:p>
        </w:tc>
      </w:tr>
      <w:tr w:rsidR="001836E6" w:rsidRPr="00526311" w:rsidTr="00DC1333">
        <w:trPr>
          <w:cantSplit/>
        </w:trPr>
        <w:tc>
          <w:tcPr>
            <w:tcW w:w="1140" w:type="pct"/>
            <w:shd w:val="clear" w:color="auto" w:fill="auto"/>
          </w:tcPr>
          <w:p w:rsidR="001836E6" w:rsidRPr="00526311" w:rsidRDefault="001836E6" w:rsidP="00DC1333">
            <w:pPr>
              <w:rPr>
                <w:sz w:val="16"/>
                <w:szCs w:val="16"/>
              </w:rPr>
            </w:pPr>
          </w:p>
        </w:tc>
        <w:tc>
          <w:tcPr>
            <w:tcW w:w="1210" w:type="pct"/>
            <w:shd w:val="clear" w:color="auto" w:fill="auto"/>
          </w:tcPr>
          <w:p w:rsidR="001836E6" w:rsidRDefault="001836E6" w:rsidP="00DC1333">
            <w:pPr>
              <w:rPr>
                <w:i/>
                <w:sz w:val="16"/>
                <w:szCs w:val="16"/>
              </w:rPr>
            </w:pPr>
          </w:p>
          <w:p w:rsidR="001836E6" w:rsidRPr="00526311" w:rsidRDefault="001836E6" w:rsidP="00DC1333">
            <w:pPr>
              <w:rPr>
                <w:sz w:val="16"/>
                <w:szCs w:val="16"/>
              </w:rPr>
            </w:pPr>
            <w:r w:rsidRPr="00526311">
              <w:rPr>
                <w:i/>
                <w:sz w:val="16"/>
                <w:szCs w:val="16"/>
              </w:rPr>
              <w:t xml:space="preserve">Referencia original en el presupuesto de 2014/15:  </w:t>
            </w:r>
            <w:r w:rsidRPr="00526311">
              <w:rPr>
                <w:sz w:val="16"/>
                <w:szCs w:val="16"/>
              </w:rPr>
              <w:t xml:space="preserve">284 controversias y 79 buenos oficios (en total al final de 2012) </w:t>
            </w:r>
          </w:p>
          <w:p w:rsidR="001836E6" w:rsidRPr="00526311" w:rsidRDefault="001836E6" w:rsidP="00DC1333">
            <w:pPr>
              <w:rPr>
                <w:sz w:val="16"/>
                <w:szCs w:val="16"/>
              </w:rPr>
            </w:pPr>
            <w:r w:rsidRPr="00526311">
              <w:rPr>
                <w:sz w:val="16"/>
                <w:szCs w:val="16"/>
              </w:rPr>
              <w:t xml:space="preserve">4.000 consultas recibidas (2010/11) </w:t>
            </w:r>
          </w:p>
          <w:p w:rsidR="001836E6" w:rsidRPr="00526311" w:rsidRDefault="001836E6" w:rsidP="00DC1333">
            <w:pPr>
              <w:rPr>
                <w:sz w:val="16"/>
                <w:szCs w:val="16"/>
              </w:rPr>
            </w:pPr>
            <w:r w:rsidRPr="00526311">
              <w:rPr>
                <w:sz w:val="16"/>
                <w:szCs w:val="16"/>
              </w:rPr>
              <w:t xml:space="preserve">30 millones de visitas al sitio web (en total al final de 2012) </w:t>
            </w:r>
          </w:p>
          <w:p w:rsidR="001836E6" w:rsidRPr="00526311" w:rsidRDefault="001836E6" w:rsidP="00DC1333">
            <w:pPr>
              <w:rPr>
                <w:sz w:val="16"/>
                <w:szCs w:val="16"/>
              </w:rPr>
            </w:pPr>
            <w:r w:rsidRPr="00526311">
              <w:rPr>
                <w:sz w:val="16"/>
                <w:szCs w:val="16"/>
              </w:rPr>
              <w:t xml:space="preserve">276 participantes en actividades corrientes del Centro (2010/11); </w:t>
            </w:r>
          </w:p>
          <w:p w:rsidR="001836E6" w:rsidRPr="00526311" w:rsidRDefault="001836E6" w:rsidP="00DC1333">
            <w:pPr>
              <w:rPr>
                <w:sz w:val="16"/>
                <w:szCs w:val="16"/>
              </w:rPr>
            </w:pPr>
            <w:r w:rsidRPr="00526311">
              <w:rPr>
                <w:sz w:val="16"/>
                <w:szCs w:val="16"/>
              </w:rPr>
              <w:t>3.000 participantes en reuniones externas del Centro (2010/11).</w:t>
            </w:r>
          </w:p>
        </w:tc>
        <w:tc>
          <w:tcPr>
            <w:tcW w:w="910" w:type="pct"/>
            <w:shd w:val="clear" w:color="auto" w:fill="auto"/>
            <w:tcMar>
              <w:top w:w="110" w:type="dxa"/>
            </w:tcMar>
          </w:tcPr>
          <w:p w:rsidR="001836E6" w:rsidRPr="00526311" w:rsidRDefault="001836E6" w:rsidP="00DC1333">
            <w:pPr>
              <w:rPr>
                <w:i/>
                <w:sz w:val="16"/>
                <w:szCs w:val="16"/>
              </w:rPr>
            </w:pPr>
          </w:p>
        </w:tc>
        <w:tc>
          <w:tcPr>
            <w:tcW w:w="1134" w:type="pct"/>
            <w:shd w:val="clear" w:color="auto" w:fill="auto"/>
            <w:tcMar>
              <w:top w:w="110" w:type="dxa"/>
            </w:tcMar>
          </w:tcPr>
          <w:p w:rsidR="001836E6" w:rsidRPr="00526311" w:rsidRDefault="001836E6" w:rsidP="00DC1333">
            <w:pPr>
              <w:rPr>
                <w:sz w:val="16"/>
                <w:szCs w:val="16"/>
              </w:rPr>
            </w:pPr>
          </w:p>
        </w:tc>
        <w:tc>
          <w:tcPr>
            <w:tcW w:w="605" w:type="pct"/>
            <w:shd w:val="clear" w:color="auto" w:fill="auto"/>
            <w:tcMar>
              <w:top w:w="110" w:type="dxa"/>
            </w:tcMar>
          </w:tcPr>
          <w:p w:rsidR="001836E6" w:rsidRPr="00526311" w:rsidRDefault="001836E6" w:rsidP="00DC1333">
            <w:pPr>
              <w:keepNext/>
              <w:keepLines/>
              <w:ind w:left="-112" w:right="-115"/>
              <w:jc w:val="center"/>
              <w:rPr>
                <w:bCs/>
                <w:color w:val="808080"/>
                <w:sz w:val="16"/>
                <w:szCs w:val="16"/>
              </w:rPr>
            </w:pPr>
          </w:p>
        </w:tc>
      </w:tr>
      <w:tr w:rsidR="001836E6" w:rsidRPr="00526311" w:rsidTr="00DC1333">
        <w:trPr>
          <w:cantSplit/>
        </w:trPr>
        <w:tc>
          <w:tcPr>
            <w:tcW w:w="1140" w:type="pct"/>
            <w:tcBorders>
              <w:bottom w:val="single" w:sz="4" w:space="0" w:color="auto"/>
            </w:tcBorders>
            <w:shd w:val="clear" w:color="auto" w:fill="auto"/>
          </w:tcPr>
          <w:p w:rsidR="001836E6" w:rsidRPr="00526311" w:rsidRDefault="001836E6" w:rsidP="00DC1333">
            <w:pPr>
              <w:rPr>
                <w:sz w:val="16"/>
                <w:szCs w:val="16"/>
              </w:rPr>
            </w:pPr>
            <w:r w:rsidRPr="00526311">
              <w:rPr>
                <w:sz w:val="16"/>
                <w:szCs w:val="16"/>
              </w:rPr>
              <w:t>Políticas de solución extrajudicial de controversias a cuyo desarrollo y aplicación ha contribuido el Centro de Arbitraje y Mediación de la OMPI</w:t>
            </w:r>
          </w:p>
        </w:tc>
        <w:tc>
          <w:tcPr>
            <w:tcW w:w="1210" w:type="pct"/>
            <w:tcBorders>
              <w:bottom w:val="single" w:sz="4" w:space="0" w:color="auto"/>
            </w:tcBorders>
            <w:shd w:val="clear" w:color="auto" w:fill="auto"/>
          </w:tcPr>
          <w:p w:rsidR="001836E6" w:rsidRPr="00526311" w:rsidRDefault="001836E6" w:rsidP="00DC1333">
            <w:pPr>
              <w:rPr>
                <w:color w:val="002060"/>
                <w:sz w:val="16"/>
                <w:szCs w:val="16"/>
              </w:rPr>
            </w:pPr>
            <w:r w:rsidRPr="00526311">
              <w:rPr>
                <w:i/>
                <w:color w:val="002060"/>
                <w:sz w:val="16"/>
                <w:szCs w:val="16"/>
              </w:rPr>
              <w:t>Referencia actualizada a fines de 2013:</w:t>
            </w:r>
            <w:r w:rsidRPr="00526311">
              <w:rPr>
                <w:color w:val="002060"/>
                <w:sz w:val="16"/>
                <w:szCs w:val="16"/>
              </w:rPr>
              <w:t xml:space="preserve">  10 regímenes adoptados (AGICOA, EGEDA, ETSI, Film and Media, ICOM, INPI-BR, IPAG, IPOS(M), IPOS(ED), ITPGRFA</w:t>
            </w:r>
            <w:r>
              <w:rPr>
                <w:color w:val="002060"/>
                <w:sz w:val="16"/>
                <w:szCs w:val="16"/>
              </w:rPr>
              <w:t>, KCC, KOCCA</w:t>
            </w:r>
            <w:r w:rsidRPr="00526311">
              <w:rPr>
                <w:color w:val="002060"/>
                <w:sz w:val="16"/>
                <w:szCs w:val="16"/>
              </w:rPr>
              <w:t>) (en total al final de 2013)</w:t>
            </w:r>
            <w:r>
              <w:rPr>
                <w:rStyle w:val="FootnoteReference"/>
                <w:color w:val="002060"/>
                <w:sz w:val="16"/>
                <w:szCs w:val="16"/>
              </w:rPr>
              <w:footnoteReference w:id="51"/>
            </w:r>
          </w:p>
          <w:p w:rsidR="001836E6" w:rsidRPr="00526311" w:rsidRDefault="001836E6" w:rsidP="00DC1333">
            <w:pPr>
              <w:rPr>
                <w:sz w:val="8"/>
                <w:szCs w:val="8"/>
              </w:rPr>
            </w:pPr>
          </w:p>
          <w:p w:rsidR="001836E6" w:rsidRPr="00526311" w:rsidRDefault="001836E6" w:rsidP="00DC1333">
            <w:pPr>
              <w:rPr>
                <w:sz w:val="16"/>
                <w:szCs w:val="16"/>
              </w:rPr>
            </w:pPr>
            <w:r w:rsidRPr="00526311">
              <w:rPr>
                <w:sz w:val="16"/>
                <w:szCs w:val="16"/>
              </w:rPr>
              <w:t>Referencia original en el presupuesto de 2014/15:  6 regímenes adoptados (AGICOA, EGEDA, Film and Media, ICOM, IPOS, ITPGRFA) (en total al final de 2012)</w:t>
            </w:r>
            <w:r w:rsidRPr="00526311">
              <w:rPr>
                <w:sz w:val="16"/>
                <w:szCs w:val="16"/>
              </w:rPr>
              <w:br/>
            </w:r>
          </w:p>
        </w:tc>
        <w:tc>
          <w:tcPr>
            <w:tcW w:w="910" w:type="pct"/>
            <w:tcBorders>
              <w:bottom w:val="single" w:sz="4" w:space="0" w:color="auto"/>
            </w:tcBorders>
            <w:shd w:val="clear" w:color="auto" w:fill="auto"/>
            <w:tcMar>
              <w:top w:w="110" w:type="dxa"/>
            </w:tcMar>
          </w:tcPr>
          <w:p w:rsidR="001836E6" w:rsidRPr="00526311" w:rsidRDefault="001836E6" w:rsidP="00DC1333">
            <w:pPr>
              <w:rPr>
                <w:i/>
                <w:sz w:val="16"/>
                <w:szCs w:val="16"/>
              </w:rPr>
            </w:pPr>
            <w:r w:rsidRPr="00526311">
              <w:rPr>
                <w:sz w:val="16"/>
                <w:szCs w:val="16"/>
              </w:rPr>
              <w:t>De 1 a 3 regímenes especiales</w:t>
            </w:r>
          </w:p>
        </w:tc>
        <w:tc>
          <w:tcPr>
            <w:tcW w:w="1134" w:type="pct"/>
            <w:tcBorders>
              <w:bottom w:val="single" w:sz="4" w:space="0" w:color="auto"/>
            </w:tcBorders>
            <w:shd w:val="clear" w:color="auto" w:fill="auto"/>
            <w:tcMar>
              <w:top w:w="110" w:type="dxa"/>
            </w:tcMar>
          </w:tcPr>
          <w:p w:rsidR="001836E6" w:rsidRDefault="001836E6" w:rsidP="00DC1333">
            <w:pPr>
              <w:rPr>
                <w:sz w:val="16"/>
                <w:szCs w:val="16"/>
                <w:lang w:bidi="th-TH"/>
              </w:rPr>
            </w:pPr>
            <w:r>
              <w:rPr>
                <w:sz w:val="16"/>
                <w:szCs w:val="16"/>
                <w:lang w:bidi="th-TH"/>
              </w:rPr>
              <w:t>Otros 8 regímenes especiales en 2014/15</w:t>
            </w:r>
            <w:r w:rsidRPr="00526311">
              <w:rPr>
                <w:sz w:val="16"/>
                <w:szCs w:val="16"/>
                <w:lang w:bidi="th-TH"/>
              </w:rPr>
              <w:t xml:space="preserve"> (</w:t>
            </w:r>
            <w:r>
              <w:rPr>
                <w:sz w:val="16"/>
                <w:szCs w:val="16"/>
                <w:lang w:bidi="th-TH"/>
              </w:rPr>
              <w:t xml:space="preserve">ABF, </w:t>
            </w:r>
            <w:r w:rsidRPr="00526311">
              <w:rPr>
                <w:sz w:val="16"/>
                <w:szCs w:val="16"/>
                <w:lang w:bidi="th-TH"/>
              </w:rPr>
              <w:t xml:space="preserve">AEF, DGIPR, DNDA, </w:t>
            </w:r>
            <w:r>
              <w:rPr>
                <w:sz w:val="16"/>
                <w:szCs w:val="16"/>
                <w:lang w:bidi="th-TH"/>
              </w:rPr>
              <w:t xml:space="preserve">IEEE, </w:t>
            </w:r>
            <w:r w:rsidRPr="00526311">
              <w:rPr>
                <w:sz w:val="16"/>
                <w:szCs w:val="16"/>
                <w:lang w:bidi="th-TH"/>
              </w:rPr>
              <w:t>IMPI, IPOPHL</w:t>
            </w:r>
            <w:r>
              <w:rPr>
                <w:sz w:val="16"/>
                <w:szCs w:val="16"/>
                <w:lang w:bidi="th-TH"/>
              </w:rPr>
              <w:t>, SFA</w:t>
            </w:r>
            <w:r w:rsidRPr="00526311">
              <w:rPr>
                <w:sz w:val="16"/>
                <w:szCs w:val="16"/>
                <w:lang w:bidi="th-TH"/>
              </w:rPr>
              <w:t>)</w:t>
            </w:r>
          </w:p>
          <w:p w:rsidR="001836E6" w:rsidRPr="00526311" w:rsidRDefault="001836E6" w:rsidP="00DC1333">
            <w:pPr>
              <w:rPr>
                <w:sz w:val="16"/>
                <w:szCs w:val="16"/>
              </w:rPr>
            </w:pPr>
            <w:r>
              <w:rPr>
                <w:sz w:val="16"/>
                <w:szCs w:val="16"/>
                <w:lang w:bidi="th-TH"/>
              </w:rPr>
              <w:t>(20 en total a final de 2015)</w:t>
            </w:r>
          </w:p>
        </w:tc>
        <w:tc>
          <w:tcPr>
            <w:tcW w:w="605" w:type="pct"/>
            <w:tcBorders>
              <w:bottom w:val="single" w:sz="4" w:space="0" w:color="auto"/>
            </w:tcBorders>
            <w:shd w:val="clear" w:color="auto" w:fill="auto"/>
            <w:tcMar>
              <w:top w:w="110" w:type="dxa"/>
            </w:tcMar>
          </w:tcPr>
          <w:p w:rsidR="001836E6" w:rsidRPr="00526311" w:rsidRDefault="001836E6" w:rsidP="00DC1333">
            <w:pPr>
              <w:keepNext/>
              <w:keepLines/>
              <w:ind w:right="-115"/>
              <w:jc w:val="center"/>
              <w:rPr>
                <w:bCs/>
                <w:color w:val="808080"/>
                <w:sz w:val="16"/>
                <w:szCs w:val="16"/>
              </w:rPr>
            </w:pPr>
            <w:r>
              <w:rPr>
                <w:b/>
                <w:bCs/>
                <w:color w:val="00B050"/>
                <w:sz w:val="16"/>
                <w:szCs w:val="16"/>
              </w:rPr>
              <w:t>Plenamente logrado</w:t>
            </w:r>
          </w:p>
        </w:tc>
      </w:tr>
      <w:tr w:rsidR="001836E6" w:rsidRPr="00526311" w:rsidTr="00DC1333">
        <w:trPr>
          <w:cantSplit/>
          <w:trHeight w:val="399"/>
        </w:trPr>
        <w:tc>
          <w:tcPr>
            <w:tcW w:w="4999" w:type="pct"/>
            <w:gridSpan w:val="5"/>
            <w:tcBorders>
              <w:top w:val="single" w:sz="4" w:space="0" w:color="auto"/>
              <w:bottom w:val="single" w:sz="4" w:space="0" w:color="auto"/>
            </w:tcBorders>
            <w:shd w:val="clear" w:color="auto" w:fill="C6D9F1" w:themeFill="text2" w:themeFillTint="33"/>
            <w:vAlign w:val="center"/>
          </w:tcPr>
          <w:p w:rsidR="001836E6" w:rsidRPr="00526311" w:rsidRDefault="001836E6" w:rsidP="00DC1333">
            <w:pPr>
              <w:ind w:left="2019" w:hanging="2019"/>
              <w:rPr>
                <w:b/>
                <w:bCs/>
                <w:sz w:val="16"/>
                <w:szCs w:val="16"/>
              </w:rPr>
            </w:pPr>
            <w:r w:rsidRPr="00526311">
              <w:rPr>
                <w:b/>
                <w:bCs/>
                <w:sz w:val="16"/>
                <w:szCs w:val="16"/>
              </w:rPr>
              <w:lastRenderedPageBreak/>
              <w:t>Resultado previsto:</w:t>
            </w:r>
            <w:r w:rsidRPr="00526311">
              <w:rPr>
                <w:bCs/>
                <w:sz w:val="16"/>
                <w:szCs w:val="16"/>
              </w:rPr>
              <w:tab/>
              <w:t>II.9 Protección eficaz de la propiedad intelectual en los gTLD y los ccTLD</w:t>
            </w:r>
          </w:p>
        </w:tc>
      </w:tr>
      <w:tr w:rsidR="001836E6" w:rsidRPr="00526311" w:rsidTr="00DC1333">
        <w:trPr>
          <w:cantSplit/>
        </w:trPr>
        <w:tc>
          <w:tcPr>
            <w:tcW w:w="1140" w:type="pct"/>
            <w:tcBorders>
              <w:top w:val="single" w:sz="4" w:space="0" w:color="auto"/>
            </w:tcBorders>
            <w:shd w:val="clear" w:color="auto" w:fill="auto"/>
            <w:vAlign w:val="center"/>
          </w:tcPr>
          <w:p w:rsidR="001836E6" w:rsidRPr="00526311" w:rsidRDefault="001836E6" w:rsidP="00DC1333">
            <w:pPr>
              <w:rPr>
                <w:sz w:val="16"/>
                <w:szCs w:val="16"/>
              </w:rPr>
            </w:pPr>
            <w:r w:rsidRPr="00526311">
              <w:rPr>
                <w:b/>
                <w:sz w:val="16"/>
                <w:szCs w:val="16"/>
              </w:rPr>
              <w:t>Indicadores de rendimiento</w:t>
            </w:r>
          </w:p>
        </w:tc>
        <w:tc>
          <w:tcPr>
            <w:tcW w:w="1210" w:type="pct"/>
            <w:tcBorders>
              <w:top w:val="single" w:sz="4" w:space="0" w:color="auto"/>
            </w:tcBorders>
            <w:shd w:val="clear" w:color="auto" w:fill="auto"/>
            <w:vAlign w:val="center"/>
          </w:tcPr>
          <w:p w:rsidR="001836E6" w:rsidRPr="00526311" w:rsidRDefault="001836E6" w:rsidP="00DC1333">
            <w:pPr>
              <w:rPr>
                <w:b/>
                <w:bCs/>
                <w:sz w:val="16"/>
                <w:szCs w:val="16"/>
              </w:rPr>
            </w:pPr>
            <w:r w:rsidRPr="00526311">
              <w:rPr>
                <w:b/>
                <w:bCs/>
                <w:sz w:val="16"/>
                <w:szCs w:val="16"/>
              </w:rPr>
              <w:t>Referencia</w:t>
            </w:r>
          </w:p>
        </w:tc>
        <w:tc>
          <w:tcPr>
            <w:tcW w:w="910" w:type="pct"/>
            <w:tcBorders>
              <w:top w:val="single" w:sz="4" w:space="0" w:color="auto"/>
            </w:tcBorders>
            <w:shd w:val="clear" w:color="auto" w:fill="auto"/>
            <w:tcMar>
              <w:top w:w="110" w:type="dxa"/>
            </w:tcMar>
            <w:vAlign w:val="center"/>
          </w:tcPr>
          <w:p w:rsidR="001836E6" w:rsidRPr="00526311" w:rsidRDefault="001836E6" w:rsidP="00DC1333">
            <w:pPr>
              <w:rPr>
                <w:b/>
                <w:sz w:val="16"/>
                <w:szCs w:val="16"/>
              </w:rPr>
            </w:pPr>
            <w:r w:rsidRPr="00526311">
              <w:rPr>
                <w:b/>
                <w:sz w:val="16"/>
                <w:szCs w:val="16"/>
              </w:rPr>
              <w:t>Objetivos</w:t>
            </w:r>
          </w:p>
        </w:tc>
        <w:tc>
          <w:tcPr>
            <w:tcW w:w="1134" w:type="pct"/>
            <w:tcBorders>
              <w:top w:val="single" w:sz="4" w:space="0" w:color="auto"/>
            </w:tcBorders>
            <w:shd w:val="clear" w:color="auto" w:fill="auto"/>
            <w:tcMar>
              <w:top w:w="110" w:type="dxa"/>
            </w:tcMar>
            <w:vAlign w:val="center"/>
          </w:tcPr>
          <w:p w:rsidR="001836E6" w:rsidRPr="00526311" w:rsidRDefault="001836E6" w:rsidP="00DC1333">
            <w:pPr>
              <w:rPr>
                <w:sz w:val="16"/>
                <w:szCs w:val="16"/>
              </w:rPr>
            </w:pPr>
            <w:r w:rsidRPr="00526311">
              <w:rPr>
                <w:b/>
                <w:sz w:val="16"/>
                <w:szCs w:val="16"/>
              </w:rPr>
              <w:t>Datos sobre el rendimiento</w:t>
            </w:r>
          </w:p>
        </w:tc>
        <w:tc>
          <w:tcPr>
            <w:tcW w:w="605" w:type="pct"/>
            <w:tcBorders>
              <w:top w:val="single" w:sz="4" w:space="0" w:color="auto"/>
            </w:tcBorders>
            <w:shd w:val="clear" w:color="auto" w:fill="auto"/>
            <w:tcMar>
              <w:top w:w="110" w:type="dxa"/>
            </w:tcMar>
            <w:vAlign w:val="center"/>
          </w:tcPr>
          <w:p w:rsidR="001836E6" w:rsidRPr="00526311" w:rsidRDefault="001836E6" w:rsidP="00DC1333">
            <w:pPr>
              <w:ind w:left="-112"/>
              <w:jc w:val="center"/>
              <w:rPr>
                <w:b/>
                <w:bCs/>
                <w:sz w:val="16"/>
                <w:szCs w:val="16"/>
              </w:rPr>
            </w:pPr>
            <w:r w:rsidRPr="00526311">
              <w:rPr>
                <w:b/>
                <w:bCs/>
                <w:sz w:val="16"/>
                <w:szCs w:val="16"/>
              </w:rPr>
              <w:t>Clave de colores</w:t>
            </w:r>
          </w:p>
        </w:tc>
      </w:tr>
      <w:tr w:rsidR="001836E6" w:rsidRPr="00526311" w:rsidTr="00DC1333">
        <w:trPr>
          <w:cantSplit/>
        </w:trPr>
        <w:tc>
          <w:tcPr>
            <w:tcW w:w="1140" w:type="pct"/>
            <w:shd w:val="clear" w:color="auto" w:fill="auto"/>
          </w:tcPr>
          <w:p w:rsidR="001836E6" w:rsidRPr="00526311" w:rsidRDefault="001836E6" w:rsidP="00DC1333">
            <w:pPr>
              <w:rPr>
                <w:sz w:val="16"/>
                <w:szCs w:val="16"/>
                <w:lang w:bidi="th-TH"/>
              </w:rPr>
            </w:pPr>
            <w:r w:rsidRPr="00526311">
              <w:rPr>
                <w:sz w:val="16"/>
                <w:szCs w:val="16"/>
                <w:lang w:bidi="th-TH"/>
              </w:rPr>
              <w:t>Número de procedimientos relativos a los gTLD administrados en virtud de la Política Uniforme</w:t>
            </w:r>
          </w:p>
        </w:tc>
        <w:tc>
          <w:tcPr>
            <w:tcW w:w="1210" w:type="pct"/>
            <w:shd w:val="clear" w:color="auto" w:fill="auto"/>
          </w:tcPr>
          <w:p w:rsidR="001836E6" w:rsidRPr="00526311" w:rsidRDefault="001836E6" w:rsidP="00DC1333">
            <w:pPr>
              <w:rPr>
                <w:i/>
                <w:color w:val="002060"/>
                <w:sz w:val="16"/>
                <w:szCs w:val="16"/>
              </w:rPr>
            </w:pPr>
            <w:r w:rsidRPr="00526311">
              <w:rPr>
                <w:i/>
                <w:color w:val="002060"/>
                <w:sz w:val="16"/>
                <w:szCs w:val="16"/>
              </w:rPr>
              <w:t>Referencia actualizada a fines de 2013:</w:t>
            </w:r>
            <w:r w:rsidRPr="00526311">
              <w:rPr>
                <w:color w:val="002060"/>
                <w:sz w:val="16"/>
                <w:szCs w:val="16"/>
              </w:rPr>
              <w:t xml:space="preserve">  24.901 procedimientos relativos a los gTLD administrados por el Centro (en total al final de 2013) </w:t>
            </w:r>
          </w:p>
          <w:p w:rsidR="001836E6" w:rsidRPr="00526311" w:rsidRDefault="001836E6" w:rsidP="00DC1333">
            <w:pPr>
              <w:rPr>
                <w:i/>
                <w:sz w:val="8"/>
                <w:szCs w:val="8"/>
              </w:rPr>
            </w:pPr>
          </w:p>
          <w:p w:rsidR="001836E6" w:rsidRPr="00526311" w:rsidRDefault="001836E6" w:rsidP="00DC1333">
            <w:pPr>
              <w:rPr>
                <w:sz w:val="16"/>
                <w:szCs w:val="16"/>
              </w:rPr>
            </w:pPr>
            <w:r w:rsidRPr="00526311">
              <w:rPr>
                <w:i/>
                <w:sz w:val="16"/>
                <w:szCs w:val="16"/>
              </w:rPr>
              <w:t xml:space="preserve">Referencia original en el presupuesto de 2014/15:  </w:t>
            </w:r>
            <w:r w:rsidRPr="00526311">
              <w:rPr>
                <w:sz w:val="16"/>
                <w:szCs w:val="16"/>
              </w:rPr>
              <w:t>22.644 procedimientos relativos a los gTLD administrados por el Centro (en total al final de 2012)</w:t>
            </w:r>
          </w:p>
          <w:p w:rsidR="001836E6" w:rsidRPr="00526311" w:rsidRDefault="001836E6" w:rsidP="00DC1333">
            <w:pPr>
              <w:rPr>
                <w:sz w:val="16"/>
                <w:szCs w:val="16"/>
              </w:rPr>
            </w:pPr>
          </w:p>
        </w:tc>
        <w:tc>
          <w:tcPr>
            <w:tcW w:w="910" w:type="pct"/>
            <w:shd w:val="clear" w:color="auto" w:fill="auto"/>
            <w:tcMar>
              <w:top w:w="110" w:type="dxa"/>
            </w:tcMar>
          </w:tcPr>
          <w:p w:rsidR="001836E6" w:rsidRPr="00526311" w:rsidRDefault="001836E6" w:rsidP="00DC1333">
            <w:pPr>
              <w:autoSpaceDE w:val="0"/>
              <w:autoSpaceDN w:val="0"/>
              <w:adjustRightInd w:val="0"/>
              <w:rPr>
                <w:sz w:val="16"/>
                <w:szCs w:val="16"/>
              </w:rPr>
            </w:pPr>
            <w:r w:rsidRPr="00526311">
              <w:rPr>
                <w:sz w:val="16"/>
                <w:szCs w:val="16"/>
              </w:rPr>
              <w:t>Otros 3.000 procedimientos</w:t>
            </w:r>
          </w:p>
        </w:tc>
        <w:tc>
          <w:tcPr>
            <w:tcW w:w="1134" w:type="pct"/>
            <w:shd w:val="clear" w:color="auto" w:fill="auto"/>
            <w:tcMar>
              <w:top w:w="110" w:type="dxa"/>
            </w:tcMar>
          </w:tcPr>
          <w:p w:rsidR="001836E6" w:rsidRPr="00526311" w:rsidRDefault="001836E6" w:rsidP="00DC1333">
            <w:pPr>
              <w:rPr>
                <w:sz w:val="16"/>
                <w:szCs w:val="16"/>
                <w:lang w:bidi="th-TH"/>
              </w:rPr>
            </w:pPr>
            <w:r>
              <w:rPr>
                <w:sz w:val="16"/>
                <w:szCs w:val="16"/>
                <w:lang w:bidi="th-TH"/>
              </w:rPr>
              <w:t>Otros 4.666</w:t>
            </w:r>
            <w:r w:rsidRPr="00526311">
              <w:rPr>
                <w:sz w:val="16"/>
                <w:szCs w:val="16"/>
                <w:lang w:bidi="th-TH"/>
              </w:rPr>
              <w:t xml:space="preserve"> procedimie</w:t>
            </w:r>
            <w:r>
              <w:rPr>
                <w:sz w:val="16"/>
                <w:szCs w:val="16"/>
                <w:lang w:bidi="th-TH"/>
              </w:rPr>
              <w:t>ntos relacionados con los gTLD en 2014/15 (29.567</w:t>
            </w:r>
            <w:r w:rsidRPr="00526311">
              <w:rPr>
                <w:sz w:val="16"/>
                <w:szCs w:val="16"/>
                <w:lang w:bidi="th-TH"/>
              </w:rPr>
              <w:t xml:space="preserve"> procedimientos en total relacionados con los gTLD)</w:t>
            </w:r>
          </w:p>
        </w:tc>
        <w:tc>
          <w:tcPr>
            <w:tcW w:w="605" w:type="pct"/>
            <w:shd w:val="clear" w:color="auto" w:fill="auto"/>
            <w:tcMar>
              <w:top w:w="110" w:type="dxa"/>
            </w:tcMar>
          </w:tcPr>
          <w:p w:rsidR="001836E6" w:rsidRPr="00526311" w:rsidRDefault="001836E6" w:rsidP="00DC1333">
            <w:pPr>
              <w:keepNext/>
              <w:keepLines/>
              <w:ind w:right="-115"/>
              <w:jc w:val="center"/>
              <w:rPr>
                <w:bCs/>
                <w:color w:val="00B050"/>
                <w:sz w:val="16"/>
                <w:szCs w:val="16"/>
              </w:rPr>
            </w:pPr>
            <w:r>
              <w:rPr>
                <w:b/>
                <w:bCs/>
                <w:color w:val="00B050"/>
                <w:sz w:val="16"/>
                <w:szCs w:val="16"/>
              </w:rPr>
              <w:t>Plenamente logrado</w:t>
            </w:r>
          </w:p>
        </w:tc>
      </w:tr>
      <w:tr w:rsidR="001836E6" w:rsidRPr="00526311" w:rsidTr="00DC1333">
        <w:trPr>
          <w:cantSplit/>
        </w:trPr>
        <w:tc>
          <w:tcPr>
            <w:tcW w:w="1140" w:type="pct"/>
            <w:shd w:val="clear" w:color="auto" w:fill="auto"/>
          </w:tcPr>
          <w:p w:rsidR="001836E6" w:rsidRPr="00526311" w:rsidRDefault="001836E6" w:rsidP="00DC1333">
            <w:pPr>
              <w:rPr>
                <w:sz w:val="16"/>
                <w:szCs w:val="16"/>
                <w:lang w:bidi="th-TH"/>
              </w:rPr>
            </w:pPr>
            <w:r w:rsidRPr="00526311">
              <w:rPr>
                <w:sz w:val="16"/>
                <w:szCs w:val="16"/>
                <w:lang w:bidi="th-TH"/>
              </w:rPr>
              <w:t>Número de procedimientos relativos a los ccTLD administrados en virtud de la Política Uniforme</w:t>
            </w:r>
          </w:p>
        </w:tc>
        <w:tc>
          <w:tcPr>
            <w:tcW w:w="1210" w:type="pct"/>
            <w:shd w:val="clear" w:color="auto" w:fill="auto"/>
          </w:tcPr>
          <w:p w:rsidR="001836E6" w:rsidRPr="00526311" w:rsidRDefault="001836E6" w:rsidP="00DC1333">
            <w:pPr>
              <w:rPr>
                <w:i/>
                <w:color w:val="002060"/>
                <w:sz w:val="16"/>
                <w:szCs w:val="16"/>
              </w:rPr>
            </w:pPr>
            <w:r w:rsidRPr="00526311">
              <w:rPr>
                <w:i/>
                <w:color w:val="002060"/>
                <w:sz w:val="16"/>
                <w:szCs w:val="16"/>
              </w:rPr>
              <w:t>Referencia actualizada a fines de 2013:</w:t>
            </w:r>
            <w:r>
              <w:rPr>
                <w:color w:val="002060"/>
                <w:sz w:val="16"/>
                <w:szCs w:val="16"/>
              </w:rPr>
              <w:t xml:space="preserve">  2.79</w:t>
            </w:r>
            <w:r w:rsidRPr="00526311">
              <w:rPr>
                <w:color w:val="002060"/>
                <w:sz w:val="16"/>
                <w:szCs w:val="16"/>
              </w:rPr>
              <w:t>8 procedimientos relativos a los ccTLD administrados por el Centro (en total al final de 2013)</w:t>
            </w:r>
            <w:r>
              <w:rPr>
                <w:rStyle w:val="FootnoteReference"/>
                <w:color w:val="002060"/>
                <w:sz w:val="16"/>
                <w:szCs w:val="16"/>
              </w:rPr>
              <w:footnoteReference w:id="52"/>
            </w:r>
          </w:p>
          <w:p w:rsidR="001836E6" w:rsidRPr="00526311" w:rsidRDefault="001836E6" w:rsidP="00DC1333">
            <w:pPr>
              <w:rPr>
                <w:i/>
                <w:sz w:val="8"/>
                <w:szCs w:val="8"/>
              </w:rPr>
            </w:pPr>
          </w:p>
          <w:p w:rsidR="001836E6" w:rsidRPr="00526311" w:rsidRDefault="001836E6" w:rsidP="00DC1333">
            <w:pPr>
              <w:rPr>
                <w:sz w:val="16"/>
                <w:szCs w:val="16"/>
              </w:rPr>
            </w:pPr>
            <w:r w:rsidRPr="00526311">
              <w:rPr>
                <w:i/>
                <w:sz w:val="16"/>
                <w:szCs w:val="16"/>
              </w:rPr>
              <w:t xml:space="preserve">Referencia original en el presupuesto de 2014/15:  </w:t>
            </w:r>
            <w:r w:rsidRPr="00526311">
              <w:rPr>
                <w:sz w:val="16"/>
                <w:szCs w:val="16"/>
              </w:rPr>
              <w:t>2.470 procedimientos relativos a los ccTLD administrados por el Centro (en total al final de 2012)</w:t>
            </w:r>
          </w:p>
          <w:p w:rsidR="001836E6" w:rsidRPr="00526311" w:rsidRDefault="001836E6" w:rsidP="00DC1333">
            <w:pPr>
              <w:rPr>
                <w:sz w:val="16"/>
                <w:szCs w:val="16"/>
              </w:rPr>
            </w:pPr>
          </w:p>
        </w:tc>
        <w:tc>
          <w:tcPr>
            <w:tcW w:w="910" w:type="pct"/>
            <w:shd w:val="clear" w:color="auto" w:fill="auto"/>
            <w:tcMar>
              <w:top w:w="110" w:type="dxa"/>
            </w:tcMar>
          </w:tcPr>
          <w:p w:rsidR="001836E6" w:rsidRPr="00526311" w:rsidRDefault="001836E6" w:rsidP="00DC1333">
            <w:pPr>
              <w:rPr>
                <w:sz w:val="16"/>
                <w:szCs w:val="16"/>
              </w:rPr>
            </w:pPr>
            <w:r w:rsidRPr="00526311">
              <w:rPr>
                <w:sz w:val="16"/>
                <w:szCs w:val="16"/>
              </w:rPr>
              <w:t>Otros 350 procedimientos</w:t>
            </w:r>
          </w:p>
        </w:tc>
        <w:tc>
          <w:tcPr>
            <w:tcW w:w="1134" w:type="pct"/>
            <w:shd w:val="clear" w:color="auto" w:fill="auto"/>
            <w:tcMar>
              <w:top w:w="110" w:type="dxa"/>
            </w:tcMar>
          </w:tcPr>
          <w:p w:rsidR="001836E6" w:rsidRPr="00526311" w:rsidRDefault="001836E6" w:rsidP="00DC1333">
            <w:pPr>
              <w:rPr>
                <w:sz w:val="16"/>
                <w:szCs w:val="16"/>
                <w:lang w:bidi="th-TH"/>
              </w:rPr>
            </w:pPr>
            <w:r>
              <w:rPr>
                <w:sz w:val="16"/>
                <w:szCs w:val="16"/>
                <w:lang w:bidi="th-TH"/>
              </w:rPr>
              <w:t>Otros 722</w:t>
            </w:r>
            <w:r w:rsidRPr="00526311">
              <w:rPr>
                <w:sz w:val="16"/>
                <w:szCs w:val="16"/>
                <w:lang w:bidi="th-TH"/>
              </w:rPr>
              <w:t xml:space="preserve"> procedimien</w:t>
            </w:r>
            <w:r>
              <w:rPr>
                <w:sz w:val="16"/>
                <w:szCs w:val="16"/>
                <w:lang w:bidi="th-TH"/>
              </w:rPr>
              <w:t>tos relacionados con los ccTLD en 2014/15</w:t>
            </w:r>
          </w:p>
          <w:p w:rsidR="001836E6" w:rsidRPr="00526311" w:rsidRDefault="001836E6" w:rsidP="00DC1333">
            <w:pPr>
              <w:rPr>
                <w:sz w:val="16"/>
                <w:szCs w:val="16"/>
                <w:lang w:bidi="th-TH"/>
              </w:rPr>
            </w:pPr>
            <w:r>
              <w:rPr>
                <w:sz w:val="16"/>
                <w:szCs w:val="16"/>
                <w:lang w:bidi="th-TH"/>
              </w:rPr>
              <w:t>(3.520 en total)</w:t>
            </w:r>
          </w:p>
        </w:tc>
        <w:tc>
          <w:tcPr>
            <w:tcW w:w="605" w:type="pct"/>
            <w:shd w:val="clear" w:color="auto" w:fill="auto"/>
          </w:tcPr>
          <w:p w:rsidR="001836E6" w:rsidRPr="00526311" w:rsidRDefault="001836E6" w:rsidP="00DC1333">
            <w:pPr>
              <w:keepNext/>
              <w:keepLines/>
              <w:ind w:right="-115"/>
              <w:jc w:val="center"/>
              <w:rPr>
                <w:b/>
                <w:bCs/>
                <w:color w:val="00B050"/>
                <w:sz w:val="16"/>
                <w:szCs w:val="16"/>
              </w:rPr>
            </w:pPr>
            <w:r>
              <w:rPr>
                <w:b/>
                <w:bCs/>
                <w:color w:val="00B050"/>
                <w:sz w:val="16"/>
                <w:szCs w:val="16"/>
              </w:rPr>
              <w:t>Plenamente logrado</w:t>
            </w:r>
          </w:p>
        </w:tc>
      </w:tr>
      <w:tr w:rsidR="001836E6" w:rsidRPr="00526311" w:rsidTr="00DC1333">
        <w:trPr>
          <w:cantSplit/>
        </w:trPr>
        <w:tc>
          <w:tcPr>
            <w:tcW w:w="1140" w:type="pct"/>
            <w:shd w:val="clear" w:color="auto" w:fill="auto"/>
          </w:tcPr>
          <w:p w:rsidR="001836E6" w:rsidRPr="00526311" w:rsidRDefault="001836E6" w:rsidP="00DC1333">
            <w:pPr>
              <w:rPr>
                <w:sz w:val="16"/>
                <w:szCs w:val="16"/>
                <w:lang w:bidi="th-TH"/>
              </w:rPr>
            </w:pPr>
            <w:r w:rsidRPr="00526311">
              <w:rPr>
                <w:sz w:val="16"/>
                <w:szCs w:val="16"/>
                <w:lang w:bidi="th-TH"/>
              </w:rPr>
              <w:t>Políticas de solución de controversias en el sistema de nombres de dominio a cuyo desarrollo y aplicación ha contribuido el Centro de Arbitraje y Mediación de la OMPI</w:t>
            </w:r>
          </w:p>
          <w:p w:rsidR="001836E6" w:rsidRPr="00526311" w:rsidRDefault="001836E6" w:rsidP="00DC1333">
            <w:pPr>
              <w:rPr>
                <w:sz w:val="16"/>
                <w:szCs w:val="16"/>
                <w:lang w:bidi="th-TH"/>
              </w:rPr>
            </w:pPr>
          </w:p>
          <w:p w:rsidR="001836E6" w:rsidRPr="00526311" w:rsidRDefault="001836E6" w:rsidP="00DC1333">
            <w:pPr>
              <w:rPr>
                <w:sz w:val="16"/>
                <w:szCs w:val="16"/>
                <w:lang w:bidi="th-TH"/>
              </w:rPr>
            </w:pPr>
          </w:p>
          <w:p w:rsidR="001836E6" w:rsidRPr="00526311" w:rsidRDefault="001836E6" w:rsidP="00DC1333">
            <w:pPr>
              <w:rPr>
                <w:sz w:val="16"/>
                <w:szCs w:val="16"/>
                <w:lang w:bidi="th-TH"/>
              </w:rPr>
            </w:pPr>
          </w:p>
          <w:p w:rsidR="001836E6" w:rsidRPr="00526311" w:rsidRDefault="001836E6" w:rsidP="00DC1333">
            <w:pPr>
              <w:rPr>
                <w:sz w:val="16"/>
                <w:szCs w:val="16"/>
                <w:lang w:bidi="th-TH"/>
              </w:rPr>
            </w:pPr>
          </w:p>
        </w:tc>
        <w:tc>
          <w:tcPr>
            <w:tcW w:w="1210" w:type="pct"/>
            <w:shd w:val="clear" w:color="auto" w:fill="auto"/>
          </w:tcPr>
          <w:p w:rsidR="001836E6" w:rsidRPr="00526311" w:rsidRDefault="001836E6" w:rsidP="00DC1333">
            <w:pPr>
              <w:rPr>
                <w:i/>
                <w:color w:val="002060"/>
                <w:sz w:val="16"/>
                <w:szCs w:val="16"/>
              </w:rPr>
            </w:pPr>
            <w:r w:rsidRPr="00526311">
              <w:rPr>
                <w:i/>
                <w:color w:val="002060"/>
                <w:sz w:val="16"/>
                <w:szCs w:val="16"/>
              </w:rPr>
              <w:t>Referencia actualizada a fines de 2013:</w:t>
            </w:r>
            <w:r w:rsidRPr="00526311">
              <w:rPr>
                <w:color w:val="002060"/>
                <w:sz w:val="16"/>
                <w:szCs w:val="16"/>
              </w:rPr>
              <w:t xml:space="preserve">  Política Uniforme, Política de solución de controversias para la etapa previa a la adjudicación (en total al final de 2013)</w:t>
            </w:r>
          </w:p>
          <w:p w:rsidR="001836E6" w:rsidRPr="00526311" w:rsidRDefault="001836E6" w:rsidP="00DC1333">
            <w:pPr>
              <w:rPr>
                <w:i/>
                <w:sz w:val="8"/>
                <w:szCs w:val="8"/>
              </w:rPr>
            </w:pPr>
          </w:p>
          <w:p w:rsidR="001836E6" w:rsidRPr="00526311" w:rsidRDefault="001836E6" w:rsidP="00DC1333">
            <w:pPr>
              <w:rPr>
                <w:sz w:val="16"/>
                <w:szCs w:val="16"/>
              </w:rPr>
            </w:pPr>
            <w:r w:rsidRPr="00526311">
              <w:rPr>
                <w:i/>
                <w:sz w:val="16"/>
                <w:szCs w:val="16"/>
              </w:rPr>
              <w:t xml:space="preserve">Referencia original en el presupuesto de 2014/15:  </w:t>
            </w:r>
            <w:r w:rsidRPr="00526311">
              <w:rPr>
                <w:sz w:val="16"/>
                <w:szCs w:val="16"/>
              </w:rPr>
              <w:t>Política Uniforme, Política de solución de</w:t>
            </w:r>
          </w:p>
          <w:p w:rsidR="001836E6" w:rsidRPr="00526311" w:rsidRDefault="001836E6" w:rsidP="00DC1333">
            <w:pPr>
              <w:rPr>
                <w:sz w:val="16"/>
                <w:szCs w:val="16"/>
              </w:rPr>
            </w:pPr>
            <w:r w:rsidRPr="00526311">
              <w:rPr>
                <w:sz w:val="16"/>
                <w:szCs w:val="16"/>
              </w:rPr>
              <w:t>controversias para la etapa</w:t>
            </w:r>
          </w:p>
          <w:p w:rsidR="001836E6" w:rsidRPr="00526311" w:rsidRDefault="001836E6" w:rsidP="00DC1333">
            <w:pPr>
              <w:rPr>
                <w:sz w:val="16"/>
                <w:szCs w:val="16"/>
              </w:rPr>
            </w:pPr>
            <w:r w:rsidRPr="00526311">
              <w:rPr>
                <w:sz w:val="16"/>
                <w:szCs w:val="16"/>
              </w:rPr>
              <w:t>previa a la adjudicación (en total al final de 2012)</w:t>
            </w:r>
          </w:p>
          <w:p w:rsidR="001836E6" w:rsidRPr="00526311" w:rsidRDefault="001836E6" w:rsidP="00DC1333">
            <w:pPr>
              <w:rPr>
                <w:sz w:val="16"/>
                <w:szCs w:val="16"/>
              </w:rPr>
            </w:pPr>
          </w:p>
        </w:tc>
        <w:tc>
          <w:tcPr>
            <w:tcW w:w="910" w:type="pct"/>
            <w:shd w:val="clear" w:color="auto" w:fill="auto"/>
            <w:tcMar>
              <w:top w:w="110" w:type="dxa"/>
            </w:tcMar>
          </w:tcPr>
          <w:p w:rsidR="001836E6" w:rsidRPr="00526311" w:rsidRDefault="001836E6" w:rsidP="00DC1333">
            <w:pPr>
              <w:rPr>
                <w:sz w:val="16"/>
                <w:szCs w:val="16"/>
              </w:rPr>
            </w:pPr>
            <w:r w:rsidRPr="00526311">
              <w:rPr>
                <w:sz w:val="16"/>
                <w:szCs w:val="16"/>
              </w:rPr>
              <w:t>Aplicación en el Sistema de Nombres de Dominio de las recomendaciones de la OMPI sobre políticas y procedimientos.</w:t>
            </w:r>
          </w:p>
          <w:p w:rsidR="001836E6" w:rsidRPr="00526311" w:rsidRDefault="001836E6" w:rsidP="00DC1333">
            <w:pPr>
              <w:rPr>
                <w:sz w:val="16"/>
                <w:szCs w:val="16"/>
              </w:rPr>
            </w:pPr>
          </w:p>
          <w:p w:rsidR="001836E6" w:rsidRPr="00526311" w:rsidRDefault="001836E6" w:rsidP="00DC1333">
            <w:pPr>
              <w:rPr>
                <w:sz w:val="16"/>
                <w:szCs w:val="16"/>
              </w:rPr>
            </w:pPr>
          </w:p>
          <w:p w:rsidR="001836E6" w:rsidRPr="00526311" w:rsidRDefault="001836E6" w:rsidP="00DC1333">
            <w:pPr>
              <w:rPr>
                <w:sz w:val="16"/>
                <w:szCs w:val="16"/>
              </w:rPr>
            </w:pPr>
          </w:p>
          <w:p w:rsidR="001836E6" w:rsidRPr="00526311" w:rsidRDefault="001836E6" w:rsidP="00DC1333">
            <w:pPr>
              <w:rPr>
                <w:sz w:val="16"/>
                <w:szCs w:val="16"/>
              </w:rPr>
            </w:pPr>
          </w:p>
          <w:p w:rsidR="001836E6" w:rsidRPr="00526311" w:rsidRDefault="001836E6" w:rsidP="00DC1333">
            <w:pPr>
              <w:rPr>
                <w:sz w:val="16"/>
                <w:szCs w:val="16"/>
              </w:rPr>
            </w:pPr>
          </w:p>
          <w:p w:rsidR="001836E6" w:rsidRPr="00526311" w:rsidRDefault="001836E6" w:rsidP="00DC1333">
            <w:pPr>
              <w:rPr>
                <w:sz w:val="16"/>
                <w:szCs w:val="16"/>
              </w:rPr>
            </w:pPr>
          </w:p>
        </w:tc>
        <w:tc>
          <w:tcPr>
            <w:tcW w:w="1134" w:type="pct"/>
            <w:shd w:val="clear" w:color="auto" w:fill="auto"/>
            <w:tcMar>
              <w:top w:w="110" w:type="dxa"/>
            </w:tcMar>
          </w:tcPr>
          <w:p w:rsidR="001836E6" w:rsidRDefault="001836E6" w:rsidP="00DC1333">
            <w:pPr>
              <w:rPr>
                <w:sz w:val="16"/>
                <w:szCs w:val="16"/>
                <w:lang w:bidi="th-TH"/>
              </w:rPr>
            </w:pPr>
            <w:r>
              <w:rPr>
                <w:sz w:val="16"/>
                <w:szCs w:val="16"/>
                <w:lang w:bidi="th-TH"/>
              </w:rPr>
              <w:t>Normas de la Política Uniforme actualizadas para las nuevas disposiciones relativas al bloqueo por el registrador (2015)</w:t>
            </w:r>
          </w:p>
          <w:p w:rsidR="001836E6" w:rsidRDefault="001836E6" w:rsidP="00DC1333">
            <w:pPr>
              <w:rPr>
                <w:sz w:val="16"/>
                <w:szCs w:val="16"/>
                <w:lang w:bidi="th-TH"/>
              </w:rPr>
            </w:pPr>
          </w:p>
          <w:p w:rsidR="001836E6" w:rsidRPr="00526311" w:rsidRDefault="001836E6" w:rsidP="00DC1333">
            <w:pPr>
              <w:rPr>
                <w:sz w:val="16"/>
                <w:szCs w:val="16"/>
                <w:lang w:bidi="th-TH"/>
              </w:rPr>
            </w:pPr>
            <w:r>
              <w:rPr>
                <w:sz w:val="16"/>
                <w:szCs w:val="16"/>
                <w:lang w:bidi="th-TH"/>
              </w:rPr>
              <w:t xml:space="preserve">Política Uniforme, </w:t>
            </w:r>
            <w:r w:rsidRPr="00526311">
              <w:rPr>
                <w:sz w:val="16"/>
                <w:szCs w:val="16"/>
                <w:lang w:bidi="th-TH"/>
              </w:rPr>
              <w:t>Política de la ICANN de solución de controversias para la eta</w:t>
            </w:r>
            <w:r>
              <w:rPr>
                <w:sz w:val="16"/>
                <w:szCs w:val="16"/>
                <w:lang w:bidi="th-TH"/>
              </w:rPr>
              <w:t xml:space="preserve">pa previa a la adjudicación, </w:t>
            </w:r>
            <w:r w:rsidRPr="00526311">
              <w:rPr>
                <w:sz w:val="16"/>
                <w:szCs w:val="16"/>
                <w:lang w:bidi="th-TH"/>
              </w:rPr>
              <w:t>procedimiento de la ICANN de solución de controversias para la etapa posterior a la adjudicación (en total al final de </w:t>
            </w:r>
            <w:r>
              <w:rPr>
                <w:sz w:val="16"/>
                <w:szCs w:val="16"/>
                <w:lang w:bidi="th-TH"/>
              </w:rPr>
              <w:t>2015</w:t>
            </w:r>
            <w:r w:rsidRPr="00526311">
              <w:rPr>
                <w:sz w:val="16"/>
                <w:szCs w:val="16"/>
                <w:lang w:bidi="th-TH"/>
              </w:rPr>
              <w:t>);  no se aplicarán nuev</w:t>
            </w:r>
            <w:r>
              <w:rPr>
                <w:sz w:val="16"/>
                <w:szCs w:val="16"/>
                <w:lang w:bidi="th-TH"/>
              </w:rPr>
              <w:t>as políticas o recomendaciones.</w:t>
            </w:r>
          </w:p>
        </w:tc>
        <w:tc>
          <w:tcPr>
            <w:tcW w:w="605" w:type="pct"/>
            <w:shd w:val="clear" w:color="auto" w:fill="auto"/>
            <w:tcMar>
              <w:top w:w="110" w:type="dxa"/>
            </w:tcMar>
          </w:tcPr>
          <w:p w:rsidR="001836E6" w:rsidRPr="00526311" w:rsidRDefault="001836E6" w:rsidP="00DC1333">
            <w:pPr>
              <w:keepNext/>
              <w:keepLines/>
              <w:ind w:right="-115"/>
              <w:jc w:val="center"/>
              <w:rPr>
                <w:b/>
                <w:bCs/>
                <w:color w:val="00B050"/>
                <w:sz w:val="16"/>
                <w:szCs w:val="16"/>
              </w:rPr>
            </w:pPr>
            <w:r>
              <w:rPr>
                <w:b/>
                <w:bCs/>
                <w:color w:val="00B050"/>
                <w:sz w:val="16"/>
                <w:szCs w:val="16"/>
              </w:rPr>
              <w:t>Plenamente logrado</w:t>
            </w:r>
          </w:p>
        </w:tc>
      </w:tr>
      <w:tr w:rsidR="001836E6" w:rsidRPr="00526311" w:rsidTr="00DC1333">
        <w:trPr>
          <w:cantSplit/>
        </w:trPr>
        <w:tc>
          <w:tcPr>
            <w:tcW w:w="1140" w:type="pct"/>
            <w:shd w:val="clear" w:color="auto" w:fill="auto"/>
          </w:tcPr>
          <w:p w:rsidR="001836E6" w:rsidRPr="00526311" w:rsidRDefault="001836E6" w:rsidP="00DC1333">
            <w:pPr>
              <w:rPr>
                <w:sz w:val="16"/>
                <w:szCs w:val="16"/>
              </w:rPr>
            </w:pPr>
            <w:r w:rsidRPr="00526311">
              <w:rPr>
                <w:sz w:val="16"/>
                <w:szCs w:val="16"/>
              </w:rPr>
              <w:t>Número de administradores de ccTLD que disponen de mecanismos de protección de P.I. concebidos o administrados por la OMPI de conformidad con las normas internacionales</w:t>
            </w:r>
          </w:p>
        </w:tc>
        <w:tc>
          <w:tcPr>
            <w:tcW w:w="1210" w:type="pct"/>
            <w:shd w:val="clear" w:color="auto" w:fill="auto"/>
          </w:tcPr>
          <w:p w:rsidR="001836E6" w:rsidRPr="00526311" w:rsidRDefault="001836E6" w:rsidP="00DC1333">
            <w:pPr>
              <w:rPr>
                <w:i/>
                <w:color w:val="002060"/>
                <w:sz w:val="16"/>
                <w:szCs w:val="16"/>
              </w:rPr>
            </w:pPr>
            <w:r w:rsidRPr="00526311">
              <w:rPr>
                <w:i/>
                <w:color w:val="002060"/>
                <w:sz w:val="16"/>
                <w:szCs w:val="16"/>
              </w:rPr>
              <w:t>Referencia actualizada a fines de 2013:</w:t>
            </w:r>
            <w:r w:rsidRPr="00526311">
              <w:rPr>
                <w:color w:val="002060"/>
                <w:sz w:val="16"/>
                <w:szCs w:val="16"/>
              </w:rPr>
              <w:t xml:space="preserve">  70 administradores de ccTLD (en total al final de 2013)</w:t>
            </w:r>
          </w:p>
          <w:p w:rsidR="001836E6" w:rsidRPr="00526311" w:rsidRDefault="001836E6" w:rsidP="00DC1333">
            <w:pPr>
              <w:rPr>
                <w:i/>
                <w:sz w:val="8"/>
                <w:szCs w:val="8"/>
              </w:rPr>
            </w:pPr>
          </w:p>
          <w:p w:rsidR="001836E6" w:rsidRPr="00526311" w:rsidRDefault="001836E6" w:rsidP="00DC1333">
            <w:pPr>
              <w:rPr>
                <w:i/>
                <w:color w:val="002060"/>
                <w:sz w:val="16"/>
                <w:szCs w:val="16"/>
              </w:rPr>
            </w:pPr>
            <w:r w:rsidRPr="00526311">
              <w:rPr>
                <w:i/>
                <w:sz w:val="16"/>
                <w:szCs w:val="16"/>
              </w:rPr>
              <w:t xml:space="preserve">Referencia original en el presupuesto de 2014/15:  </w:t>
            </w:r>
            <w:r w:rsidRPr="00526311">
              <w:rPr>
                <w:sz w:val="16"/>
                <w:szCs w:val="16"/>
              </w:rPr>
              <w:t>67 administradores de ccTLD (en total al final de 2012)</w:t>
            </w:r>
          </w:p>
        </w:tc>
        <w:tc>
          <w:tcPr>
            <w:tcW w:w="910" w:type="pct"/>
            <w:shd w:val="clear" w:color="auto" w:fill="auto"/>
            <w:tcMar>
              <w:top w:w="110" w:type="dxa"/>
            </w:tcMar>
          </w:tcPr>
          <w:p w:rsidR="001836E6" w:rsidRPr="00526311" w:rsidRDefault="001836E6" w:rsidP="00DC1333">
            <w:pPr>
              <w:rPr>
                <w:sz w:val="16"/>
                <w:szCs w:val="16"/>
              </w:rPr>
            </w:pPr>
            <w:r w:rsidRPr="00526311">
              <w:rPr>
                <w:sz w:val="16"/>
                <w:szCs w:val="16"/>
              </w:rPr>
              <w:t>Cuatro nuevos administradores.</w:t>
            </w:r>
          </w:p>
        </w:tc>
        <w:tc>
          <w:tcPr>
            <w:tcW w:w="1134" w:type="pct"/>
            <w:shd w:val="clear" w:color="auto" w:fill="auto"/>
            <w:tcMar>
              <w:top w:w="110" w:type="dxa"/>
            </w:tcMar>
          </w:tcPr>
          <w:p w:rsidR="001836E6" w:rsidRPr="00526311" w:rsidRDefault="001836E6" w:rsidP="00DC1333">
            <w:pPr>
              <w:rPr>
                <w:sz w:val="16"/>
                <w:szCs w:val="16"/>
                <w:lang w:bidi="th-TH"/>
              </w:rPr>
            </w:pPr>
            <w:r>
              <w:rPr>
                <w:sz w:val="16"/>
                <w:szCs w:val="16"/>
                <w:lang w:bidi="th-TH"/>
              </w:rPr>
              <w:t xml:space="preserve">Dos </w:t>
            </w:r>
            <w:r w:rsidRPr="00526311">
              <w:rPr>
                <w:sz w:val="16"/>
                <w:szCs w:val="16"/>
                <w:lang w:bidi="th-TH"/>
              </w:rPr>
              <w:t xml:space="preserve">nuevos administradores </w:t>
            </w:r>
            <w:r>
              <w:rPr>
                <w:sz w:val="16"/>
                <w:szCs w:val="16"/>
                <w:lang w:bidi="th-TH"/>
              </w:rPr>
              <w:t xml:space="preserve">en 2014/15 (.GC, .VG) (71 </w:t>
            </w:r>
            <w:r w:rsidRPr="00526311">
              <w:rPr>
                <w:sz w:val="16"/>
                <w:szCs w:val="16"/>
                <w:lang w:bidi="th-TH"/>
              </w:rPr>
              <w:t>en total</w:t>
            </w:r>
            <w:r>
              <w:rPr>
                <w:sz w:val="16"/>
                <w:szCs w:val="16"/>
                <w:lang w:bidi="th-TH"/>
              </w:rPr>
              <w:t xml:space="preserve"> tras una rescisión</w:t>
            </w:r>
            <w:r w:rsidRPr="00526311">
              <w:rPr>
                <w:sz w:val="16"/>
                <w:szCs w:val="16"/>
                <w:lang w:bidi="th-TH"/>
              </w:rPr>
              <w:t>).</w:t>
            </w:r>
          </w:p>
        </w:tc>
        <w:tc>
          <w:tcPr>
            <w:tcW w:w="606" w:type="pct"/>
            <w:shd w:val="clear" w:color="auto" w:fill="auto"/>
            <w:tcMar>
              <w:top w:w="110" w:type="dxa"/>
            </w:tcMar>
          </w:tcPr>
          <w:p w:rsidR="001836E6" w:rsidRPr="00526311" w:rsidRDefault="001836E6" w:rsidP="00DC1333">
            <w:pPr>
              <w:keepNext/>
              <w:keepLines/>
              <w:ind w:right="-115"/>
              <w:jc w:val="center"/>
              <w:rPr>
                <w:rStyle w:val="Style5"/>
                <w:b/>
                <w:color w:val="00B050"/>
                <w:sz w:val="16"/>
                <w:szCs w:val="16"/>
              </w:rPr>
            </w:pPr>
            <w:r>
              <w:rPr>
                <w:b/>
                <w:bCs/>
                <w:color w:val="D56509"/>
                <w:sz w:val="16"/>
                <w:szCs w:val="16"/>
              </w:rPr>
              <w:t>Parcialmente</w:t>
            </w:r>
            <w:r w:rsidRPr="00CE2943">
              <w:rPr>
                <w:b/>
                <w:bCs/>
                <w:color w:val="D56509"/>
                <w:sz w:val="16"/>
                <w:szCs w:val="16"/>
              </w:rPr>
              <w:t xml:space="preserve"> </w:t>
            </w:r>
            <w:r>
              <w:rPr>
                <w:b/>
                <w:bCs/>
                <w:color w:val="D56509"/>
                <w:sz w:val="16"/>
                <w:szCs w:val="16"/>
              </w:rPr>
              <w:t>logrado</w:t>
            </w:r>
          </w:p>
        </w:tc>
      </w:tr>
    </w:tbl>
    <w:p w:rsidR="001836E6" w:rsidRDefault="001836E6" w:rsidP="00DC1333">
      <w:pPr>
        <w:jc w:val="both"/>
      </w:pPr>
    </w:p>
    <w:p w:rsidR="001836E6" w:rsidRPr="00526311" w:rsidRDefault="001836E6" w:rsidP="00DC1333">
      <w:pPr>
        <w:jc w:val="both"/>
      </w:pPr>
    </w:p>
    <w:p w:rsidR="001836E6" w:rsidRPr="00F512DD" w:rsidRDefault="008F7CBE" w:rsidP="00242DDD">
      <w:pPr>
        <w:keepNext/>
        <w:spacing w:after="200" w:line="276" w:lineRule="auto"/>
        <w:rPr>
          <w:b/>
          <w:sz w:val="18"/>
        </w:rPr>
      </w:pPr>
      <w:r w:rsidRPr="008F7CBE">
        <w:rPr>
          <w:color w:val="000000"/>
          <w:sz w:val="20"/>
          <w:szCs w:val="22"/>
        </w:rPr>
        <w:lastRenderedPageBreak/>
        <w:t>INFORMACIÓN SOBRE LOS RIESGOS PLANTEADOS EN EL BIENIO</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6"/>
        <w:gridCol w:w="2154"/>
        <w:gridCol w:w="2310"/>
        <w:gridCol w:w="2306"/>
      </w:tblGrid>
      <w:tr w:rsidR="001836E6" w:rsidRPr="00D10B62" w:rsidTr="00DC1333">
        <w:trPr>
          <w:trHeight w:val="479"/>
        </w:trPr>
        <w:tc>
          <w:tcPr>
            <w:tcW w:w="2466" w:type="dxa"/>
            <w:tcBorders>
              <w:top w:val="single" w:sz="4" w:space="0" w:color="auto"/>
              <w:bottom w:val="single" w:sz="4" w:space="0" w:color="auto"/>
            </w:tcBorders>
            <w:shd w:val="clear" w:color="auto" w:fill="C6D9F1" w:themeFill="text2" w:themeFillTint="33"/>
            <w:vAlign w:val="center"/>
          </w:tcPr>
          <w:p w:rsidR="001836E6" w:rsidRPr="00D10B62" w:rsidRDefault="001836E6" w:rsidP="00242DDD">
            <w:pPr>
              <w:keepNext/>
              <w:keepLines/>
              <w:jc w:val="center"/>
              <w:rPr>
                <w:b/>
                <w:bCs/>
                <w:iCs/>
                <w:sz w:val="18"/>
                <w:szCs w:val="18"/>
              </w:rPr>
            </w:pPr>
            <w:r w:rsidRPr="00D10B62">
              <w:rPr>
                <w:b/>
                <w:bCs/>
                <w:iCs/>
                <w:sz w:val="18"/>
                <w:szCs w:val="18"/>
              </w:rPr>
              <w:t>Riesgos en el logro de los resultados del programa</w:t>
            </w:r>
          </w:p>
        </w:tc>
        <w:tc>
          <w:tcPr>
            <w:tcW w:w="2154" w:type="dxa"/>
            <w:tcBorders>
              <w:top w:val="single" w:sz="4" w:space="0" w:color="auto"/>
              <w:bottom w:val="single" w:sz="4" w:space="0" w:color="auto"/>
            </w:tcBorders>
            <w:shd w:val="clear" w:color="auto" w:fill="C6D9F1" w:themeFill="text2" w:themeFillTint="33"/>
            <w:vAlign w:val="center"/>
          </w:tcPr>
          <w:p w:rsidR="001836E6" w:rsidRPr="00D10B62" w:rsidRDefault="001836E6" w:rsidP="00242DDD">
            <w:pPr>
              <w:keepNext/>
              <w:keepLines/>
              <w:jc w:val="center"/>
              <w:rPr>
                <w:b/>
                <w:bCs/>
                <w:iCs/>
                <w:sz w:val="18"/>
                <w:szCs w:val="18"/>
              </w:rPr>
            </w:pPr>
            <w:r w:rsidRPr="00D10B62">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1836E6" w:rsidRPr="00D10B62" w:rsidRDefault="001836E6" w:rsidP="00242DDD">
            <w:pPr>
              <w:keepNext/>
              <w:keepLines/>
              <w:jc w:val="center"/>
              <w:rPr>
                <w:b/>
                <w:bCs/>
                <w:sz w:val="18"/>
                <w:szCs w:val="18"/>
              </w:rPr>
            </w:pPr>
            <w:r w:rsidRPr="00D10B62">
              <w:rPr>
                <w:b/>
                <w:bCs/>
                <w:iCs/>
                <w:sz w:val="18"/>
                <w:szCs w:val="18"/>
              </w:rPr>
              <w:t>Evolución de los riesgos y estrategias de mitigación durante el bienio</w:t>
            </w:r>
          </w:p>
        </w:tc>
        <w:tc>
          <w:tcPr>
            <w:tcW w:w="2306" w:type="dxa"/>
            <w:tcBorders>
              <w:top w:val="single" w:sz="4" w:space="0" w:color="auto"/>
              <w:bottom w:val="single" w:sz="4" w:space="0" w:color="auto"/>
            </w:tcBorders>
            <w:shd w:val="clear" w:color="auto" w:fill="C6D9F1" w:themeFill="text2" w:themeFillTint="33"/>
          </w:tcPr>
          <w:p w:rsidR="001836E6" w:rsidRPr="00D10B62" w:rsidRDefault="001836E6" w:rsidP="00242DDD">
            <w:pPr>
              <w:keepNext/>
              <w:keepLines/>
              <w:jc w:val="center"/>
              <w:rPr>
                <w:b/>
                <w:bCs/>
                <w:sz w:val="18"/>
                <w:szCs w:val="18"/>
              </w:rPr>
            </w:pPr>
            <w:r w:rsidRPr="00D10B62">
              <w:rPr>
                <w:b/>
                <w:bCs/>
                <w:sz w:val="18"/>
                <w:szCs w:val="18"/>
              </w:rPr>
              <w:t>Incidencia en el rendimiento del programa</w:t>
            </w:r>
          </w:p>
        </w:tc>
      </w:tr>
      <w:tr w:rsidR="001836E6" w:rsidRPr="002556E8" w:rsidTr="00DC1333">
        <w:trPr>
          <w:trHeight w:val="1564"/>
        </w:trPr>
        <w:tc>
          <w:tcPr>
            <w:tcW w:w="2466" w:type="dxa"/>
            <w:tcBorders>
              <w:top w:val="single" w:sz="4" w:space="0" w:color="auto"/>
            </w:tcBorders>
            <w:shd w:val="clear" w:color="auto" w:fill="auto"/>
            <w:tcMar>
              <w:top w:w="113" w:type="dxa"/>
              <w:bottom w:w="113" w:type="dxa"/>
            </w:tcMar>
          </w:tcPr>
          <w:p w:rsidR="001836E6" w:rsidRPr="00DA5E97" w:rsidRDefault="001836E6" w:rsidP="00242DDD">
            <w:pPr>
              <w:keepNext/>
              <w:keepLines/>
              <w:rPr>
                <w:sz w:val="16"/>
                <w:szCs w:val="16"/>
              </w:rPr>
            </w:pPr>
            <w:r w:rsidRPr="00DA5E97">
              <w:rPr>
                <w:rFonts w:cs="ArialMT"/>
                <w:iCs/>
                <w:sz w:val="16"/>
                <w:szCs w:val="16"/>
              </w:rPr>
              <w:t>Las variaciones en los recursos en comparación con otros proveedores de servicios de solución extrajudicial de controversias afectan al reconocimiento en el mercado de los servicios de arbitraje y mediación que ofrece la OMPI.</w:t>
            </w:r>
          </w:p>
        </w:tc>
        <w:tc>
          <w:tcPr>
            <w:tcW w:w="2154" w:type="dxa"/>
            <w:tcBorders>
              <w:top w:val="single" w:sz="4" w:space="0" w:color="auto"/>
            </w:tcBorders>
            <w:shd w:val="clear" w:color="auto" w:fill="auto"/>
            <w:tcMar>
              <w:top w:w="113" w:type="dxa"/>
              <w:bottom w:w="113" w:type="dxa"/>
            </w:tcMar>
          </w:tcPr>
          <w:p w:rsidR="001836E6" w:rsidRPr="00C1751A" w:rsidRDefault="001836E6" w:rsidP="00242DDD">
            <w:pPr>
              <w:keepNext/>
              <w:keepLines/>
              <w:autoSpaceDE w:val="0"/>
              <w:autoSpaceDN w:val="0"/>
              <w:adjustRightInd w:val="0"/>
              <w:ind w:right="-59"/>
              <w:rPr>
                <w:sz w:val="16"/>
                <w:szCs w:val="16"/>
              </w:rPr>
            </w:pPr>
            <w:r w:rsidRPr="00C1751A">
              <w:rPr>
                <w:iCs/>
                <w:sz w:val="16"/>
                <w:szCs w:val="16"/>
              </w:rPr>
              <w:t xml:space="preserve">La OMPI seguirá sirviéndose de la posición del Centro de Arbitraje y Mediación como principal especialista en la mediación, el arbitraje y otros procedimientos de solución extrajudicial de controversias en materia de P.I. estrechando la colaboración con otras instancias, por ejemplo, cooperando con más regularidad con asociaciones de P.I. y cuestiones conexas, maximizando la utilización del Centro en Singapur para fomentar la actividad regional e intensificando la colaboración con otras secciones de la OMPI.  </w:t>
            </w:r>
            <w:r>
              <w:rPr>
                <w:iCs/>
                <w:sz w:val="16"/>
                <w:szCs w:val="16"/>
              </w:rPr>
              <w:t>Además, el riesgo puede</w:t>
            </w:r>
            <w:r w:rsidRPr="00C1751A">
              <w:rPr>
                <w:iCs/>
                <w:sz w:val="16"/>
                <w:szCs w:val="16"/>
              </w:rPr>
              <w:t xml:space="preserve"> mitigarse fomentando la participación de los árbitros y mediadores de la OMPI en distintos foros y la investigación de nuevas prácticas y expectativas de los usuarios.</w:t>
            </w:r>
          </w:p>
        </w:tc>
        <w:tc>
          <w:tcPr>
            <w:tcW w:w="2310" w:type="dxa"/>
            <w:tcBorders>
              <w:top w:val="single" w:sz="4" w:space="0" w:color="auto"/>
            </w:tcBorders>
          </w:tcPr>
          <w:p w:rsidR="001836E6" w:rsidRPr="001566C5" w:rsidRDefault="001836E6" w:rsidP="00242DDD">
            <w:pPr>
              <w:keepNext/>
              <w:keepLines/>
              <w:autoSpaceDE w:val="0"/>
              <w:autoSpaceDN w:val="0"/>
              <w:adjustRightInd w:val="0"/>
              <w:ind w:right="-59"/>
              <w:rPr>
                <w:iCs/>
                <w:sz w:val="16"/>
                <w:szCs w:val="16"/>
              </w:rPr>
            </w:pPr>
            <w:r>
              <w:rPr>
                <w:iCs/>
                <w:sz w:val="16"/>
                <w:szCs w:val="16"/>
              </w:rPr>
              <w:t xml:space="preserve">La </w:t>
            </w:r>
            <w:r w:rsidRPr="0081795A">
              <w:rPr>
                <w:iCs/>
                <w:sz w:val="16"/>
                <w:szCs w:val="16"/>
              </w:rPr>
              <w:t>aparición de nuevos proveedores de servicios de solución extrajudicial de controversias a nivel internacional</w:t>
            </w:r>
            <w:r>
              <w:rPr>
                <w:iCs/>
                <w:sz w:val="16"/>
                <w:szCs w:val="16"/>
              </w:rPr>
              <w:t>,</w:t>
            </w:r>
            <w:r w:rsidRPr="0081795A">
              <w:rPr>
                <w:iCs/>
                <w:sz w:val="16"/>
                <w:szCs w:val="16"/>
              </w:rPr>
              <w:t xml:space="preserve"> </w:t>
            </w:r>
            <w:r>
              <w:rPr>
                <w:iCs/>
                <w:sz w:val="16"/>
                <w:szCs w:val="16"/>
              </w:rPr>
              <w:t xml:space="preserve">y más concretamente en el ámbito de la P.I., se ha sumado a las preocupaciones relacionadas con el reconocimiento en el mercado.  </w:t>
            </w:r>
            <w:r w:rsidRPr="007137F2">
              <w:rPr>
                <w:iCs/>
                <w:sz w:val="16"/>
                <w:szCs w:val="16"/>
              </w:rPr>
              <w:t>En 2014/15 la OMPI se centró activamente en sus planes de mitigación mediante una variedad de iniciativas judiciales y promoc</w:t>
            </w:r>
            <w:r>
              <w:rPr>
                <w:iCs/>
                <w:sz w:val="16"/>
                <w:szCs w:val="16"/>
              </w:rPr>
              <w:t>ionales, y también se valió de la presencia de las o</w:t>
            </w:r>
            <w:r w:rsidRPr="007137F2">
              <w:rPr>
                <w:iCs/>
                <w:sz w:val="16"/>
                <w:szCs w:val="16"/>
              </w:rPr>
              <w:t xml:space="preserve">ficinas de la OMPI </w:t>
            </w:r>
            <w:r>
              <w:rPr>
                <w:iCs/>
                <w:sz w:val="16"/>
                <w:szCs w:val="16"/>
              </w:rPr>
              <w:t>en el exterior en lo relativo a la solución extrajudicial de controversias en materia de P.I.</w:t>
            </w:r>
          </w:p>
        </w:tc>
        <w:tc>
          <w:tcPr>
            <w:tcW w:w="2306" w:type="dxa"/>
            <w:tcBorders>
              <w:top w:val="single" w:sz="4" w:space="0" w:color="auto"/>
            </w:tcBorders>
          </w:tcPr>
          <w:p w:rsidR="001836E6" w:rsidRPr="002556E8" w:rsidRDefault="001836E6" w:rsidP="00242DDD">
            <w:pPr>
              <w:keepNext/>
              <w:keepLines/>
              <w:autoSpaceDE w:val="0"/>
              <w:autoSpaceDN w:val="0"/>
              <w:adjustRightInd w:val="0"/>
              <w:ind w:right="-59"/>
              <w:rPr>
                <w:iCs/>
                <w:sz w:val="16"/>
                <w:szCs w:val="16"/>
              </w:rPr>
            </w:pPr>
            <w:r>
              <w:rPr>
                <w:iCs/>
                <w:sz w:val="16"/>
                <w:szCs w:val="16"/>
              </w:rPr>
              <w:t>Sigue</w:t>
            </w:r>
            <w:r w:rsidRPr="002556E8">
              <w:rPr>
                <w:iCs/>
                <w:sz w:val="16"/>
                <w:szCs w:val="16"/>
              </w:rPr>
              <w:t xml:space="preserve"> habiendo problemas para establecer nexos entre los ámbitos jurídicos de la P.I. y la soluci</w:t>
            </w:r>
            <w:r>
              <w:rPr>
                <w:iCs/>
                <w:sz w:val="16"/>
                <w:szCs w:val="16"/>
              </w:rPr>
              <w:t xml:space="preserve">ón extrajudicial de controversias, tanto en lo que respecta a las partes interesadas como a las prácticas en materia de litigios.  </w:t>
            </w:r>
            <w:r w:rsidRPr="002556E8">
              <w:rPr>
                <w:iCs/>
                <w:sz w:val="16"/>
                <w:szCs w:val="16"/>
              </w:rPr>
              <w:t>No obstante, las iniciativas y las medidas de mitigaci</w:t>
            </w:r>
            <w:r>
              <w:rPr>
                <w:iCs/>
                <w:sz w:val="16"/>
                <w:szCs w:val="16"/>
              </w:rPr>
              <w:t>ón que ha llevado a cabo</w:t>
            </w:r>
            <w:r w:rsidRPr="002556E8">
              <w:rPr>
                <w:iCs/>
                <w:sz w:val="16"/>
                <w:szCs w:val="16"/>
              </w:rPr>
              <w:t xml:space="preserve"> la OMPI </w:t>
            </w:r>
            <w:r>
              <w:rPr>
                <w:iCs/>
                <w:sz w:val="16"/>
                <w:szCs w:val="16"/>
              </w:rPr>
              <w:t>han contribuido a asegurar la consecución de los resultados previstos para el bienio</w:t>
            </w:r>
          </w:p>
        </w:tc>
      </w:tr>
      <w:tr w:rsidR="001836E6" w:rsidRPr="00A00A30" w:rsidTr="00DC1333">
        <w:trPr>
          <w:trHeight w:val="919"/>
        </w:trPr>
        <w:tc>
          <w:tcPr>
            <w:tcW w:w="2466" w:type="dxa"/>
            <w:shd w:val="clear" w:color="auto" w:fill="auto"/>
            <w:tcMar>
              <w:top w:w="113" w:type="dxa"/>
              <w:bottom w:w="113" w:type="dxa"/>
            </w:tcMar>
          </w:tcPr>
          <w:p w:rsidR="001836E6" w:rsidRPr="00C1751A" w:rsidRDefault="001836E6" w:rsidP="00DC1333">
            <w:pPr>
              <w:rPr>
                <w:rFonts w:cs="ArialMT"/>
                <w:iCs/>
                <w:sz w:val="16"/>
                <w:szCs w:val="16"/>
              </w:rPr>
            </w:pPr>
            <w:r w:rsidRPr="00C1751A">
              <w:rPr>
                <w:iCs/>
                <w:sz w:val="16"/>
                <w:szCs w:val="16"/>
              </w:rPr>
              <w:t xml:space="preserve">La fragmentación y competencia existentes en el sistema de nombres de dominio y los procesos de elaboración de políticas de la ICANN van en detrimento de la centralización normativa (incluida la Política Uniforme de Solución de Controversias en materia de Nombres de Dominio) y de la primacía del Centro; </w:t>
            </w:r>
            <w:r>
              <w:rPr>
                <w:iCs/>
                <w:sz w:val="16"/>
                <w:szCs w:val="16"/>
              </w:rPr>
              <w:t xml:space="preserve"> </w:t>
            </w:r>
            <w:r w:rsidRPr="00C1751A">
              <w:rPr>
                <w:iCs/>
                <w:sz w:val="16"/>
                <w:szCs w:val="16"/>
              </w:rPr>
              <w:t>la ampliación del sistema de nombres de dominio y el aumento de la utilización de servicios de solución extrajudicial de controversias en el ámbito de los nombres de dominio ponen en cuestión las funciones del Centro en materia de administraci</w:t>
            </w:r>
            <w:r>
              <w:rPr>
                <w:iCs/>
                <w:sz w:val="16"/>
                <w:szCs w:val="16"/>
              </w:rPr>
              <w:t>ón de procedimientos y formul</w:t>
            </w:r>
            <w:r w:rsidRPr="00C1751A">
              <w:rPr>
                <w:iCs/>
                <w:sz w:val="16"/>
                <w:szCs w:val="16"/>
              </w:rPr>
              <w:t>ación de políticas.</w:t>
            </w:r>
          </w:p>
        </w:tc>
        <w:tc>
          <w:tcPr>
            <w:tcW w:w="2154" w:type="dxa"/>
            <w:shd w:val="clear" w:color="auto" w:fill="auto"/>
            <w:tcMar>
              <w:top w:w="113" w:type="dxa"/>
              <w:bottom w:w="113" w:type="dxa"/>
            </w:tcMar>
          </w:tcPr>
          <w:p w:rsidR="001836E6" w:rsidRPr="0081795A" w:rsidRDefault="001836E6" w:rsidP="00DC1333">
            <w:pPr>
              <w:autoSpaceDE w:val="0"/>
              <w:autoSpaceDN w:val="0"/>
              <w:adjustRightInd w:val="0"/>
              <w:ind w:right="-59"/>
              <w:rPr>
                <w:iCs/>
                <w:sz w:val="16"/>
                <w:szCs w:val="16"/>
              </w:rPr>
            </w:pPr>
            <w:r w:rsidRPr="0081795A">
              <w:rPr>
                <w:iCs/>
                <w:sz w:val="16"/>
                <w:szCs w:val="16"/>
              </w:rPr>
              <w:t>Priorizar los recursos para la administración de procedimientos y la elaboración de políticas para encontrar un equilibrio entre “permanecer en el mercado” y aportar un valor específico de la OMPI.</w:t>
            </w:r>
          </w:p>
        </w:tc>
        <w:tc>
          <w:tcPr>
            <w:tcW w:w="2310" w:type="dxa"/>
          </w:tcPr>
          <w:p w:rsidR="001836E6" w:rsidRPr="00A00A30" w:rsidRDefault="001836E6" w:rsidP="00DC1333">
            <w:pPr>
              <w:autoSpaceDE w:val="0"/>
              <w:autoSpaceDN w:val="0"/>
              <w:adjustRightInd w:val="0"/>
              <w:ind w:right="-59"/>
              <w:rPr>
                <w:iCs/>
                <w:sz w:val="16"/>
                <w:szCs w:val="16"/>
              </w:rPr>
            </w:pPr>
            <w:r>
              <w:rPr>
                <w:iCs/>
                <w:sz w:val="16"/>
                <w:szCs w:val="16"/>
              </w:rPr>
              <w:t>Durante el bienio ha</w:t>
            </w:r>
            <w:r w:rsidRPr="005F2EAC">
              <w:rPr>
                <w:iCs/>
                <w:sz w:val="16"/>
                <w:szCs w:val="16"/>
              </w:rPr>
              <w:t xml:space="preserve"> aumentado tanto el riesgo como la probabilidad de que se produzca, ya que la acreditaci</w:t>
            </w:r>
            <w:r>
              <w:rPr>
                <w:iCs/>
                <w:sz w:val="16"/>
                <w:szCs w:val="16"/>
              </w:rPr>
              <w:t xml:space="preserve">ón de más </w:t>
            </w:r>
            <w:r w:rsidRPr="005F2EAC">
              <w:rPr>
                <w:iCs/>
                <w:sz w:val="16"/>
                <w:szCs w:val="16"/>
              </w:rPr>
              <w:t xml:space="preserve">proveedores de la Política Uniforme </w:t>
            </w:r>
            <w:r>
              <w:rPr>
                <w:iCs/>
                <w:sz w:val="16"/>
                <w:szCs w:val="16"/>
              </w:rPr>
              <w:t xml:space="preserve">y la ampliación del sistema de nombres de dominio que lleva a cabo la ICANN de forma continua inciden en la prestación centralizada de servicios de solución extrajudicial de controversias.  </w:t>
            </w:r>
            <w:r w:rsidRPr="000D5DED">
              <w:rPr>
                <w:iCs/>
                <w:sz w:val="16"/>
                <w:szCs w:val="16"/>
              </w:rPr>
              <w:t xml:space="preserve">La ICANN ha puesto en marcha asimismo </w:t>
            </w:r>
            <w:r>
              <w:rPr>
                <w:iCs/>
                <w:sz w:val="16"/>
                <w:szCs w:val="16"/>
              </w:rPr>
              <w:t>una revisión</w:t>
            </w:r>
            <w:r w:rsidRPr="000D5DED">
              <w:rPr>
                <w:iCs/>
                <w:sz w:val="16"/>
                <w:szCs w:val="16"/>
              </w:rPr>
              <w:t xml:space="preserve"> de los mecanismos </w:t>
            </w:r>
            <w:r>
              <w:rPr>
                <w:iCs/>
                <w:sz w:val="16"/>
                <w:szCs w:val="16"/>
              </w:rPr>
              <w:t>de protección de derechos del sistema de nombres de dominio, entre los que se encuentra la Política Uniforme.  La OMPI sigue de cerca estos procesos desde su posición de prestador de servicios de solución extrajudicial de controversias del sistema de nombres de dominio y se ha centrado activamente en su estrategia de mitigación, a lo que también han contribuido los retrasos en el proceso actual de revisión de la ICANN, así como el tiempo empleado por los nuevos operadores de dominios para considerar la posibilidad de introducir sus propios mecanismos de protección de derechos.</w:t>
            </w:r>
          </w:p>
        </w:tc>
        <w:tc>
          <w:tcPr>
            <w:tcW w:w="2306" w:type="dxa"/>
          </w:tcPr>
          <w:p w:rsidR="001836E6" w:rsidRPr="00A00A30" w:rsidRDefault="001836E6" w:rsidP="00DC1333">
            <w:pPr>
              <w:autoSpaceDE w:val="0"/>
              <w:autoSpaceDN w:val="0"/>
              <w:adjustRightInd w:val="0"/>
              <w:ind w:right="-59"/>
              <w:rPr>
                <w:iCs/>
                <w:sz w:val="16"/>
                <w:szCs w:val="16"/>
              </w:rPr>
            </w:pPr>
            <w:r w:rsidRPr="00A00A30">
              <w:rPr>
                <w:iCs/>
                <w:sz w:val="16"/>
                <w:szCs w:val="16"/>
              </w:rPr>
              <w:t>La evolución del r</w:t>
            </w:r>
            <w:r>
              <w:rPr>
                <w:iCs/>
                <w:sz w:val="16"/>
                <w:szCs w:val="16"/>
              </w:rPr>
              <w:t>ie</w:t>
            </w:r>
            <w:r w:rsidRPr="00A00A30">
              <w:rPr>
                <w:iCs/>
                <w:sz w:val="16"/>
                <w:szCs w:val="16"/>
              </w:rPr>
              <w:t>sgo no incidió de forma negativa en los resultados previstos para</w:t>
            </w:r>
            <w:r>
              <w:rPr>
                <w:iCs/>
                <w:sz w:val="16"/>
                <w:szCs w:val="16"/>
              </w:rPr>
              <w:t xml:space="preserve"> el bienio y, gracias a</w:t>
            </w:r>
            <w:r w:rsidRPr="00A00A30">
              <w:rPr>
                <w:iCs/>
                <w:sz w:val="16"/>
                <w:szCs w:val="16"/>
              </w:rPr>
              <w:t xml:space="preserve"> la estrategia de mitigaci</w:t>
            </w:r>
            <w:r>
              <w:rPr>
                <w:iCs/>
                <w:sz w:val="16"/>
                <w:szCs w:val="16"/>
              </w:rPr>
              <w:t xml:space="preserve">ón en ejecución, se recuperó el aumento de los casos </w:t>
            </w:r>
            <w:r w:rsidRPr="006C382B">
              <w:rPr>
                <w:iCs/>
                <w:sz w:val="16"/>
                <w:szCs w:val="16"/>
              </w:rPr>
              <w:t>sometidos a la Política Uniforme de la OMPI</w:t>
            </w:r>
            <w:r>
              <w:rPr>
                <w:iCs/>
                <w:sz w:val="16"/>
                <w:szCs w:val="16"/>
              </w:rPr>
              <w:t xml:space="preserve"> durante el bienio.</w:t>
            </w:r>
          </w:p>
        </w:tc>
      </w:tr>
    </w:tbl>
    <w:p w:rsidR="001836E6" w:rsidRDefault="001836E6" w:rsidP="00DC1333">
      <w:pPr>
        <w:rPr>
          <w:color w:val="000000"/>
          <w:szCs w:val="22"/>
        </w:rPr>
      </w:pPr>
    </w:p>
    <w:p w:rsidR="001836E6" w:rsidRPr="00A00A30" w:rsidRDefault="001836E6" w:rsidP="00DC1333">
      <w:pPr>
        <w:rPr>
          <w:color w:val="000000"/>
          <w:szCs w:val="22"/>
        </w:rPr>
      </w:pPr>
    </w:p>
    <w:p w:rsidR="001836E6" w:rsidRPr="00526311" w:rsidRDefault="00403D2C" w:rsidP="00DC1333">
      <w:pPr>
        <w:keepNext/>
        <w:keepLines/>
        <w:rPr>
          <w:b/>
          <w:sz w:val="18"/>
          <w:szCs w:val="18"/>
        </w:rPr>
      </w:pPr>
      <w:r w:rsidRPr="00403D2C">
        <w:rPr>
          <w:sz w:val="20"/>
          <w:szCs w:val="22"/>
        </w:rPr>
        <w:t>UTILIZACIÓN DE LOS RECURSOS</w:t>
      </w:r>
    </w:p>
    <w:p w:rsidR="001836E6" w:rsidRPr="00526311" w:rsidRDefault="001836E6" w:rsidP="00DC1333">
      <w:pPr>
        <w:keepNext/>
        <w:keepLines/>
      </w:pPr>
    </w:p>
    <w:p w:rsidR="001836E6" w:rsidRPr="00526311" w:rsidRDefault="001836E6" w:rsidP="00DC1333">
      <w:pPr>
        <w:pStyle w:val="NormalWeb"/>
        <w:keepNext/>
        <w:widowControl w:val="0"/>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1836E6" w:rsidRPr="00526311" w:rsidRDefault="001836E6" w:rsidP="00DC1333">
      <w:pPr>
        <w:pStyle w:val="NormalWeb"/>
        <w:keepNext/>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1836E6" w:rsidRPr="00526311" w:rsidRDefault="001836E6" w:rsidP="00DC1333">
      <w:pPr>
        <w:pStyle w:val="NormalWeb"/>
        <w:keepNext/>
        <w:widowControl w:val="0"/>
        <w:spacing w:before="0" w:beforeAutospacing="0" w:after="0" w:afterAutospacing="0"/>
        <w:jc w:val="center"/>
        <w:rPr>
          <w:sz w:val="20"/>
          <w:szCs w:val="20"/>
          <w:lang w:val="es-ES"/>
        </w:rPr>
      </w:pPr>
    </w:p>
    <w:p w:rsidR="001836E6" w:rsidRPr="00526311" w:rsidRDefault="001836E6" w:rsidP="00DC1333">
      <w:pPr>
        <w:widowControl w:val="0"/>
        <w:jc w:val="center"/>
      </w:pPr>
      <w:bookmarkStart w:id="93" w:name="Bm7"/>
      <w:bookmarkStart w:id="94" w:name="Punto7"/>
      <w:r>
        <w:rPr>
          <w:noProof/>
          <w:lang w:val="en-US" w:eastAsia="en-US"/>
        </w:rPr>
        <w:drawing>
          <wp:inline distT="0" distB="0" distL="0" distR="0" wp14:anchorId="27F55E45" wp14:editId="0B2E33FE">
            <wp:extent cx="5676900" cy="1800225"/>
            <wp:effectExtent l="0" t="0" r="0" b="952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76900" cy="1800225"/>
                    </a:xfrm>
                    <a:prstGeom prst="rect">
                      <a:avLst/>
                    </a:prstGeom>
                    <a:noFill/>
                    <a:ln>
                      <a:noFill/>
                    </a:ln>
                  </pic:spPr>
                </pic:pic>
              </a:graphicData>
            </a:graphic>
          </wp:inline>
        </w:drawing>
      </w:r>
      <w:bookmarkEnd w:id="93"/>
      <w:bookmarkEnd w:id="94"/>
    </w:p>
    <w:p w:rsidR="001836E6" w:rsidRDefault="001836E6" w:rsidP="00DC1333">
      <w:pPr>
        <w:widowControl w:val="0"/>
      </w:pPr>
    </w:p>
    <w:p w:rsidR="003A075B" w:rsidRPr="00526311" w:rsidRDefault="003A075B" w:rsidP="00DC1333">
      <w:pPr>
        <w:widowControl w:val="0"/>
      </w:pPr>
    </w:p>
    <w:p w:rsidR="001836E6" w:rsidRPr="00526311" w:rsidRDefault="001836E6" w:rsidP="00DC1333">
      <w:pPr>
        <w:pStyle w:val="NormalWeb"/>
        <w:widowControl w:val="0"/>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1836E6" w:rsidRPr="00526311" w:rsidRDefault="001836E6" w:rsidP="00DC1333">
      <w:pPr>
        <w:pStyle w:val="NormalWeb"/>
        <w:widowControl w:val="0"/>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1836E6" w:rsidRPr="00526311" w:rsidRDefault="001836E6" w:rsidP="00DC1333">
      <w:pPr>
        <w:pStyle w:val="NormalWeb"/>
        <w:widowControl w:val="0"/>
        <w:spacing w:before="0" w:beforeAutospacing="0" w:after="0" w:afterAutospacing="0"/>
        <w:jc w:val="center"/>
        <w:rPr>
          <w:lang w:val="es-ES"/>
        </w:rPr>
      </w:pPr>
    </w:p>
    <w:p w:rsidR="001836E6" w:rsidRPr="00526311" w:rsidRDefault="001836E6" w:rsidP="00DC1333">
      <w:pPr>
        <w:widowControl w:val="0"/>
        <w:jc w:val="center"/>
      </w:pPr>
      <w:bookmarkStart w:id="95" w:name="Point7"/>
      <w:r>
        <w:rPr>
          <w:noProof/>
          <w:lang w:val="en-US" w:eastAsia="en-US"/>
        </w:rPr>
        <w:drawing>
          <wp:inline distT="0" distB="0" distL="0" distR="0" wp14:anchorId="068D5039" wp14:editId="764B4FFA">
            <wp:extent cx="5940425" cy="1073846"/>
            <wp:effectExtent l="0" t="0" r="317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073846"/>
                    </a:xfrm>
                    <a:prstGeom prst="rect">
                      <a:avLst/>
                    </a:prstGeom>
                    <a:noFill/>
                    <a:ln>
                      <a:noFill/>
                    </a:ln>
                  </pic:spPr>
                </pic:pic>
              </a:graphicData>
            </a:graphic>
          </wp:inline>
        </w:drawing>
      </w:r>
      <w:bookmarkEnd w:id="95"/>
    </w:p>
    <w:p w:rsidR="001836E6" w:rsidRDefault="001836E6" w:rsidP="00DC1333">
      <w:pPr>
        <w:widowControl w:val="0"/>
        <w:autoSpaceDE w:val="0"/>
        <w:autoSpaceDN w:val="0"/>
        <w:adjustRightInd w:val="0"/>
        <w:rPr>
          <w:sz w:val="20"/>
        </w:rPr>
      </w:pPr>
    </w:p>
    <w:p w:rsidR="001836E6" w:rsidRPr="00526311" w:rsidRDefault="001836E6" w:rsidP="00DC1333">
      <w:pPr>
        <w:widowControl w:val="0"/>
        <w:autoSpaceDE w:val="0"/>
        <w:autoSpaceDN w:val="0"/>
        <w:adjustRightInd w:val="0"/>
        <w:rPr>
          <w:sz w:val="20"/>
        </w:rPr>
      </w:pPr>
    </w:p>
    <w:p w:rsidR="001836E6" w:rsidRPr="00526311" w:rsidRDefault="00403D2C" w:rsidP="00235CFE">
      <w:pPr>
        <w:widowControl w:val="0"/>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1836E6" w:rsidRPr="00526311" w:rsidRDefault="001836E6" w:rsidP="00DC1333">
      <w:pPr>
        <w:widowControl w:val="0"/>
        <w:rPr>
          <w:sz w:val="20"/>
          <w:u w:val="single"/>
        </w:rPr>
      </w:pPr>
    </w:p>
    <w:p w:rsidR="001836E6" w:rsidRPr="00526311" w:rsidRDefault="001836E6" w:rsidP="001836E6">
      <w:pPr>
        <w:pStyle w:val="ListParagraph"/>
        <w:widowControl w:val="0"/>
        <w:numPr>
          <w:ilvl w:val="0"/>
          <w:numId w:val="49"/>
        </w:numPr>
        <w:tabs>
          <w:tab w:val="left" w:pos="709"/>
        </w:tabs>
        <w:ind w:left="0" w:firstLine="0"/>
        <w:jc w:val="both"/>
        <w:rPr>
          <w:rFonts w:cs="Arial"/>
          <w:lang w:val="es-ES"/>
        </w:rPr>
      </w:pPr>
      <w:r w:rsidRPr="00526311">
        <w:rPr>
          <w:rFonts w:cs="Arial"/>
          <w:lang w:val="es-ES"/>
        </w:rPr>
        <w:t xml:space="preserve">El ajuste al alza reflejado </w:t>
      </w:r>
      <w:r>
        <w:rPr>
          <w:rFonts w:cs="Arial"/>
          <w:lang w:val="es-ES"/>
        </w:rPr>
        <w:t>en el resultado previsto II.8 (C</w:t>
      </w:r>
      <w:r w:rsidRPr="00526311">
        <w:rPr>
          <w:rFonts w:cs="Arial"/>
          <w:lang w:val="es-ES"/>
        </w:rPr>
        <w:t xml:space="preserve">ontroversias nacionales e internacionales en materia de P.I.) responde al cambio producido en los </w:t>
      </w:r>
      <w:r>
        <w:rPr>
          <w:rFonts w:cs="Arial"/>
          <w:lang w:val="es-ES"/>
        </w:rPr>
        <w:t xml:space="preserve">recursos de personal </w:t>
      </w:r>
      <w:r w:rsidRPr="00526311">
        <w:rPr>
          <w:rFonts w:cs="Arial"/>
          <w:lang w:val="es-ES"/>
        </w:rPr>
        <w:t>a fin de gestionar mejor la demanda de servicios de solución extrajudicial de controversias de la OMPI</w:t>
      </w:r>
      <w:r>
        <w:rPr>
          <w:rFonts w:cs="Arial"/>
          <w:lang w:val="es-ES"/>
        </w:rPr>
        <w:t>, sobre todo en respuesta a las solicitudes de los Estados miembros</w:t>
      </w:r>
      <w:r w:rsidRPr="00526311">
        <w:rPr>
          <w:rFonts w:cs="Arial"/>
          <w:lang w:val="es-ES"/>
        </w:rPr>
        <w:t>.</w:t>
      </w:r>
    </w:p>
    <w:p w:rsidR="001836E6" w:rsidRPr="00526311" w:rsidRDefault="001836E6" w:rsidP="00DC1333">
      <w:pPr>
        <w:pStyle w:val="ListParagraph"/>
        <w:widowControl w:val="0"/>
        <w:tabs>
          <w:tab w:val="left" w:pos="709"/>
        </w:tabs>
        <w:ind w:left="0"/>
        <w:jc w:val="both"/>
        <w:rPr>
          <w:rFonts w:cs="Arial"/>
          <w:lang w:val="es-ES"/>
        </w:rPr>
      </w:pPr>
    </w:p>
    <w:p w:rsidR="001836E6" w:rsidRPr="00526311" w:rsidRDefault="00403D2C" w:rsidP="00235CFE">
      <w:pPr>
        <w:widowControl w:val="0"/>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1836E6" w:rsidRPr="00526311" w:rsidRDefault="001836E6" w:rsidP="00DC1333">
      <w:pPr>
        <w:widowControl w:val="0"/>
        <w:jc w:val="both"/>
        <w:rPr>
          <w:sz w:val="20"/>
          <w:u w:val="single"/>
          <w:lang w:eastAsia="ko-KR"/>
        </w:rPr>
      </w:pPr>
    </w:p>
    <w:p w:rsidR="001836E6" w:rsidRDefault="001836E6" w:rsidP="001836E6">
      <w:pPr>
        <w:pStyle w:val="ListParagraph"/>
        <w:numPr>
          <w:ilvl w:val="0"/>
          <w:numId w:val="49"/>
        </w:numPr>
        <w:tabs>
          <w:tab w:val="left" w:pos="709"/>
        </w:tabs>
        <w:ind w:left="0" w:firstLine="0"/>
        <w:jc w:val="both"/>
        <w:rPr>
          <w:rFonts w:cs="Arial"/>
          <w:lang w:val="es-ES" w:eastAsia="ko-KR"/>
        </w:rPr>
      </w:pPr>
      <w:r w:rsidRPr="00526311">
        <w:rPr>
          <w:rFonts w:cs="Arial"/>
          <w:lang w:val="es-ES" w:eastAsia="ko-KR"/>
        </w:rPr>
        <w:t xml:space="preserve">La utilización del presupuesto </w:t>
      </w:r>
      <w:r>
        <w:rPr>
          <w:rFonts w:cs="Arial"/>
          <w:lang w:val="es-ES" w:eastAsia="ko-KR"/>
        </w:rPr>
        <w:t>durante el bienio alcanzó el 81%.  Esto se debe fundamentalmente a:  i) el ahorro de costos en el presupuesto ordinario para misiones del personal y viajes de terceros dentro d</w:t>
      </w:r>
      <w:r w:rsidRPr="00526311">
        <w:rPr>
          <w:rFonts w:cs="Arial"/>
          <w:lang w:val="es-ES"/>
        </w:rPr>
        <w:t xml:space="preserve">el </w:t>
      </w:r>
      <w:r>
        <w:rPr>
          <w:rFonts w:cs="Arial"/>
          <w:lang w:val="es-ES"/>
        </w:rPr>
        <w:t>resultado previsto II.8 (C</w:t>
      </w:r>
      <w:r w:rsidRPr="00526311">
        <w:rPr>
          <w:rFonts w:cs="Arial"/>
          <w:lang w:val="es-ES"/>
        </w:rPr>
        <w:t>ontroversias nacionales e internacionales en materia de P.I.)</w:t>
      </w:r>
      <w:r>
        <w:rPr>
          <w:rFonts w:cs="Arial"/>
          <w:lang w:val="es-ES"/>
        </w:rPr>
        <w:t>, gracias a la financiación adicional procedente de los fondos en fideicomiso de la República de Corea;  ii) puestos vacantes relacionados con la contratación en el marco del programa de becas durante el bienio, y iii) reducción de la necesidad de consultores y contratistas externos</w:t>
      </w:r>
      <w:r>
        <w:rPr>
          <w:rFonts w:cs="Arial"/>
          <w:lang w:val="es-ES" w:eastAsia="ko-KR"/>
        </w:rPr>
        <w:t xml:space="preserve"> debido a la restructuración de determinadas funciones de T.I</w:t>
      </w:r>
      <w:r w:rsidRPr="00526311">
        <w:rPr>
          <w:rFonts w:cs="Arial"/>
          <w:lang w:val="es-ES" w:eastAsia="ko-KR"/>
        </w:rPr>
        <w:t>.</w:t>
      </w:r>
    </w:p>
    <w:p w:rsidR="001836E6" w:rsidRDefault="001836E6" w:rsidP="00DC1333">
      <w:pPr>
        <w:tabs>
          <w:tab w:val="left" w:pos="709"/>
        </w:tabs>
        <w:jc w:val="both"/>
        <w:rPr>
          <w:lang w:eastAsia="ko-KR"/>
        </w:rPr>
      </w:pPr>
    </w:p>
    <w:p w:rsidR="001836E6" w:rsidRDefault="001836E6" w:rsidP="00DC1333">
      <w:pPr>
        <w:tabs>
          <w:tab w:val="left" w:pos="709"/>
        </w:tabs>
        <w:jc w:val="both"/>
        <w:rPr>
          <w:lang w:eastAsia="ko-KR"/>
        </w:rPr>
      </w:pPr>
    </w:p>
    <w:p w:rsidR="001836E6" w:rsidRPr="00D53689" w:rsidRDefault="001836E6" w:rsidP="00DC1333">
      <w:pPr>
        <w:tabs>
          <w:tab w:val="left" w:pos="709"/>
        </w:tabs>
        <w:jc w:val="both"/>
        <w:rPr>
          <w:lang w:eastAsia="ko-KR"/>
        </w:rPr>
      </w:pPr>
    </w:p>
    <w:p w:rsidR="00FA423E" w:rsidRPr="002B202E" w:rsidRDefault="00FA423E" w:rsidP="00FA423E">
      <w:pPr>
        <w:rPr>
          <w:sz w:val="20"/>
        </w:rPr>
      </w:pPr>
    </w:p>
    <w:p w:rsidR="00FA423E" w:rsidRDefault="00FA423E" w:rsidP="00FA423E">
      <w:r>
        <w:br w:type="page"/>
      </w:r>
    </w:p>
    <w:p w:rsidR="00FA423E" w:rsidRPr="00F171B5" w:rsidRDefault="00FA423E" w:rsidP="00FA423E">
      <w:pPr>
        <w:pStyle w:val="StyleHeading214ptAuto"/>
        <w:rPr>
          <w:rFonts w:ascii="Arial" w:hAnsi="Arial"/>
          <w:bCs w:val="0"/>
          <w:caps w:val="0"/>
          <w:sz w:val="20"/>
          <w:szCs w:val="20"/>
          <w:lang w:val="es-ES" w:eastAsia="en-US"/>
        </w:rPr>
      </w:pPr>
      <w:bookmarkStart w:id="96" w:name="_Toc455159082"/>
      <w:r w:rsidRPr="00F171B5">
        <w:rPr>
          <w:rFonts w:ascii="Arial" w:hAnsi="Arial"/>
          <w:bCs w:val="0"/>
          <w:caps w:val="0"/>
          <w:sz w:val="20"/>
          <w:szCs w:val="20"/>
          <w:lang w:val="es-ES_tradnl" w:eastAsia="en-US"/>
        </w:rPr>
        <w:lastRenderedPageBreak/>
        <w:t>META ESTRATÉGICA III</w:t>
      </w:r>
      <w:bookmarkEnd w:id="96"/>
    </w:p>
    <w:p w:rsidR="00FA423E" w:rsidRPr="00F171B5" w:rsidRDefault="00FA423E" w:rsidP="00FA423E">
      <w:pPr>
        <w:rPr>
          <w:sz w:val="20"/>
        </w:rPr>
      </w:pPr>
    </w:p>
    <w:p w:rsidR="00FA423E" w:rsidRPr="00F171B5" w:rsidRDefault="00FA423E" w:rsidP="00FA423E">
      <w:pPr>
        <w:jc w:val="center"/>
        <w:rPr>
          <w:sz w:val="20"/>
        </w:rPr>
      </w:pPr>
      <w:r w:rsidRPr="00F171B5">
        <w:rPr>
          <w:b/>
          <w:sz w:val="20"/>
          <w:lang w:val="es-ES_tradnl"/>
        </w:rPr>
        <w:t>FACILITAR EL USO DE LA P.I. EN ARAS DEL DESARROLLO</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510786B3" wp14:editId="28C76A44">
            <wp:extent cx="5940425" cy="297427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0425" cy="2974271"/>
                    </a:xfrm>
                    <a:prstGeom prst="rect">
                      <a:avLst/>
                    </a:prstGeom>
                    <a:noFill/>
                    <a:ln>
                      <a:noFill/>
                    </a:ln>
                  </pic:spPr>
                </pic:pic>
              </a:graphicData>
            </a:graphic>
          </wp:inline>
        </w:drawing>
      </w:r>
    </w:p>
    <w:p w:rsidR="00FA423E" w:rsidRPr="00F171B5" w:rsidRDefault="00FA423E" w:rsidP="00FA423E">
      <w:pPr>
        <w:jc w:val="center"/>
        <w:rPr>
          <w:sz w:val="20"/>
        </w:rPr>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4"/>
        <w:gridCol w:w="4288"/>
        <w:gridCol w:w="1390"/>
        <w:gridCol w:w="986"/>
      </w:tblGrid>
      <w:tr w:rsidR="00FA423E" w:rsidRPr="0016774F" w:rsidTr="00DC1333">
        <w:trPr>
          <w:cantSplit/>
          <w:tblHeader/>
        </w:trPr>
        <w:tc>
          <w:tcPr>
            <w:tcW w:w="147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267"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FA423E" w:rsidRPr="007E4934" w:rsidRDefault="00FA423E" w:rsidP="00DC1333">
            <w:pPr>
              <w:spacing w:after="120"/>
              <w:rPr>
                <w:b/>
                <w:bCs/>
                <w:sz w:val="18"/>
                <w:szCs w:val="18"/>
              </w:rPr>
            </w:pPr>
            <w:r w:rsidRPr="007E4934">
              <w:rPr>
                <w:b/>
                <w:bCs/>
                <w:sz w:val="18"/>
                <w:szCs w:val="18"/>
                <w:lang w:val="es-ES_tradnl"/>
              </w:rPr>
              <w:t>Indicadores de rendimiento</w:t>
            </w:r>
          </w:p>
        </w:tc>
        <w:tc>
          <w:tcPr>
            <w:tcW w:w="735"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FA423E" w:rsidRPr="007E4934" w:rsidRDefault="00FA423E" w:rsidP="00DC1333">
            <w:pPr>
              <w:spacing w:after="120"/>
              <w:ind w:left="47" w:right="-35"/>
              <w:jc w:val="center"/>
              <w:rPr>
                <w:b/>
                <w:bCs/>
                <w:sz w:val="18"/>
                <w:szCs w:val="18"/>
              </w:rPr>
            </w:pPr>
            <w:r w:rsidRPr="007E4934">
              <w:rPr>
                <w:b/>
                <w:bCs/>
                <w:sz w:val="18"/>
                <w:szCs w:val="18"/>
                <w:lang w:val="es-ES_tradnl"/>
              </w:rPr>
              <w:t>Programas responsables</w:t>
            </w:r>
          </w:p>
        </w:tc>
        <w:tc>
          <w:tcPr>
            <w:tcW w:w="521" w:type="pct"/>
            <w:tcBorders>
              <w:top w:val="single" w:sz="4" w:space="0" w:color="auto"/>
              <w:bottom w:val="single" w:sz="4" w:space="0" w:color="auto"/>
            </w:tcBorders>
            <w:shd w:val="clear" w:color="auto" w:fill="DAEEF3" w:themeFill="accent5" w:themeFillTint="33"/>
            <w:vAlign w:val="center"/>
          </w:tcPr>
          <w:p w:rsidR="00FA423E" w:rsidRPr="007E4934" w:rsidRDefault="00FA423E" w:rsidP="00DC1333">
            <w:pPr>
              <w:spacing w:after="120"/>
              <w:ind w:left="85"/>
              <w:jc w:val="center"/>
              <w:rPr>
                <w:b/>
                <w:bCs/>
                <w:sz w:val="18"/>
                <w:szCs w:val="18"/>
              </w:rPr>
            </w:pPr>
            <w:r w:rsidRPr="007E4934">
              <w:rPr>
                <w:b/>
                <w:bCs/>
                <w:sz w:val="18"/>
                <w:szCs w:val="18"/>
                <w:lang w:val="es-ES_tradnl"/>
              </w:rPr>
              <w:t>Clave de colores</w:t>
            </w:r>
          </w:p>
        </w:tc>
      </w:tr>
      <w:tr w:rsidR="00FA423E" w:rsidRPr="0016774F" w:rsidTr="00DC1333">
        <w:trPr>
          <w:cantSplit/>
        </w:trPr>
        <w:tc>
          <w:tcPr>
            <w:tcW w:w="1477" w:type="pct"/>
            <w:tcBorders>
              <w:top w:val="single" w:sz="4" w:space="0" w:color="auto"/>
            </w:tcBorders>
            <w:shd w:val="clear" w:color="auto" w:fill="auto"/>
            <w:tcMar>
              <w:top w:w="113" w:type="dxa"/>
              <w:bottom w:w="57" w:type="dxa"/>
            </w:tcMar>
          </w:tcPr>
          <w:p w:rsidR="00FA423E" w:rsidRPr="007E4934" w:rsidRDefault="00FA423E" w:rsidP="00DC1333">
            <w:pPr>
              <w:rPr>
                <w:sz w:val="16"/>
                <w:szCs w:val="16"/>
              </w:rPr>
            </w:pPr>
            <w:r w:rsidRPr="007E4934">
              <w:rPr>
                <w:sz w:val="15"/>
                <w:szCs w:val="15"/>
                <w:lang w:val="es-ES_tradnl"/>
              </w:rPr>
              <w:t>III.1 Estrategias y planes nacionales de innovación y de P.I. que estén en sintonía con los objetivos nacionales de desarrollo</w:t>
            </w:r>
            <w:r w:rsidRPr="007E4934">
              <w:rPr>
                <w:sz w:val="15"/>
                <w:szCs w:val="15"/>
              </w:rPr>
              <w:t xml:space="preserve"> </w:t>
            </w:r>
          </w:p>
        </w:tc>
        <w:tc>
          <w:tcPr>
            <w:tcW w:w="2267" w:type="pct"/>
            <w:tcBorders>
              <w:top w:val="single" w:sz="4" w:space="0" w:color="auto"/>
            </w:tcBorders>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que están en proceso de formular/adoptar estrategias o planes de desarrollo nacionales de P.I.</w:t>
            </w:r>
          </w:p>
        </w:tc>
        <w:tc>
          <w:tcPr>
            <w:tcW w:w="735" w:type="pct"/>
            <w:tcBorders>
              <w:top w:val="single" w:sz="4" w:space="0" w:color="auto"/>
            </w:tcBorders>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tcBorders>
              <w:top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589"/>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que han adoptado o aplicado estrategias o planes de desarrollo nacionales de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rPr>
                <w:color w:val="FF0000"/>
                <w:szCs w:val="22"/>
              </w:rPr>
            </w:pP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r w:rsidRPr="00CC3F44">
              <w:rPr>
                <w:color w:val="E26B0A"/>
                <w:szCs w:val="22"/>
              </w:rPr>
              <w:sym w:font="Wingdings" w:char="F06C"/>
            </w:r>
            <w:r w:rsidRPr="00CC3F44">
              <w:rPr>
                <w:color w:val="008000"/>
                <w:szCs w:val="22"/>
              </w:rPr>
              <w:sym w:font="Wingdings" w:char="F06C"/>
            </w:r>
          </w:p>
        </w:tc>
      </w:tr>
      <w:tr w:rsidR="00FA423E" w:rsidRPr="0016774F" w:rsidTr="00DC1333">
        <w:trPr>
          <w:cantSplit/>
          <w:trHeight w:val="27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universidades que han elaborado políticas de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382"/>
        </w:trPr>
        <w:tc>
          <w:tcPr>
            <w:tcW w:w="1477" w:type="pct"/>
            <w:vMerge w:val="restar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que han elaborado estrategias/planes nacionales de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p w:rsidR="00FA423E" w:rsidRPr="007E4934" w:rsidRDefault="00FA423E" w:rsidP="00DC1333">
            <w:pPr>
              <w:jc w:val="center"/>
              <w:rPr>
                <w:sz w:val="16"/>
                <w:szCs w:val="16"/>
                <w:lang w:bidi="th-TH"/>
              </w:rPr>
            </w:pP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54"/>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con políticas nacionales de innovación iniciadas, en curso o adoptadas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643"/>
        </w:trPr>
        <w:tc>
          <w:tcPr>
            <w:tcW w:w="1477" w:type="pct"/>
            <w:vMerge w:val="restar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gobiernos y de OGC que han firmado acuerdos con la OMPI para elaborar una nueva norma de garantía de calidad en materia de transparencia, rendición de cuentas y gobernanza</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521"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16774F" w:rsidTr="00DC1333">
        <w:trPr>
          <w:cantSplit/>
          <w:trHeight w:val="634"/>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creadores satisfechos con la formación proporcionada sobre el uso de la información y los datos de derecho de autor para la gestión eficaz de sus derechos de autor</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521"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16774F" w:rsidTr="00DC1333">
        <w:trPr>
          <w:cantSplit/>
          <w:trHeight w:val="54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en reuniones y talleres de creación de capacidad sobre cuestiones de derecho de autor que expresaron satisfacción al respecto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521"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16774F" w:rsidTr="00DC1333">
        <w:trPr>
          <w:cantSplit/>
          <w:trHeight w:val="652"/>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ind w:right="-206"/>
              <w:rPr>
                <w:sz w:val="16"/>
                <w:szCs w:val="16"/>
              </w:rPr>
            </w:pPr>
            <w:r w:rsidRPr="007E4934">
              <w:rPr>
                <w:sz w:val="16"/>
                <w:szCs w:val="16"/>
                <w:lang w:val="es-ES_tradnl"/>
              </w:rPr>
              <w:t>Número de Estados miembros que toman iniciativas para mejorar el uso del sistema de derecho de autor a fin de explotar el potencial económico de sus obras y productos culturales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521"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16774F" w:rsidTr="00DC1333">
        <w:trPr>
          <w:cantSplit/>
          <w:trHeight w:val="80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en actividades de la OMPI que afirman haber fomentado la capacidad de comprender y utilizar principios, sistemas y herramientas de P.I. para la protección de los CC.TT. y las ECT, y para la gestión de la relación existente entre la P.I. y los RR.GG.</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4</w:t>
            </w:r>
          </w:p>
        </w:tc>
        <w:tc>
          <w:tcPr>
            <w:tcW w:w="521"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16774F" w:rsidTr="00DC1333">
        <w:trPr>
          <w:cantSplit/>
          <w:trHeight w:val="55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en actividades de la OMPI que se muestran satisfechos del contenido y la organización de dichos actos.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526"/>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en talleres de la OMPI que aplican las capacidades adquiridas en su labor/empresa</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A6A6A6" w:themeColor="background1" w:themeShade="A6"/>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526"/>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expertos nacionales y regionales en P.I. utilizados como expertos en las actividades de la OMPI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E26B0A"/>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547"/>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con economías en transición que han establecido programas o cursos anuales de formación en P.I. para los profesionales de la P.I.</w:t>
            </w:r>
            <w:r w:rsidRPr="007E4934">
              <w:rPr>
                <w:sz w:val="16"/>
                <w:szCs w:val="16"/>
              </w:rPr>
              <w:t xml:space="preserve"> </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226"/>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profesionales de P.I. y funcionarios de oficinas de P.I. que han recibido formación y utilizan en su trabajo las nuevas aptitudes adquiridas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80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80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rPr>
                <w:color w:val="008000"/>
                <w:szCs w:val="22"/>
              </w:rPr>
            </w:pPr>
            <w:r w:rsidRPr="00CC3F44">
              <w:rPr>
                <w:color w:val="008000"/>
                <w:szCs w:val="22"/>
              </w:rPr>
              <w:sym w:font="Wingdings" w:char="F06C"/>
            </w:r>
          </w:p>
        </w:tc>
      </w:tr>
      <w:tr w:rsidR="00FA423E" w:rsidRPr="0016774F" w:rsidTr="00DC1333">
        <w:trPr>
          <w:cantSplit/>
          <w:trHeight w:val="800"/>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Fomento del acceso a los estudios superiores en P.I. para los países en desarrollo, los PMA y los países con economías en transición / número de universidades de países en desarrollo, PMA y países con economías en transición que ofrecen nuevos programas docentes de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rPr>
                <w:color w:val="008000"/>
                <w:szCs w:val="22"/>
              </w:rPr>
            </w:pPr>
            <w:r w:rsidRPr="00CC3F44">
              <w:rPr>
                <w:color w:val="E26B0A"/>
                <w:szCs w:val="22"/>
              </w:rPr>
              <w:sym w:font="Wingdings" w:char="F06C"/>
            </w:r>
          </w:p>
        </w:tc>
      </w:tr>
      <w:tr w:rsidR="00FA423E" w:rsidRPr="0016774F" w:rsidTr="00DC1333">
        <w:trPr>
          <w:cantSplit/>
          <w:trHeight w:val="418"/>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Establecimiento progresivo de una red de expertos en P.I. en los países en desarrollo, PMA y países con economías en transición</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nuevas academias nacionales establecidas tras la finalización de la fase piloto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11</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63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participantes que han recibido formación y que están satisfechos de la utilidad y pertinencia de la formación recibida para su vida profesional</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17</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72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destinatarios que han demostrado conocimientos básicos de un sistema equilibrado de P.I. tras las actividades de la OMPI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17</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382"/>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países participantes en el programa de Premios de la OMPI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17</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5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acuerdos de acogida de científicos de países en desarrollo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521"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16774F" w:rsidTr="00DC1333">
        <w:trPr>
          <w:cantSplit/>
          <w:trHeight w:val="726"/>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encargados de la adopción de políticas, funcionarios gubernamentales, profesionales de la P.I. y participantes en talleres con un mayor conocimiento de los OGC y la manera de usar eficazmente la P.I. al servicio del desarrollo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20</w:t>
            </w:r>
          </w:p>
          <w:p w:rsidR="00FA423E" w:rsidRPr="007E4934" w:rsidRDefault="00FA423E" w:rsidP="00DC1333">
            <w:pPr>
              <w:ind w:left="551"/>
              <w:jc w:val="center"/>
              <w:rPr>
                <w:sz w:val="16"/>
                <w:szCs w:val="16"/>
                <w:lang w:bidi="th-TH"/>
              </w:rPr>
            </w:pPr>
          </w:p>
          <w:p w:rsidR="00FA423E" w:rsidRPr="007E4934" w:rsidRDefault="00FA423E" w:rsidP="00DC1333">
            <w:pPr>
              <w:ind w:left="551"/>
              <w:jc w:val="center"/>
              <w:rPr>
                <w:sz w:val="16"/>
                <w:szCs w:val="16"/>
                <w:lang w:bidi="th-TH"/>
              </w:rPr>
            </w:pPr>
          </w:p>
          <w:p w:rsidR="00FA423E" w:rsidRPr="007E4934" w:rsidRDefault="00FA423E" w:rsidP="00DC1333">
            <w:pPr>
              <w:jc w:val="center"/>
              <w:rPr>
                <w:sz w:val="16"/>
                <w:szCs w:val="16"/>
                <w:lang w:bidi="th-TH"/>
              </w:rPr>
            </w:pP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454"/>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profesionales de la P.I. formados que utilizan en su trabajo las nuevas aptitudes adquiridas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539"/>
        </w:trPr>
        <w:tc>
          <w:tcPr>
            <w:tcW w:w="1477" w:type="pct"/>
            <w:vMerge w:val="restar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III.3 Incorporación de las recomendaciones de la Agenda para el Desarrollo en la labor de la OMPI</w:t>
            </w: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recomendaciones de la A.D. que ha abordado el CDIP mediante proyectos, actividades y estudios</w:t>
            </w:r>
          </w:p>
          <w:p w:rsidR="00FA423E" w:rsidRPr="007E4934" w:rsidRDefault="00FA423E" w:rsidP="00DC1333">
            <w:pPr>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538"/>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Tasa de satisfacción de los Estados miembros con los resultados de los proyectos, actividades y estudios</w:t>
            </w:r>
            <w:r w:rsidRPr="007E4934">
              <w:rPr>
                <w:sz w:val="16"/>
                <w:szCs w:val="16"/>
              </w:rPr>
              <w:t xml:space="preserve">   </w:t>
            </w:r>
          </w:p>
          <w:p w:rsidR="00FA423E" w:rsidRPr="007E4934" w:rsidRDefault="00FA423E" w:rsidP="00DC1333">
            <w:pPr>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p w:rsidR="00FA423E" w:rsidRPr="007E4934" w:rsidRDefault="00FA423E" w:rsidP="00DC1333">
            <w:pPr>
              <w:ind w:left="551"/>
              <w:jc w:val="center"/>
              <w:rPr>
                <w:sz w:val="16"/>
                <w:szCs w:val="16"/>
                <w:lang w:bidi="th-TH"/>
              </w:rPr>
            </w:pP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547"/>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Aplicación del mecanismo de coordinación aprobado por los Estados miembros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547"/>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programas que reflejan que las recomendaciones de la A.D. han sido incorporadas en la labor corriente de la OMPI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547"/>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Número de proyectos de la A.D. y forma en la que han sido incorporados en la labor corriente de la OMPI (fijación de normas, asistencia técnica y prestación de servicios)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64"/>
        </w:trPr>
        <w:tc>
          <w:tcPr>
            <w:tcW w:w="1477" w:type="pct"/>
            <w:vMerge w:val="restar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Sistema eficaz instalado para la planificación, el seguimiento y la evaluación de la aplicación de las recomendaciones de la A.D.</w:t>
            </w:r>
          </w:p>
          <w:p w:rsidR="00FA423E" w:rsidRPr="007E4934" w:rsidRDefault="00FA423E" w:rsidP="00DC1333">
            <w:pPr>
              <w:keepNext/>
              <w:keepLines/>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63"/>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Porcentaje de proyectos de la A.D. que han sido evaluados en forma independiente</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keepNext/>
              <w:keepLines/>
              <w:tabs>
                <w:tab w:val="right" w:pos="2835"/>
              </w:tabs>
              <w:spacing w:after="60"/>
              <w:rPr>
                <w:sz w:val="15"/>
                <w:szCs w:val="15"/>
              </w:rPr>
            </w:pPr>
            <w:r w:rsidRPr="007E4934">
              <w:rPr>
                <w:sz w:val="15"/>
                <w:szCs w:val="15"/>
                <w:lang w:val="es-ES_tradnl"/>
              </w:rPr>
              <w:t>III.4 Fortalecimiento de los mecanismos y de los programas de cooperación conforme a las necesidades de los países en desarrollo y los PMA</w:t>
            </w:r>
          </w:p>
          <w:p w:rsidR="00FA423E" w:rsidRPr="007E4934" w:rsidRDefault="00FA423E" w:rsidP="00DC1333">
            <w:pPr>
              <w:keepNext/>
              <w:keepLines/>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mecanismos de cooperación, programas y asociaciones nuevos o consolidados a los que se presta apoyo para promover/fortalecer la cooperación subregional o regional en P.I.</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asociaciones establecidas en las que la parte que ofrece asistencia procede de un país desarrollado</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FF0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III.5 Mejor comprensión de la Agenda para el Desarrollo por los Estados miembros, las OIG, la sociedad civil y demás partes interesadas</w:t>
            </w: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países que piden asistencia técnica por conducto de proyectos de la A.D. y que manifiestan interés en actividades relacionadas con la A.D.</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Porcentaje de participantes en reuniones de la OMPI (Estados miembros, OIG, sociedad civil y demás partes interesadas) satisfechos con la información recibida sobre las recomendaciones de la A.D.</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8</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144"/>
        </w:trPr>
        <w:tc>
          <w:tcPr>
            <w:tcW w:w="1477" w:type="pct"/>
            <w:vMerge w:val="restart"/>
            <w:shd w:val="clear" w:color="auto" w:fill="auto"/>
            <w:tcMar>
              <w:top w:w="113" w:type="dxa"/>
              <w:bottom w:w="57" w:type="dxa"/>
            </w:tcMar>
          </w:tcPr>
          <w:p w:rsidR="00FA423E" w:rsidRPr="007E4934" w:rsidRDefault="00FA423E" w:rsidP="00DC1333">
            <w:pPr>
              <w:rPr>
                <w:sz w:val="16"/>
                <w:szCs w:val="16"/>
              </w:rPr>
            </w:pPr>
            <w:r w:rsidRPr="007E4934">
              <w:rPr>
                <w:sz w:val="16"/>
                <w:szCs w:val="16"/>
                <w:lang w:val="es-ES_tradnl"/>
              </w:rPr>
              <w:t>III.6 Mayor capacidad de las pymes para utilizar con éxito la P.I. con el fin de apoyar la innovación</w:t>
            </w:r>
          </w:p>
        </w:tc>
        <w:tc>
          <w:tcPr>
            <w:tcW w:w="2267" w:type="pct"/>
            <w:vMerge w:val="restart"/>
            <w:shd w:val="clear" w:color="auto" w:fill="auto"/>
            <w:tcMar>
              <w:top w:w="113" w:type="dxa"/>
              <w:bottom w:w="57" w:type="dxa"/>
            </w:tcMar>
          </w:tcPr>
          <w:p w:rsidR="00FA423E" w:rsidRPr="007E4934" w:rsidRDefault="00FA423E" w:rsidP="00DC1333">
            <w:pPr>
              <w:rPr>
                <w:sz w:val="16"/>
                <w:szCs w:val="16"/>
                <w:lang w:bidi="th-TH"/>
              </w:rPr>
            </w:pPr>
            <w:r w:rsidRPr="007E4934">
              <w:rPr>
                <w:sz w:val="16"/>
                <w:szCs w:val="16"/>
                <w:lang w:val="es-ES_tradnl" w:bidi="th-TH"/>
              </w:rPr>
              <w:t>Porcentaje de participantes en programas de formación destinados a instituciones de apoyo a las pymes que manifiestan satisfacción con el contenido y la organización de esos eventos</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144"/>
        </w:trPr>
        <w:tc>
          <w:tcPr>
            <w:tcW w:w="1477" w:type="pct"/>
            <w:vMerge/>
            <w:shd w:val="clear" w:color="auto" w:fill="auto"/>
            <w:tcMar>
              <w:top w:w="113" w:type="dxa"/>
              <w:bottom w:w="57" w:type="dxa"/>
            </w:tcMar>
          </w:tcPr>
          <w:p w:rsidR="00FA423E" w:rsidRPr="007E4934" w:rsidRDefault="00FA423E" w:rsidP="00DC1333">
            <w:pPr>
              <w:rPr>
                <w:sz w:val="16"/>
                <w:szCs w:val="16"/>
              </w:rPr>
            </w:pPr>
          </w:p>
        </w:tc>
        <w:tc>
          <w:tcPr>
            <w:tcW w:w="2267" w:type="pct"/>
            <w:vMerge/>
            <w:shd w:val="clear" w:color="auto" w:fill="auto"/>
            <w:tcMar>
              <w:top w:w="113" w:type="dxa"/>
              <w:bottom w:w="57" w:type="dxa"/>
            </w:tcMar>
          </w:tcPr>
          <w:p w:rsidR="00FA423E" w:rsidRPr="007E4934" w:rsidRDefault="00FA423E" w:rsidP="00DC1333">
            <w:pPr>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144"/>
        </w:trPr>
        <w:tc>
          <w:tcPr>
            <w:tcW w:w="1477" w:type="pct"/>
            <w:vMerge w:val="restart"/>
            <w:shd w:val="clear" w:color="auto" w:fill="auto"/>
            <w:tcMar>
              <w:top w:w="113" w:type="dxa"/>
              <w:bottom w:w="57" w:type="dxa"/>
            </w:tcMar>
          </w:tcPr>
          <w:p w:rsidR="00FA423E" w:rsidRPr="007E4934" w:rsidRDefault="00FA423E" w:rsidP="00DC1333">
            <w:pPr>
              <w:keepNext/>
              <w:keepLines/>
              <w:rPr>
                <w:sz w:val="16"/>
                <w:szCs w:val="16"/>
              </w:rPr>
            </w:pPr>
          </w:p>
        </w:tc>
        <w:tc>
          <w:tcPr>
            <w:tcW w:w="2267" w:type="pct"/>
            <w:vMerge w:val="restar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Porcentaje de instituciones de apoyo a las pymes que han recibido formación, que a su vez brindan información, apoyo y servicios de consultoría/asesoramiento en gestión de activos de P.I.</w:t>
            </w:r>
          </w:p>
          <w:p w:rsidR="00FA423E" w:rsidRPr="007E4934" w:rsidRDefault="00FA423E" w:rsidP="00DC1333">
            <w:pPr>
              <w:keepNext/>
              <w:keepLines/>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keepNext/>
              <w:keepLines/>
              <w:jc w:val="center"/>
              <w:rPr>
                <w:color w:val="A6A6A6" w:themeColor="background1" w:themeShade="A6"/>
                <w:szCs w:val="22"/>
              </w:rPr>
            </w:pPr>
            <w:r w:rsidRPr="00CC3F44">
              <w:rPr>
                <w:color w:val="008000"/>
                <w:szCs w:val="22"/>
              </w:rPr>
              <w:sym w:font="Wingdings" w:char="F06C"/>
            </w:r>
          </w:p>
        </w:tc>
      </w:tr>
      <w:tr w:rsidR="00FA423E" w:rsidRPr="0016774F" w:rsidTr="00DC1333">
        <w:trPr>
          <w:cantSplit/>
          <w:trHeight w:val="144"/>
        </w:trPr>
        <w:tc>
          <w:tcPr>
            <w:tcW w:w="1477" w:type="pct"/>
            <w:vMerge/>
            <w:shd w:val="clear" w:color="auto" w:fill="auto"/>
            <w:tcMar>
              <w:top w:w="113" w:type="dxa"/>
              <w:bottom w:w="57" w:type="dxa"/>
            </w:tcMar>
          </w:tcPr>
          <w:p w:rsidR="00FA423E" w:rsidRPr="007E4934" w:rsidRDefault="00FA423E" w:rsidP="00DC1333">
            <w:pPr>
              <w:keepNext/>
              <w:keepLines/>
              <w:rPr>
                <w:sz w:val="16"/>
                <w:szCs w:val="16"/>
              </w:rPr>
            </w:pPr>
          </w:p>
        </w:tc>
        <w:tc>
          <w:tcPr>
            <w:tcW w:w="2267" w:type="pct"/>
            <w:vMerge/>
            <w:shd w:val="clear" w:color="auto" w:fill="auto"/>
            <w:tcMar>
              <w:top w:w="113" w:type="dxa"/>
              <w:bottom w:w="57" w:type="dxa"/>
            </w:tcMar>
          </w:tcPr>
          <w:p w:rsidR="00FA423E" w:rsidRPr="007E4934" w:rsidRDefault="00FA423E" w:rsidP="00DC1333">
            <w:pPr>
              <w:keepNext/>
              <w:keepLines/>
              <w:rPr>
                <w:sz w:val="16"/>
                <w:szCs w:val="16"/>
                <w:lang w:bidi="th-TH"/>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16774F" w:rsidTr="00DC1333">
        <w:trPr>
          <w:cantSplit/>
          <w:trHeight w:val="144"/>
        </w:trPr>
        <w:tc>
          <w:tcPr>
            <w:tcW w:w="1477" w:type="pct"/>
            <w:vMerge w:val="restart"/>
            <w:shd w:val="clear" w:color="auto" w:fill="auto"/>
            <w:tcMar>
              <w:top w:w="113" w:type="dxa"/>
              <w:bottom w:w="57" w:type="dxa"/>
            </w:tcMar>
          </w:tcPr>
          <w:p w:rsidR="00FA423E" w:rsidRPr="007E4934" w:rsidRDefault="00FA423E" w:rsidP="00DC1333">
            <w:pPr>
              <w:keepNext/>
              <w:keepLines/>
              <w:rPr>
                <w:sz w:val="16"/>
                <w:szCs w:val="16"/>
              </w:rPr>
            </w:pPr>
          </w:p>
        </w:tc>
        <w:tc>
          <w:tcPr>
            <w:tcW w:w="2267" w:type="pct"/>
            <w:vMerge w:val="restar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países que han establecido programas de formación en P.I. destinados a las pymes</w:t>
            </w:r>
          </w:p>
          <w:p w:rsidR="00FA423E" w:rsidRPr="007E4934" w:rsidRDefault="00FA423E" w:rsidP="00DC1333">
            <w:pPr>
              <w:keepNext/>
              <w:keepLines/>
              <w:rPr>
                <w:sz w:val="16"/>
                <w:szCs w:val="16"/>
              </w:rPr>
            </w:pPr>
          </w:p>
        </w:tc>
        <w:tc>
          <w:tcPr>
            <w:tcW w:w="735" w:type="pct"/>
            <w:shd w:val="clear" w:color="auto" w:fill="FFFFFF"/>
            <w:tcMar>
              <w:top w:w="113" w:type="dxa"/>
              <w:bottom w:w="57" w:type="dxa"/>
            </w:tcMar>
          </w:tcPr>
          <w:p w:rsidR="00FA423E" w:rsidRPr="007E4934" w:rsidRDefault="00FA423E" w:rsidP="00DC1333">
            <w:pPr>
              <w:keepNext/>
              <w:keepLines/>
              <w:jc w:val="center"/>
              <w:rPr>
                <w:sz w:val="16"/>
                <w:szCs w:val="16"/>
                <w:lang w:bidi="th-TH"/>
              </w:rPr>
            </w:pPr>
            <w:r w:rsidRPr="007E4934">
              <w:rPr>
                <w:sz w:val="16"/>
                <w:szCs w:val="16"/>
                <w:lang w:val="es-ES_tradnl" w:bidi="th-TH"/>
              </w:rPr>
              <w:t>Programa 10</w:t>
            </w:r>
          </w:p>
        </w:tc>
        <w:tc>
          <w:tcPr>
            <w:tcW w:w="521"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p>
        </w:tc>
      </w:tr>
      <w:tr w:rsidR="00FA423E" w:rsidRPr="0016774F" w:rsidTr="00DC1333">
        <w:trPr>
          <w:cantSplit/>
          <w:trHeight w:val="144"/>
        </w:trPr>
        <w:tc>
          <w:tcPr>
            <w:tcW w:w="1477" w:type="pct"/>
            <w:vMerge/>
            <w:shd w:val="clear" w:color="auto" w:fill="auto"/>
            <w:tcMar>
              <w:top w:w="113" w:type="dxa"/>
              <w:bottom w:w="57" w:type="dxa"/>
            </w:tcMar>
          </w:tcPr>
          <w:p w:rsidR="00FA423E" w:rsidRPr="007E4934" w:rsidRDefault="00FA423E" w:rsidP="00DC1333">
            <w:pPr>
              <w:keepNext/>
              <w:keepLines/>
              <w:rPr>
                <w:sz w:val="16"/>
                <w:szCs w:val="16"/>
              </w:rPr>
            </w:pPr>
          </w:p>
        </w:tc>
        <w:tc>
          <w:tcPr>
            <w:tcW w:w="2267" w:type="pct"/>
            <w:vMerge/>
            <w:shd w:val="clear" w:color="auto" w:fill="auto"/>
            <w:tcMar>
              <w:top w:w="113" w:type="dxa"/>
              <w:bottom w:w="57" w:type="dxa"/>
            </w:tcMar>
          </w:tcPr>
          <w:p w:rsidR="00FA423E" w:rsidRPr="007E4934" w:rsidRDefault="00FA423E" w:rsidP="00DC1333">
            <w:pPr>
              <w:keepNext/>
              <w:keepLines/>
              <w:rPr>
                <w:sz w:val="16"/>
                <w:szCs w:val="16"/>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keepNext/>
              <w:keepLines/>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Número de suscripciones al Boletín para las pymes</w:t>
            </w:r>
          </w:p>
        </w:tc>
        <w:tc>
          <w:tcPr>
            <w:tcW w:w="735" w:type="pct"/>
            <w:shd w:val="clear" w:color="auto" w:fill="FFFFFF"/>
            <w:tcMar>
              <w:top w:w="113" w:type="dxa"/>
              <w:bottom w:w="57" w:type="dxa"/>
            </w:tcMar>
          </w:tcPr>
          <w:p w:rsidR="00FA423E" w:rsidRPr="007E4934" w:rsidRDefault="00FA423E" w:rsidP="00DC1333">
            <w:pPr>
              <w:keepNext/>
              <w:keepLines/>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bidi="th-TH"/>
              </w:rPr>
              <w:t>Número de directrices y material sobre pymes descargado del sitio web</w:t>
            </w:r>
            <w:r w:rsidRPr="007E4934">
              <w:rPr>
                <w:sz w:val="16"/>
                <w:szCs w:val="16"/>
                <w:lang w:bidi="th-TH"/>
              </w:rPr>
              <w:t xml:space="preserve"> </w:t>
            </w: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16774F" w:rsidTr="00DC1333">
        <w:trPr>
          <w:cantSplit/>
          <w:trHeight w:val="463"/>
        </w:trPr>
        <w:tc>
          <w:tcPr>
            <w:tcW w:w="1477" w:type="pct"/>
            <w:shd w:val="clear" w:color="auto" w:fill="auto"/>
            <w:tcMar>
              <w:top w:w="113" w:type="dxa"/>
              <w:bottom w:w="57" w:type="dxa"/>
            </w:tcMar>
          </w:tcPr>
          <w:p w:rsidR="00FA423E" w:rsidRPr="007E4934" w:rsidRDefault="00FA423E" w:rsidP="00DC1333">
            <w:pPr>
              <w:rPr>
                <w:sz w:val="16"/>
                <w:szCs w:val="16"/>
              </w:rPr>
            </w:pPr>
          </w:p>
        </w:tc>
        <w:tc>
          <w:tcPr>
            <w:tcW w:w="2267" w:type="pct"/>
            <w:shd w:val="clear" w:color="auto" w:fill="auto"/>
            <w:tcMar>
              <w:top w:w="113" w:type="dxa"/>
              <w:bottom w:w="57" w:type="dxa"/>
            </w:tcMar>
          </w:tcPr>
          <w:p w:rsidR="00FA423E" w:rsidRPr="007E4934" w:rsidRDefault="00FA423E" w:rsidP="00DC1333">
            <w:pPr>
              <w:keepNext/>
              <w:keepLines/>
              <w:rPr>
                <w:sz w:val="16"/>
                <w:szCs w:val="16"/>
              </w:rPr>
            </w:pPr>
            <w:r w:rsidRPr="007E4934">
              <w:rPr>
                <w:sz w:val="16"/>
                <w:szCs w:val="16"/>
                <w:lang w:val="es-ES_tradnl"/>
              </w:rPr>
              <w:t xml:space="preserve">Número de estudios de caso relacionados con las pymes que han sido consultados por intermedio de la base de datos </w:t>
            </w:r>
            <w:r w:rsidRPr="007E4934">
              <w:rPr>
                <w:i/>
                <w:sz w:val="16"/>
                <w:szCs w:val="16"/>
                <w:lang w:val="es-ES_tradnl"/>
              </w:rPr>
              <w:t>IP Advantage</w:t>
            </w:r>
            <w:r w:rsidRPr="007E4934">
              <w:rPr>
                <w:sz w:val="16"/>
                <w:szCs w:val="16"/>
                <w:lang w:val="es-ES_tradnl"/>
              </w:rPr>
              <w:t xml:space="preserve"> u otras bases de datos</w:t>
            </w:r>
          </w:p>
          <w:p w:rsidR="00FA423E" w:rsidRPr="007E4934" w:rsidRDefault="00FA423E" w:rsidP="00DC1333">
            <w:pPr>
              <w:keepNext/>
              <w:keepLines/>
              <w:rPr>
                <w:sz w:val="16"/>
                <w:szCs w:val="16"/>
                <w:lang w:bidi="th-TH"/>
              </w:rPr>
            </w:pPr>
          </w:p>
        </w:tc>
        <w:tc>
          <w:tcPr>
            <w:tcW w:w="735" w:type="pct"/>
            <w:shd w:val="clear" w:color="auto" w:fill="FFFFFF"/>
            <w:tcMar>
              <w:top w:w="113" w:type="dxa"/>
              <w:bottom w:w="57"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52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bl>
    <w:p w:rsidR="00FA423E" w:rsidRDefault="00FA423E" w:rsidP="00FA423E">
      <w:bookmarkStart w:id="97" w:name="_Toc422210495"/>
      <w:bookmarkStart w:id="98" w:name="_Toc367350587"/>
    </w:p>
    <w:p w:rsidR="003E6C4C" w:rsidRDefault="003E6C4C" w:rsidP="00FA423E"/>
    <w:p w:rsidR="003E6C4C" w:rsidRDefault="003E6C4C">
      <w:r>
        <w:br w:type="page"/>
      </w:r>
    </w:p>
    <w:p w:rsidR="0095318C" w:rsidRPr="00540D02" w:rsidRDefault="0095318C" w:rsidP="00DC1333">
      <w:pPr>
        <w:pStyle w:val="Heading2"/>
        <w:ind w:left="2410" w:hanging="2410"/>
        <w:jc w:val="both"/>
        <w:rPr>
          <w:b/>
          <w:szCs w:val="20"/>
        </w:rPr>
      </w:pPr>
      <w:bookmarkStart w:id="99" w:name="_Toc422927415"/>
      <w:bookmarkStart w:id="100" w:name="_Toc455159083"/>
      <w:r w:rsidRPr="00540D02">
        <w:rPr>
          <w:b/>
          <w:szCs w:val="20"/>
        </w:rPr>
        <w:lastRenderedPageBreak/>
        <w:t>PROGRAMA 8</w:t>
      </w:r>
      <w:r w:rsidRPr="00540D02">
        <w:rPr>
          <w:b/>
          <w:szCs w:val="20"/>
        </w:rPr>
        <w:tab/>
        <w:t>COORDINACIÓN DE LA AGENDA PARA EL DESARROLLO</w:t>
      </w:r>
      <w:bookmarkEnd w:id="99"/>
      <w:bookmarkEnd w:id="100"/>
    </w:p>
    <w:p w:rsidR="0095318C" w:rsidRPr="00540D02" w:rsidRDefault="0095318C" w:rsidP="00DC1333">
      <w:pPr>
        <w:tabs>
          <w:tab w:val="left" w:pos="1985"/>
        </w:tabs>
        <w:jc w:val="both"/>
        <w:rPr>
          <w:sz w:val="20"/>
        </w:rPr>
      </w:pPr>
    </w:p>
    <w:p w:rsidR="0095318C" w:rsidRPr="00540D02" w:rsidRDefault="0095318C" w:rsidP="00DC1333">
      <w:pPr>
        <w:tabs>
          <w:tab w:val="left" w:pos="2410"/>
        </w:tabs>
        <w:jc w:val="both"/>
        <w:rPr>
          <w:b/>
          <w:sz w:val="20"/>
        </w:rPr>
      </w:pPr>
      <w:r w:rsidRPr="00540D02">
        <w:rPr>
          <w:b/>
          <w:sz w:val="20"/>
        </w:rPr>
        <w:t>Director de programa</w:t>
      </w:r>
      <w:r w:rsidRPr="00540D02">
        <w:rPr>
          <w:b/>
          <w:sz w:val="20"/>
        </w:rPr>
        <w:tab/>
        <w:t>Sr. M. Matus</w:t>
      </w:r>
    </w:p>
    <w:p w:rsidR="0095318C" w:rsidRPr="00540D02" w:rsidRDefault="0095318C" w:rsidP="00DC1333">
      <w:pPr>
        <w:jc w:val="both"/>
        <w:rPr>
          <w:sz w:val="20"/>
        </w:rPr>
      </w:pPr>
    </w:p>
    <w:p w:rsidR="0095318C" w:rsidRPr="00540D02" w:rsidRDefault="0095318C" w:rsidP="00DC1333">
      <w:pPr>
        <w:jc w:val="both"/>
        <w:rPr>
          <w:sz w:val="20"/>
        </w:rPr>
      </w:pPr>
    </w:p>
    <w:p w:rsidR="0095318C" w:rsidRPr="00540D02" w:rsidRDefault="008F7CBE" w:rsidP="00DC1333">
      <w:pPr>
        <w:jc w:val="both"/>
        <w:rPr>
          <w:bCs/>
        </w:rPr>
      </w:pPr>
      <w:r w:rsidRPr="008F7CBE">
        <w:rPr>
          <w:bCs/>
          <w:sz w:val="20"/>
          <w:szCs w:val="22"/>
        </w:rPr>
        <w:t>LOGROS ALCANZADOS EN EL BIENIO 2014/15</w:t>
      </w:r>
    </w:p>
    <w:p w:rsidR="0095318C" w:rsidRPr="00540D02" w:rsidRDefault="0095318C" w:rsidP="00DC1333">
      <w:pPr>
        <w:jc w:val="both"/>
      </w:pPr>
    </w:p>
    <w:p w:rsidR="0095318C" w:rsidRPr="00540D02" w:rsidRDefault="0095318C" w:rsidP="0095318C">
      <w:pPr>
        <w:pStyle w:val="ListParagraph"/>
        <w:numPr>
          <w:ilvl w:val="0"/>
          <w:numId w:val="51"/>
        </w:numPr>
        <w:ind w:left="0" w:firstLine="0"/>
        <w:jc w:val="both"/>
        <w:rPr>
          <w:rFonts w:cs="Arial"/>
          <w:lang w:val="es-ES"/>
        </w:rPr>
      </w:pPr>
      <w:r w:rsidRPr="00540D02">
        <w:rPr>
          <w:rFonts w:cs="Arial"/>
          <w:lang w:val="es-ES"/>
        </w:rPr>
        <w:t>En el marco del programa 8, durante el bienio 2014/15 se siguió coordinando la aplicación de la Agenda de la OMPI para el Desarrollo (A.D.) facilitando la labor del Comité de Desarrollo y Propiedad Intelectual (CDIP) en sus sesiones decimotercera y decimocuarta, celebradas en 2014, y decimoquinta y decimosexta celebradas en 2015;  la aplicación de las recomendaciones de la A.D. mediante proyectos;  la incorporación de los principios de la A.D. a la labor de la Organización, y la realización de diversas actividades destinadas a ayudar a los Estados miembros a obtener beneficios de la aplicación de la A.D.</w:t>
      </w:r>
    </w:p>
    <w:p w:rsidR="0095318C" w:rsidRPr="00540D02" w:rsidRDefault="0095318C" w:rsidP="00DC1333">
      <w:pPr>
        <w:tabs>
          <w:tab w:val="left" w:pos="709"/>
        </w:tabs>
        <w:jc w:val="both"/>
      </w:pPr>
    </w:p>
    <w:p w:rsidR="0095318C" w:rsidRPr="00540D02" w:rsidRDefault="0095318C" w:rsidP="0095318C">
      <w:pPr>
        <w:pStyle w:val="ListParagraph"/>
        <w:numPr>
          <w:ilvl w:val="0"/>
          <w:numId w:val="51"/>
        </w:numPr>
        <w:ind w:left="0" w:firstLine="0"/>
        <w:jc w:val="both"/>
        <w:rPr>
          <w:rFonts w:cs="Arial"/>
          <w:lang w:val="es-ES"/>
        </w:rPr>
      </w:pPr>
      <w:r w:rsidRPr="00540D02">
        <w:rPr>
          <w:rFonts w:cs="Arial"/>
          <w:lang w:val="es-ES"/>
        </w:rPr>
        <w:t>Durante el bienio el CDIP examinó</w:t>
      </w:r>
      <w:proofErr w:type="gramStart"/>
      <w:r w:rsidRPr="00540D02">
        <w:rPr>
          <w:rFonts w:cs="Arial"/>
          <w:lang w:val="es-ES"/>
        </w:rPr>
        <w:t>:  i</w:t>
      </w:r>
      <w:proofErr w:type="gramEnd"/>
      <w:r w:rsidRPr="00540D02">
        <w:rPr>
          <w:rFonts w:cs="Arial"/>
          <w:lang w:val="es-ES"/>
        </w:rPr>
        <w:t>) 2 informes anuales del Director General sobre la aplicación de la Agenda para el Desarrollo;  ii) 2 informes sobre la marcha de la labor relativa a las recomendaciones que deben aplicarse inmediatamente y de la ejecución de los proyectos de la A.D.;  iii) 11 informes de evaluación independiente y 1 informe de evaluación interna de proyectos, y iv) 1 documento sobre la Decisión de la Asamblea General de la OMPI sobre asuntos relativos al CDIP.  Además, el Comité aprobó</w:t>
      </w:r>
      <w:proofErr w:type="gramStart"/>
      <w:r w:rsidRPr="00540D02">
        <w:rPr>
          <w:rFonts w:cs="Arial"/>
          <w:lang w:val="es-ES"/>
        </w:rPr>
        <w:t>:  i</w:t>
      </w:r>
      <w:proofErr w:type="gramEnd"/>
      <w:r w:rsidRPr="00540D02">
        <w:rPr>
          <w:rFonts w:cs="Arial"/>
          <w:lang w:val="es-ES"/>
        </w:rPr>
        <w:t>) propuestas para la ejecución de la segunda fase de dos proyectos finalizados y evaluados;  ii) 3 nuevas propuestas de proyectos, entra ellas una sobre P.I. y turismo presentada por Egipto, y iii) la realización de nuevas actividades relacionadas con la utilización del derecho de autor para promover el acceso a la información y al contenido creativo.  El Comité también examinó:  i) un documento remitido por la Asamblea General sobre la descripción de la contribución de los órganos pertinentes de la OMPI a la aplicación de las recomendaciones de la Agenda para el Desarrollo que les conciernen;  ii) un informe revisado sobre la medición de los Objetivos de Desarrollo del Milenio (ODM) en otras organizaciones de las Naciones Unidas y organismos especializados, así como la contribución de la OMPI a la aplicación de esos objetivos;  iii) un documento sobre la OMPI y la Agenda para el desarrollo después de 2015, y iv) el Informe sobre el Foro de la OMPI de expertos en transferencia de tecnología a escala internacional.  El Comité examinó asimismo el quinto documento sobre las flexibilidades en materia de patentes en el marco jurídico multilateral y su aplicación legislativa en los planos nacional y regional, así como un informe acerca de la actualización de la base de datos sobre flexibilidades.  Durante el bienio se siguió debatiendo en relación con el examen independiente sobre la asistencia técnica que presta la OMPI en el marco de la cooperación para el desarrollo y se produjo una respuesta actualizada de la Administración al informe de dicho examen independiente.  Por otra parte, el Comité examinó y aprobó el mandato relativo al examen independiente de la aplicación de las recomendaciones de la Agenda para el Desarrollo y tomó una decisión con respecto a la convocatoria de una conferencia internacional sobre propiedad intelectual y desarrollo.  Asimismo, en lo que respecta a estudios, el Comité examinó:  i) 8 estudios realizados en el marco del proyecto sobre propiedad intelectual y desarrollo socioeconómico;  ii) 6 estudios en el marco del proyecto sobre propiedad intelectual y transferencia de tecnología: desafíos comunes y búsqueda de soluciones;  iii) 2 estudios en el marco del Proyecto sobre los proyectos de colaboración abierta y los modelos de P.I.;  iv) 4 estudios en el marco del proyecto sobre propiedad intelectual y la economía informal;  v) 1 estudio en el marco del proyecto sobre el fortalecimiento y desarrollo del sector audiovisual en Burkina Faso y en determinados países de África, y vi) 3 estudios llevados a cabo en el marco del proyecto sobre la estructura de apoyo a la innovación y a la transferencia de tecnología para las instituciones nacionales.  El CDIP siguió beneficiándose de una creciente participación de OIG y ONG.  A finales de 2015, 59 observadores habían participado en los trabajos del Comité.</w:t>
      </w:r>
    </w:p>
    <w:p w:rsidR="0095318C" w:rsidRPr="00540D02" w:rsidRDefault="0095318C" w:rsidP="00DC1333">
      <w:pPr>
        <w:tabs>
          <w:tab w:val="left" w:pos="709"/>
        </w:tabs>
        <w:jc w:val="both"/>
      </w:pPr>
    </w:p>
    <w:p w:rsidR="0095318C" w:rsidRPr="00540D02" w:rsidRDefault="0095318C" w:rsidP="0095318C">
      <w:pPr>
        <w:pStyle w:val="ListParagraph"/>
        <w:numPr>
          <w:ilvl w:val="0"/>
          <w:numId w:val="51"/>
        </w:numPr>
        <w:ind w:left="0" w:firstLine="0"/>
        <w:jc w:val="both"/>
        <w:rPr>
          <w:rFonts w:cs="Arial"/>
          <w:lang w:val="es-ES"/>
        </w:rPr>
      </w:pPr>
      <w:r w:rsidRPr="00540D02">
        <w:rPr>
          <w:rFonts w:cs="Arial"/>
          <w:lang w:val="es-ES"/>
        </w:rPr>
        <w:t xml:space="preserve">Además de prestar apoyo al CDIP, durante el bienio 2014/15 en el marco del programa se inició la labor encaminada a convocar la Conferencia Internacional sobre P.I. y Desarrollo que se celebrará </w:t>
      </w:r>
      <w:r>
        <w:rPr>
          <w:rFonts w:cs="Arial"/>
          <w:lang w:val="es-ES"/>
        </w:rPr>
        <w:t>en </w:t>
      </w:r>
      <w:r w:rsidRPr="00540D02">
        <w:rPr>
          <w:rFonts w:cs="Arial"/>
          <w:lang w:val="es-ES"/>
        </w:rPr>
        <w:t>2016, se coordinó la labor relativa al examen independiente de la aplicación de las recomendaciones de la Agenda para el Desarrollo y se facilitó la aplicación en los Estados miembros de las actividades de la A.D.  En el marco del programa se mantuvieron también los esfuerzos para asegurar la aplicación efectiva de las 19 recomendaciones que deben aplicarse inmediatamente;  se siguió coordinando la supervisión, evaluación y presentación de informes sobre la ejecución de los proyectos aprobados por el CDIP, y se mantuvo la responsabilidad sobre la coordinación de la aplicación de las 45 recomendaciones de la Agenda de la OMPI para el Desarrollo.</w:t>
      </w:r>
    </w:p>
    <w:p w:rsidR="0095318C" w:rsidRPr="00540D02" w:rsidRDefault="0095318C" w:rsidP="00DC1333">
      <w:pPr>
        <w:autoSpaceDE w:val="0"/>
        <w:autoSpaceDN w:val="0"/>
        <w:adjustRightInd w:val="0"/>
        <w:jc w:val="both"/>
      </w:pPr>
    </w:p>
    <w:p w:rsidR="0095318C" w:rsidRPr="00540D02" w:rsidRDefault="0095318C" w:rsidP="00DC1333"/>
    <w:p w:rsidR="0095318C" w:rsidRPr="00540D02" w:rsidRDefault="008F7CBE" w:rsidP="00DC1333">
      <w:pPr>
        <w:keepNext/>
        <w:autoSpaceDE w:val="0"/>
        <w:autoSpaceDN w:val="0"/>
        <w:adjustRightInd w:val="0"/>
        <w:jc w:val="both"/>
      </w:pPr>
      <w:r w:rsidRPr="008F7CBE">
        <w:rPr>
          <w:sz w:val="20"/>
        </w:rPr>
        <w:lastRenderedPageBreak/>
        <w:t>DATOS SOBRE EL RENDIMIENTO</w:t>
      </w:r>
    </w:p>
    <w:p w:rsidR="0095318C" w:rsidRPr="00540D02" w:rsidRDefault="0095318C" w:rsidP="00DC1333">
      <w:pPr>
        <w:keepNext/>
        <w:jc w:val="both"/>
        <w:rPr>
          <w:bCs/>
        </w:rPr>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3"/>
        <w:gridCol w:w="2126"/>
        <w:gridCol w:w="1984"/>
        <w:gridCol w:w="1982"/>
        <w:gridCol w:w="140"/>
        <w:gridCol w:w="1126"/>
      </w:tblGrid>
      <w:tr w:rsidR="0095318C" w:rsidRPr="00540D02" w:rsidTr="00DC1333">
        <w:trPr>
          <w:cantSplit/>
        </w:trPr>
        <w:tc>
          <w:tcPr>
            <w:tcW w:w="5000" w:type="pct"/>
            <w:gridSpan w:val="6"/>
            <w:tcBorders>
              <w:top w:val="single" w:sz="4" w:space="0" w:color="auto"/>
              <w:bottom w:val="single" w:sz="4" w:space="0" w:color="auto"/>
            </w:tcBorders>
            <w:shd w:val="clear" w:color="auto" w:fill="C6D9F1" w:themeFill="text2" w:themeFillTint="33"/>
            <w:vAlign w:val="center"/>
          </w:tcPr>
          <w:p w:rsidR="0095318C" w:rsidRPr="00540D02" w:rsidRDefault="0095318C" w:rsidP="00DC1333">
            <w:pPr>
              <w:keepNext/>
              <w:keepLines/>
              <w:spacing w:before="120" w:after="120"/>
              <w:ind w:left="2019" w:hanging="2019"/>
              <w:jc w:val="both"/>
              <w:rPr>
                <w:b/>
                <w:bCs/>
                <w:sz w:val="16"/>
                <w:szCs w:val="16"/>
              </w:rPr>
            </w:pPr>
            <w:r w:rsidRPr="00540D02">
              <w:rPr>
                <w:b/>
                <w:bCs/>
                <w:sz w:val="16"/>
                <w:szCs w:val="16"/>
              </w:rPr>
              <w:t>Resultado previsto:</w:t>
            </w:r>
            <w:r w:rsidRPr="00540D02">
              <w:rPr>
                <w:b/>
                <w:bCs/>
                <w:sz w:val="16"/>
                <w:szCs w:val="16"/>
              </w:rPr>
              <w:tab/>
            </w:r>
            <w:r w:rsidRPr="00540D02">
              <w:rPr>
                <w:sz w:val="16"/>
                <w:szCs w:val="16"/>
                <w:lang w:bidi="th-TH"/>
              </w:rPr>
              <w:t>III.3 Incorporación de las recomendaciones de la Agenda para el Desarrollo en la labor de la OMPI</w:t>
            </w:r>
          </w:p>
        </w:tc>
      </w:tr>
      <w:tr w:rsidR="0095318C" w:rsidRPr="00540D02" w:rsidTr="00DC1333">
        <w:trPr>
          <w:cantSplit/>
        </w:trPr>
        <w:tc>
          <w:tcPr>
            <w:tcW w:w="1124" w:type="pct"/>
            <w:tcBorders>
              <w:top w:val="single" w:sz="4" w:space="0" w:color="auto"/>
              <w:left w:val="single" w:sz="4" w:space="0" w:color="auto"/>
              <w:bottom w:val="nil"/>
            </w:tcBorders>
            <w:shd w:val="clear" w:color="auto" w:fill="auto"/>
            <w:vAlign w:val="center"/>
          </w:tcPr>
          <w:p w:rsidR="0095318C" w:rsidRPr="00540D02" w:rsidRDefault="0095318C" w:rsidP="00DC1333">
            <w:pPr>
              <w:keepNext/>
              <w:rPr>
                <w:sz w:val="16"/>
                <w:szCs w:val="16"/>
              </w:rPr>
            </w:pPr>
            <w:r w:rsidRPr="00540D02">
              <w:rPr>
                <w:b/>
                <w:sz w:val="16"/>
                <w:szCs w:val="16"/>
              </w:rPr>
              <w:t>Indicadores de rendimiento</w:t>
            </w:r>
          </w:p>
        </w:tc>
        <w:tc>
          <w:tcPr>
            <w:tcW w:w="1120" w:type="pct"/>
            <w:tcBorders>
              <w:top w:val="single" w:sz="4" w:space="0" w:color="auto"/>
              <w:bottom w:val="nil"/>
            </w:tcBorders>
            <w:shd w:val="clear" w:color="auto" w:fill="auto"/>
            <w:vAlign w:val="center"/>
          </w:tcPr>
          <w:p w:rsidR="0095318C" w:rsidRPr="00540D02" w:rsidRDefault="0095318C" w:rsidP="00DC1333">
            <w:pPr>
              <w:keepNext/>
              <w:rPr>
                <w:b/>
                <w:bCs/>
                <w:sz w:val="16"/>
                <w:szCs w:val="16"/>
              </w:rPr>
            </w:pPr>
            <w:r w:rsidRPr="00540D02">
              <w:rPr>
                <w:b/>
                <w:bCs/>
                <w:sz w:val="16"/>
                <w:szCs w:val="16"/>
              </w:rPr>
              <w:t>Referencia</w:t>
            </w:r>
          </w:p>
        </w:tc>
        <w:tc>
          <w:tcPr>
            <w:tcW w:w="1045" w:type="pct"/>
            <w:tcBorders>
              <w:top w:val="single" w:sz="4" w:space="0" w:color="auto"/>
              <w:bottom w:val="nil"/>
            </w:tcBorders>
            <w:shd w:val="clear" w:color="auto" w:fill="auto"/>
            <w:tcMar>
              <w:top w:w="110" w:type="dxa"/>
            </w:tcMar>
            <w:vAlign w:val="center"/>
          </w:tcPr>
          <w:p w:rsidR="0095318C" w:rsidRPr="00540D02" w:rsidRDefault="0095318C" w:rsidP="00DC1333">
            <w:pPr>
              <w:keepNext/>
              <w:rPr>
                <w:b/>
                <w:sz w:val="16"/>
                <w:szCs w:val="16"/>
              </w:rPr>
            </w:pPr>
            <w:r w:rsidRPr="00540D02">
              <w:rPr>
                <w:b/>
                <w:sz w:val="16"/>
                <w:szCs w:val="16"/>
              </w:rPr>
              <w:t>Objetivos</w:t>
            </w:r>
          </w:p>
        </w:tc>
        <w:tc>
          <w:tcPr>
            <w:tcW w:w="1044" w:type="pct"/>
            <w:tcBorders>
              <w:top w:val="single" w:sz="4" w:space="0" w:color="auto"/>
              <w:bottom w:val="nil"/>
            </w:tcBorders>
            <w:shd w:val="clear" w:color="auto" w:fill="FFFFFF"/>
            <w:tcMar>
              <w:top w:w="110" w:type="dxa"/>
            </w:tcMar>
            <w:vAlign w:val="center"/>
          </w:tcPr>
          <w:p w:rsidR="0095318C" w:rsidRPr="00540D02" w:rsidRDefault="0095318C" w:rsidP="00DC1333">
            <w:pPr>
              <w:keepNext/>
              <w:rPr>
                <w:sz w:val="16"/>
                <w:szCs w:val="16"/>
              </w:rPr>
            </w:pPr>
            <w:r w:rsidRPr="00540D02">
              <w:rPr>
                <w:b/>
                <w:sz w:val="16"/>
                <w:szCs w:val="16"/>
              </w:rPr>
              <w:t>Datos sobre el rendimiento</w:t>
            </w:r>
          </w:p>
        </w:tc>
        <w:tc>
          <w:tcPr>
            <w:tcW w:w="667" w:type="pct"/>
            <w:gridSpan w:val="2"/>
            <w:tcBorders>
              <w:top w:val="single" w:sz="4" w:space="0" w:color="auto"/>
              <w:bottom w:val="nil"/>
              <w:right w:val="single" w:sz="4" w:space="0" w:color="auto"/>
            </w:tcBorders>
            <w:shd w:val="clear" w:color="auto" w:fill="auto"/>
            <w:tcMar>
              <w:top w:w="110" w:type="dxa"/>
            </w:tcMar>
            <w:vAlign w:val="center"/>
          </w:tcPr>
          <w:p w:rsidR="0095318C" w:rsidRPr="00540D02" w:rsidRDefault="0095318C" w:rsidP="00DC1333">
            <w:pPr>
              <w:keepNext/>
              <w:keepLines/>
              <w:rPr>
                <w:b/>
                <w:bCs/>
                <w:sz w:val="16"/>
                <w:szCs w:val="16"/>
              </w:rPr>
            </w:pPr>
            <w:r w:rsidRPr="00540D02">
              <w:rPr>
                <w:b/>
                <w:bCs/>
                <w:sz w:val="16"/>
                <w:szCs w:val="16"/>
              </w:rPr>
              <w:t>Clave de colores</w:t>
            </w:r>
          </w:p>
        </w:tc>
      </w:tr>
      <w:tr w:rsidR="0095318C" w:rsidRPr="00540D02" w:rsidTr="00DC1333">
        <w:trPr>
          <w:cantSplit/>
        </w:trPr>
        <w:tc>
          <w:tcPr>
            <w:tcW w:w="1124" w:type="pct"/>
            <w:tcBorders>
              <w:top w:val="nil"/>
              <w:left w:val="single" w:sz="4" w:space="0" w:color="auto"/>
              <w:bottom w:val="nil"/>
            </w:tcBorders>
            <w:shd w:val="clear" w:color="auto" w:fill="auto"/>
          </w:tcPr>
          <w:p w:rsidR="0095318C" w:rsidRPr="00540D02" w:rsidRDefault="0095318C" w:rsidP="00DC1333">
            <w:pPr>
              <w:rPr>
                <w:sz w:val="16"/>
                <w:szCs w:val="16"/>
                <w:lang w:bidi="th-TH"/>
              </w:rPr>
            </w:pPr>
            <w:r w:rsidRPr="00540D02">
              <w:rPr>
                <w:sz w:val="16"/>
                <w:szCs w:val="16"/>
                <w:lang w:bidi="th-TH"/>
              </w:rPr>
              <w:t>Número de recomendaciones de la A.D. de las que se ha ocupado el CDIP mediante proyectos, actividades y estudios</w:t>
            </w:r>
            <w:r w:rsidRPr="00540D02">
              <w:rPr>
                <w:color w:val="808080"/>
                <w:sz w:val="16"/>
                <w:szCs w:val="16"/>
                <w:lang w:bidi="th-TH"/>
              </w:rPr>
              <w:t>.</w:t>
            </w:r>
          </w:p>
        </w:tc>
        <w:tc>
          <w:tcPr>
            <w:tcW w:w="1120" w:type="pct"/>
            <w:tcBorders>
              <w:top w:val="nil"/>
              <w:bottom w:val="nil"/>
            </w:tcBorders>
            <w:shd w:val="clear" w:color="auto" w:fill="auto"/>
          </w:tcPr>
          <w:p w:rsidR="0095318C" w:rsidRPr="00540D02" w:rsidRDefault="0095318C" w:rsidP="00DC1333">
            <w:pPr>
              <w:rPr>
                <w:sz w:val="16"/>
                <w:szCs w:val="16"/>
                <w:lang w:bidi="th-TH"/>
              </w:rPr>
            </w:pPr>
            <w:r w:rsidRPr="00540D02">
              <w:rPr>
                <w:i/>
                <w:iCs/>
                <w:color w:val="002060"/>
                <w:sz w:val="16"/>
                <w:szCs w:val="16"/>
              </w:rPr>
              <w:t>Referencia actualizada a fines de 2013</w:t>
            </w:r>
            <w:proofErr w:type="gramStart"/>
            <w:r w:rsidRPr="00540D02">
              <w:rPr>
                <w:i/>
                <w:color w:val="002060"/>
                <w:sz w:val="16"/>
                <w:szCs w:val="16"/>
              </w:rPr>
              <w:t xml:space="preserve">:  </w:t>
            </w:r>
            <w:r w:rsidRPr="00540D02">
              <w:rPr>
                <w:sz w:val="16"/>
                <w:szCs w:val="16"/>
              </w:rPr>
              <w:t>45</w:t>
            </w:r>
            <w:proofErr w:type="gramEnd"/>
            <w:r w:rsidRPr="00540D02">
              <w:rPr>
                <w:sz w:val="16"/>
                <w:szCs w:val="16"/>
              </w:rPr>
              <w:t xml:space="preserve"> recomendaciones</w:t>
            </w:r>
            <w:r w:rsidRPr="00540D02">
              <w:rPr>
                <w:sz w:val="16"/>
                <w:szCs w:val="16"/>
                <w:lang w:bidi="th-TH"/>
              </w:rPr>
              <w:t xml:space="preserve"> de la A.D.</w:t>
            </w:r>
          </w:p>
          <w:p w:rsidR="0095318C" w:rsidRPr="00540D02" w:rsidRDefault="0095318C" w:rsidP="00DC1333">
            <w:pPr>
              <w:rPr>
                <w:i/>
                <w:color w:val="002060"/>
                <w:sz w:val="16"/>
                <w:szCs w:val="16"/>
              </w:rPr>
            </w:pPr>
          </w:p>
          <w:p w:rsidR="0095318C" w:rsidRPr="00540D02" w:rsidRDefault="0095318C" w:rsidP="00DC1333">
            <w:pPr>
              <w:rPr>
                <w:sz w:val="16"/>
                <w:szCs w:val="16"/>
              </w:rPr>
            </w:pPr>
            <w:r w:rsidRPr="00540D02">
              <w:rPr>
                <w:i/>
                <w:iCs/>
                <w:sz w:val="16"/>
                <w:szCs w:val="16"/>
              </w:rPr>
              <w:t>Referencia original en el presupuesto de 2014/15</w:t>
            </w:r>
            <w:r w:rsidRPr="00540D02">
              <w:rPr>
                <w:i/>
                <w:sz w:val="16"/>
                <w:szCs w:val="16"/>
              </w:rPr>
              <w:t>:</w:t>
            </w:r>
            <w:r w:rsidRPr="00540D02">
              <w:rPr>
                <w:sz w:val="16"/>
                <w:szCs w:val="16"/>
              </w:rPr>
              <w:t xml:space="preserve"> El Comité se ocupó de 42 recomendaciones en diciembre de 2011</w:t>
            </w:r>
            <w:r w:rsidRPr="00540D02">
              <w:t xml:space="preserve"> </w:t>
            </w:r>
          </w:p>
        </w:tc>
        <w:tc>
          <w:tcPr>
            <w:tcW w:w="1045" w:type="pct"/>
            <w:tcBorders>
              <w:top w:val="nil"/>
              <w:bottom w:val="nil"/>
            </w:tcBorders>
            <w:shd w:val="clear" w:color="auto" w:fill="auto"/>
            <w:tcMar>
              <w:top w:w="110" w:type="dxa"/>
            </w:tcMar>
          </w:tcPr>
          <w:p w:rsidR="0095318C" w:rsidRPr="00540D02" w:rsidRDefault="0095318C" w:rsidP="00DC1333">
            <w:pPr>
              <w:rPr>
                <w:sz w:val="16"/>
                <w:szCs w:val="16"/>
                <w:lang w:bidi="th-TH"/>
              </w:rPr>
            </w:pPr>
            <w:r w:rsidRPr="00540D02">
              <w:rPr>
                <w:sz w:val="16"/>
                <w:szCs w:val="16"/>
                <w:lang w:bidi="th-TH"/>
              </w:rPr>
              <w:t>El CDIP debe ocuparse de 45 recomendaciones.</w:t>
            </w:r>
          </w:p>
          <w:p w:rsidR="0095318C" w:rsidRPr="00540D02" w:rsidRDefault="0095318C" w:rsidP="00DC1333">
            <w:pPr>
              <w:rPr>
                <w:sz w:val="16"/>
                <w:szCs w:val="16"/>
                <w:lang w:bidi="th-TH"/>
              </w:rPr>
            </w:pPr>
          </w:p>
          <w:p w:rsidR="0095318C" w:rsidRPr="00540D02" w:rsidRDefault="0095318C" w:rsidP="00DC1333">
            <w:pPr>
              <w:rPr>
                <w:sz w:val="16"/>
                <w:szCs w:val="16"/>
                <w:lang w:bidi="th-TH"/>
              </w:rPr>
            </w:pPr>
          </w:p>
          <w:p w:rsidR="0095318C" w:rsidRPr="00540D02" w:rsidRDefault="0095318C" w:rsidP="00DC1333">
            <w:pPr>
              <w:rPr>
                <w:sz w:val="16"/>
                <w:szCs w:val="16"/>
                <w:lang w:bidi="th-TH"/>
              </w:rPr>
            </w:pPr>
          </w:p>
        </w:tc>
        <w:tc>
          <w:tcPr>
            <w:tcW w:w="1044" w:type="pct"/>
            <w:tcBorders>
              <w:top w:val="nil"/>
              <w:bottom w:val="nil"/>
            </w:tcBorders>
            <w:shd w:val="clear" w:color="auto" w:fill="FFFFFF"/>
            <w:tcMar>
              <w:top w:w="110" w:type="dxa"/>
            </w:tcMar>
          </w:tcPr>
          <w:p w:rsidR="0095318C" w:rsidRPr="00540D02" w:rsidRDefault="0095318C" w:rsidP="00DC1333">
            <w:pPr>
              <w:rPr>
                <w:sz w:val="16"/>
                <w:szCs w:val="16"/>
                <w:lang w:bidi="th-TH"/>
              </w:rPr>
            </w:pPr>
            <w:r w:rsidRPr="00540D02">
              <w:rPr>
                <w:sz w:val="16"/>
                <w:szCs w:val="16"/>
                <w:lang w:bidi="th-TH"/>
              </w:rPr>
              <w:t>Se abordaron las 45 recomendaciones según consta en el Informe sobre la marcha de las actividades de la A.D. (documentos CDIP/14/2 y CDIP /16/2)</w:t>
            </w:r>
          </w:p>
        </w:tc>
        <w:tc>
          <w:tcPr>
            <w:tcW w:w="667" w:type="pct"/>
            <w:gridSpan w:val="2"/>
            <w:tcBorders>
              <w:top w:val="nil"/>
              <w:bottom w:val="nil"/>
              <w:right w:val="single" w:sz="4" w:space="0" w:color="auto"/>
            </w:tcBorders>
            <w:shd w:val="clear" w:color="auto" w:fill="auto"/>
            <w:tcMar>
              <w:top w:w="110" w:type="dxa"/>
            </w:tcMar>
          </w:tcPr>
          <w:p w:rsidR="0095318C" w:rsidRPr="00540D02" w:rsidRDefault="0095318C" w:rsidP="00DC1333">
            <w:pPr>
              <w:keepNext/>
              <w:keepLines/>
              <w:ind w:left="-107"/>
              <w:jc w:val="center"/>
              <w:rPr>
                <w:b/>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nil"/>
            </w:tcBorders>
            <w:shd w:val="clear" w:color="auto" w:fill="auto"/>
          </w:tcPr>
          <w:p w:rsidR="0095318C" w:rsidRPr="00540D02" w:rsidRDefault="0095318C" w:rsidP="00DC1333">
            <w:pPr>
              <w:rPr>
                <w:sz w:val="16"/>
                <w:szCs w:val="16"/>
                <w:highlight w:val="red"/>
                <w:lang w:bidi="th-TH"/>
              </w:rPr>
            </w:pPr>
            <w:r w:rsidRPr="00540D02">
              <w:rPr>
                <w:sz w:val="16"/>
                <w:szCs w:val="16"/>
                <w:lang w:bidi="th-TH"/>
              </w:rPr>
              <w:t>Tasa de satisfacción de los Estados miembros con los resultados de los proyectos, actividades y estudios.</w:t>
            </w:r>
          </w:p>
        </w:tc>
        <w:tc>
          <w:tcPr>
            <w:tcW w:w="1120" w:type="pct"/>
            <w:tcBorders>
              <w:top w:val="nil"/>
              <w:bottom w:val="nil"/>
            </w:tcBorders>
            <w:shd w:val="clear" w:color="auto" w:fill="auto"/>
          </w:tcPr>
          <w:p w:rsidR="0095318C" w:rsidRPr="00540D02" w:rsidRDefault="0095318C" w:rsidP="00DC1333">
            <w:pPr>
              <w:rPr>
                <w:sz w:val="16"/>
                <w:szCs w:val="16"/>
              </w:rPr>
            </w:pPr>
            <w:r w:rsidRPr="00540D02">
              <w:rPr>
                <w:sz w:val="16"/>
                <w:szCs w:val="16"/>
              </w:rPr>
              <w:t>80%</w:t>
            </w:r>
          </w:p>
          <w:p w:rsidR="0095318C" w:rsidRPr="00540D02" w:rsidRDefault="0095318C" w:rsidP="00DC1333">
            <w:pPr>
              <w:rPr>
                <w:i/>
                <w:color w:val="002060"/>
                <w:sz w:val="16"/>
                <w:szCs w:val="16"/>
              </w:rPr>
            </w:pPr>
          </w:p>
        </w:tc>
        <w:tc>
          <w:tcPr>
            <w:tcW w:w="1045" w:type="pct"/>
            <w:tcBorders>
              <w:top w:val="nil"/>
              <w:bottom w:val="nil"/>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80%</w:t>
            </w:r>
          </w:p>
        </w:tc>
        <w:tc>
          <w:tcPr>
            <w:tcW w:w="1044" w:type="pct"/>
            <w:tcBorders>
              <w:top w:val="nil"/>
              <w:bottom w:val="nil"/>
            </w:tcBorders>
            <w:shd w:val="clear" w:color="auto" w:fill="FFFFFF"/>
            <w:tcMar>
              <w:top w:w="110" w:type="dxa"/>
            </w:tcMar>
          </w:tcPr>
          <w:p w:rsidR="0095318C" w:rsidRPr="00540D02" w:rsidRDefault="0095318C" w:rsidP="00DC1333">
            <w:pPr>
              <w:ind w:right="33"/>
              <w:rPr>
                <w:sz w:val="16"/>
                <w:szCs w:val="16"/>
                <w:lang w:bidi="th-TH"/>
              </w:rPr>
            </w:pPr>
            <w:r w:rsidRPr="00540D02">
              <w:rPr>
                <w:sz w:val="16"/>
                <w:szCs w:val="16"/>
              </w:rPr>
              <w:t>De acuerdo con los debates mantenidos en el CDIP en relación con i) dos informes anuales presentados por el Director General sobre la aplicación de la Agenda para el Desarrollo;  ii) dos informes sobre la marcha de la labor relativa a las recomendaciones que deben aplicarse inmediatamente y los proyectos de la A.D., y iii) 11 informes de evaluación independiente y 1 informe de evaluación interna de proyectos, los Estados miembros se mostraron satisfechos con los resultados de los proyectos, las actividades y los estudios en el 83% de los casos.</w:t>
            </w:r>
          </w:p>
        </w:tc>
        <w:tc>
          <w:tcPr>
            <w:tcW w:w="667" w:type="pct"/>
            <w:gridSpan w:val="2"/>
            <w:tcBorders>
              <w:top w:val="nil"/>
              <w:bottom w:val="nil"/>
              <w:right w:val="single" w:sz="4" w:space="0" w:color="auto"/>
            </w:tcBorders>
            <w:shd w:val="clear" w:color="auto" w:fill="auto"/>
            <w:tcMar>
              <w:top w:w="110" w:type="dxa"/>
            </w:tcMar>
          </w:tcPr>
          <w:p w:rsidR="0095318C" w:rsidRPr="00540D02" w:rsidRDefault="0095318C" w:rsidP="00DC1333">
            <w:pPr>
              <w:keepNext/>
              <w:keepLines/>
              <w:ind w:left="-107"/>
              <w:jc w:val="center"/>
              <w:rPr>
                <w:b/>
                <w:bCs/>
                <w:color w:val="00B0F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single" w:sz="4" w:space="0" w:color="auto"/>
            </w:tcBorders>
            <w:shd w:val="clear" w:color="auto" w:fill="auto"/>
          </w:tcPr>
          <w:p w:rsidR="0095318C" w:rsidRPr="00540D02" w:rsidRDefault="0095318C" w:rsidP="00DC1333">
            <w:pPr>
              <w:rPr>
                <w:sz w:val="16"/>
                <w:szCs w:val="16"/>
                <w:lang w:bidi="th-TH"/>
              </w:rPr>
            </w:pPr>
            <w:r w:rsidRPr="00540D02">
              <w:rPr>
                <w:sz w:val="16"/>
                <w:szCs w:val="16"/>
                <w:lang w:bidi="th-TH"/>
              </w:rPr>
              <w:t>Aplicación del mecanismo de coordinación aprobado por los Estados miembros.</w:t>
            </w:r>
          </w:p>
        </w:tc>
        <w:tc>
          <w:tcPr>
            <w:tcW w:w="1120" w:type="pct"/>
            <w:tcBorders>
              <w:top w:val="nil"/>
              <w:bottom w:val="single" w:sz="4" w:space="0" w:color="auto"/>
            </w:tcBorders>
            <w:shd w:val="clear" w:color="auto" w:fill="auto"/>
          </w:tcPr>
          <w:p w:rsidR="0095318C" w:rsidRPr="00C9483A" w:rsidRDefault="0095318C" w:rsidP="00DC1333">
            <w:pPr>
              <w:rPr>
                <w:color w:val="002060"/>
                <w:sz w:val="16"/>
                <w:szCs w:val="16"/>
              </w:rPr>
            </w:pPr>
            <w:r w:rsidRPr="00C9483A">
              <w:rPr>
                <w:i/>
                <w:iCs/>
                <w:color w:val="002060"/>
                <w:sz w:val="16"/>
                <w:szCs w:val="16"/>
              </w:rPr>
              <w:t>Referencia actualizada a fines de 2013</w:t>
            </w:r>
            <w:proofErr w:type="gramStart"/>
            <w:r w:rsidRPr="00C9483A">
              <w:rPr>
                <w:i/>
                <w:color w:val="002060"/>
                <w:sz w:val="16"/>
                <w:szCs w:val="16"/>
              </w:rPr>
              <w:t xml:space="preserve">:  </w:t>
            </w:r>
            <w:r w:rsidRPr="00C9483A">
              <w:rPr>
                <w:color w:val="002060"/>
                <w:sz w:val="16"/>
                <w:szCs w:val="16"/>
              </w:rPr>
              <w:t>Dos</w:t>
            </w:r>
            <w:proofErr w:type="gramEnd"/>
            <w:r w:rsidRPr="00C9483A">
              <w:rPr>
                <w:color w:val="002060"/>
                <w:sz w:val="16"/>
                <w:szCs w:val="16"/>
              </w:rPr>
              <w:t xml:space="preserve"> informes anuales presentados a las Asambleas, con una descripción de la contribución de los órganos pertinentes de la OMPI a la aplicación de las recomendaciones de la Agenda para el Desarrollo que les conciernen, fueron examinados por el CDIP </w:t>
            </w:r>
            <w:r w:rsidRPr="00C9483A">
              <w:rPr>
                <w:color w:val="002060"/>
                <w:sz w:val="16"/>
                <w:szCs w:val="16"/>
                <w:lang w:bidi="th-TH"/>
              </w:rPr>
              <w:t>(</w:t>
            </w:r>
            <w:r w:rsidRPr="00C9483A">
              <w:rPr>
                <w:color w:val="002060"/>
                <w:sz w:val="16"/>
                <w:szCs w:val="16"/>
              </w:rPr>
              <w:t>WO/GA/41/12 y WO/GA/43/10).</w:t>
            </w:r>
            <w:r w:rsidRPr="00C9483A">
              <w:rPr>
                <w:rStyle w:val="FootnoteReference"/>
                <w:color w:val="002060"/>
                <w:sz w:val="16"/>
                <w:szCs w:val="16"/>
                <w:lang w:bidi="th-TH"/>
              </w:rPr>
              <w:footnoteReference w:id="53"/>
            </w:r>
          </w:p>
          <w:p w:rsidR="0095318C" w:rsidRPr="00540D02" w:rsidRDefault="0095318C" w:rsidP="00DC1333">
            <w:pPr>
              <w:rPr>
                <w:i/>
                <w:color w:val="002060"/>
                <w:sz w:val="16"/>
                <w:szCs w:val="16"/>
              </w:rPr>
            </w:pPr>
          </w:p>
          <w:p w:rsidR="0095318C" w:rsidRPr="00540D02" w:rsidRDefault="0095318C" w:rsidP="00DC1333">
            <w:pPr>
              <w:rPr>
                <w:sz w:val="16"/>
                <w:szCs w:val="16"/>
                <w:lang w:bidi="th-TH"/>
              </w:rPr>
            </w:pPr>
            <w:r w:rsidRPr="00540D02">
              <w:rPr>
                <w:i/>
                <w:iCs/>
                <w:sz w:val="16"/>
                <w:szCs w:val="16"/>
              </w:rPr>
              <w:t>Referencia original en el presupuesto de 2014/15</w:t>
            </w:r>
            <w:r w:rsidRPr="00540D02">
              <w:rPr>
                <w:i/>
                <w:sz w:val="16"/>
                <w:szCs w:val="16"/>
              </w:rPr>
              <w:t>:</w:t>
            </w:r>
            <w:r w:rsidRPr="00540D02">
              <w:rPr>
                <w:sz w:val="16"/>
                <w:szCs w:val="16"/>
              </w:rPr>
              <w:t xml:space="preserve">  Mecanismos de coordinación y modalidades de supervisión, evaluación y presentación de informes aprobados por el Comité en abril de 2010</w:t>
            </w:r>
          </w:p>
        </w:tc>
        <w:tc>
          <w:tcPr>
            <w:tcW w:w="1045" w:type="pct"/>
            <w:tcBorders>
              <w:top w:val="nil"/>
              <w:bottom w:val="single" w:sz="4" w:space="0" w:color="auto"/>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Mecanismos de coordinación aplicados conforme a la decisión de los Estados miembros.</w:t>
            </w:r>
          </w:p>
        </w:tc>
        <w:tc>
          <w:tcPr>
            <w:tcW w:w="1044" w:type="pct"/>
            <w:tcBorders>
              <w:top w:val="nil"/>
              <w:bottom w:val="single" w:sz="4" w:space="0" w:color="auto"/>
            </w:tcBorders>
            <w:shd w:val="clear" w:color="auto" w:fill="FFFFFF"/>
            <w:tcMar>
              <w:top w:w="110" w:type="dxa"/>
            </w:tcMar>
          </w:tcPr>
          <w:p w:rsidR="0095318C" w:rsidRPr="00540D02" w:rsidRDefault="0095318C" w:rsidP="00DC1333">
            <w:pPr>
              <w:ind w:right="33"/>
              <w:rPr>
                <w:sz w:val="16"/>
                <w:szCs w:val="16"/>
                <w:lang w:bidi="th-TH"/>
              </w:rPr>
            </w:pPr>
            <w:r w:rsidRPr="00540D02">
              <w:rPr>
                <w:sz w:val="16"/>
                <w:szCs w:val="16"/>
                <w:lang w:bidi="th-TH"/>
              </w:rPr>
              <w:t>Mecanismos de coordinación aplicados conforme a la decisión de los Estados miembros según consta en los informes del Director General sobre la aplicación de la Agenda para el Desarrollo (CDIP/15/2 y CDIP/17/2).</w:t>
            </w:r>
          </w:p>
        </w:tc>
        <w:tc>
          <w:tcPr>
            <w:tcW w:w="667" w:type="pct"/>
            <w:gridSpan w:val="2"/>
            <w:tcBorders>
              <w:top w:val="nil"/>
              <w:bottom w:val="single" w:sz="4" w:space="0" w:color="auto"/>
              <w:right w:val="single" w:sz="4" w:space="0" w:color="auto"/>
            </w:tcBorders>
            <w:shd w:val="clear" w:color="auto" w:fill="auto"/>
            <w:tcMar>
              <w:top w:w="110" w:type="dxa"/>
            </w:tcMar>
          </w:tcPr>
          <w:p w:rsidR="0095318C" w:rsidRPr="00540D02" w:rsidRDefault="0095318C" w:rsidP="00DC1333">
            <w:pPr>
              <w:keepNext/>
              <w:keepLines/>
              <w:ind w:left="-107"/>
              <w:jc w:val="center"/>
              <w:rPr>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single" w:sz="4" w:space="0" w:color="auto"/>
              <w:left w:val="single" w:sz="4" w:space="0" w:color="auto"/>
              <w:bottom w:val="nil"/>
            </w:tcBorders>
            <w:shd w:val="clear" w:color="auto" w:fill="auto"/>
          </w:tcPr>
          <w:p w:rsidR="0095318C" w:rsidRPr="00540D02" w:rsidRDefault="0095318C" w:rsidP="00DC1333">
            <w:pPr>
              <w:rPr>
                <w:sz w:val="16"/>
                <w:szCs w:val="16"/>
                <w:lang w:bidi="th-TH"/>
              </w:rPr>
            </w:pPr>
            <w:r w:rsidRPr="00540D02">
              <w:rPr>
                <w:sz w:val="16"/>
                <w:szCs w:val="16"/>
                <w:lang w:bidi="th-TH"/>
              </w:rPr>
              <w:lastRenderedPageBreak/>
              <w:t>Número de programas que reflejan que las recomendaciones de la A.D. han sido incorporadas en la labor corriente de la OMPI.</w:t>
            </w:r>
          </w:p>
        </w:tc>
        <w:tc>
          <w:tcPr>
            <w:tcW w:w="1120" w:type="pct"/>
            <w:tcBorders>
              <w:top w:val="single" w:sz="4" w:space="0" w:color="auto"/>
              <w:bottom w:val="nil"/>
            </w:tcBorders>
            <w:shd w:val="clear" w:color="auto" w:fill="auto"/>
          </w:tcPr>
          <w:p w:rsidR="0095318C" w:rsidRPr="00540D02" w:rsidRDefault="0095318C" w:rsidP="00DC1333">
            <w:pPr>
              <w:rPr>
                <w:color w:val="002060"/>
                <w:sz w:val="16"/>
                <w:szCs w:val="16"/>
                <w:lang w:bidi="th-TH"/>
              </w:rPr>
            </w:pPr>
            <w:r w:rsidRPr="00540D02">
              <w:rPr>
                <w:i/>
                <w:iCs/>
                <w:color w:val="002060"/>
                <w:sz w:val="16"/>
                <w:szCs w:val="16"/>
              </w:rPr>
              <w:t>Referencia actualizada a fines de 2013</w:t>
            </w:r>
            <w:r w:rsidRPr="00540D02">
              <w:rPr>
                <w:i/>
                <w:color w:val="002060"/>
                <w:sz w:val="16"/>
                <w:szCs w:val="16"/>
              </w:rPr>
              <w:t xml:space="preserve">:  </w:t>
            </w:r>
            <w:r w:rsidRPr="00540D02">
              <w:rPr>
                <w:color w:val="002060"/>
                <w:sz w:val="16"/>
                <w:szCs w:val="16"/>
                <w:lang w:bidi="th-TH"/>
              </w:rPr>
              <w:t>23 programas incorporan actividades relacionadas con la A.D. (total o parcialmente)</w:t>
            </w:r>
          </w:p>
          <w:p w:rsidR="0095318C" w:rsidRPr="00540D02" w:rsidRDefault="0095318C" w:rsidP="00DC1333">
            <w:pPr>
              <w:rPr>
                <w:i/>
                <w:color w:val="002060"/>
                <w:sz w:val="16"/>
                <w:szCs w:val="16"/>
              </w:rPr>
            </w:pPr>
          </w:p>
          <w:p w:rsidR="0095318C" w:rsidRPr="00540D02" w:rsidRDefault="0095318C" w:rsidP="00DC1333">
            <w:pPr>
              <w:rPr>
                <w:i/>
                <w:iCs/>
                <w:sz w:val="16"/>
                <w:szCs w:val="16"/>
              </w:rPr>
            </w:pPr>
            <w:r w:rsidRPr="00540D02">
              <w:rPr>
                <w:i/>
                <w:iCs/>
                <w:sz w:val="16"/>
                <w:szCs w:val="16"/>
              </w:rPr>
              <w:t>Referencia original en el</w:t>
            </w:r>
            <w:r w:rsidRPr="00540D02">
              <w:rPr>
                <w:i/>
                <w:iCs/>
                <w:sz w:val="16"/>
                <w:szCs w:val="16"/>
              </w:rPr>
              <w:br/>
              <w:t>presupuesto de 2014/15</w:t>
            </w:r>
            <w:r w:rsidRPr="00540D02">
              <w:rPr>
                <w:i/>
                <w:sz w:val="16"/>
                <w:szCs w:val="16"/>
              </w:rPr>
              <w:t>:</w:t>
            </w:r>
            <w:r w:rsidRPr="00540D02">
              <w:rPr>
                <w:sz w:val="16"/>
                <w:szCs w:val="16"/>
              </w:rPr>
              <w:t xml:space="preserve">  por determinar</w:t>
            </w:r>
          </w:p>
          <w:p w:rsidR="0095318C" w:rsidRPr="00540D02" w:rsidRDefault="0095318C" w:rsidP="00DC1333">
            <w:pPr>
              <w:rPr>
                <w:sz w:val="16"/>
                <w:szCs w:val="16"/>
                <w:lang w:bidi="th-TH"/>
              </w:rPr>
            </w:pPr>
          </w:p>
        </w:tc>
        <w:tc>
          <w:tcPr>
            <w:tcW w:w="1045" w:type="pct"/>
            <w:tcBorders>
              <w:top w:val="single" w:sz="4" w:space="0" w:color="auto"/>
              <w:bottom w:val="nil"/>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20</w:t>
            </w:r>
          </w:p>
        </w:tc>
        <w:tc>
          <w:tcPr>
            <w:tcW w:w="1044" w:type="pct"/>
            <w:tcBorders>
              <w:top w:val="single" w:sz="4" w:space="0" w:color="auto"/>
              <w:bottom w:val="nil"/>
            </w:tcBorders>
            <w:shd w:val="clear" w:color="auto" w:fill="FFFFFF"/>
            <w:tcMar>
              <w:top w:w="110" w:type="dxa"/>
            </w:tcMar>
          </w:tcPr>
          <w:p w:rsidR="0095318C" w:rsidRPr="00540D02" w:rsidRDefault="0095318C" w:rsidP="00DC1333">
            <w:pPr>
              <w:ind w:right="33"/>
              <w:rPr>
                <w:sz w:val="16"/>
                <w:szCs w:val="16"/>
              </w:rPr>
            </w:pPr>
            <w:r w:rsidRPr="00540D02">
              <w:rPr>
                <w:sz w:val="16"/>
                <w:szCs w:val="16"/>
              </w:rPr>
              <w:t xml:space="preserve">23 programas del </w:t>
            </w:r>
            <w:r w:rsidRPr="00540D02">
              <w:rPr>
                <w:iCs/>
                <w:sz w:val="16"/>
                <w:szCs w:val="16"/>
              </w:rPr>
              <w:t>presupuesto de 2014/15</w:t>
            </w:r>
            <w:r w:rsidRPr="00540D02">
              <w:rPr>
                <w:sz w:val="16"/>
                <w:szCs w:val="16"/>
              </w:rPr>
              <w:t xml:space="preserve"> reflejan la incorporación de actividades de la A.D. a la labor de la OMPI</w:t>
            </w:r>
          </w:p>
        </w:tc>
        <w:tc>
          <w:tcPr>
            <w:tcW w:w="667" w:type="pct"/>
            <w:gridSpan w:val="2"/>
            <w:tcBorders>
              <w:top w:val="single" w:sz="4" w:space="0" w:color="auto"/>
              <w:bottom w:val="nil"/>
              <w:right w:val="single" w:sz="4" w:space="0" w:color="auto"/>
            </w:tcBorders>
            <w:shd w:val="clear" w:color="auto" w:fill="auto"/>
            <w:tcMar>
              <w:top w:w="110" w:type="dxa"/>
            </w:tcMar>
          </w:tcPr>
          <w:p w:rsidR="0095318C" w:rsidRPr="00540D02" w:rsidRDefault="0095318C" w:rsidP="00DC1333">
            <w:pPr>
              <w:keepNext/>
              <w:keepLines/>
              <w:ind w:left="-107"/>
              <w:jc w:val="center"/>
              <w:rPr>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nil"/>
            </w:tcBorders>
            <w:shd w:val="clear" w:color="auto" w:fill="auto"/>
          </w:tcPr>
          <w:p w:rsidR="0095318C" w:rsidRPr="00540D02" w:rsidRDefault="0095318C" w:rsidP="00DC1333">
            <w:pPr>
              <w:keepNext/>
              <w:keepLines/>
              <w:rPr>
                <w:sz w:val="16"/>
                <w:szCs w:val="16"/>
                <w:lang w:bidi="th-TH"/>
              </w:rPr>
            </w:pPr>
            <w:r w:rsidRPr="00540D02">
              <w:rPr>
                <w:sz w:val="16"/>
                <w:szCs w:val="16"/>
                <w:lang w:bidi="th-TH"/>
              </w:rPr>
              <w:t>Número de proyectos de la A.D. y forma en la que han sido incorporados a la labor corriente de la OMPI (fijación de normas, asistencia técnica y prestación de servicios)</w:t>
            </w:r>
          </w:p>
        </w:tc>
        <w:tc>
          <w:tcPr>
            <w:tcW w:w="1120" w:type="pct"/>
            <w:tcBorders>
              <w:top w:val="nil"/>
              <w:bottom w:val="nil"/>
            </w:tcBorders>
            <w:shd w:val="clear" w:color="auto" w:fill="auto"/>
          </w:tcPr>
          <w:p w:rsidR="0095318C" w:rsidRPr="00540D02" w:rsidRDefault="0095318C" w:rsidP="00DC1333">
            <w:pPr>
              <w:rPr>
                <w:color w:val="002060"/>
                <w:sz w:val="16"/>
                <w:szCs w:val="16"/>
                <w:lang w:bidi="th-TH"/>
              </w:rPr>
            </w:pPr>
            <w:r w:rsidRPr="00540D02">
              <w:rPr>
                <w:i/>
                <w:iCs/>
                <w:color w:val="002060"/>
                <w:sz w:val="16"/>
                <w:szCs w:val="16"/>
              </w:rPr>
              <w:t>Referencia actualizada a fines de 2013</w:t>
            </w:r>
            <w:r w:rsidRPr="00540D02">
              <w:rPr>
                <w:i/>
                <w:color w:val="002060"/>
                <w:sz w:val="16"/>
                <w:szCs w:val="16"/>
              </w:rPr>
              <w:t xml:space="preserve">:  </w:t>
            </w:r>
            <w:r w:rsidRPr="00540D02">
              <w:rPr>
                <w:color w:val="002060"/>
                <w:sz w:val="16"/>
                <w:szCs w:val="16"/>
                <w:lang w:bidi="th-TH"/>
              </w:rPr>
              <w:t>6 proyectos de la A.D. han sido incorporados a la labor corriente de la OMPI</w:t>
            </w:r>
          </w:p>
          <w:p w:rsidR="0095318C" w:rsidRPr="00540D02" w:rsidRDefault="0095318C" w:rsidP="00DC1333">
            <w:pPr>
              <w:rPr>
                <w:i/>
                <w:color w:val="002060"/>
                <w:sz w:val="16"/>
                <w:szCs w:val="16"/>
              </w:rPr>
            </w:pPr>
          </w:p>
          <w:p w:rsidR="0095318C" w:rsidRPr="00540D02" w:rsidRDefault="0095318C" w:rsidP="00DC1333">
            <w:pPr>
              <w:rPr>
                <w:i/>
                <w:color w:val="002060"/>
                <w:sz w:val="16"/>
                <w:szCs w:val="16"/>
              </w:rPr>
            </w:pPr>
            <w:r w:rsidRPr="00540D02">
              <w:rPr>
                <w:i/>
                <w:iCs/>
                <w:sz w:val="16"/>
                <w:szCs w:val="16"/>
              </w:rPr>
              <w:t>Referencia original en el</w:t>
            </w:r>
            <w:r w:rsidRPr="00540D02">
              <w:rPr>
                <w:i/>
                <w:iCs/>
                <w:sz w:val="16"/>
                <w:szCs w:val="16"/>
              </w:rPr>
              <w:br/>
              <w:t>presupuesto de 2014/15</w:t>
            </w:r>
            <w:r w:rsidRPr="00540D02">
              <w:rPr>
                <w:i/>
                <w:sz w:val="16"/>
                <w:szCs w:val="16"/>
              </w:rPr>
              <w:t>:</w:t>
            </w:r>
            <w:r w:rsidRPr="00540D02">
              <w:rPr>
                <w:sz w:val="16"/>
                <w:szCs w:val="16"/>
              </w:rPr>
              <w:t xml:space="preserve">  por determinar</w:t>
            </w:r>
          </w:p>
        </w:tc>
        <w:tc>
          <w:tcPr>
            <w:tcW w:w="1045" w:type="pct"/>
            <w:tcBorders>
              <w:top w:val="nil"/>
              <w:bottom w:val="nil"/>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12 en total</w:t>
            </w:r>
          </w:p>
        </w:tc>
        <w:tc>
          <w:tcPr>
            <w:tcW w:w="1044" w:type="pct"/>
            <w:tcBorders>
              <w:top w:val="nil"/>
              <w:bottom w:val="nil"/>
            </w:tcBorders>
            <w:shd w:val="clear" w:color="auto" w:fill="FFFFFF"/>
            <w:tcMar>
              <w:top w:w="110" w:type="dxa"/>
            </w:tcMar>
          </w:tcPr>
          <w:p w:rsidR="0095318C" w:rsidRPr="00540D02" w:rsidRDefault="0095318C" w:rsidP="00DC1333">
            <w:pPr>
              <w:rPr>
                <w:sz w:val="16"/>
                <w:szCs w:val="16"/>
              </w:rPr>
            </w:pPr>
            <w:r w:rsidRPr="00540D02">
              <w:rPr>
                <w:sz w:val="16"/>
                <w:szCs w:val="16"/>
              </w:rPr>
              <w:t>4 nuevos proyectos de la A.D. fueron incorporados a la labor en 2014/15 (10 en total):</w:t>
            </w:r>
          </w:p>
          <w:p w:rsidR="0095318C" w:rsidRPr="00540D02" w:rsidRDefault="0095318C" w:rsidP="0095318C">
            <w:pPr>
              <w:pStyle w:val="ListParagraph"/>
              <w:numPr>
                <w:ilvl w:val="0"/>
                <w:numId w:val="50"/>
              </w:numPr>
              <w:ind w:left="172" w:right="-107" w:hanging="172"/>
              <w:rPr>
                <w:rFonts w:cs="Arial"/>
                <w:sz w:val="16"/>
                <w:szCs w:val="16"/>
                <w:lang w:val="es-ES"/>
              </w:rPr>
            </w:pPr>
            <w:r w:rsidRPr="00540D02">
              <w:rPr>
                <w:rFonts w:cs="Arial"/>
                <w:sz w:val="16"/>
                <w:szCs w:val="16"/>
                <w:lang w:val="es-ES"/>
              </w:rPr>
              <w:t>Creación de academias nacionales, programa 11  (asistencia técnica)</w:t>
            </w:r>
          </w:p>
          <w:p w:rsidR="0095318C" w:rsidRPr="00540D02" w:rsidRDefault="0095318C" w:rsidP="0095318C">
            <w:pPr>
              <w:pStyle w:val="ListParagraph"/>
              <w:numPr>
                <w:ilvl w:val="0"/>
                <w:numId w:val="50"/>
              </w:numPr>
              <w:ind w:left="172" w:right="-107" w:hanging="172"/>
              <w:rPr>
                <w:rFonts w:cs="Arial"/>
                <w:sz w:val="16"/>
                <w:szCs w:val="16"/>
                <w:lang w:val="es-ES"/>
              </w:rPr>
            </w:pPr>
            <w:r w:rsidRPr="00540D02">
              <w:rPr>
                <w:rFonts w:cs="Arial"/>
                <w:sz w:val="16"/>
                <w:szCs w:val="16"/>
                <w:lang w:val="es-ES"/>
              </w:rPr>
              <w:t>Acceso a bases de datos especializadas y mantenimiento, programa 14  (asistencia técnica)</w:t>
            </w:r>
          </w:p>
          <w:p w:rsidR="0095318C" w:rsidRPr="00540D02" w:rsidRDefault="0095318C" w:rsidP="0095318C">
            <w:pPr>
              <w:pStyle w:val="ListParagraph"/>
              <w:numPr>
                <w:ilvl w:val="0"/>
                <w:numId w:val="50"/>
              </w:numPr>
              <w:ind w:left="172" w:right="-107" w:hanging="172"/>
              <w:rPr>
                <w:rFonts w:cs="Arial"/>
                <w:sz w:val="16"/>
                <w:szCs w:val="16"/>
                <w:lang w:val="es-ES"/>
              </w:rPr>
            </w:pPr>
            <w:r w:rsidRPr="00540D02">
              <w:rPr>
                <w:rFonts w:cs="Arial"/>
                <w:sz w:val="16"/>
                <w:szCs w:val="16"/>
                <w:lang w:val="es-ES"/>
              </w:rPr>
              <w:t>Creación de instrumentos de acceso a la información sobre patentes, programa 14 (acceso al conocimiento)</w:t>
            </w:r>
          </w:p>
          <w:p w:rsidR="0095318C" w:rsidRPr="00540D02" w:rsidRDefault="0095318C" w:rsidP="0095318C">
            <w:pPr>
              <w:pStyle w:val="ListParagraph"/>
              <w:numPr>
                <w:ilvl w:val="0"/>
                <w:numId w:val="50"/>
              </w:numPr>
              <w:ind w:left="172" w:right="-107" w:hanging="172"/>
              <w:rPr>
                <w:rFonts w:cs="Arial"/>
                <w:sz w:val="16"/>
                <w:szCs w:val="16"/>
                <w:lang w:val="es-ES"/>
              </w:rPr>
            </w:pPr>
            <w:r w:rsidRPr="00540D02">
              <w:rPr>
                <w:rFonts w:cs="Arial"/>
                <w:sz w:val="16"/>
                <w:szCs w:val="16"/>
                <w:lang w:val="es-ES"/>
              </w:rPr>
              <w:t>La P.I. y el fomento de las marcas de producto, programa 9  (asistencia técnica y fortalecimiento de capacidades)</w:t>
            </w:r>
          </w:p>
        </w:tc>
        <w:tc>
          <w:tcPr>
            <w:tcW w:w="667" w:type="pct"/>
            <w:gridSpan w:val="2"/>
            <w:tcBorders>
              <w:top w:val="nil"/>
              <w:bottom w:val="nil"/>
              <w:right w:val="single" w:sz="4" w:space="0" w:color="auto"/>
            </w:tcBorders>
            <w:shd w:val="clear" w:color="auto" w:fill="auto"/>
            <w:tcMar>
              <w:top w:w="110" w:type="dxa"/>
            </w:tcMar>
          </w:tcPr>
          <w:p w:rsidR="0095318C" w:rsidRPr="00540D02" w:rsidRDefault="0095318C" w:rsidP="00DC1333">
            <w:pPr>
              <w:keepNext/>
              <w:keepLines/>
              <w:jc w:val="center"/>
              <w:rPr>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nil"/>
            </w:tcBorders>
            <w:shd w:val="clear" w:color="auto" w:fill="auto"/>
          </w:tcPr>
          <w:p w:rsidR="0095318C" w:rsidRPr="00540D02" w:rsidRDefault="0095318C" w:rsidP="00DC1333">
            <w:pPr>
              <w:rPr>
                <w:sz w:val="16"/>
                <w:szCs w:val="16"/>
                <w:lang w:bidi="th-TH"/>
              </w:rPr>
            </w:pPr>
            <w:r w:rsidRPr="00540D02">
              <w:rPr>
                <w:sz w:val="16"/>
                <w:szCs w:val="16"/>
                <w:lang w:bidi="th-TH"/>
              </w:rPr>
              <w:t>Sistema eficaz instalado para la planificación, el seguimiento y la evaluación de la aplicación de las recomendaciones de la A.D.</w:t>
            </w:r>
          </w:p>
        </w:tc>
        <w:tc>
          <w:tcPr>
            <w:tcW w:w="1120" w:type="pct"/>
            <w:tcBorders>
              <w:top w:val="nil"/>
              <w:bottom w:val="nil"/>
            </w:tcBorders>
            <w:shd w:val="clear" w:color="auto" w:fill="auto"/>
          </w:tcPr>
          <w:p w:rsidR="0095318C" w:rsidRPr="00540D02" w:rsidRDefault="0095318C" w:rsidP="00DC1333">
            <w:pPr>
              <w:rPr>
                <w:color w:val="002060"/>
                <w:sz w:val="16"/>
                <w:szCs w:val="16"/>
              </w:rPr>
            </w:pPr>
            <w:r w:rsidRPr="00540D02">
              <w:rPr>
                <w:i/>
                <w:iCs/>
                <w:color w:val="002060"/>
                <w:sz w:val="16"/>
                <w:szCs w:val="16"/>
              </w:rPr>
              <w:t>Referencia actualizada a fines de 2013</w:t>
            </w:r>
            <w:proofErr w:type="gramStart"/>
            <w:r w:rsidRPr="00540D02">
              <w:rPr>
                <w:i/>
                <w:color w:val="002060"/>
                <w:sz w:val="16"/>
                <w:szCs w:val="16"/>
              </w:rPr>
              <w:t xml:space="preserve">:  </w:t>
            </w:r>
            <w:r w:rsidRPr="00540D02">
              <w:rPr>
                <w:color w:val="002060"/>
                <w:sz w:val="16"/>
                <w:szCs w:val="16"/>
              </w:rPr>
              <w:t>Sistema</w:t>
            </w:r>
            <w:proofErr w:type="gramEnd"/>
            <w:r w:rsidRPr="00540D02">
              <w:rPr>
                <w:color w:val="002060"/>
                <w:sz w:val="16"/>
                <w:szCs w:val="16"/>
              </w:rPr>
              <w:t xml:space="preserve"> centralizado y eficaz para la planificación, el seguimiento y la evaluación de la aplicación de las recomendaciones de la A.D.</w:t>
            </w:r>
          </w:p>
          <w:p w:rsidR="0095318C" w:rsidRPr="00540D02" w:rsidRDefault="0095318C" w:rsidP="00DC1333">
            <w:pPr>
              <w:rPr>
                <w:i/>
                <w:color w:val="002060"/>
                <w:sz w:val="16"/>
                <w:szCs w:val="16"/>
              </w:rPr>
            </w:pPr>
          </w:p>
          <w:p w:rsidR="0095318C" w:rsidRPr="00540D02" w:rsidRDefault="0095318C" w:rsidP="00DC1333">
            <w:pPr>
              <w:rPr>
                <w:sz w:val="16"/>
                <w:szCs w:val="16"/>
              </w:rPr>
            </w:pPr>
            <w:r w:rsidRPr="00540D02">
              <w:rPr>
                <w:i/>
                <w:iCs/>
                <w:sz w:val="16"/>
                <w:szCs w:val="16"/>
              </w:rPr>
              <w:t>Referencia original en el presupuesto de 2014/15</w:t>
            </w:r>
            <w:r w:rsidRPr="00540D02">
              <w:rPr>
                <w:i/>
                <w:sz w:val="16"/>
                <w:szCs w:val="16"/>
              </w:rPr>
              <w:t>:</w:t>
            </w:r>
            <w:r w:rsidRPr="00540D02">
              <w:rPr>
                <w:sz w:val="16"/>
                <w:szCs w:val="16"/>
              </w:rPr>
              <w:t xml:space="preserve">  por determinar</w:t>
            </w:r>
          </w:p>
          <w:p w:rsidR="0095318C" w:rsidRPr="00540D02" w:rsidRDefault="0095318C" w:rsidP="00DC1333">
            <w:pPr>
              <w:rPr>
                <w:i/>
                <w:color w:val="002060"/>
                <w:sz w:val="16"/>
                <w:szCs w:val="16"/>
              </w:rPr>
            </w:pPr>
          </w:p>
        </w:tc>
        <w:tc>
          <w:tcPr>
            <w:tcW w:w="1045" w:type="pct"/>
            <w:tcBorders>
              <w:top w:val="nil"/>
              <w:bottom w:val="nil"/>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Todos los programas disponen de un sistema eficaz de planificación, seguimiento y evaluación de la aplicación de las recomendaciones de la A.D.</w:t>
            </w:r>
          </w:p>
        </w:tc>
        <w:tc>
          <w:tcPr>
            <w:tcW w:w="1044" w:type="pct"/>
            <w:tcBorders>
              <w:top w:val="nil"/>
              <w:bottom w:val="nil"/>
            </w:tcBorders>
            <w:shd w:val="clear" w:color="auto" w:fill="FFFFFF"/>
            <w:tcMar>
              <w:top w:w="110" w:type="dxa"/>
            </w:tcMar>
          </w:tcPr>
          <w:p w:rsidR="0095318C" w:rsidRPr="00540D02" w:rsidRDefault="0095318C" w:rsidP="00DC1333">
            <w:pPr>
              <w:rPr>
                <w:sz w:val="16"/>
                <w:szCs w:val="16"/>
              </w:rPr>
            </w:pPr>
            <w:r w:rsidRPr="00540D02">
              <w:rPr>
                <w:sz w:val="16"/>
                <w:szCs w:val="16"/>
              </w:rPr>
              <w:t>Todos los programas pertinentes disponen de un sistema eficaz para la planificación, el seguimiento y la evaluación de la aplicación de las recomendaciones de la A.D.</w:t>
            </w:r>
          </w:p>
        </w:tc>
        <w:tc>
          <w:tcPr>
            <w:tcW w:w="667" w:type="pct"/>
            <w:gridSpan w:val="2"/>
            <w:tcBorders>
              <w:top w:val="nil"/>
              <w:bottom w:val="nil"/>
              <w:right w:val="single" w:sz="4" w:space="0" w:color="auto"/>
            </w:tcBorders>
            <w:shd w:val="clear" w:color="auto" w:fill="auto"/>
            <w:tcMar>
              <w:top w:w="110" w:type="dxa"/>
            </w:tcMar>
          </w:tcPr>
          <w:p w:rsidR="0095318C" w:rsidRPr="00540D02" w:rsidRDefault="0095318C" w:rsidP="00DC1333">
            <w:pPr>
              <w:keepNext/>
              <w:keepLines/>
              <w:ind w:left="33"/>
              <w:jc w:val="center"/>
              <w:rPr>
                <w:bCs/>
                <w:color w:val="00B05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single" w:sz="4" w:space="0" w:color="auto"/>
            </w:tcBorders>
            <w:shd w:val="clear" w:color="auto" w:fill="auto"/>
          </w:tcPr>
          <w:p w:rsidR="0095318C" w:rsidRPr="00540D02" w:rsidRDefault="0095318C" w:rsidP="00DC1333">
            <w:pPr>
              <w:rPr>
                <w:sz w:val="16"/>
                <w:szCs w:val="16"/>
                <w:highlight w:val="yellow"/>
                <w:lang w:bidi="th-TH"/>
              </w:rPr>
            </w:pPr>
            <w:r w:rsidRPr="00540D02">
              <w:rPr>
                <w:sz w:val="16"/>
                <w:szCs w:val="16"/>
                <w:lang w:bidi="th-TH"/>
              </w:rPr>
              <w:t>Porcentaje de proyectos de la A.D. que han sido evaluados en forma independiente.</w:t>
            </w:r>
          </w:p>
        </w:tc>
        <w:tc>
          <w:tcPr>
            <w:tcW w:w="1120" w:type="pct"/>
            <w:tcBorders>
              <w:top w:val="nil"/>
              <w:bottom w:val="single" w:sz="4" w:space="0" w:color="auto"/>
            </w:tcBorders>
            <w:shd w:val="clear" w:color="auto" w:fill="auto"/>
          </w:tcPr>
          <w:p w:rsidR="0095318C" w:rsidRPr="00540D02" w:rsidRDefault="0095318C" w:rsidP="00DC1333">
            <w:pPr>
              <w:rPr>
                <w:color w:val="002060"/>
                <w:sz w:val="16"/>
                <w:szCs w:val="16"/>
                <w:lang w:bidi="th-TH"/>
              </w:rPr>
            </w:pPr>
            <w:r w:rsidRPr="00540D02">
              <w:rPr>
                <w:i/>
                <w:iCs/>
                <w:color w:val="002060"/>
                <w:sz w:val="16"/>
                <w:szCs w:val="16"/>
              </w:rPr>
              <w:t>Referencia actualizada a fines de 2013</w:t>
            </w:r>
            <w:proofErr w:type="gramStart"/>
            <w:r w:rsidRPr="00540D02">
              <w:rPr>
                <w:i/>
                <w:color w:val="002060"/>
                <w:sz w:val="16"/>
                <w:szCs w:val="16"/>
              </w:rPr>
              <w:t>:</w:t>
            </w:r>
            <w:r w:rsidRPr="00540D02">
              <w:rPr>
                <w:i/>
                <w:sz w:val="16"/>
                <w:szCs w:val="16"/>
              </w:rPr>
              <w:t xml:space="preserve">  </w:t>
            </w:r>
            <w:r w:rsidRPr="00540D02">
              <w:rPr>
                <w:sz w:val="16"/>
                <w:szCs w:val="16"/>
              </w:rPr>
              <w:t>100</w:t>
            </w:r>
            <w:proofErr w:type="gramEnd"/>
            <w:r w:rsidRPr="00540D02">
              <w:rPr>
                <w:sz w:val="16"/>
                <w:szCs w:val="16"/>
              </w:rPr>
              <w:t>%;  el CDIP examinó 14 informes de evaluación</w:t>
            </w:r>
            <w:r w:rsidRPr="00540D02">
              <w:rPr>
                <w:sz w:val="16"/>
                <w:szCs w:val="16"/>
                <w:lang w:bidi="th-TH"/>
              </w:rPr>
              <w:t xml:space="preserve"> (proyectos evaluados durante el bienio 2012/13).</w:t>
            </w:r>
          </w:p>
          <w:p w:rsidR="0095318C" w:rsidRPr="00540D02" w:rsidRDefault="0095318C" w:rsidP="00DC1333">
            <w:pPr>
              <w:rPr>
                <w:i/>
                <w:color w:val="002060"/>
                <w:sz w:val="16"/>
                <w:szCs w:val="16"/>
              </w:rPr>
            </w:pPr>
          </w:p>
          <w:p w:rsidR="0095318C" w:rsidRPr="00540D02" w:rsidRDefault="0095318C" w:rsidP="00DC1333">
            <w:pPr>
              <w:rPr>
                <w:sz w:val="16"/>
                <w:szCs w:val="16"/>
              </w:rPr>
            </w:pPr>
            <w:r w:rsidRPr="00540D02">
              <w:rPr>
                <w:i/>
                <w:iCs/>
                <w:sz w:val="16"/>
                <w:szCs w:val="16"/>
              </w:rPr>
              <w:t>Referencia original en el presupuesto de 2014/15</w:t>
            </w:r>
            <w:r w:rsidRPr="00540D02">
              <w:rPr>
                <w:i/>
                <w:sz w:val="16"/>
                <w:szCs w:val="16"/>
              </w:rPr>
              <w:t>:</w:t>
            </w:r>
            <w:r w:rsidRPr="00540D02">
              <w:rPr>
                <w:sz w:val="16"/>
                <w:szCs w:val="16"/>
              </w:rPr>
              <w:t xml:space="preserve">  100%</w:t>
            </w:r>
            <w:r w:rsidRPr="00540D02">
              <w:rPr>
                <w:sz w:val="16"/>
                <w:szCs w:val="16"/>
              </w:rPr>
              <w:br/>
            </w:r>
          </w:p>
        </w:tc>
        <w:tc>
          <w:tcPr>
            <w:tcW w:w="1045" w:type="pct"/>
            <w:tcBorders>
              <w:top w:val="nil"/>
              <w:bottom w:val="single" w:sz="4" w:space="0" w:color="auto"/>
            </w:tcBorders>
            <w:shd w:val="clear" w:color="auto" w:fill="auto"/>
            <w:tcMar>
              <w:top w:w="110" w:type="dxa"/>
            </w:tcMar>
          </w:tcPr>
          <w:p w:rsidR="0095318C" w:rsidRPr="00540D02" w:rsidRDefault="0095318C" w:rsidP="00DC1333">
            <w:pPr>
              <w:autoSpaceDE w:val="0"/>
              <w:autoSpaceDN w:val="0"/>
              <w:adjustRightInd w:val="0"/>
              <w:rPr>
                <w:sz w:val="16"/>
                <w:szCs w:val="16"/>
              </w:rPr>
            </w:pPr>
            <w:r w:rsidRPr="00540D02">
              <w:rPr>
                <w:sz w:val="16"/>
                <w:szCs w:val="16"/>
              </w:rPr>
              <w:t>100%</w:t>
            </w:r>
          </w:p>
        </w:tc>
        <w:tc>
          <w:tcPr>
            <w:tcW w:w="1044" w:type="pct"/>
            <w:tcBorders>
              <w:top w:val="nil"/>
              <w:bottom w:val="single" w:sz="4" w:space="0" w:color="auto"/>
            </w:tcBorders>
            <w:shd w:val="clear" w:color="auto" w:fill="FFFFFF"/>
            <w:tcMar>
              <w:top w:w="110" w:type="dxa"/>
            </w:tcMar>
          </w:tcPr>
          <w:p w:rsidR="0095318C" w:rsidRPr="00540D02" w:rsidRDefault="0095318C" w:rsidP="00DC1333">
            <w:pPr>
              <w:rPr>
                <w:sz w:val="16"/>
                <w:szCs w:val="16"/>
              </w:rPr>
            </w:pPr>
            <w:r w:rsidRPr="00540D02">
              <w:rPr>
                <w:sz w:val="16"/>
                <w:szCs w:val="16"/>
              </w:rPr>
              <w:t>100%: 11 proyectos terminados fueron evaluados en forma independiente y examinados por el CDIP en 2014/15:</w:t>
            </w:r>
          </w:p>
          <w:p w:rsidR="0095318C" w:rsidRPr="00540D02" w:rsidRDefault="0095318C" w:rsidP="0095318C">
            <w:pPr>
              <w:pStyle w:val="ListParagraph"/>
              <w:numPr>
                <w:ilvl w:val="0"/>
                <w:numId w:val="52"/>
              </w:numPr>
              <w:rPr>
                <w:rFonts w:cs="Arial"/>
                <w:sz w:val="16"/>
                <w:szCs w:val="16"/>
                <w:lang w:val="es-ES"/>
              </w:rPr>
            </w:pPr>
            <w:r w:rsidRPr="00540D02">
              <w:rPr>
                <w:rFonts w:cs="Arial"/>
                <w:sz w:val="16"/>
                <w:szCs w:val="16"/>
                <w:lang w:val="es-ES"/>
              </w:rPr>
              <w:t>8 en 2014</w:t>
            </w:r>
          </w:p>
          <w:p w:rsidR="0095318C" w:rsidRPr="00540D02" w:rsidRDefault="0095318C" w:rsidP="0095318C">
            <w:pPr>
              <w:pStyle w:val="ListParagraph"/>
              <w:numPr>
                <w:ilvl w:val="0"/>
                <w:numId w:val="52"/>
              </w:numPr>
              <w:rPr>
                <w:rFonts w:cs="Arial"/>
                <w:sz w:val="16"/>
                <w:szCs w:val="16"/>
                <w:lang w:val="es-ES"/>
              </w:rPr>
            </w:pPr>
            <w:r w:rsidRPr="00540D02">
              <w:rPr>
                <w:rFonts w:cs="Arial"/>
                <w:sz w:val="16"/>
                <w:szCs w:val="16"/>
                <w:lang w:val="es-ES"/>
              </w:rPr>
              <w:t>3 en 2015</w:t>
            </w:r>
          </w:p>
        </w:tc>
        <w:tc>
          <w:tcPr>
            <w:tcW w:w="667" w:type="pct"/>
            <w:gridSpan w:val="2"/>
            <w:tcBorders>
              <w:top w:val="nil"/>
              <w:bottom w:val="single" w:sz="4" w:space="0" w:color="auto"/>
              <w:right w:val="single" w:sz="4" w:space="0" w:color="auto"/>
            </w:tcBorders>
            <w:shd w:val="clear" w:color="auto" w:fill="auto"/>
            <w:tcMar>
              <w:top w:w="110" w:type="dxa"/>
            </w:tcMar>
          </w:tcPr>
          <w:p w:rsidR="0095318C" w:rsidRPr="00540D02" w:rsidRDefault="0095318C" w:rsidP="00DC1333">
            <w:pPr>
              <w:keepNext/>
              <w:keepLines/>
              <w:ind w:left="33"/>
              <w:jc w:val="center"/>
              <w:rPr>
                <w:b/>
                <w:bCs/>
                <w:color w:val="00B050"/>
                <w:sz w:val="16"/>
                <w:szCs w:val="16"/>
              </w:rPr>
            </w:pPr>
            <w:r w:rsidRPr="00540D02">
              <w:rPr>
                <w:b/>
                <w:bCs/>
                <w:color w:val="00B050"/>
                <w:sz w:val="16"/>
                <w:szCs w:val="16"/>
              </w:rPr>
              <w:t>Plenamente logrado</w:t>
            </w:r>
          </w:p>
        </w:tc>
      </w:tr>
      <w:tr w:rsidR="0095318C" w:rsidRPr="00540D02" w:rsidTr="00DC1333">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5318C" w:rsidRPr="00540D02" w:rsidRDefault="0095318C" w:rsidP="00DC1333">
            <w:pPr>
              <w:keepNext/>
              <w:spacing w:before="120" w:after="120"/>
              <w:ind w:left="2019" w:hanging="2019"/>
              <w:jc w:val="both"/>
              <w:rPr>
                <w:b/>
                <w:bCs/>
                <w:sz w:val="16"/>
                <w:szCs w:val="16"/>
              </w:rPr>
            </w:pPr>
            <w:r w:rsidRPr="00540D02">
              <w:rPr>
                <w:b/>
                <w:bCs/>
                <w:sz w:val="16"/>
                <w:szCs w:val="16"/>
              </w:rPr>
              <w:lastRenderedPageBreak/>
              <w:t>Resultado previsto:</w:t>
            </w:r>
            <w:r w:rsidRPr="00540D02">
              <w:rPr>
                <w:b/>
                <w:bCs/>
                <w:sz w:val="16"/>
                <w:szCs w:val="16"/>
              </w:rPr>
              <w:tab/>
            </w:r>
            <w:r w:rsidRPr="00540D02">
              <w:rPr>
                <w:sz w:val="16"/>
                <w:szCs w:val="16"/>
                <w:lang w:bidi="th-TH"/>
              </w:rPr>
              <w:t xml:space="preserve">III.5 Mejor comprensión de la Agenda para el Desarrollo por los Estados miembros, las OIG, la sociedad civil y demás partes interesadas </w:t>
            </w:r>
          </w:p>
        </w:tc>
      </w:tr>
      <w:tr w:rsidR="0095318C" w:rsidRPr="00540D02" w:rsidTr="00DC1333">
        <w:trPr>
          <w:cantSplit/>
        </w:trPr>
        <w:tc>
          <w:tcPr>
            <w:tcW w:w="1124" w:type="pct"/>
            <w:tcBorders>
              <w:top w:val="single" w:sz="4" w:space="0" w:color="auto"/>
              <w:left w:val="single" w:sz="4" w:space="0" w:color="auto"/>
              <w:bottom w:val="nil"/>
            </w:tcBorders>
            <w:shd w:val="clear" w:color="auto" w:fill="auto"/>
            <w:vAlign w:val="center"/>
          </w:tcPr>
          <w:p w:rsidR="0095318C" w:rsidRPr="00540D02" w:rsidRDefault="0095318C" w:rsidP="00DC1333">
            <w:pPr>
              <w:keepNext/>
              <w:spacing w:after="40"/>
              <w:rPr>
                <w:sz w:val="16"/>
                <w:szCs w:val="16"/>
              </w:rPr>
            </w:pPr>
            <w:r w:rsidRPr="00540D02">
              <w:rPr>
                <w:b/>
                <w:sz w:val="16"/>
                <w:szCs w:val="16"/>
              </w:rPr>
              <w:t>Indicadores de rendimiento</w:t>
            </w:r>
          </w:p>
        </w:tc>
        <w:tc>
          <w:tcPr>
            <w:tcW w:w="1120" w:type="pct"/>
            <w:tcBorders>
              <w:top w:val="single" w:sz="4" w:space="0" w:color="auto"/>
              <w:bottom w:val="nil"/>
            </w:tcBorders>
            <w:shd w:val="clear" w:color="auto" w:fill="auto"/>
            <w:vAlign w:val="center"/>
          </w:tcPr>
          <w:p w:rsidR="0095318C" w:rsidRPr="00540D02" w:rsidRDefault="0095318C" w:rsidP="00DC1333">
            <w:pPr>
              <w:keepNext/>
              <w:spacing w:after="40"/>
              <w:rPr>
                <w:b/>
                <w:bCs/>
                <w:sz w:val="16"/>
                <w:szCs w:val="16"/>
              </w:rPr>
            </w:pPr>
            <w:r w:rsidRPr="00540D02">
              <w:rPr>
                <w:b/>
                <w:bCs/>
                <w:sz w:val="16"/>
                <w:szCs w:val="16"/>
              </w:rPr>
              <w:t>Referencia</w:t>
            </w:r>
          </w:p>
        </w:tc>
        <w:tc>
          <w:tcPr>
            <w:tcW w:w="1045" w:type="pct"/>
            <w:tcBorders>
              <w:top w:val="single" w:sz="4" w:space="0" w:color="auto"/>
              <w:bottom w:val="nil"/>
            </w:tcBorders>
            <w:shd w:val="clear" w:color="auto" w:fill="auto"/>
            <w:tcMar>
              <w:top w:w="110" w:type="dxa"/>
            </w:tcMar>
            <w:vAlign w:val="center"/>
          </w:tcPr>
          <w:p w:rsidR="0095318C" w:rsidRPr="00540D02" w:rsidRDefault="0095318C" w:rsidP="00DC1333">
            <w:pPr>
              <w:keepNext/>
              <w:spacing w:after="40"/>
              <w:rPr>
                <w:b/>
                <w:sz w:val="16"/>
                <w:szCs w:val="16"/>
              </w:rPr>
            </w:pPr>
            <w:r w:rsidRPr="00540D02">
              <w:rPr>
                <w:b/>
                <w:sz w:val="16"/>
                <w:szCs w:val="16"/>
              </w:rPr>
              <w:t>Objetivos</w:t>
            </w:r>
          </w:p>
        </w:tc>
        <w:tc>
          <w:tcPr>
            <w:tcW w:w="1118" w:type="pct"/>
            <w:gridSpan w:val="2"/>
            <w:tcBorders>
              <w:top w:val="single" w:sz="4" w:space="0" w:color="auto"/>
              <w:bottom w:val="nil"/>
            </w:tcBorders>
            <w:shd w:val="clear" w:color="auto" w:fill="FFFFFF"/>
            <w:tcMar>
              <w:top w:w="110" w:type="dxa"/>
            </w:tcMar>
            <w:vAlign w:val="center"/>
          </w:tcPr>
          <w:p w:rsidR="0095318C" w:rsidRPr="00540D02" w:rsidRDefault="0095318C" w:rsidP="00DC1333">
            <w:pPr>
              <w:keepNext/>
              <w:spacing w:after="40"/>
              <w:rPr>
                <w:sz w:val="16"/>
                <w:szCs w:val="16"/>
              </w:rPr>
            </w:pPr>
            <w:r w:rsidRPr="00540D02">
              <w:rPr>
                <w:b/>
                <w:sz w:val="16"/>
                <w:szCs w:val="16"/>
              </w:rPr>
              <w:t>Datos sobre el rendimiento</w:t>
            </w:r>
          </w:p>
        </w:tc>
        <w:tc>
          <w:tcPr>
            <w:tcW w:w="593" w:type="pct"/>
            <w:tcBorders>
              <w:top w:val="single" w:sz="4" w:space="0" w:color="auto"/>
              <w:bottom w:val="nil"/>
              <w:right w:val="single" w:sz="4" w:space="0" w:color="auto"/>
            </w:tcBorders>
            <w:shd w:val="clear" w:color="auto" w:fill="auto"/>
            <w:tcMar>
              <w:top w:w="110" w:type="dxa"/>
            </w:tcMar>
            <w:vAlign w:val="center"/>
          </w:tcPr>
          <w:p w:rsidR="0095318C" w:rsidRPr="00540D02" w:rsidRDefault="0095318C" w:rsidP="00DC1333">
            <w:pPr>
              <w:keepNext/>
              <w:keepLines/>
              <w:spacing w:after="40"/>
              <w:jc w:val="center"/>
              <w:rPr>
                <w:b/>
                <w:bCs/>
                <w:sz w:val="16"/>
                <w:szCs w:val="16"/>
              </w:rPr>
            </w:pPr>
            <w:r w:rsidRPr="00540D02">
              <w:rPr>
                <w:b/>
                <w:bCs/>
                <w:sz w:val="16"/>
                <w:szCs w:val="16"/>
              </w:rPr>
              <w:t>Clave de colores</w:t>
            </w:r>
          </w:p>
        </w:tc>
      </w:tr>
      <w:tr w:rsidR="0095318C" w:rsidRPr="00540D02" w:rsidTr="00DC1333">
        <w:trPr>
          <w:cantSplit/>
        </w:trPr>
        <w:tc>
          <w:tcPr>
            <w:tcW w:w="1124" w:type="pct"/>
            <w:tcBorders>
              <w:top w:val="nil"/>
              <w:left w:val="single" w:sz="4" w:space="0" w:color="auto"/>
              <w:bottom w:val="nil"/>
            </w:tcBorders>
            <w:shd w:val="clear" w:color="auto" w:fill="FFFFFF"/>
          </w:tcPr>
          <w:p w:rsidR="0095318C" w:rsidRPr="00540D02" w:rsidRDefault="0095318C" w:rsidP="00DC1333">
            <w:pPr>
              <w:keepNext/>
              <w:rPr>
                <w:sz w:val="16"/>
                <w:szCs w:val="16"/>
                <w:lang w:bidi="th-TH"/>
              </w:rPr>
            </w:pPr>
            <w:r w:rsidRPr="00540D02">
              <w:rPr>
                <w:sz w:val="16"/>
                <w:szCs w:val="16"/>
                <w:lang w:bidi="th-TH"/>
              </w:rPr>
              <w:t>Número de países que piden asistencia técnica por conducto de proyectos de la A.D. y que manifiestan interés en actividades relacionadas con la A.D.</w:t>
            </w:r>
          </w:p>
        </w:tc>
        <w:tc>
          <w:tcPr>
            <w:tcW w:w="1120" w:type="pct"/>
            <w:tcBorders>
              <w:top w:val="nil"/>
              <w:bottom w:val="nil"/>
            </w:tcBorders>
            <w:shd w:val="clear" w:color="auto" w:fill="auto"/>
          </w:tcPr>
          <w:p w:rsidR="0095318C" w:rsidRPr="00540D02" w:rsidRDefault="0095318C" w:rsidP="00DC1333">
            <w:pPr>
              <w:keepNext/>
              <w:rPr>
                <w:sz w:val="16"/>
                <w:szCs w:val="16"/>
                <w:lang w:bidi="th-TH"/>
              </w:rPr>
            </w:pPr>
            <w:r w:rsidRPr="00540D02">
              <w:rPr>
                <w:i/>
                <w:color w:val="002060"/>
                <w:sz w:val="16"/>
                <w:szCs w:val="16"/>
                <w:lang w:bidi="th-TH"/>
              </w:rPr>
              <w:t>Referencia actualizada a fines de 2013</w:t>
            </w:r>
            <w:r w:rsidRPr="00540D02">
              <w:rPr>
                <w:i/>
                <w:sz w:val="16"/>
                <w:szCs w:val="16"/>
                <w:lang w:bidi="th-TH"/>
              </w:rPr>
              <w:t xml:space="preserve">:  </w:t>
            </w:r>
            <w:r w:rsidRPr="00540D02">
              <w:rPr>
                <w:sz w:val="16"/>
                <w:szCs w:val="16"/>
                <w:lang w:bidi="th-TH"/>
              </w:rPr>
              <w:t xml:space="preserve">Proyectos y actividades relacionados con la A.D. en </w:t>
            </w:r>
            <w:r w:rsidRPr="00540D02">
              <w:rPr>
                <w:color w:val="002060"/>
                <w:sz w:val="16"/>
                <w:szCs w:val="16"/>
                <w:lang w:bidi="th-TH"/>
              </w:rPr>
              <w:t>50 países</w:t>
            </w:r>
          </w:p>
          <w:p w:rsidR="0095318C" w:rsidRPr="00540D02" w:rsidRDefault="0095318C" w:rsidP="00DC1333">
            <w:pPr>
              <w:keepNext/>
              <w:rPr>
                <w:i/>
                <w:sz w:val="16"/>
                <w:szCs w:val="16"/>
              </w:rPr>
            </w:pPr>
          </w:p>
          <w:p w:rsidR="0095318C" w:rsidRPr="00540D02" w:rsidRDefault="0095318C" w:rsidP="00DC1333">
            <w:pPr>
              <w:keepNext/>
              <w:rPr>
                <w:sz w:val="16"/>
                <w:szCs w:val="16"/>
                <w:lang w:bidi="th-TH"/>
              </w:rPr>
            </w:pPr>
            <w:r w:rsidRPr="00540D02">
              <w:rPr>
                <w:i/>
                <w:iCs/>
                <w:sz w:val="16"/>
                <w:szCs w:val="16"/>
              </w:rPr>
              <w:t>Referencia original en el presupuesto de 2014/15</w:t>
            </w:r>
            <w:r w:rsidRPr="00540D02">
              <w:rPr>
                <w:i/>
                <w:sz w:val="16"/>
                <w:szCs w:val="16"/>
              </w:rPr>
              <w:t>:</w:t>
            </w:r>
            <w:r w:rsidRPr="00540D02">
              <w:rPr>
                <w:sz w:val="16"/>
                <w:szCs w:val="16"/>
              </w:rPr>
              <w:t xml:space="preserve">  Proyectos y actividades relacionados con la A.D. en 43 países (abril de 2013)</w:t>
            </w:r>
            <w:r w:rsidRPr="00540D02">
              <w:rPr>
                <w:sz w:val="16"/>
                <w:szCs w:val="16"/>
              </w:rPr>
              <w:br/>
            </w:r>
          </w:p>
        </w:tc>
        <w:tc>
          <w:tcPr>
            <w:tcW w:w="1045" w:type="pct"/>
            <w:tcBorders>
              <w:top w:val="nil"/>
              <w:bottom w:val="nil"/>
            </w:tcBorders>
            <w:shd w:val="clear" w:color="auto" w:fill="auto"/>
            <w:tcMar>
              <w:top w:w="110" w:type="dxa"/>
            </w:tcMar>
          </w:tcPr>
          <w:p w:rsidR="0095318C" w:rsidRPr="00540D02" w:rsidRDefault="0095318C" w:rsidP="00DC1333">
            <w:pPr>
              <w:keepNext/>
              <w:rPr>
                <w:sz w:val="16"/>
                <w:szCs w:val="16"/>
                <w:lang w:bidi="th-TH"/>
              </w:rPr>
            </w:pPr>
            <w:r w:rsidRPr="00540D02">
              <w:rPr>
                <w:sz w:val="16"/>
                <w:szCs w:val="16"/>
                <w:lang w:bidi="th-TH"/>
              </w:rPr>
              <w:t>Proyectos y actividades relacionados con la A. D. en 50 países.</w:t>
            </w:r>
          </w:p>
        </w:tc>
        <w:tc>
          <w:tcPr>
            <w:tcW w:w="1118" w:type="pct"/>
            <w:gridSpan w:val="2"/>
            <w:tcBorders>
              <w:top w:val="nil"/>
              <w:bottom w:val="nil"/>
            </w:tcBorders>
            <w:shd w:val="clear" w:color="auto" w:fill="FFFFFF"/>
            <w:tcMar>
              <w:top w:w="110" w:type="dxa"/>
            </w:tcMar>
          </w:tcPr>
          <w:p w:rsidR="0095318C" w:rsidRPr="00540D02" w:rsidRDefault="0095318C" w:rsidP="00DC1333">
            <w:pPr>
              <w:keepNext/>
              <w:rPr>
                <w:sz w:val="16"/>
                <w:szCs w:val="16"/>
                <w:lang w:bidi="th-TH"/>
              </w:rPr>
            </w:pPr>
            <w:r w:rsidRPr="00540D02">
              <w:rPr>
                <w:sz w:val="16"/>
                <w:szCs w:val="16"/>
                <w:lang w:bidi="th-TH"/>
              </w:rPr>
              <w:t>53 países en desarrollo participaron en proyectos de la A.D.</w:t>
            </w:r>
          </w:p>
        </w:tc>
        <w:tc>
          <w:tcPr>
            <w:tcW w:w="593" w:type="pct"/>
            <w:tcBorders>
              <w:top w:val="nil"/>
              <w:bottom w:val="nil"/>
              <w:right w:val="single" w:sz="4" w:space="0" w:color="auto"/>
            </w:tcBorders>
            <w:shd w:val="clear" w:color="auto" w:fill="auto"/>
            <w:tcMar>
              <w:top w:w="110" w:type="dxa"/>
            </w:tcMar>
          </w:tcPr>
          <w:p w:rsidR="0095318C" w:rsidRPr="00540D02" w:rsidRDefault="0095318C" w:rsidP="00DC1333">
            <w:pPr>
              <w:keepNext/>
              <w:keepLines/>
              <w:ind w:left="-107"/>
              <w:jc w:val="center"/>
              <w:rPr>
                <w:bCs/>
                <w:color w:val="808080"/>
                <w:sz w:val="16"/>
                <w:szCs w:val="16"/>
              </w:rPr>
            </w:pPr>
            <w:r w:rsidRPr="00540D02">
              <w:rPr>
                <w:b/>
                <w:bCs/>
                <w:color w:val="00B050"/>
                <w:sz w:val="16"/>
                <w:szCs w:val="16"/>
              </w:rPr>
              <w:t>Plenamente logrado</w:t>
            </w:r>
          </w:p>
        </w:tc>
      </w:tr>
      <w:tr w:rsidR="0095318C" w:rsidRPr="00540D02" w:rsidTr="00DC1333">
        <w:trPr>
          <w:cantSplit/>
        </w:trPr>
        <w:tc>
          <w:tcPr>
            <w:tcW w:w="1124" w:type="pct"/>
            <w:tcBorders>
              <w:top w:val="nil"/>
              <w:left w:val="single" w:sz="4" w:space="0" w:color="auto"/>
              <w:bottom w:val="single" w:sz="4" w:space="0" w:color="auto"/>
            </w:tcBorders>
            <w:shd w:val="clear" w:color="auto" w:fill="auto"/>
          </w:tcPr>
          <w:p w:rsidR="0095318C" w:rsidRPr="00540D02" w:rsidRDefault="0095318C" w:rsidP="00DC1333">
            <w:pPr>
              <w:rPr>
                <w:sz w:val="16"/>
                <w:szCs w:val="16"/>
                <w:lang w:bidi="th-TH"/>
              </w:rPr>
            </w:pPr>
            <w:r w:rsidRPr="00540D02">
              <w:rPr>
                <w:sz w:val="16"/>
                <w:szCs w:val="16"/>
                <w:lang w:bidi="th-TH"/>
              </w:rPr>
              <w:t>Porcentaje de participantes en reuniones de la OMPI (Estados miembros, OIG, sociedad civil y demás partes interesadas) satisfechos con la información recibida sobre las recomendaciones de la A.D.</w:t>
            </w:r>
            <w:r w:rsidRPr="00540D02">
              <w:rPr>
                <w:sz w:val="16"/>
                <w:szCs w:val="16"/>
                <w:lang w:bidi="th-TH"/>
              </w:rPr>
              <w:br/>
            </w:r>
          </w:p>
        </w:tc>
        <w:tc>
          <w:tcPr>
            <w:tcW w:w="1120" w:type="pct"/>
            <w:tcBorders>
              <w:top w:val="nil"/>
              <w:bottom w:val="single" w:sz="4" w:space="0" w:color="auto"/>
            </w:tcBorders>
            <w:shd w:val="clear" w:color="auto" w:fill="auto"/>
          </w:tcPr>
          <w:p w:rsidR="0095318C" w:rsidRPr="00540D02" w:rsidRDefault="0095318C" w:rsidP="00DC1333">
            <w:pPr>
              <w:rPr>
                <w:sz w:val="16"/>
                <w:szCs w:val="16"/>
                <w:lang w:bidi="th-TH"/>
              </w:rPr>
            </w:pPr>
            <w:r w:rsidRPr="00540D02">
              <w:rPr>
                <w:sz w:val="16"/>
                <w:szCs w:val="16"/>
              </w:rPr>
              <w:t xml:space="preserve"> n.d.</w:t>
            </w:r>
          </w:p>
        </w:tc>
        <w:tc>
          <w:tcPr>
            <w:tcW w:w="1045" w:type="pct"/>
            <w:tcBorders>
              <w:top w:val="nil"/>
              <w:bottom w:val="single" w:sz="4" w:space="0" w:color="auto"/>
            </w:tcBorders>
            <w:shd w:val="clear" w:color="auto" w:fill="auto"/>
            <w:tcMar>
              <w:top w:w="110" w:type="dxa"/>
            </w:tcMar>
          </w:tcPr>
          <w:p w:rsidR="0095318C" w:rsidRPr="00540D02" w:rsidRDefault="0095318C" w:rsidP="00DC1333">
            <w:pPr>
              <w:rPr>
                <w:sz w:val="16"/>
                <w:szCs w:val="16"/>
                <w:lang w:bidi="th-TH"/>
              </w:rPr>
            </w:pPr>
            <w:r w:rsidRPr="00540D02">
              <w:rPr>
                <w:sz w:val="16"/>
                <w:szCs w:val="16"/>
                <w:lang w:bidi="th-TH"/>
              </w:rPr>
              <w:t>80%</w:t>
            </w:r>
          </w:p>
        </w:tc>
        <w:tc>
          <w:tcPr>
            <w:tcW w:w="1118" w:type="pct"/>
            <w:gridSpan w:val="2"/>
            <w:tcBorders>
              <w:top w:val="nil"/>
              <w:bottom w:val="single" w:sz="4" w:space="0" w:color="auto"/>
            </w:tcBorders>
            <w:shd w:val="clear" w:color="auto" w:fill="FFFFFF"/>
            <w:tcMar>
              <w:top w:w="110" w:type="dxa"/>
            </w:tcMar>
          </w:tcPr>
          <w:p w:rsidR="0095318C" w:rsidRPr="00540D02" w:rsidRDefault="0095318C" w:rsidP="00DC1333">
            <w:pPr>
              <w:rPr>
                <w:sz w:val="16"/>
                <w:szCs w:val="16"/>
                <w:lang w:bidi="th-TH"/>
              </w:rPr>
            </w:pPr>
            <w:r w:rsidRPr="00540D02">
              <w:rPr>
                <w:sz w:val="16"/>
                <w:szCs w:val="16"/>
              </w:rPr>
              <w:t>78,57%</w:t>
            </w:r>
          </w:p>
        </w:tc>
        <w:tc>
          <w:tcPr>
            <w:tcW w:w="593" w:type="pct"/>
            <w:tcBorders>
              <w:top w:val="nil"/>
              <w:bottom w:val="single" w:sz="4" w:space="0" w:color="auto"/>
              <w:right w:val="single" w:sz="4" w:space="0" w:color="auto"/>
            </w:tcBorders>
            <w:shd w:val="clear" w:color="auto" w:fill="auto"/>
          </w:tcPr>
          <w:p w:rsidR="0095318C" w:rsidRPr="00540D02" w:rsidRDefault="0095318C" w:rsidP="00DC1333">
            <w:pPr>
              <w:keepNext/>
              <w:keepLines/>
              <w:ind w:left="-107"/>
              <w:jc w:val="center"/>
              <w:rPr>
                <w:b/>
                <w:bCs/>
                <w:color w:val="808080"/>
                <w:sz w:val="16"/>
                <w:szCs w:val="16"/>
              </w:rPr>
            </w:pPr>
            <w:r w:rsidRPr="00540D02">
              <w:rPr>
                <w:b/>
                <w:bCs/>
                <w:color w:val="00B050"/>
                <w:sz w:val="16"/>
                <w:szCs w:val="16"/>
              </w:rPr>
              <w:t>Plenamente logrado</w:t>
            </w:r>
          </w:p>
        </w:tc>
      </w:tr>
    </w:tbl>
    <w:p w:rsidR="0095318C" w:rsidRDefault="0095318C" w:rsidP="00DC1333">
      <w:pPr>
        <w:jc w:val="both"/>
        <w:rPr>
          <w:color w:val="000000"/>
        </w:rPr>
      </w:pPr>
    </w:p>
    <w:p w:rsidR="0095318C" w:rsidRPr="00540D02" w:rsidRDefault="0095318C" w:rsidP="00DC1333">
      <w:pPr>
        <w:jc w:val="both"/>
        <w:rPr>
          <w:color w:val="000000"/>
        </w:rPr>
      </w:pPr>
    </w:p>
    <w:p w:rsidR="0095318C" w:rsidRPr="00540D02" w:rsidRDefault="008F7CBE" w:rsidP="00DC1333">
      <w:pPr>
        <w:keepNext/>
        <w:keepLines/>
        <w:rPr>
          <w:color w:val="000000"/>
          <w:szCs w:val="22"/>
        </w:rPr>
      </w:pPr>
      <w:r w:rsidRPr="008F7CBE">
        <w:rPr>
          <w:sz w:val="20"/>
        </w:rPr>
        <w:t>INFORMACIÓN SOBRE LOS RIESGOS PLANTEADOS EN EL BIENIO</w:t>
      </w:r>
    </w:p>
    <w:p w:rsidR="0095318C" w:rsidRPr="00540D02" w:rsidRDefault="0095318C" w:rsidP="00DC1333">
      <w:pPr>
        <w:keepNext/>
        <w:keepLines/>
        <w:rPr>
          <w:b/>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8"/>
        <w:gridCol w:w="2144"/>
        <w:gridCol w:w="2234"/>
        <w:gridCol w:w="147"/>
        <w:gridCol w:w="2590"/>
      </w:tblGrid>
      <w:tr w:rsidR="0095318C" w:rsidRPr="00540D02" w:rsidTr="00DC1333">
        <w:trPr>
          <w:trHeight w:val="564"/>
        </w:trPr>
        <w:tc>
          <w:tcPr>
            <w:tcW w:w="2420" w:type="dxa"/>
            <w:tcBorders>
              <w:top w:val="single" w:sz="4" w:space="0" w:color="auto"/>
              <w:bottom w:val="single" w:sz="4" w:space="0" w:color="auto"/>
            </w:tcBorders>
            <w:shd w:val="clear" w:color="auto" w:fill="C6D9F1" w:themeFill="text2" w:themeFillTint="33"/>
            <w:vAlign w:val="center"/>
          </w:tcPr>
          <w:p w:rsidR="0095318C" w:rsidRPr="00540D02" w:rsidRDefault="0095318C" w:rsidP="00DC1333">
            <w:pPr>
              <w:keepNext/>
              <w:keepLines/>
              <w:autoSpaceDE w:val="0"/>
              <w:autoSpaceDN w:val="0"/>
              <w:adjustRightInd w:val="0"/>
              <w:ind w:right="-59"/>
              <w:jc w:val="center"/>
              <w:rPr>
                <w:b/>
                <w:bCs/>
                <w:iCs/>
                <w:sz w:val="18"/>
                <w:szCs w:val="18"/>
              </w:rPr>
            </w:pPr>
            <w:r w:rsidRPr="00540D02">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95318C" w:rsidRPr="00540D02" w:rsidRDefault="0095318C" w:rsidP="00DC1333">
            <w:pPr>
              <w:keepNext/>
              <w:keepLines/>
              <w:autoSpaceDE w:val="0"/>
              <w:autoSpaceDN w:val="0"/>
              <w:adjustRightInd w:val="0"/>
              <w:ind w:right="-59"/>
              <w:jc w:val="center"/>
              <w:rPr>
                <w:b/>
                <w:bCs/>
                <w:iCs/>
                <w:sz w:val="18"/>
                <w:szCs w:val="18"/>
              </w:rPr>
            </w:pPr>
            <w:r w:rsidRPr="00540D02">
              <w:rPr>
                <w:b/>
                <w:bCs/>
                <w:iCs/>
                <w:sz w:val="18"/>
                <w:szCs w:val="18"/>
              </w:rPr>
              <w:t>Planes de mitigación ejecutados o en ejecución</w:t>
            </w:r>
          </w:p>
        </w:tc>
        <w:tc>
          <w:tcPr>
            <w:tcW w:w="2468" w:type="dxa"/>
            <w:gridSpan w:val="2"/>
            <w:tcBorders>
              <w:top w:val="single" w:sz="4" w:space="0" w:color="auto"/>
              <w:bottom w:val="single" w:sz="4" w:space="0" w:color="auto"/>
            </w:tcBorders>
            <w:shd w:val="clear" w:color="auto" w:fill="C6D9F1" w:themeFill="text2" w:themeFillTint="33"/>
          </w:tcPr>
          <w:p w:rsidR="0095318C" w:rsidRPr="00540D02" w:rsidRDefault="0095318C" w:rsidP="00DC1333">
            <w:pPr>
              <w:keepNext/>
              <w:keepLines/>
              <w:jc w:val="center"/>
              <w:rPr>
                <w:b/>
                <w:bCs/>
                <w:sz w:val="18"/>
                <w:szCs w:val="18"/>
              </w:rPr>
            </w:pPr>
            <w:r w:rsidRPr="00540D02">
              <w:rPr>
                <w:b/>
                <w:bCs/>
                <w:iCs/>
                <w:sz w:val="18"/>
                <w:szCs w:val="18"/>
              </w:rPr>
              <w:t>Evolución de los riesgos y estrategias de mitigación durante el bienio</w:t>
            </w:r>
          </w:p>
        </w:tc>
        <w:tc>
          <w:tcPr>
            <w:tcW w:w="2694" w:type="dxa"/>
            <w:tcBorders>
              <w:top w:val="single" w:sz="4" w:space="0" w:color="auto"/>
              <w:bottom w:val="single" w:sz="4" w:space="0" w:color="auto"/>
            </w:tcBorders>
            <w:shd w:val="clear" w:color="auto" w:fill="C6D9F1" w:themeFill="text2" w:themeFillTint="33"/>
          </w:tcPr>
          <w:p w:rsidR="0095318C" w:rsidRPr="00540D02" w:rsidRDefault="0095318C" w:rsidP="00DC1333">
            <w:pPr>
              <w:keepNext/>
              <w:keepLines/>
              <w:jc w:val="center"/>
              <w:rPr>
                <w:b/>
                <w:bCs/>
                <w:sz w:val="18"/>
                <w:szCs w:val="18"/>
              </w:rPr>
            </w:pPr>
            <w:r w:rsidRPr="00540D02">
              <w:rPr>
                <w:b/>
                <w:bCs/>
                <w:sz w:val="18"/>
                <w:szCs w:val="18"/>
              </w:rPr>
              <w:t>Incidencia en el rendimiento del programa</w:t>
            </w:r>
          </w:p>
        </w:tc>
      </w:tr>
      <w:tr w:rsidR="0095318C" w:rsidRPr="00540D02" w:rsidTr="00DC1333">
        <w:trPr>
          <w:trHeight w:val="838"/>
        </w:trPr>
        <w:tc>
          <w:tcPr>
            <w:tcW w:w="2420" w:type="dxa"/>
            <w:tcBorders>
              <w:top w:val="single" w:sz="4" w:space="0" w:color="auto"/>
            </w:tcBorders>
            <w:shd w:val="clear" w:color="auto" w:fill="auto"/>
            <w:tcMar>
              <w:top w:w="113" w:type="dxa"/>
              <w:bottom w:w="85" w:type="dxa"/>
            </w:tcMar>
          </w:tcPr>
          <w:p w:rsidR="0095318C" w:rsidRPr="00540D02" w:rsidRDefault="0095318C" w:rsidP="00DC1333">
            <w:pPr>
              <w:keepNext/>
              <w:keepLines/>
              <w:autoSpaceDE w:val="0"/>
              <w:autoSpaceDN w:val="0"/>
              <w:adjustRightInd w:val="0"/>
              <w:ind w:right="-59"/>
              <w:rPr>
                <w:sz w:val="16"/>
                <w:szCs w:val="16"/>
              </w:rPr>
            </w:pPr>
            <w:r w:rsidRPr="00540D02">
              <w:rPr>
                <w:sz w:val="16"/>
                <w:szCs w:val="16"/>
              </w:rPr>
              <w:t>No llevar a cabo la supervisión sistemática de las recomendaciones de la A.D. y su aplicación podría tener como consecuencia la pérdida de oportunidades y que no se atribuyera suficiente atención a la experiencia adquirida.</w:t>
            </w:r>
          </w:p>
        </w:tc>
        <w:tc>
          <w:tcPr>
            <w:tcW w:w="2200" w:type="dxa"/>
            <w:tcBorders>
              <w:top w:val="single" w:sz="4" w:space="0" w:color="auto"/>
            </w:tcBorders>
            <w:shd w:val="clear" w:color="auto" w:fill="auto"/>
            <w:tcMar>
              <w:top w:w="113" w:type="dxa"/>
              <w:bottom w:w="85" w:type="dxa"/>
            </w:tcMar>
          </w:tcPr>
          <w:p w:rsidR="0095318C" w:rsidRPr="00540D02" w:rsidRDefault="0095318C" w:rsidP="00DC1333">
            <w:pPr>
              <w:keepNext/>
              <w:keepLines/>
              <w:autoSpaceDE w:val="0"/>
              <w:autoSpaceDN w:val="0"/>
              <w:adjustRightInd w:val="0"/>
              <w:ind w:right="-59"/>
              <w:rPr>
                <w:sz w:val="16"/>
                <w:szCs w:val="16"/>
              </w:rPr>
            </w:pPr>
            <w:r w:rsidRPr="00540D02">
              <w:rPr>
                <w:sz w:val="16"/>
                <w:szCs w:val="16"/>
              </w:rPr>
              <w:t>Fomentar y ejecutar con rigurosidad la supervisión de la aplicación de las recomendaciones de la A.D. por parte de la División de Coordinación de la A.D.</w:t>
            </w:r>
          </w:p>
        </w:tc>
        <w:tc>
          <w:tcPr>
            <w:tcW w:w="2310" w:type="dxa"/>
            <w:tcBorders>
              <w:top w:val="single" w:sz="4" w:space="0" w:color="auto"/>
            </w:tcBorders>
          </w:tcPr>
          <w:p w:rsidR="0095318C" w:rsidRPr="00540D02" w:rsidRDefault="0095318C" w:rsidP="00DC1333">
            <w:pPr>
              <w:keepNext/>
              <w:keepLines/>
              <w:autoSpaceDE w:val="0"/>
              <w:autoSpaceDN w:val="0"/>
              <w:adjustRightInd w:val="0"/>
              <w:ind w:right="-59"/>
              <w:rPr>
                <w:sz w:val="16"/>
                <w:szCs w:val="16"/>
              </w:rPr>
            </w:pPr>
            <w:r w:rsidRPr="00540D02">
              <w:rPr>
                <w:sz w:val="16"/>
                <w:szCs w:val="16"/>
              </w:rPr>
              <w:t>Las estrategias de mitigación se aplicaron completamente y permitieron garantizar que el riesgo no se materializara.</w:t>
            </w:r>
          </w:p>
        </w:tc>
        <w:tc>
          <w:tcPr>
            <w:tcW w:w="2852" w:type="dxa"/>
            <w:gridSpan w:val="2"/>
            <w:tcBorders>
              <w:top w:val="single" w:sz="4" w:space="0" w:color="auto"/>
            </w:tcBorders>
          </w:tcPr>
          <w:p w:rsidR="0095318C" w:rsidRPr="00540D02" w:rsidRDefault="0095318C" w:rsidP="00DC1333">
            <w:pPr>
              <w:keepNext/>
              <w:keepLines/>
              <w:autoSpaceDE w:val="0"/>
              <w:autoSpaceDN w:val="0"/>
              <w:adjustRightInd w:val="0"/>
              <w:ind w:right="-59"/>
              <w:rPr>
                <w:sz w:val="16"/>
                <w:szCs w:val="16"/>
              </w:rPr>
            </w:pPr>
            <w:r w:rsidRPr="00540D02">
              <w:rPr>
                <w:sz w:val="16"/>
                <w:szCs w:val="16"/>
              </w:rPr>
              <w:t>Este riesgo y su evolución no incidieron de forma sustancial en el rendimiento del programa en 2014/15.</w:t>
            </w:r>
          </w:p>
        </w:tc>
      </w:tr>
    </w:tbl>
    <w:p w:rsidR="0095318C" w:rsidRDefault="0095318C" w:rsidP="00DC1333">
      <w:pPr>
        <w:jc w:val="both"/>
      </w:pPr>
    </w:p>
    <w:p w:rsidR="0095318C" w:rsidRPr="00540D02" w:rsidRDefault="0095318C" w:rsidP="00DC1333">
      <w:pPr>
        <w:jc w:val="both"/>
      </w:pPr>
    </w:p>
    <w:p w:rsidR="0095318C" w:rsidRPr="00540D02" w:rsidRDefault="00403D2C" w:rsidP="00DC1333">
      <w:pPr>
        <w:rPr>
          <w:szCs w:val="22"/>
        </w:rPr>
      </w:pPr>
      <w:r w:rsidRPr="00403D2C">
        <w:rPr>
          <w:sz w:val="20"/>
          <w:szCs w:val="22"/>
        </w:rPr>
        <w:t>UTILIZACIÓN DE LOS RECURSOS</w:t>
      </w:r>
    </w:p>
    <w:p w:rsidR="0095318C" w:rsidRPr="00540D02" w:rsidRDefault="0095318C" w:rsidP="00DC1333">
      <w:pPr>
        <w:jc w:val="both"/>
      </w:pPr>
    </w:p>
    <w:p w:rsidR="0095318C" w:rsidRPr="00540D02" w:rsidRDefault="0095318C" w:rsidP="00DC1333">
      <w:pPr>
        <w:pStyle w:val="NormalWeb"/>
        <w:spacing w:before="0" w:beforeAutospacing="0" w:after="0" w:afterAutospacing="0"/>
        <w:jc w:val="center"/>
        <w:rPr>
          <w:sz w:val="20"/>
          <w:szCs w:val="20"/>
          <w:lang w:val="es-ES"/>
        </w:rPr>
      </w:pPr>
      <w:r w:rsidRPr="00540D02">
        <w:rPr>
          <w:sz w:val="20"/>
          <w:szCs w:val="20"/>
          <w:lang w:val="es-ES"/>
        </w:rPr>
        <w:t>Presupuesto y gastos reales (por resultado)</w:t>
      </w:r>
    </w:p>
    <w:p w:rsidR="0095318C" w:rsidRPr="00540D02" w:rsidRDefault="0095318C" w:rsidP="00DC1333">
      <w:pPr>
        <w:pStyle w:val="NormalWeb"/>
        <w:spacing w:before="0" w:beforeAutospacing="0" w:after="0" w:afterAutospacing="0"/>
        <w:jc w:val="center"/>
        <w:rPr>
          <w:i/>
          <w:iCs/>
          <w:sz w:val="20"/>
          <w:szCs w:val="20"/>
          <w:lang w:val="es-ES"/>
        </w:rPr>
      </w:pPr>
      <w:r w:rsidRPr="00540D02">
        <w:rPr>
          <w:i/>
          <w:iCs/>
          <w:sz w:val="20"/>
          <w:szCs w:val="20"/>
          <w:lang w:val="es-ES"/>
        </w:rPr>
        <w:t>(</w:t>
      </w:r>
      <w:proofErr w:type="gramStart"/>
      <w:r w:rsidRPr="00540D02">
        <w:rPr>
          <w:i/>
          <w:iCs/>
          <w:sz w:val="20"/>
          <w:szCs w:val="20"/>
          <w:lang w:val="es-ES"/>
        </w:rPr>
        <w:t>en</w:t>
      </w:r>
      <w:proofErr w:type="gramEnd"/>
      <w:r w:rsidRPr="00540D02">
        <w:rPr>
          <w:i/>
          <w:iCs/>
          <w:sz w:val="20"/>
          <w:szCs w:val="20"/>
          <w:lang w:val="es-ES"/>
        </w:rPr>
        <w:t xml:space="preserve"> miles de francos suizos)</w:t>
      </w:r>
    </w:p>
    <w:p w:rsidR="0095318C" w:rsidRPr="00540D02" w:rsidRDefault="0095318C" w:rsidP="00DC1333">
      <w:pPr>
        <w:pStyle w:val="NormalWeb"/>
        <w:spacing w:before="0" w:beforeAutospacing="0" w:after="0" w:afterAutospacing="0"/>
        <w:jc w:val="both"/>
        <w:rPr>
          <w:sz w:val="20"/>
          <w:szCs w:val="20"/>
          <w:lang w:val="es-ES"/>
        </w:rPr>
      </w:pPr>
    </w:p>
    <w:p w:rsidR="0095318C" w:rsidRPr="00540D02" w:rsidRDefault="0095318C" w:rsidP="00DC1333">
      <w:pPr>
        <w:jc w:val="center"/>
      </w:pPr>
      <w:bookmarkStart w:id="101" w:name="Bm8"/>
      <w:bookmarkStart w:id="102" w:name="Punto8"/>
      <w:r>
        <w:rPr>
          <w:noProof/>
          <w:lang w:val="en-US" w:eastAsia="en-US"/>
        </w:rPr>
        <w:drawing>
          <wp:inline distT="0" distB="0" distL="0" distR="0" wp14:anchorId="1D2128D9" wp14:editId="1C28D5E4">
            <wp:extent cx="5486400" cy="16192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86400" cy="1619250"/>
                    </a:xfrm>
                    <a:prstGeom prst="rect">
                      <a:avLst/>
                    </a:prstGeom>
                    <a:noFill/>
                    <a:ln>
                      <a:noFill/>
                    </a:ln>
                  </pic:spPr>
                </pic:pic>
              </a:graphicData>
            </a:graphic>
          </wp:inline>
        </w:drawing>
      </w:r>
      <w:bookmarkEnd w:id="101"/>
      <w:bookmarkEnd w:id="102"/>
    </w:p>
    <w:p w:rsidR="0095318C" w:rsidRPr="00540D02" w:rsidRDefault="0095318C" w:rsidP="00DC1333">
      <w:pPr>
        <w:jc w:val="both"/>
      </w:pPr>
    </w:p>
    <w:p w:rsidR="0095318C" w:rsidRPr="00540D02" w:rsidRDefault="0095318C" w:rsidP="00DC1333">
      <w:pPr>
        <w:jc w:val="both"/>
      </w:pPr>
    </w:p>
    <w:p w:rsidR="0095318C" w:rsidRPr="00540D02" w:rsidRDefault="0095318C" w:rsidP="00DC1333">
      <w:pPr>
        <w:pStyle w:val="NormalWeb"/>
        <w:keepNext/>
        <w:keepLines/>
        <w:spacing w:before="0" w:beforeAutospacing="0" w:after="0" w:afterAutospacing="0"/>
        <w:jc w:val="center"/>
        <w:rPr>
          <w:sz w:val="20"/>
          <w:szCs w:val="20"/>
          <w:lang w:val="es-ES"/>
        </w:rPr>
      </w:pPr>
      <w:r w:rsidRPr="00540D02">
        <w:rPr>
          <w:sz w:val="20"/>
          <w:szCs w:val="20"/>
          <w:lang w:val="es-ES"/>
        </w:rPr>
        <w:lastRenderedPageBreak/>
        <w:t>Presupuesto y gastos reales (de personal y no relativos a personal)</w:t>
      </w:r>
    </w:p>
    <w:p w:rsidR="0095318C" w:rsidRPr="00540D02" w:rsidRDefault="0095318C" w:rsidP="00DC1333">
      <w:pPr>
        <w:pStyle w:val="NormalWeb"/>
        <w:keepNext/>
        <w:keepLines/>
        <w:spacing w:before="0" w:beforeAutospacing="0" w:after="0" w:afterAutospacing="0"/>
        <w:jc w:val="center"/>
        <w:rPr>
          <w:i/>
          <w:iCs/>
          <w:sz w:val="20"/>
          <w:szCs w:val="20"/>
          <w:lang w:val="es-ES"/>
        </w:rPr>
      </w:pPr>
      <w:r w:rsidRPr="00540D02">
        <w:rPr>
          <w:i/>
          <w:iCs/>
          <w:sz w:val="20"/>
          <w:szCs w:val="20"/>
          <w:lang w:val="es-ES"/>
        </w:rPr>
        <w:t>(</w:t>
      </w:r>
      <w:proofErr w:type="gramStart"/>
      <w:r w:rsidRPr="00540D02">
        <w:rPr>
          <w:i/>
          <w:iCs/>
          <w:sz w:val="20"/>
          <w:szCs w:val="20"/>
          <w:lang w:val="es-ES"/>
        </w:rPr>
        <w:t>en</w:t>
      </w:r>
      <w:proofErr w:type="gramEnd"/>
      <w:r w:rsidRPr="00540D02">
        <w:rPr>
          <w:i/>
          <w:iCs/>
          <w:sz w:val="20"/>
          <w:szCs w:val="20"/>
          <w:lang w:val="es-ES"/>
        </w:rPr>
        <w:t xml:space="preserve"> miles de francos suizos)</w:t>
      </w:r>
    </w:p>
    <w:p w:rsidR="0095318C" w:rsidRPr="00540D02" w:rsidRDefault="0095318C" w:rsidP="00DC1333">
      <w:pPr>
        <w:pStyle w:val="NormalWeb"/>
        <w:keepNext/>
        <w:keepLines/>
        <w:spacing w:before="0" w:beforeAutospacing="0" w:after="0" w:afterAutospacing="0"/>
        <w:jc w:val="center"/>
        <w:rPr>
          <w:sz w:val="20"/>
          <w:szCs w:val="20"/>
          <w:lang w:val="es-ES"/>
        </w:rPr>
      </w:pPr>
    </w:p>
    <w:p w:rsidR="0095318C" w:rsidRPr="00540D02" w:rsidRDefault="0095318C" w:rsidP="00DC1333">
      <w:pPr>
        <w:jc w:val="center"/>
      </w:pPr>
      <w:bookmarkStart w:id="103" w:name="Point8"/>
      <w:r>
        <w:rPr>
          <w:noProof/>
          <w:lang w:val="en-US" w:eastAsia="en-US"/>
        </w:rPr>
        <w:drawing>
          <wp:inline distT="0" distB="0" distL="0" distR="0" wp14:anchorId="65A24320" wp14:editId="1CF5FE6A">
            <wp:extent cx="5940425" cy="1080827"/>
            <wp:effectExtent l="0" t="0" r="3175" b="508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1080827"/>
                    </a:xfrm>
                    <a:prstGeom prst="rect">
                      <a:avLst/>
                    </a:prstGeom>
                    <a:noFill/>
                    <a:ln>
                      <a:noFill/>
                    </a:ln>
                  </pic:spPr>
                </pic:pic>
              </a:graphicData>
            </a:graphic>
          </wp:inline>
        </w:drawing>
      </w:r>
      <w:bookmarkEnd w:id="103"/>
    </w:p>
    <w:p w:rsidR="0095318C" w:rsidRDefault="0095318C" w:rsidP="00DC1333">
      <w:pPr>
        <w:widowControl w:val="0"/>
        <w:autoSpaceDE w:val="0"/>
        <w:autoSpaceDN w:val="0"/>
        <w:adjustRightInd w:val="0"/>
        <w:jc w:val="both"/>
        <w:rPr>
          <w:sz w:val="20"/>
        </w:rPr>
      </w:pPr>
    </w:p>
    <w:p w:rsidR="0095318C" w:rsidRPr="00540D02" w:rsidRDefault="0095318C" w:rsidP="00DC1333">
      <w:pPr>
        <w:widowControl w:val="0"/>
        <w:autoSpaceDE w:val="0"/>
        <w:autoSpaceDN w:val="0"/>
        <w:adjustRightInd w:val="0"/>
        <w:jc w:val="both"/>
        <w:rPr>
          <w:sz w:val="20"/>
        </w:rPr>
      </w:pPr>
    </w:p>
    <w:p w:rsidR="0095318C" w:rsidRPr="00540D02" w:rsidRDefault="00403D2C" w:rsidP="00DC1333">
      <w:pPr>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95318C" w:rsidRPr="00540D02" w:rsidRDefault="0095318C" w:rsidP="00DC1333">
      <w:pPr>
        <w:jc w:val="both"/>
        <w:rPr>
          <w:sz w:val="20"/>
          <w:u w:val="single"/>
        </w:rPr>
      </w:pPr>
    </w:p>
    <w:p w:rsidR="0095318C" w:rsidRPr="00540D02" w:rsidRDefault="0095318C" w:rsidP="0095318C">
      <w:pPr>
        <w:pStyle w:val="ListParagraph"/>
        <w:numPr>
          <w:ilvl w:val="0"/>
          <w:numId w:val="51"/>
        </w:numPr>
        <w:tabs>
          <w:tab w:val="left" w:pos="0"/>
        </w:tabs>
        <w:ind w:left="0" w:firstLine="0"/>
        <w:jc w:val="both"/>
        <w:rPr>
          <w:rFonts w:cs="Arial"/>
          <w:lang w:val="es-ES" w:eastAsia="ko-KR"/>
        </w:rPr>
      </w:pPr>
      <w:r w:rsidRPr="00540D02">
        <w:rPr>
          <w:rFonts w:cs="Arial"/>
          <w:lang w:val="es-ES" w:eastAsia="ko-KR"/>
        </w:rPr>
        <w:t>El descenso del presupuesto final de 2014/15 tras las transferencias se debió principalmente a la reasignación de recursos de personal (un puesto) a otros programas.</w:t>
      </w:r>
    </w:p>
    <w:p w:rsidR="0095318C" w:rsidRPr="00540D02" w:rsidRDefault="0095318C" w:rsidP="00DC1333">
      <w:pPr>
        <w:autoSpaceDE w:val="0"/>
        <w:autoSpaceDN w:val="0"/>
        <w:adjustRightInd w:val="0"/>
        <w:jc w:val="both"/>
        <w:rPr>
          <w:sz w:val="20"/>
          <w:lang w:eastAsia="ko-KR"/>
        </w:rPr>
      </w:pPr>
    </w:p>
    <w:p w:rsidR="0095318C" w:rsidRPr="00540D02"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95318C" w:rsidRPr="00540D02" w:rsidRDefault="0095318C" w:rsidP="00DC1333">
      <w:pPr>
        <w:autoSpaceDE w:val="0"/>
        <w:autoSpaceDN w:val="0"/>
        <w:jc w:val="both"/>
        <w:rPr>
          <w:sz w:val="20"/>
        </w:rPr>
      </w:pPr>
    </w:p>
    <w:p w:rsidR="0095318C" w:rsidRPr="00540D02" w:rsidRDefault="0095318C" w:rsidP="0095318C">
      <w:pPr>
        <w:pStyle w:val="ListParagraph"/>
        <w:numPr>
          <w:ilvl w:val="0"/>
          <w:numId w:val="51"/>
        </w:numPr>
        <w:tabs>
          <w:tab w:val="left" w:pos="0"/>
        </w:tabs>
        <w:autoSpaceDE w:val="0"/>
        <w:autoSpaceDN w:val="0"/>
        <w:ind w:left="0" w:firstLine="0"/>
        <w:jc w:val="both"/>
        <w:rPr>
          <w:rFonts w:cs="Arial"/>
          <w:lang w:val="es-ES"/>
        </w:rPr>
      </w:pPr>
      <w:r w:rsidRPr="00540D02">
        <w:rPr>
          <w:rFonts w:cs="Arial"/>
          <w:lang w:val="es-ES"/>
        </w:rPr>
        <w:t>La reducción del gasto destinado a recursos de personal se debió a la existencia de una vacante en trámite de contratación.  La reducción del gasto destinado a recursos no relativos a personal se debió principalmente al retraso, con la conformidad de los estados miembros, del examen independiente de la aplicación de las recomendaciones de la Agenda para el Desarrollo.</w:t>
      </w:r>
    </w:p>
    <w:p w:rsidR="0095318C" w:rsidRDefault="0095318C"/>
    <w:p w:rsidR="0095318C" w:rsidRPr="00540D02" w:rsidRDefault="0095318C"/>
    <w:p w:rsidR="0095318C" w:rsidRDefault="0095318C">
      <w:pPr>
        <w:rPr>
          <w:iCs/>
          <w:caps/>
          <w:szCs w:val="28"/>
        </w:rPr>
      </w:pPr>
      <w:bookmarkStart w:id="104" w:name="_Toc422927416"/>
      <w:bookmarkStart w:id="105" w:name="_Toc392610038"/>
      <w:r>
        <w:rPr>
          <w:bCs/>
        </w:rPr>
        <w:br w:type="page"/>
      </w:r>
    </w:p>
    <w:p w:rsidR="0095318C" w:rsidRPr="0095318C" w:rsidRDefault="0095318C" w:rsidP="00DC1333">
      <w:pPr>
        <w:pStyle w:val="Heading2"/>
        <w:tabs>
          <w:tab w:val="left" w:pos="2410"/>
        </w:tabs>
        <w:ind w:left="2410" w:hanging="2410"/>
        <w:rPr>
          <w:b/>
          <w:bCs w:val="0"/>
          <w:caps w:val="0"/>
        </w:rPr>
      </w:pPr>
      <w:bookmarkStart w:id="106" w:name="_Toc455159084"/>
      <w:r w:rsidRPr="0095318C">
        <w:rPr>
          <w:b/>
          <w:bCs w:val="0"/>
        </w:rPr>
        <w:lastRenderedPageBreak/>
        <w:t>PROGRAMA 9</w:t>
      </w:r>
      <w:r w:rsidRPr="0095318C">
        <w:rPr>
          <w:b/>
          <w:bCs w:val="0"/>
        </w:rPr>
        <w:tab/>
        <w:t>PAÍSES AFRICANOS, ÁRABES, DE AMÉRICA LATINA Y EL CARIBE, DE ASIA Y EL PACÍFICO Y PAÍSES MENOS ADELANTADOS</w:t>
      </w:r>
      <w:bookmarkEnd w:id="104"/>
      <w:bookmarkEnd w:id="106"/>
    </w:p>
    <w:p w:rsidR="0095318C" w:rsidRPr="003C4694" w:rsidRDefault="0095318C" w:rsidP="00DC1333">
      <w:pPr>
        <w:tabs>
          <w:tab w:val="left" w:pos="1985"/>
          <w:tab w:val="left" w:pos="2268"/>
        </w:tabs>
        <w:ind w:left="2268" w:hanging="2268"/>
      </w:pPr>
    </w:p>
    <w:p w:rsidR="0095318C" w:rsidRPr="00013B5C" w:rsidRDefault="0095318C" w:rsidP="00DC1333">
      <w:pPr>
        <w:ind w:left="2410" w:hanging="2410"/>
        <w:rPr>
          <w:b/>
          <w:sz w:val="20"/>
        </w:rPr>
      </w:pPr>
      <w:r w:rsidRPr="00013B5C">
        <w:rPr>
          <w:b/>
          <w:sz w:val="20"/>
        </w:rPr>
        <w:t>Director de programa</w:t>
      </w:r>
      <w:r w:rsidRPr="00013B5C">
        <w:rPr>
          <w:b/>
          <w:sz w:val="20"/>
        </w:rPr>
        <w:tab/>
        <w:t>Sr. M. Matus</w:t>
      </w:r>
    </w:p>
    <w:p w:rsidR="0095318C" w:rsidRPr="003C4694" w:rsidRDefault="0095318C" w:rsidP="00DC1333"/>
    <w:p w:rsidR="0095318C" w:rsidRPr="003C4694" w:rsidRDefault="0095318C" w:rsidP="00DC1333"/>
    <w:bookmarkEnd w:id="105"/>
    <w:p w:rsidR="0095318C" w:rsidRPr="003C4694" w:rsidRDefault="008F7CBE" w:rsidP="00DC1333">
      <w:pPr>
        <w:rPr>
          <w:bCs/>
          <w:szCs w:val="22"/>
        </w:rPr>
      </w:pPr>
      <w:r w:rsidRPr="008F7CBE">
        <w:rPr>
          <w:bCs/>
          <w:sz w:val="20"/>
          <w:szCs w:val="22"/>
        </w:rPr>
        <w:t>LOGROS ALCANZADOS EN EL BIENIO 2014/15</w:t>
      </w:r>
    </w:p>
    <w:p w:rsidR="0095318C" w:rsidRPr="003C4694" w:rsidRDefault="0095318C" w:rsidP="00DC1333">
      <w:pPr>
        <w:pStyle w:val="ListParagraph"/>
        <w:ind w:left="0"/>
        <w:jc w:val="both"/>
        <w:rPr>
          <w:bCs/>
          <w:lang w:val="es-ES"/>
        </w:rPr>
      </w:pPr>
    </w:p>
    <w:p w:rsidR="0095318C" w:rsidRPr="003C4694" w:rsidRDefault="0095318C" w:rsidP="0095318C">
      <w:pPr>
        <w:pStyle w:val="ListParagraph"/>
        <w:numPr>
          <w:ilvl w:val="1"/>
          <w:numId w:val="53"/>
        </w:numPr>
        <w:contextualSpacing/>
        <w:jc w:val="both"/>
        <w:rPr>
          <w:rFonts w:eastAsia="SimSun"/>
          <w:lang w:val="es-ES" w:eastAsia="zh-CN"/>
        </w:rPr>
      </w:pPr>
      <w:r w:rsidRPr="003C4694">
        <w:rPr>
          <w:bCs/>
          <w:lang w:val="es-ES"/>
        </w:rPr>
        <w:t xml:space="preserve">La </w:t>
      </w:r>
      <w:r w:rsidRPr="00DE4F09">
        <w:rPr>
          <w:bCs/>
          <w:lang w:val="es-ES"/>
        </w:rPr>
        <w:t xml:space="preserve">prestación de asistencia técnica y apoyo del programa a </w:t>
      </w:r>
      <w:r>
        <w:rPr>
          <w:bCs/>
          <w:lang w:val="es-ES"/>
        </w:rPr>
        <w:t xml:space="preserve">los Estados miembros en atención a </w:t>
      </w:r>
      <w:r w:rsidRPr="00DE4F09">
        <w:rPr>
          <w:bCs/>
          <w:lang w:val="es-ES"/>
        </w:rPr>
        <w:t>sus necesidades en el bienio</w:t>
      </w:r>
      <w:r>
        <w:rPr>
          <w:bCs/>
          <w:lang w:val="es-ES"/>
        </w:rPr>
        <w:t xml:space="preserve"> se siguió basando en la meta estratégica III de la OMPI: facilitar el uso de la P.I. para contribuir al desarrollo</w:t>
      </w:r>
      <w:r w:rsidRPr="00DE4F09">
        <w:rPr>
          <w:bCs/>
          <w:lang w:val="es-ES"/>
        </w:rPr>
        <w:t>.</w:t>
      </w:r>
      <w:r w:rsidRPr="003C4694">
        <w:rPr>
          <w:bCs/>
          <w:lang w:val="es-ES"/>
        </w:rPr>
        <w:t xml:space="preserve">  </w:t>
      </w:r>
      <w:r w:rsidRPr="003C4694">
        <w:rPr>
          <w:rFonts w:eastAsia="SimSun"/>
          <w:bCs/>
          <w:lang w:val="es-ES" w:eastAsia="zh-CN"/>
        </w:rPr>
        <w:t>En el marco del programa 9, que hace las veces de interfaz principal entre los Estados miembros beneficiarios y los diversos programas de la OMPI, se siguió garantizando la prestación de asistencia técnica adecuada a cada país y basada en sus necesidades, coherente y bien coordinada.</w:t>
      </w:r>
      <w:r w:rsidRPr="003C4694">
        <w:rPr>
          <w:bCs/>
          <w:lang w:val="es-ES"/>
        </w:rPr>
        <w:t xml:space="preserve">  </w:t>
      </w:r>
      <w:r w:rsidRPr="003C4694">
        <w:rPr>
          <w:rFonts w:eastAsia="SimSun"/>
          <w:lang w:val="es-ES" w:eastAsia="zh-CN"/>
        </w:rPr>
        <w:t>En general, la configuración, planificación y aplicación de las actividades de cooperación técnica se basaron en las recomendaciones correspondientes de la A.D., en particular, las recomendaciones de la categoría A, relativas a las actividades de asistencia técnica y fortalecimiento de capacidades que presta la OMPI.  En sintonía también con las recomendaciones de la A.D., en 2014/15 siguió incorporándose a los diferentes programas especializados de la Organización la ejecuc</w:t>
      </w:r>
      <w:r>
        <w:rPr>
          <w:rFonts w:eastAsia="SimSun"/>
          <w:lang w:val="es-ES" w:eastAsia="zh-CN"/>
        </w:rPr>
        <w:t xml:space="preserve">ión de actividades </w:t>
      </w:r>
      <w:r w:rsidRPr="00DE4F09">
        <w:rPr>
          <w:rFonts w:eastAsia="SimSun"/>
          <w:lang w:val="es-ES" w:eastAsia="zh-CN"/>
        </w:rPr>
        <w:t>orientadas al desarrollo en los países en desarrollo y PMA a</w:t>
      </w:r>
      <w:r w:rsidRPr="003C4694">
        <w:rPr>
          <w:rFonts w:eastAsia="SimSun"/>
          <w:lang w:val="es-ES" w:eastAsia="zh-CN"/>
        </w:rPr>
        <w:t xml:space="preserve"> fin de seguir fortaleciendo la cooperación técnica de la OMPI.</w:t>
      </w:r>
    </w:p>
    <w:p w:rsidR="0095318C" w:rsidRPr="003C4694" w:rsidRDefault="0095318C" w:rsidP="00DC1333">
      <w:pPr>
        <w:pStyle w:val="ListParagraph"/>
        <w:ind w:left="0"/>
        <w:jc w:val="both"/>
        <w:rPr>
          <w:bCs/>
          <w:lang w:val="es-ES"/>
        </w:rPr>
      </w:pPr>
    </w:p>
    <w:p w:rsidR="0095318C" w:rsidRPr="003C4694" w:rsidRDefault="0095318C" w:rsidP="0095318C">
      <w:pPr>
        <w:pStyle w:val="ListParagraph"/>
        <w:numPr>
          <w:ilvl w:val="1"/>
          <w:numId w:val="53"/>
        </w:numPr>
        <w:contextualSpacing/>
        <w:jc w:val="both"/>
        <w:rPr>
          <w:bCs/>
          <w:lang w:val="es-ES"/>
        </w:rPr>
      </w:pPr>
      <w:r w:rsidRPr="003C4694">
        <w:rPr>
          <w:rFonts w:eastAsia="SimSun"/>
          <w:bCs/>
          <w:lang w:val="es-ES" w:eastAsia="zh-CN"/>
        </w:rPr>
        <w:t xml:space="preserve">La OMPI siguió prestando asistencia a los países en desarrollo y PMA en la elaboración, el desarrollo y la aplicación de estrategias nacionales de P.I. coherentes con sus planes generales de desarrollo y capaces de impulsar la innovación y la creatividad.  </w:t>
      </w:r>
      <w:r>
        <w:rPr>
          <w:rFonts w:eastAsia="SimSun"/>
          <w:bCs/>
          <w:lang w:val="es-ES" w:eastAsia="zh-CN"/>
        </w:rPr>
        <w:t>El proceso siguió orientándose hacia</w:t>
      </w:r>
      <w:r w:rsidRPr="003C4694">
        <w:rPr>
          <w:rFonts w:eastAsia="SimSun"/>
          <w:bCs/>
          <w:lang w:val="es-ES" w:eastAsia="zh-CN"/>
        </w:rPr>
        <w:t xml:space="preserve"> la aplicación de una metodología normalizada, pero flexible, y un repertorio de herramientas prácticas para la formulación de estrategias y planes nacionales de P.I., creadas en el marco del </w:t>
      </w:r>
      <w:r w:rsidRPr="00DE4F09">
        <w:rPr>
          <w:rFonts w:eastAsia="SimSun"/>
          <w:bCs/>
          <w:lang w:val="es-ES" w:eastAsia="zh-CN"/>
        </w:rPr>
        <w:t>proyecto de 2012</w:t>
      </w:r>
      <w:r w:rsidRPr="003C4694">
        <w:rPr>
          <w:rFonts w:eastAsia="SimSun"/>
          <w:bCs/>
          <w:lang w:val="es-ES" w:eastAsia="zh-CN"/>
        </w:rPr>
        <w:t xml:space="preserve"> de la A.D. sobre la mejora de la capacidad de las instituciones de P.I. de ámbito nacional, subregional y regional y de los respectivos usuarios.  Como resultado de ello, </w:t>
      </w:r>
      <w:r w:rsidRPr="00DE4F09">
        <w:rPr>
          <w:rFonts w:eastAsia="SimSun"/>
          <w:bCs/>
          <w:lang w:val="es-ES" w:eastAsia="zh-CN"/>
        </w:rPr>
        <w:t>15</w:t>
      </w:r>
      <w:r w:rsidRPr="003C4694">
        <w:rPr>
          <w:rFonts w:eastAsia="SimSun"/>
          <w:bCs/>
          <w:lang w:val="es-ES" w:eastAsia="zh-CN"/>
        </w:rPr>
        <w:t xml:space="preserve"> países (seis en África, cinco en Asia y el Pacífico y cuatro en América Latina y el Caribe) iniciaron a finales de 2014 el proceso de formulación de estrategias y planes de desarrollo nacionales de P.I., y 13 países (cuat</w:t>
      </w:r>
      <w:r>
        <w:rPr>
          <w:rFonts w:eastAsia="SimSun"/>
          <w:bCs/>
          <w:lang w:val="es-ES" w:eastAsia="zh-CN"/>
        </w:rPr>
        <w:t>ro en África, dos en la región á</w:t>
      </w:r>
      <w:r w:rsidRPr="003C4694">
        <w:rPr>
          <w:rFonts w:eastAsia="SimSun"/>
          <w:bCs/>
          <w:lang w:val="es-ES" w:eastAsia="zh-CN"/>
        </w:rPr>
        <w:t xml:space="preserve">rabe, tres en Asia y el Pacífico y cuatro en América Latina y el Caribe) estaban todavía </w:t>
      </w:r>
      <w:r w:rsidRPr="00DE4F09">
        <w:rPr>
          <w:rFonts w:eastAsia="SimSun"/>
          <w:bCs/>
          <w:lang w:val="es-ES" w:eastAsia="zh-CN"/>
        </w:rPr>
        <w:t>inmersos</w:t>
      </w:r>
      <w:r>
        <w:rPr>
          <w:rFonts w:eastAsia="SimSun"/>
          <w:bCs/>
          <w:lang w:val="es-ES" w:eastAsia="zh-CN"/>
        </w:rPr>
        <w:t xml:space="preserve"> </w:t>
      </w:r>
      <w:r w:rsidRPr="003C4694">
        <w:rPr>
          <w:rFonts w:eastAsia="SimSun"/>
          <w:bCs/>
          <w:lang w:val="es-ES" w:eastAsia="zh-CN"/>
        </w:rPr>
        <w:t>en el proceso de formulación o de adopción.  A fines del bienio 2014/15 se habían adoptado, o estaban en vías de aplicación, planes de desarrollo/estrategias nacionales en materia de P.I. en un total de 4</w:t>
      </w:r>
      <w:r w:rsidR="00124954">
        <w:rPr>
          <w:rFonts w:eastAsia="SimSun"/>
          <w:bCs/>
          <w:lang w:val="es-ES" w:eastAsia="zh-CN"/>
        </w:rPr>
        <w:t>4</w:t>
      </w:r>
      <w:r w:rsidRPr="003C4694">
        <w:rPr>
          <w:rFonts w:eastAsia="SimSun"/>
          <w:bCs/>
          <w:lang w:val="es-ES" w:eastAsia="zh-CN"/>
        </w:rPr>
        <w:t xml:space="preserve"> países (26 en África, dos en los países árabes, </w:t>
      </w:r>
      <w:r w:rsidR="00124954">
        <w:rPr>
          <w:rFonts w:eastAsia="SimSun"/>
          <w:bCs/>
          <w:lang w:val="es-ES" w:eastAsia="zh-CN"/>
        </w:rPr>
        <w:t>ocho</w:t>
      </w:r>
      <w:r w:rsidRPr="003C4694">
        <w:rPr>
          <w:rFonts w:eastAsia="SimSun"/>
          <w:bCs/>
          <w:lang w:val="es-ES" w:eastAsia="zh-CN"/>
        </w:rPr>
        <w:t xml:space="preserve"> en Asia y el Pacífico y ocho en América Latina y el Caribe), de los que 1</w:t>
      </w:r>
      <w:r w:rsidR="00124954">
        <w:rPr>
          <w:rFonts w:eastAsia="SimSun"/>
          <w:bCs/>
          <w:lang w:val="es-ES" w:eastAsia="zh-CN"/>
        </w:rPr>
        <w:t>9</w:t>
      </w:r>
      <w:r w:rsidRPr="003C4694">
        <w:rPr>
          <w:rFonts w:eastAsia="SimSun"/>
          <w:bCs/>
          <w:lang w:val="es-ES" w:eastAsia="zh-CN"/>
        </w:rPr>
        <w:t xml:space="preserve"> eran países menos adelantados.</w:t>
      </w:r>
      <w:r w:rsidRPr="003C4694">
        <w:rPr>
          <w:bCs/>
          <w:lang w:val="es-ES"/>
        </w:rPr>
        <w:t xml:space="preserve"> </w:t>
      </w:r>
    </w:p>
    <w:p w:rsidR="0095318C" w:rsidRPr="003C4694" w:rsidRDefault="0095318C" w:rsidP="00DC1333">
      <w:pPr>
        <w:pStyle w:val="ListParagraph"/>
        <w:ind w:left="0"/>
        <w:jc w:val="both"/>
        <w:rPr>
          <w:bCs/>
          <w:lang w:val="es-ES"/>
        </w:rPr>
      </w:pPr>
    </w:p>
    <w:p w:rsidR="0095318C" w:rsidRPr="003C4694" w:rsidRDefault="0095318C" w:rsidP="0095318C">
      <w:pPr>
        <w:pStyle w:val="ListParagraph"/>
        <w:numPr>
          <w:ilvl w:val="1"/>
          <w:numId w:val="53"/>
        </w:numPr>
        <w:contextualSpacing/>
        <w:jc w:val="both"/>
        <w:rPr>
          <w:lang w:val="es-ES"/>
        </w:rPr>
      </w:pPr>
      <w:r w:rsidRPr="003C4694">
        <w:rPr>
          <w:bCs/>
          <w:lang w:val="es-ES"/>
        </w:rPr>
        <w:t>Por primera vez, la OMPI participó activamente en la prestación de asistencia a un grupo regional para formular un marco global de P.I. en el plano regional.  En octubre de 2014, representantes de cada uno de los países de la Asociación de Naciones del Asia Sudoriental (ASEAN) participaron en un taller de intercambio de ideas en relación con la elaboración del plan estratégico sobre derechos de P.I. de la ASEAN para 2016-2025, de conformidad con la estrategia de la Co</w:t>
      </w:r>
      <w:r>
        <w:rPr>
          <w:bCs/>
          <w:lang w:val="es-ES"/>
        </w:rPr>
        <w:t xml:space="preserve">munidad Económica </w:t>
      </w:r>
      <w:r w:rsidRPr="003C4694">
        <w:rPr>
          <w:bCs/>
          <w:lang w:val="es-ES"/>
        </w:rPr>
        <w:t>de la ASEAN para 2016-2025.</w:t>
      </w:r>
    </w:p>
    <w:p w:rsidR="0095318C" w:rsidRPr="003C4694" w:rsidRDefault="0095318C" w:rsidP="00DC1333">
      <w:pPr>
        <w:contextualSpacing/>
        <w:jc w:val="both"/>
        <w:rPr>
          <w:bCs/>
        </w:rPr>
      </w:pPr>
    </w:p>
    <w:p w:rsidR="0095318C" w:rsidRPr="003C4694" w:rsidRDefault="0095318C" w:rsidP="0095318C">
      <w:pPr>
        <w:pStyle w:val="ListParagraph"/>
        <w:numPr>
          <w:ilvl w:val="1"/>
          <w:numId w:val="53"/>
        </w:numPr>
        <w:contextualSpacing/>
        <w:jc w:val="both"/>
        <w:rPr>
          <w:rFonts w:eastAsia="SimSun"/>
          <w:bCs/>
          <w:lang w:val="es-ES" w:eastAsia="zh-CN"/>
        </w:rPr>
      </w:pPr>
      <w:r w:rsidRPr="003C4694">
        <w:rPr>
          <w:rFonts w:eastAsia="SimSun"/>
          <w:bCs/>
          <w:lang w:val="es-ES" w:eastAsia="zh-CN"/>
        </w:rPr>
        <w:t xml:space="preserve">A lo largo del bienio siguió siendo prioritaria la tarea de mejorar las capacidades en el ámbito de los recursos humanos para hacer frente al amplio espectro de exigencias que supone la utilización eficaz </w:t>
      </w:r>
      <w:r w:rsidRPr="00DE4F09">
        <w:rPr>
          <w:rFonts w:eastAsia="SimSun"/>
          <w:bCs/>
          <w:lang w:val="es-ES" w:eastAsia="zh-CN"/>
        </w:rPr>
        <w:t>de la P.I. en aras del desarrollo y potenciar la innovación y la creatividad.  Se llevaron a cabo programas específicos</w:t>
      </w:r>
      <w:r w:rsidRPr="003C4694">
        <w:rPr>
          <w:rFonts w:eastAsia="SimSun"/>
          <w:bCs/>
          <w:lang w:val="es-ES" w:eastAsia="zh-CN"/>
        </w:rPr>
        <w:t xml:space="preserve"> en los planos nacional, subregional y regional, de fortalecimiento de capacidades y de desar</w:t>
      </w:r>
      <w:r>
        <w:rPr>
          <w:rFonts w:eastAsia="SimSun"/>
          <w:bCs/>
          <w:lang w:val="es-ES" w:eastAsia="zh-CN"/>
        </w:rPr>
        <w:t xml:space="preserve">rollo de aptitudes destinados a grupos concretos, </w:t>
      </w:r>
      <w:r w:rsidRPr="003C4694">
        <w:rPr>
          <w:rFonts w:eastAsia="SimSun"/>
          <w:bCs/>
          <w:lang w:val="es-ES" w:eastAsia="zh-CN"/>
        </w:rPr>
        <w:t>tales como funcionarios gubernamentales, responsables de la elaboración de políticas, profesionales de la P.I., funcionarios encargados de hacer cumplir la ley, investigadores y académicos, empresarios y miembros del sector industrial así como pymes.</w:t>
      </w:r>
    </w:p>
    <w:p w:rsidR="0095318C" w:rsidRPr="003C4694" w:rsidRDefault="0095318C" w:rsidP="00DC1333">
      <w:pPr>
        <w:contextualSpacing/>
        <w:jc w:val="both"/>
        <w:rPr>
          <w:bCs/>
        </w:rPr>
      </w:pPr>
    </w:p>
    <w:p w:rsidR="0095318C" w:rsidRPr="003C4694" w:rsidRDefault="0095318C" w:rsidP="0095318C">
      <w:pPr>
        <w:pStyle w:val="ListParagraph"/>
        <w:numPr>
          <w:ilvl w:val="1"/>
          <w:numId w:val="53"/>
        </w:numPr>
        <w:contextualSpacing/>
        <w:jc w:val="both"/>
        <w:rPr>
          <w:b/>
          <w:bCs/>
          <w:lang w:val="es-ES"/>
        </w:rPr>
      </w:pPr>
      <w:r w:rsidRPr="003C4694">
        <w:rPr>
          <w:rFonts w:eastAsia="SimSun"/>
          <w:bCs/>
          <w:lang w:val="es-ES" w:eastAsia="zh-CN"/>
        </w:rPr>
        <w:t xml:space="preserve">En 2014/15, la OMPI siguió reforzando su asistencia a las Oficinas de P.I. de los países en </w:t>
      </w:r>
      <w:r w:rsidRPr="00DE4F09">
        <w:rPr>
          <w:rFonts w:eastAsia="SimSun"/>
          <w:bCs/>
          <w:lang w:val="es-ES" w:eastAsia="zh-CN"/>
        </w:rPr>
        <w:t>desarrollo y PMA para que puedan ofrecer a los sectores interesados servicios de infraestructura técnica y modernización de la P.I. que sean costoeficaces y de calidad, creando así un entorno más favorable al uso eficaz de la información de P.I., en particular, por parte de las instituciones a cargo de la</w:t>
      </w:r>
      <w:r w:rsidRPr="003C4694">
        <w:rPr>
          <w:rFonts w:eastAsia="SimSun"/>
          <w:bCs/>
          <w:lang w:val="es-ES" w:eastAsia="zh-CN"/>
        </w:rPr>
        <w:t xml:space="preserve"> administración de derechos de P.I., el sistema nacional de innovación y el sector productivo.  </w:t>
      </w:r>
      <w:r>
        <w:rPr>
          <w:bCs/>
          <w:lang w:val="es-ES"/>
        </w:rPr>
        <w:t>A finales de </w:t>
      </w:r>
      <w:r w:rsidRPr="003C4694">
        <w:rPr>
          <w:bCs/>
          <w:lang w:val="es-ES"/>
        </w:rPr>
        <w:t>2015, alrededor de 70 oficinas utilizaban los sistemas de la OMPI de administración de la P.I. en diferentes regiones: 24 en África, 14 en la región árabe, 13 en Asia y el Pacífico, y 19 en América Latina y el Caribe (para obtener información más detallada, véase el programa 15)</w:t>
      </w:r>
      <w:r w:rsidRPr="003C4694">
        <w:rPr>
          <w:rFonts w:eastAsia="SimSun"/>
          <w:bCs/>
          <w:lang w:val="es-ES" w:eastAsia="zh-CN"/>
        </w:rPr>
        <w:t>.</w:t>
      </w:r>
    </w:p>
    <w:p w:rsidR="0095318C" w:rsidRPr="003C4694" w:rsidRDefault="0095318C" w:rsidP="00DC1333">
      <w:pPr>
        <w:tabs>
          <w:tab w:val="left" w:pos="709"/>
        </w:tabs>
        <w:jc w:val="both"/>
        <w:rPr>
          <w:bCs/>
        </w:rPr>
      </w:pPr>
    </w:p>
    <w:p w:rsidR="0095318C" w:rsidRPr="003C4694" w:rsidRDefault="0095318C" w:rsidP="0095318C">
      <w:pPr>
        <w:pStyle w:val="ListParagraph"/>
        <w:numPr>
          <w:ilvl w:val="1"/>
          <w:numId w:val="53"/>
        </w:numPr>
        <w:contextualSpacing/>
        <w:jc w:val="both"/>
        <w:rPr>
          <w:rFonts w:eastAsia="SimSun"/>
          <w:bCs/>
          <w:lang w:val="es-ES" w:eastAsia="zh-CN"/>
        </w:rPr>
      </w:pPr>
      <w:r w:rsidRPr="003C4694">
        <w:rPr>
          <w:rFonts w:eastAsia="SimSun"/>
          <w:bCs/>
          <w:lang w:val="es-ES" w:eastAsia="zh-CN"/>
        </w:rPr>
        <w:t xml:space="preserve">Una de las </w:t>
      </w:r>
      <w:r>
        <w:rPr>
          <w:rFonts w:eastAsia="SimSun"/>
          <w:bCs/>
          <w:lang w:val="es-ES" w:eastAsia="zh-CN"/>
        </w:rPr>
        <w:t xml:space="preserve">principales prioridades </w:t>
      </w:r>
      <w:r w:rsidRPr="003C4694">
        <w:rPr>
          <w:rFonts w:eastAsia="SimSun"/>
          <w:bCs/>
          <w:lang w:val="es-ES" w:eastAsia="zh-CN"/>
        </w:rPr>
        <w:t>siguió siendo facilitar el acceso a bases de datos de información mundial sobre tecnología.  A lo largo del bienio, se hizo mayor hincapié en consolidar los centros de apoyo a la tecnología y la innovación (CATI) con miras a lograr su sostenibilidad a largo plazo.  De los 49 CATI creados en las distintas regiones, a finales de 2015 se consideraban sostenibles unos 24</w:t>
      </w:r>
      <w:proofErr w:type="gramStart"/>
      <w:r>
        <w:rPr>
          <w:rFonts w:eastAsia="SimSun"/>
          <w:bCs/>
          <w:lang w:val="es-ES" w:eastAsia="zh-CN"/>
        </w:rPr>
        <w:t>:</w:t>
      </w:r>
      <w:r w:rsidRPr="003C4694">
        <w:rPr>
          <w:rFonts w:eastAsia="SimSun"/>
          <w:bCs/>
          <w:lang w:val="es-ES" w:eastAsia="zh-CN"/>
        </w:rPr>
        <w:t xml:space="preserve"> </w:t>
      </w:r>
      <w:r>
        <w:rPr>
          <w:rFonts w:eastAsia="SimSun"/>
          <w:bCs/>
          <w:lang w:val="es-ES" w:eastAsia="zh-CN"/>
        </w:rPr>
        <w:t xml:space="preserve"> </w:t>
      </w:r>
      <w:r w:rsidRPr="003C4694">
        <w:rPr>
          <w:rFonts w:eastAsia="SimSun"/>
          <w:bCs/>
          <w:lang w:val="es-ES" w:eastAsia="zh-CN"/>
        </w:rPr>
        <w:t>diez</w:t>
      </w:r>
      <w:proofErr w:type="gramEnd"/>
      <w:r w:rsidRPr="003C4694">
        <w:rPr>
          <w:rFonts w:eastAsia="SimSun"/>
          <w:bCs/>
          <w:lang w:val="es-ES" w:eastAsia="zh-CN"/>
        </w:rPr>
        <w:t xml:space="preserve"> en África (ocho de ellos en PMA);  tres en la región árabe;  cuatro en Asia y el Pacífico (uno de ellos en un PMA), y siete en América Latina y el Caribe (para obtener información m</w:t>
      </w:r>
      <w:r w:rsidR="00DA28C1">
        <w:rPr>
          <w:rFonts w:eastAsia="SimSun"/>
          <w:bCs/>
          <w:lang w:val="es-ES" w:eastAsia="zh-CN"/>
        </w:rPr>
        <w:t>ás detallada, véase el programa </w:t>
      </w:r>
      <w:r w:rsidRPr="003C4694">
        <w:rPr>
          <w:rFonts w:eastAsia="SimSun"/>
          <w:bCs/>
          <w:lang w:val="es-ES" w:eastAsia="zh-CN"/>
        </w:rPr>
        <w:t>14).</w:t>
      </w:r>
    </w:p>
    <w:p w:rsidR="0095318C" w:rsidRPr="003C4694" w:rsidRDefault="0095318C" w:rsidP="00DC1333">
      <w:pPr>
        <w:tabs>
          <w:tab w:val="left" w:pos="709"/>
        </w:tabs>
        <w:jc w:val="both"/>
        <w:rPr>
          <w:bCs/>
        </w:rPr>
      </w:pPr>
    </w:p>
    <w:p w:rsidR="0095318C" w:rsidRPr="003C4694" w:rsidRDefault="0095318C" w:rsidP="0095318C">
      <w:pPr>
        <w:pStyle w:val="ListParagraph"/>
        <w:numPr>
          <w:ilvl w:val="1"/>
          <w:numId w:val="53"/>
        </w:numPr>
        <w:contextualSpacing/>
        <w:jc w:val="both"/>
        <w:rPr>
          <w:bCs/>
          <w:lang w:val="es-ES"/>
        </w:rPr>
      </w:pPr>
      <w:r w:rsidRPr="003C4694">
        <w:rPr>
          <w:bCs/>
          <w:lang w:val="es-ES"/>
        </w:rPr>
        <w:t>La OMPI también ha reforzado su cooperación con los PMA a fin de elaborar un marco de políticas públicas sobre innovación;  evaluar las aptitudes técnicas nec</w:t>
      </w:r>
      <w:r>
        <w:rPr>
          <w:bCs/>
          <w:lang w:val="es-ES"/>
        </w:rPr>
        <w:t xml:space="preserve">esarias;  facilitar el acceso a plataformas </w:t>
      </w:r>
      <w:r w:rsidRPr="003C4694">
        <w:rPr>
          <w:bCs/>
          <w:lang w:val="es-ES"/>
        </w:rPr>
        <w:t>de información científica y tecnológica</w:t>
      </w:r>
      <w:r>
        <w:rPr>
          <w:bCs/>
          <w:lang w:val="es-ES"/>
        </w:rPr>
        <w:t xml:space="preserve"> a nivel mundial</w:t>
      </w:r>
      <w:r w:rsidRPr="003C4694">
        <w:rPr>
          <w:bCs/>
          <w:lang w:val="es-ES"/>
        </w:rPr>
        <w:t xml:space="preserve">;  crear infraestructuras de apoyo a la innovación;  y apoyar los inventarios y el fortalecimiento de capacidades en relación con los conocimientos tradicionales.  Como parte de la fase II del proyecto de la A.D. sobre fortalecimiento de capacidades en el uso de información técnica y científica relativa a las tecnologías apropiadas para solucionar determinados problemas de desarrollo, se suscribieron memorandos de entendimiento con cuatro PMA (Etiopía, la República Unida de Tanzanía, </w:t>
      </w:r>
      <w:r>
        <w:rPr>
          <w:bCs/>
          <w:lang w:val="es-ES"/>
        </w:rPr>
        <w:t>Rwanda</w:t>
      </w:r>
      <w:r w:rsidRPr="003C4694">
        <w:rPr>
          <w:bCs/>
          <w:lang w:val="es-ES"/>
        </w:rPr>
        <w:t xml:space="preserve"> y Uganda) y, a finales de 2015, el proyecto había comenzado a aplicarse en tres de ellos (</w:t>
      </w:r>
      <w:r w:rsidRPr="003C4694">
        <w:rPr>
          <w:rFonts w:eastAsia="Calibri"/>
          <w:color w:val="000000"/>
          <w:szCs w:val="24"/>
          <w:lang w:val="es-ES"/>
        </w:rPr>
        <w:t>Etiopía, la República Unida de Tanzanía y Rwanda)</w:t>
      </w:r>
      <w:r>
        <w:rPr>
          <w:bCs/>
          <w:lang w:val="es-ES"/>
        </w:rPr>
        <w:t>.</w:t>
      </w:r>
    </w:p>
    <w:p w:rsidR="0095318C" w:rsidRPr="003C4694" w:rsidRDefault="0095318C" w:rsidP="00DC1333">
      <w:pPr>
        <w:pStyle w:val="ListParagraph"/>
        <w:ind w:left="0"/>
        <w:jc w:val="both"/>
        <w:rPr>
          <w:bCs/>
          <w:lang w:val="es-ES"/>
        </w:rPr>
      </w:pPr>
    </w:p>
    <w:p w:rsidR="0095318C" w:rsidRPr="003C4694" w:rsidRDefault="0095318C" w:rsidP="0095318C">
      <w:pPr>
        <w:pStyle w:val="ListParagraph"/>
        <w:numPr>
          <w:ilvl w:val="1"/>
          <w:numId w:val="53"/>
        </w:numPr>
        <w:contextualSpacing/>
        <w:jc w:val="both"/>
        <w:rPr>
          <w:bCs/>
          <w:lang w:val="es-ES"/>
        </w:rPr>
      </w:pPr>
      <w:r w:rsidRPr="003C4694">
        <w:rPr>
          <w:bCs/>
          <w:lang w:val="es-ES"/>
        </w:rPr>
        <w:t xml:space="preserve">Asimismo, la OMPI colaboró estrechamente con la Oficina del Alto Representante para los Países Menos Adelantados, los Países en Desarrollo sin Litoral y los Pequeños Estados Insulares (UN-OHRLLS) en el contexto de la aplicación del Programa de Acción de Estambul.  En 2014, con ocasión de la </w:t>
      </w:r>
      <w:r>
        <w:rPr>
          <w:bCs/>
          <w:lang w:val="es-ES"/>
        </w:rPr>
        <w:t>Conferencia Ministerial celebrada en Benin</w:t>
      </w:r>
      <w:r w:rsidRPr="003C4694">
        <w:rPr>
          <w:bCs/>
          <w:lang w:val="es-ES"/>
        </w:rPr>
        <w:t xml:space="preserve">, </w:t>
      </w:r>
      <w:r>
        <w:rPr>
          <w:bCs/>
          <w:lang w:val="es-ES"/>
        </w:rPr>
        <w:t xml:space="preserve">la OMPI llevó a la práctica un programa de alianzas para la cooperación interregional junto con la </w:t>
      </w:r>
      <w:r w:rsidRPr="0056597A">
        <w:rPr>
          <w:bCs/>
          <w:lang w:val="es-ES"/>
        </w:rPr>
        <w:t xml:space="preserve">Unión Internacional de Telecomunicaciones (UIT), el Fondo de las Naciones Unidas para el Desarrollo de la Capitalización (FNUDC) y la Organización de las Naciones Unidas para </w:t>
      </w:r>
      <w:r>
        <w:rPr>
          <w:bCs/>
          <w:lang w:val="es-ES"/>
        </w:rPr>
        <w:t>el Desarrollo Industrial (ONUDI</w:t>
      </w:r>
      <w:r w:rsidRPr="003C4694">
        <w:rPr>
          <w:bCs/>
          <w:lang w:val="es-ES"/>
        </w:rPr>
        <w:t xml:space="preserve">). </w:t>
      </w:r>
      <w:r>
        <w:rPr>
          <w:bCs/>
          <w:lang w:val="es-ES"/>
        </w:rPr>
        <w:t xml:space="preserve"> En 2015 se crearon dos nuevos foros de cooperación </w:t>
      </w:r>
      <w:r w:rsidRPr="00DE4F09">
        <w:rPr>
          <w:bCs/>
          <w:lang w:val="es-ES"/>
        </w:rPr>
        <w:t>entre organizaciones asociadas, uno con la Comisión Económica y Social de las Naciones Unidas para Asia y el Pacífico (CESPAP) y el otro la Comisión Económica de las Naciones Unidas para África</w:t>
      </w:r>
      <w:r w:rsidRPr="00BE4A34">
        <w:rPr>
          <w:bCs/>
          <w:lang w:val="es-ES"/>
        </w:rPr>
        <w:t xml:space="preserve"> (CEPA</w:t>
      </w:r>
      <w:r w:rsidRPr="003C4694">
        <w:rPr>
          <w:bCs/>
          <w:lang w:val="es-ES"/>
        </w:rPr>
        <w:t xml:space="preserve">).  </w:t>
      </w:r>
      <w:r>
        <w:rPr>
          <w:bCs/>
          <w:lang w:val="es-ES"/>
        </w:rPr>
        <w:t>La asociación con CESPAP condujo a una propuesta relativa a la firma de un memorando de entendimiento entre las dos organizaciones.  La atención se centró en la mejora de las capacidades y el fortalecimiento de instituciones de los PMA de África y Asia.</w:t>
      </w:r>
      <w:r w:rsidRPr="003C4694">
        <w:rPr>
          <w:bCs/>
          <w:lang w:val="es-ES"/>
        </w:rPr>
        <w:t xml:space="preserve"> </w:t>
      </w:r>
    </w:p>
    <w:p w:rsidR="0095318C" w:rsidRPr="003C4694" w:rsidRDefault="0095318C" w:rsidP="00DC1333">
      <w:pPr>
        <w:pStyle w:val="ListParagraph"/>
        <w:ind w:left="0"/>
        <w:rPr>
          <w:bCs/>
          <w:lang w:val="es-ES"/>
        </w:rPr>
      </w:pPr>
    </w:p>
    <w:p w:rsidR="0095318C" w:rsidRPr="00DE4F09" w:rsidRDefault="0095318C" w:rsidP="0095318C">
      <w:pPr>
        <w:pStyle w:val="ListParagraph"/>
        <w:numPr>
          <w:ilvl w:val="1"/>
          <w:numId w:val="53"/>
        </w:numPr>
        <w:contextualSpacing/>
        <w:jc w:val="both"/>
        <w:rPr>
          <w:bCs/>
          <w:lang w:val="es-ES"/>
        </w:rPr>
      </w:pPr>
      <w:r>
        <w:rPr>
          <w:rFonts w:cs="Arial"/>
          <w:lang w:val="es-ES"/>
        </w:rPr>
        <w:t xml:space="preserve">La OMPI, en colaboración con el Gobierno de Suecia (Oficina Sueca de Patentes y Registro) </w:t>
      </w:r>
      <w:r w:rsidRPr="00DE4F09">
        <w:rPr>
          <w:rFonts w:cs="Arial"/>
          <w:lang w:val="es-ES"/>
        </w:rPr>
        <w:t>prosiguió con su programa anual, iniciado en 2004, de formación internacional</w:t>
      </w:r>
      <w:r w:rsidRPr="00DE4F09">
        <w:rPr>
          <w:bCs/>
          <w:lang w:val="es-ES"/>
        </w:rPr>
        <w:t xml:space="preserve"> sobre la P.I. en la economía mundial destinado a orientar a los PMA sobre el uso de la P.I. al servicio del desarrollo.  Para</w:t>
      </w:r>
      <w:r>
        <w:rPr>
          <w:bCs/>
          <w:lang w:val="es-ES"/>
        </w:rPr>
        <w:t xml:space="preserve"> determinar la pertinencia, la eficacia, la eficiencia, la sostenibilidad y la incidencia del programa durante los últimos diez años, el Organismo Sueco de Cooperación para el Desarrollo Internacional (Sida) llevó a cabo una evaluación independiente</w:t>
      </w:r>
      <w:r w:rsidRPr="003C4694">
        <w:rPr>
          <w:rStyle w:val="FootnoteReference"/>
          <w:bCs/>
          <w:lang w:val="es-ES"/>
        </w:rPr>
        <w:footnoteReference w:id="54"/>
      </w:r>
      <w:r>
        <w:rPr>
          <w:bCs/>
          <w:lang w:val="es-ES"/>
        </w:rPr>
        <w:t xml:space="preserve"> sobre el desempeño del programa entre febrero de 2014 y febrero de 2015.  Sobre la base de los resultados, que en general </w:t>
      </w:r>
      <w:r w:rsidRPr="003C4694">
        <w:rPr>
          <w:bCs/>
          <w:lang w:val="es-ES"/>
        </w:rPr>
        <w:t>f</w:t>
      </w:r>
      <w:r>
        <w:rPr>
          <w:bCs/>
          <w:lang w:val="es-ES"/>
        </w:rPr>
        <w:t xml:space="preserve">ueron muy positivos, a partir de 2016 el </w:t>
      </w:r>
      <w:r w:rsidRPr="00DE4F09">
        <w:rPr>
          <w:bCs/>
          <w:lang w:val="es-ES"/>
        </w:rPr>
        <w:t>programa tendrá carácter bianual.</w:t>
      </w:r>
    </w:p>
    <w:p w:rsidR="0095318C" w:rsidRPr="003C4694" w:rsidRDefault="0095318C" w:rsidP="00DC1333">
      <w:pPr>
        <w:pStyle w:val="ListParagraph"/>
        <w:ind w:left="0"/>
        <w:contextualSpacing/>
        <w:jc w:val="both"/>
        <w:rPr>
          <w:bCs/>
          <w:lang w:val="es-ES"/>
        </w:rPr>
      </w:pPr>
    </w:p>
    <w:p w:rsidR="0095318C" w:rsidRDefault="0095318C" w:rsidP="0095318C">
      <w:pPr>
        <w:pStyle w:val="ListParagraph"/>
        <w:numPr>
          <w:ilvl w:val="1"/>
          <w:numId w:val="53"/>
        </w:numPr>
        <w:contextualSpacing/>
        <w:jc w:val="both"/>
        <w:rPr>
          <w:bCs/>
          <w:lang w:val="es-ES"/>
        </w:rPr>
      </w:pPr>
      <w:r w:rsidRPr="00F34A74">
        <w:rPr>
          <w:bCs/>
          <w:lang w:val="es-ES"/>
        </w:rPr>
        <w:t>Tras llevarse a cabo y ser evaluado en 2014, el proyecto relativo a la intensificación de la cooperación Sur-Sur en materia de propiedad intelectual (P.I.) y desarrollo entre los países en desarrollo y los PMA se amplió hasta junio de 2015.  Posteriormente se nombró un coordinador específico para ese proyecto dentro del Sector de Desarrollo.  En mayo de 2014 se puso en marcha oficialmente el sitio web Sur-Sur</w:t>
      </w:r>
      <w:r w:rsidRPr="00F34A74">
        <w:rPr>
          <w:rStyle w:val="FootnoteReference"/>
          <w:bCs/>
          <w:lang w:val="es-ES"/>
        </w:rPr>
        <w:footnoteReference w:id="55"/>
      </w:r>
      <w:r w:rsidRPr="00F34A74">
        <w:rPr>
          <w:bCs/>
          <w:lang w:val="es-ES"/>
        </w:rPr>
        <w:t xml:space="preserve">, especializado en actividades Sur-Sur, en el que figuraban plataformas de Internet Sur-Sur, una base de datos de asistencia técnica Sur-Sur (IP-TAD) y una lista de consultores que participan específicamente en actividades Sur-Sur (IP-ROC).  En particular, se realizó un análisis de los criterios, que definiría las actividades de cooperación Sur-Sur de la OMPI a la luz del </w:t>
      </w:r>
      <w:r>
        <w:rPr>
          <w:bCs/>
          <w:lang w:val="es-ES"/>
        </w:rPr>
        <w:t>mandato de la Organización</w:t>
      </w:r>
      <w:r w:rsidRPr="00F34A74">
        <w:rPr>
          <w:bCs/>
          <w:lang w:val="es-ES"/>
        </w:rPr>
        <w:t xml:space="preserve"> y del proyecto relativo a la intensificación de la cooperación Sur-Sur.  Como consecuencia de ello, se utilizó la base de datos de asistencia técnica Sur-Sur (IP-TAD) para llevar a cabo un esquema de las actividades desarrolladas durante el bienio 2014/15</w:t>
      </w:r>
      <w:r w:rsidRPr="00F34A74">
        <w:rPr>
          <w:vertAlign w:val="superscript"/>
          <w:lang w:val="es-ES"/>
        </w:rPr>
        <w:footnoteReference w:id="56"/>
      </w:r>
      <w:r w:rsidRPr="00F34A74">
        <w:rPr>
          <w:bCs/>
          <w:lang w:val="es-ES"/>
        </w:rPr>
        <w:t xml:space="preserve">.  </w:t>
      </w:r>
    </w:p>
    <w:p w:rsidR="0095318C" w:rsidRPr="00F34A74" w:rsidRDefault="0095318C" w:rsidP="00DC1333">
      <w:pPr>
        <w:pStyle w:val="ListParagraph"/>
        <w:ind w:left="0"/>
        <w:rPr>
          <w:bCs/>
          <w:lang w:val="es-ES"/>
        </w:rPr>
      </w:pPr>
    </w:p>
    <w:p w:rsidR="0095318C" w:rsidRPr="00F34A74" w:rsidRDefault="0095318C" w:rsidP="0095318C">
      <w:pPr>
        <w:pStyle w:val="ListParagraph"/>
        <w:numPr>
          <w:ilvl w:val="1"/>
          <w:numId w:val="53"/>
        </w:numPr>
        <w:contextualSpacing/>
        <w:jc w:val="both"/>
        <w:rPr>
          <w:bCs/>
          <w:lang w:val="es-ES"/>
        </w:rPr>
      </w:pPr>
      <w:r w:rsidRPr="00F34A74">
        <w:rPr>
          <w:bCs/>
          <w:lang w:val="es-ES"/>
        </w:rPr>
        <w:t>El programa continuó brindando apoyo a una serie de solicitudes de asistencia relativas a la protección y el desarrollo de marcas de productos con un origen específico</w:t>
      </w:r>
      <w:r w:rsidR="00124954">
        <w:rPr>
          <w:bCs/>
          <w:lang w:val="es-ES"/>
        </w:rPr>
        <w:t xml:space="preserve">, en particular mediante cursos de formación especializada e </w:t>
      </w:r>
      <w:r w:rsidRPr="00DE4F09">
        <w:rPr>
          <w:bCs/>
          <w:lang w:val="es-ES"/>
        </w:rPr>
        <w:t xml:space="preserve">iniciativas de diversas partes interesadas con asociados </w:t>
      </w:r>
      <w:r w:rsidRPr="00DE4F09">
        <w:rPr>
          <w:bCs/>
          <w:lang w:val="es-ES"/>
        </w:rPr>
        <w:lastRenderedPageBreak/>
        <w:t>internacionales y regionales, en particular de</w:t>
      </w:r>
      <w:r w:rsidRPr="00F34A74">
        <w:rPr>
          <w:bCs/>
          <w:lang w:val="es-ES"/>
        </w:rPr>
        <w:t xml:space="preserve"> la región del Caribe, Camboya y la República Unida de Tanzanía, para </w:t>
      </w:r>
      <w:r w:rsidR="00124954">
        <w:rPr>
          <w:bCs/>
          <w:lang w:val="es-ES"/>
        </w:rPr>
        <w:t>potenciar la capacidad de l</w:t>
      </w:r>
      <w:r w:rsidRPr="00992AF7">
        <w:rPr>
          <w:bCs/>
          <w:lang w:val="es-ES"/>
        </w:rPr>
        <w:t xml:space="preserve">as partes interesadas.  </w:t>
      </w:r>
      <w:r w:rsidR="00124954">
        <w:rPr>
          <w:bCs/>
          <w:lang w:val="es-ES"/>
        </w:rPr>
        <w:t>Además, se publicó</w:t>
      </w:r>
      <w:r w:rsidRPr="00992AF7">
        <w:rPr>
          <w:bCs/>
          <w:lang w:val="es-ES"/>
        </w:rPr>
        <w:t xml:space="preserve"> un informe sobre </w:t>
      </w:r>
      <w:r w:rsidRPr="00992AF7">
        <w:rPr>
          <w:bCs/>
          <w:i/>
          <w:lang w:val="es-ES"/>
        </w:rPr>
        <w:t>The African Fashion Design Industry:  Capturing Value through Intellectual Property</w:t>
      </w:r>
      <w:r w:rsidRPr="00992AF7">
        <w:rPr>
          <w:vertAlign w:val="superscript"/>
          <w:lang w:val="es-ES"/>
        </w:rPr>
        <w:footnoteReference w:id="57"/>
      </w:r>
      <w:r w:rsidRPr="00992AF7">
        <w:rPr>
          <w:bCs/>
          <w:lang w:val="es-ES"/>
        </w:rPr>
        <w:t xml:space="preserve">, </w:t>
      </w:r>
      <w:r>
        <w:rPr>
          <w:bCs/>
          <w:lang w:val="es-ES"/>
        </w:rPr>
        <w:t>realiz</w:t>
      </w:r>
      <w:r w:rsidR="00124954">
        <w:rPr>
          <w:bCs/>
          <w:lang w:val="es-ES"/>
        </w:rPr>
        <w:t>ado</w:t>
      </w:r>
      <w:r w:rsidRPr="00F34A74">
        <w:rPr>
          <w:bCs/>
          <w:lang w:val="es-ES"/>
        </w:rPr>
        <w:t xml:space="preserve"> en siete países de África (Camerún, Etiopía, Ghana, Nigeria, Senegal, Sudáfrica y Zimbabwe)</w:t>
      </w:r>
      <w:r w:rsidR="00124954">
        <w:rPr>
          <w:bCs/>
          <w:lang w:val="es-ES"/>
        </w:rPr>
        <w:t>, que fue presentado</w:t>
      </w:r>
      <w:r w:rsidRPr="00F34A74">
        <w:rPr>
          <w:bCs/>
          <w:lang w:val="es-ES"/>
        </w:rPr>
        <w:t xml:space="preserve"> en la Conferencia Ministerial Africana de 2015: </w:t>
      </w:r>
      <w:r w:rsidR="00EB152E">
        <w:rPr>
          <w:bCs/>
          <w:lang w:val="es-ES"/>
        </w:rPr>
        <w:t xml:space="preserve"> </w:t>
      </w:r>
      <w:r w:rsidRPr="00F34A74">
        <w:rPr>
          <w:bCs/>
          <w:lang w:val="es-ES"/>
        </w:rPr>
        <w:t>La propiedad intel</w:t>
      </w:r>
      <w:r w:rsidR="00124954">
        <w:rPr>
          <w:bCs/>
          <w:lang w:val="es-ES"/>
        </w:rPr>
        <w:t>ectual para un África emergente, organizada en Dakar (Senegal) del 3 al 5 de noviembre de 2015 en colaboración con la Unión Africana, el Gobierno del Senegal y la Oficina Japonesa de Patentes con el apoyo del fondo fiduciario japonés.</w:t>
      </w:r>
    </w:p>
    <w:p w:rsidR="0095318C" w:rsidRPr="00A56530" w:rsidRDefault="0095318C" w:rsidP="00DC1333">
      <w:pPr>
        <w:pStyle w:val="ListParagraph"/>
        <w:ind w:left="0"/>
        <w:contextualSpacing/>
        <w:jc w:val="both"/>
        <w:rPr>
          <w:bCs/>
          <w:lang w:val="es-ES"/>
        </w:rPr>
      </w:pPr>
    </w:p>
    <w:p w:rsidR="0095318C" w:rsidRPr="00AD3DD2" w:rsidRDefault="0095318C" w:rsidP="0095318C">
      <w:pPr>
        <w:pStyle w:val="ListParagraph"/>
        <w:numPr>
          <w:ilvl w:val="1"/>
          <w:numId w:val="53"/>
        </w:numPr>
        <w:contextualSpacing/>
        <w:jc w:val="both"/>
        <w:rPr>
          <w:bCs/>
          <w:lang w:val="es-ES"/>
        </w:rPr>
      </w:pPr>
      <w:r w:rsidRPr="00992AF7">
        <w:rPr>
          <w:bCs/>
          <w:lang w:val="es-ES"/>
        </w:rPr>
        <w:t>En</w:t>
      </w:r>
      <w:r w:rsidR="00124954">
        <w:rPr>
          <w:bCs/>
          <w:lang w:val="es-ES"/>
        </w:rPr>
        <w:t>esa conferencia se adoptó la</w:t>
      </w:r>
      <w:r w:rsidRPr="00992AF7">
        <w:rPr>
          <w:bCs/>
          <w:lang w:val="es-ES"/>
        </w:rPr>
        <w:t xml:space="preserve"> </w:t>
      </w:r>
      <w:r w:rsidRPr="00992AF7">
        <w:rPr>
          <w:bCs/>
          <w:i/>
          <w:iCs/>
          <w:lang w:val="es-ES"/>
        </w:rPr>
        <w:t>Declaración de Dakar sobre la Propiedad Intelectual para África</w:t>
      </w:r>
      <w:r w:rsidRPr="00992AF7">
        <w:rPr>
          <w:bCs/>
          <w:lang w:val="es-ES"/>
        </w:rPr>
        <w:t>, adoptada en esa</w:t>
      </w:r>
      <w:r w:rsidRPr="00CD6588">
        <w:rPr>
          <w:bCs/>
          <w:lang w:val="es-ES"/>
        </w:rPr>
        <w:t xml:space="preserve"> conferencia, </w:t>
      </w:r>
      <w:r w:rsidR="00124954">
        <w:rPr>
          <w:bCs/>
          <w:lang w:val="es-ES"/>
        </w:rPr>
        <w:t xml:space="preserve">la cual </w:t>
      </w:r>
      <w:r w:rsidRPr="00CD6588">
        <w:rPr>
          <w:bCs/>
          <w:lang w:val="es-ES"/>
        </w:rPr>
        <w:t>brinda un marco de cooperaci</w:t>
      </w:r>
      <w:r>
        <w:rPr>
          <w:bCs/>
          <w:lang w:val="es-ES"/>
        </w:rPr>
        <w:t xml:space="preserve">ón entre la OMPI y la Unión Africana para llevar a cabo en el continente actividades relacionadas con la P.I.  </w:t>
      </w:r>
      <w:r w:rsidR="00124954">
        <w:rPr>
          <w:bCs/>
          <w:lang w:val="es-ES"/>
        </w:rPr>
        <w:t>Además, l</w:t>
      </w:r>
      <w:r w:rsidRPr="00AD3DD2">
        <w:rPr>
          <w:bCs/>
          <w:lang w:val="es-ES"/>
        </w:rPr>
        <w:t xml:space="preserve">as </w:t>
      </w:r>
      <w:r>
        <w:rPr>
          <w:bCs/>
          <w:lang w:val="es-ES"/>
        </w:rPr>
        <w:t xml:space="preserve">actividades de cooperación con las </w:t>
      </w:r>
      <w:r w:rsidRPr="00AD3DD2">
        <w:rPr>
          <w:bCs/>
          <w:lang w:val="es-ES"/>
        </w:rPr>
        <w:t xml:space="preserve">dos organizaciones regionales </w:t>
      </w:r>
      <w:r>
        <w:rPr>
          <w:bCs/>
          <w:lang w:val="es-ES"/>
        </w:rPr>
        <w:t xml:space="preserve">africanas </w:t>
      </w:r>
      <w:r w:rsidRPr="00AD3DD2">
        <w:rPr>
          <w:bCs/>
          <w:lang w:val="es-ES"/>
        </w:rPr>
        <w:t>de P.I.</w:t>
      </w:r>
      <w:r>
        <w:rPr>
          <w:bCs/>
          <w:lang w:val="es-ES"/>
        </w:rPr>
        <w:t xml:space="preserve"> (ARIPO</w:t>
      </w:r>
      <w:r w:rsidR="00124954">
        <w:rPr>
          <w:bCs/>
          <w:lang w:val="es-ES"/>
        </w:rPr>
        <w:t xml:space="preserve"> y OAPI</w:t>
      </w:r>
      <w:r>
        <w:rPr>
          <w:bCs/>
          <w:lang w:val="es-ES"/>
        </w:rPr>
        <w:t>)  continuaron fortaleciéndose.</w:t>
      </w:r>
    </w:p>
    <w:p w:rsidR="0095318C" w:rsidRPr="00AD3DD2" w:rsidRDefault="0095318C" w:rsidP="00DC1333">
      <w:pPr>
        <w:pStyle w:val="ListParagraph"/>
        <w:ind w:left="0"/>
        <w:contextualSpacing/>
        <w:jc w:val="both"/>
        <w:rPr>
          <w:bCs/>
          <w:lang w:val="es-ES"/>
        </w:rPr>
      </w:pPr>
    </w:p>
    <w:p w:rsidR="0095318C" w:rsidRPr="000B7890" w:rsidRDefault="0095318C" w:rsidP="0095318C">
      <w:pPr>
        <w:pStyle w:val="ListParagraph"/>
        <w:numPr>
          <w:ilvl w:val="1"/>
          <w:numId w:val="53"/>
        </w:numPr>
        <w:contextualSpacing/>
        <w:jc w:val="both"/>
        <w:rPr>
          <w:bCs/>
          <w:lang w:val="es-ES"/>
        </w:rPr>
      </w:pPr>
      <w:r w:rsidRPr="00992AF7">
        <w:rPr>
          <w:bCs/>
          <w:lang w:val="es-ES"/>
        </w:rPr>
        <w:t>En 2015, la OMPI organizó la Séptima Reunión Anual de Consulta de Directores de Oficinas de P.I. de Países Árabes y dos reuniones de alto nivel entre Directores de Oficinas de P.I. y jefes de</w:t>
      </w:r>
      <w:r>
        <w:rPr>
          <w:bCs/>
          <w:lang w:val="es-ES"/>
        </w:rPr>
        <w:t xml:space="preserve"> organismos de ciencia y tecnología de la región central de América Latina</w:t>
      </w:r>
      <w:r w:rsidRPr="00AD3DD2">
        <w:rPr>
          <w:bCs/>
          <w:lang w:val="es-ES"/>
        </w:rPr>
        <w:t xml:space="preserve">.  </w:t>
      </w:r>
      <w:r w:rsidRPr="00B229C3">
        <w:rPr>
          <w:bCs/>
          <w:lang w:val="es-ES"/>
        </w:rPr>
        <w:t xml:space="preserve">En Asia, la Conferencia de Directores de las Oficinas de P.I. (HIPOC) </w:t>
      </w:r>
      <w:r>
        <w:rPr>
          <w:bCs/>
          <w:lang w:val="es-ES"/>
        </w:rPr>
        <w:t>fue establecida como nueva plataforma de intercambio de ideas y experiencias</w:t>
      </w:r>
      <w:r w:rsidRPr="00B229C3">
        <w:rPr>
          <w:bCs/>
          <w:lang w:val="es-ES"/>
        </w:rPr>
        <w:t xml:space="preserve">.  </w:t>
      </w:r>
      <w:r w:rsidRPr="00374E2F">
        <w:rPr>
          <w:bCs/>
          <w:lang w:val="es-ES"/>
        </w:rPr>
        <w:t xml:space="preserve">La asociación con el Banco Interamericano de Desarrollo dio lugar a la creación de </w:t>
      </w:r>
      <w:r w:rsidRPr="00992AF7">
        <w:rPr>
          <w:bCs/>
          <w:lang w:val="es-ES"/>
        </w:rPr>
        <w:t>la plataforma Regional Entrepreneurial Asset Commercialization Hub – Proyecto REACH para la región</w:t>
      </w:r>
      <w:r>
        <w:rPr>
          <w:bCs/>
          <w:lang w:val="es-ES"/>
        </w:rPr>
        <w:t xml:space="preserve"> del Caribe</w:t>
      </w:r>
      <w:r w:rsidRPr="00374E2F">
        <w:rPr>
          <w:bCs/>
          <w:lang w:val="es-ES"/>
        </w:rPr>
        <w:t xml:space="preserve">.  </w:t>
      </w:r>
      <w:r w:rsidRPr="000B7890">
        <w:rPr>
          <w:bCs/>
          <w:lang w:val="es-ES"/>
        </w:rPr>
        <w:t>Ese proyecto tiene por fin facilitar la gestión eficaz de los activos intangibles mediante la creación de tres centros de apoyo en tres sectores de actividad concretos</w:t>
      </w:r>
      <w:proofErr w:type="gramStart"/>
      <w:r w:rsidRPr="000B7890">
        <w:rPr>
          <w:bCs/>
          <w:lang w:val="es-ES"/>
        </w:rPr>
        <w:t>:  gestión</w:t>
      </w:r>
      <w:proofErr w:type="gramEnd"/>
      <w:r w:rsidRPr="000B7890">
        <w:rPr>
          <w:bCs/>
          <w:lang w:val="es-ES"/>
        </w:rPr>
        <w:t xml:space="preserve"> tecnol</w:t>
      </w:r>
      <w:r>
        <w:rPr>
          <w:bCs/>
          <w:lang w:val="es-ES"/>
        </w:rPr>
        <w:t>ógica, industrias creativas y desarrollo de marcas de producto.</w:t>
      </w:r>
    </w:p>
    <w:p w:rsidR="0095318C" w:rsidRPr="000B7890" w:rsidRDefault="0095318C" w:rsidP="00DC1333">
      <w:pPr>
        <w:pStyle w:val="ListParagraph"/>
        <w:ind w:left="0"/>
        <w:rPr>
          <w:bCs/>
          <w:lang w:val="es-ES"/>
        </w:rPr>
      </w:pPr>
    </w:p>
    <w:p w:rsidR="0095318C" w:rsidRPr="00963C93" w:rsidRDefault="0095318C" w:rsidP="0095318C">
      <w:pPr>
        <w:pStyle w:val="ListParagraph"/>
        <w:numPr>
          <w:ilvl w:val="1"/>
          <w:numId w:val="53"/>
        </w:numPr>
        <w:jc w:val="both"/>
        <w:rPr>
          <w:bCs/>
          <w:lang w:val="es-ES"/>
        </w:rPr>
      </w:pPr>
      <w:r w:rsidRPr="00963C93">
        <w:rPr>
          <w:bCs/>
          <w:lang w:val="es-ES"/>
        </w:rPr>
        <w:t>En 2014</w:t>
      </w:r>
      <w:r>
        <w:rPr>
          <w:bCs/>
          <w:lang w:val="es-ES"/>
        </w:rPr>
        <w:t>/15</w:t>
      </w:r>
      <w:r w:rsidRPr="00963C93">
        <w:rPr>
          <w:bCs/>
          <w:lang w:val="es-ES"/>
        </w:rPr>
        <w:t xml:space="preserve">, en el marco del programa, se facilitó y coordinó, a escala interna, la adhesión de diversos países y grupos regionales a tratados y convenios administrados por la OMPI: dos </w:t>
      </w:r>
      <w:r>
        <w:rPr>
          <w:bCs/>
          <w:lang w:val="es-ES"/>
        </w:rPr>
        <w:t>en África (OAPI y Zimbabwe) y tre</w:t>
      </w:r>
      <w:r w:rsidRPr="00963C93">
        <w:rPr>
          <w:bCs/>
          <w:lang w:val="es-ES"/>
        </w:rPr>
        <w:t>s en la región árabe (</w:t>
      </w:r>
      <w:r>
        <w:rPr>
          <w:bCs/>
          <w:lang w:val="es-ES"/>
        </w:rPr>
        <w:t xml:space="preserve">Argelia, </w:t>
      </w:r>
      <w:r w:rsidRPr="00963C93">
        <w:rPr>
          <w:bCs/>
          <w:lang w:val="es-ES"/>
        </w:rPr>
        <w:t>Kuwai</w:t>
      </w:r>
      <w:r>
        <w:rPr>
          <w:bCs/>
          <w:lang w:val="es-ES"/>
        </w:rPr>
        <w:t>t y los Emiratos Árabes Unidos)</w:t>
      </w:r>
      <w:r w:rsidRPr="00963C93">
        <w:rPr>
          <w:bCs/>
          <w:lang w:val="es-ES"/>
        </w:rPr>
        <w:t xml:space="preserve">. </w:t>
      </w:r>
    </w:p>
    <w:p w:rsidR="0095318C" w:rsidRPr="00963C93" w:rsidRDefault="0095318C" w:rsidP="00DC1333">
      <w:pPr>
        <w:pStyle w:val="ListParagraph"/>
        <w:ind w:left="0"/>
        <w:jc w:val="both"/>
        <w:rPr>
          <w:bCs/>
          <w:lang w:val="es-ES"/>
        </w:rPr>
      </w:pPr>
    </w:p>
    <w:p w:rsidR="0095318C" w:rsidRPr="003D23AF" w:rsidRDefault="0095318C" w:rsidP="0095318C">
      <w:pPr>
        <w:pStyle w:val="ListParagraph"/>
        <w:numPr>
          <w:ilvl w:val="1"/>
          <w:numId w:val="53"/>
        </w:numPr>
        <w:contextualSpacing/>
        <w:jc w:val="both"/>
        <w:rPr>
          <w:bCs/>
          <w:lang w:val="es-ES"/>
        </w:rPr>
      </w:pPr>
      <w:r w:rsidRPr="00963C93">
        <w:rPr>
          <w:rFonts w:eastAsia="SimSun"/>
          <w:bCs/>
          <w:lang w:val="es-ES" w:eastAsia="zh-CN"/>
        </w:rPr>
        <w:t xml:space="preserve">Se siguió coordinando y facilitando asistencia técnica a los países en desarrollo y los PMA en la formulación y la modernización de la legislación en el ámbito de la P.I., teniendo en cuenta los requisitos </w:t>
      </w:r>
      <w:r w:rsidRPr="003D23AF">
        <w:rPr>
          <w:rFonts w:eastAsia="SimSun"/>
          <w:bCs/>
          <w:lang w:val="es-ES" w:eastAsia="zh-CN"/>
        </w:rPr>
        <w:t>nacionales específicos y las flexibilidades internacionales.</w:t>
      </w:r>
    </w:p>
    <w:p w:rsidR="0095318C" w:rsidRPr="003D23AF" w:rsidRDefault="0095318C" w:rsidP="00DC1333">
      <w:pPr>
        <w:pStyle w:val="ListParagraph"/>
        <w:ind w:left="0"/>
        <w:contextualSpacing/>
        <w:jc w:val="both"/>
        <w:rPr>
          <w:bCs/>
          <w:lang w:val="es-ES"/>
        </w:rPr>
      </w:pPr>
    </w:p>
    <w:p w:rsidR="0095318C" w:rsidRDefault="0095318C" w:rsidP="0095318C">
      <w:pPr>
        <w:pStyle w:val="ListParagraph"/>
        <w:numPr>
          <w:ilvl w:val="1"/>
          <w:numId w:val="53"/>
        </w:numPr>
        <w:contextualSpacing/>
        <w:jc w:val="both"/>
        <w:rPr>
          <w:bCs/>
          <w:lang w:val="es-ES"/>
        </w:rPr>
      </w:pPr>
      <w:r w:rsidRPr="003D23AF">
        <w:rPr>
          <w:rFonts w:eastAsia="SimSun"/>
          <w:bCs/>
          <w:lang w:val="es-ES" w:eastAsia="zh-CN"/>
        </w:rPr>
        <w:t xml:space="preserve">Para que los Estados miembros puedan tomar decisiones mejor fundamentadas en los ámbitos prioritarios de la OMPI, en 2014 se publicó el </w:t>
      </w:r>
      <w:r w:rsidRPr="003D23AF">
        <w:rPr>
          <w:rFonts w:eastAsia="SimSun"/>
          <w:bCs/>
          <w:i/>
          <w:lang w:val="es-ES" w:eastAsia="zh-CN"/>
        </w:rPr>
        <w:t>Manual de la OMPI sobre prestación de asistencia técnica</w:t>
      </w:r>
      <w:r w:rsidRPr="003D23AF">
        <w:rPr>
          <w:rFonts w:eastAsia="SimSun"/>
          <w:bCs/>
          <w:lang w:val="es-ES" w:eastAsia="zh-CN"/>
        </w:rPr>
        <w:t xml:space="preserve"> (finalizado en 2013) en los seis idiomas oficiales de las NN.UU. y se puso a disposición en Internet</w:t>
      </w:r>
      <w:r w:rsidRPr="003D23AF">
        <w:rPr>
          <w:rStyle w:val="FootnoteReference"/>
          <w:rFonts w:eastAsia="SimSun"/>
          <w:bCs/>
          <w:lang w:val="es-ES" w:eastAsia="zh-CN"/>
        </w:rPr>
        <w:footnoteReference w:id="58"/>
      </w:r>
      <w:r w:rsidRPr="003D23AF">
        <w:rPr>
          <w:rFonts w:eastAsia="SimSun"/>
          <w:bCs/>
          <w:lang w:val="es-ES" w:eastAsia="zh-CN"/>
        </w:rPr>
        <w:t xml:space="preserve"> (para obtener información más detallada, véanse los programas 1, 2, 3 y 4).</w:t>
      </w:r>
      <w:r w:rsidRPr="003D23AF">
        <w:rPr>
          <w:bCs/>
          <w:lang w:val="es-ES"/>
        </w:rPr>
        <w:t xml:space="preserve"> </w:t>
      </w:r>
      <w:r>
        <w:rPr>
          <w:bCs/>
          <w:lang w:val="es-ES"/>
        </w:rPr>
        <w:t xml:space="preserve"> </w:t>
      </w:r>
      <w:r w:rsidRPr="003D23AF">
        <w:rPr>
          <w:bCs/>
          <w:lang w:val="es-ES"/>
        </w:rPr>
        <w:t xml:space="preserve">Asimismo, en 2014, los países de </w:t>
      </w:r>
      <w:r w:rsidRPr="00992AF7">
        <w:rPr>
          <w:bCs/>
          <w:lang w:val="es-ES"/>
        </w:rPr>
        <w:t xml:space="preserve">América Central y la República Dominicana </w:t>
      </w:r>
      <w:r>
        <w:rPr>
          <w:bCs/>
          <w:lang w:val="es-ES"/>
        </w:rPr>
        <w:t>adoptaron el Manual armonizado en materia de criterios de marcas</w:t>
      </w:r>
      <w:r w:rsidRPr="00992AF7">
        <w:rPr>
          <w:bCs/>
          <w:lang w:val="es-ES"/>
        </w:rPr>
        <w:t>,</w:t>
      </w:r>
      <w:r w:rsidRPr="00992AF7">
        <w:rPr>
          <w:bCs/>
          <w:i/>
          <w:lang w:val="es-ES"/>
        </w:rPr>
        <w:t xml:space="preserve"> </w:t>
      </w:r>
      <w:r w:rsidRPr="00992AF7">
        <w:rPr>
          <w:bCs/>
          <w:lang w:val="es-ES"/>
        </w:rPr>
        <w:t>un instrumento que contribuye a la calidad del trabajo y a la armonización de las prácticas</w:t>
      </w:r>
      <w:r w:rsidRPr="003D23AF">
        <w:rPr>
          <w:bCs/>
          <w:lang w:val="es-ES"/>
        </w:rPr>
        <w:t xml:space="preserve"> en las correspondientes Oficinas de P.I. de la </w:t>
      </w:r>
      <w:r>
        <w:rPr>
          <w:bCs/>
          <w:lang w:val="es-ES"/>
        </w:rPr>
        <w:t>regió</w:t>
      </w:r>
      <w:r w:rsidRPr="003D23AF">
        <w:rPr>
          <w:bCs/>
          <w:lang w:val="es-ES"/>
        </w:rPr>
        <w:t xml:space="preserve">n, así como el folleto </w:t>
      </w:r>
      <w:r w:rsidRPr="003D23AF">
        <w:rPr>
          <w:bCs/>
          <w:i/>
          <w:lang w:val="es-ES"/>
        </w:rPr>
        <w:t>WIPO Development Tools and Services</w:t>
      </w:r>
      <w:r>
        <w:rPr>
          <w:bCs/>
          <w:lang w:val="es-ES"/>
        </w:rPr>
        <w:t xml:space="preserve">, publicado en 2007, que fue actualizado en 2015 y traducido al francés y el español.  </w:t>
      </w:r>
      <w:r w:rsidRPr="003D23AF">
        <w:rPr>
          <w:bCs/>
          <w:lang w:val="es-ES"/>
        </w:rPr>
        <w:t xml:space="preserve">Estos instrumentos permiten a los Estados miembros </w:t>
      </w:r>
      <w:r>
        <w:rPr>
          <w:bCs/>
          <w:lang w:val="es-ES"/>
        </w:rPr>
        <w:t>tomar decisiones mejor fundamentadas en los ámbitos prioritarios de la OMPI.</w:t>
      </w:r>
    </w:p>
    <w:p w:rsidR="0095318C" w:rsidRPr="00631CC4" w:rsidRDefault="0095318C" w:rsidP="00DC1333">
      <w:pPr>
        <w:pStyle w:val="ListParagraph"/>
        <w:ind w:left="0"/>
        <w:rPr>
          <w:bCs/>
          <w:lang w:val="es-ES"/>
        </w:rPr>
      </w:pPr>
    </w:p>
    <w:p w:rsidR="0095318C" w:rsidRPr="00631CC4" w:rsidRDefault="0095318C" w:rsidP="0095318C">
      <w:pPr>
        <w:pStyle w:val="ListParagraph"/>
        <w:numPr>
          <w:ilvl w:val="1"/>
          <w:numId w:val="53"/>
        </w:numPr>
        <w:contextualSpacing/>
        <w:jc w:val="both"/>
        <w:rPr>
          <w:bCs/>
          <w:lang w:val="es-ES"/>
        </w:rPr>
      </w:pPr>
      <w:r w:rsidRPr="00631CC4">
        <w:rPr>
          <w:bCs/>
          <w:lang w:val="es-ES"/>
        </w:rPr>
        <w:t>Se siguieron utilizando bases de datos especializadas para facilitar la prestación de asistencia técnica, concretamente, la base de datos sobre asistencia técnica en P.I. (IP-TAD) y la lista de consultores de P.I. (IP-ROC), incluidas las interfaces para almacenar información sobre la cooperación Sur-Sur, y la base de datos de vinculación para atender las necesidades de desarrollo en materia de P.I. (IP-DMD).  En 2014 también se puso en marcha la base de datos especializada relativa a las estrategias nacionales de P.I. (NIPS-D), creada en 2013 a fin de obtener datos de referencia que se puedan utilizar en procesos nacionales de formulación de estrategias en materia de P.I., según las necesidades del creciente número de países que utilizan la metodología de la OMPI para elaborar estrategias de P.I.  En el empeño por obtener el máximo rendimiento de estas bases de datos, a lo largo del bienio se llevó a cabo un intenso seguimiento de su utilización, y se recabaron comentarios de los usuarios para obtener ideas sobre cómo mejorar aún más los sistemas con miras a facilitar su utilización y a determinar enfoques más estratégicos para fomentar su uso en diferentes países.  No obstante, el número de países que utilizan IP-TAD e IP-ROC descendió tanto en 2014 (un 10% con respecto a 2013) como en</w:t>
      </w:r>
      <w:r>
        <w:rPr>
          <w:bCs/>
          <w:lang w:val="es-ES"/>
        </w:rPr>
        <w:t> </w:t>
      </w:r>
      <w:r w:rsidRPr="00631CC4">
        <w:rPr>
          <w:bCs/>
          <w:lang w:val="es-ES"/>
        </w:rPr>
        <w:t xml:space="preserve">2015 (se registró un descenso del 28% con respecto 2014);  a finales de 2015 siguen sin detectarse </w:t>
      </w:r>
      <w:r w:rsidRPr="00631CC4">
        <w:rPr>
          <w:bCs/>
          <w:lang w:val="es-ES"/>
        </w:rPr>
        <w:lastRenderedPageBreak/>
        <w:t>correspondencias en la base de datos IP-DMD;  y los resultados iniciales de la utilización de la base de datos NIPS-D mostraron que no estaba siendo utilizada de manera eficaz.</w:t>
      </w:r>
    </w:p>
    <w:p w:rsidR="0095318C" w:rsidRPr="00A21515" w:rsidRDefault="0095318C" w:rsidP="00DC1333">
      <w:pPr>
        <w:pStyle w:val="ListParagraph"/>
        <w:ind w:left="0"/>
        <w:contextualSpacing/>
        <w:jc w:val="both"/>
        <w:rPr>
          <w:bCs/>
          <w:lang w:val="es-ES"/>
        </w:rPr>
      </w:pPr>
    </w:p>
    <w:p w:rsidR="0095318C" w:rsidRPr="00A21515" w:rsidRDefault="0095318C" w:rsidP="00DC1333">
      <w:pPr>
        <w:rPr>
          <w:bCs/>
        </w:rPr>
      </w:pPr>
    </w:p>
    <w:p w:rsidR="0095318C" w:rsidRPr="00F61A82" w:rsidRDefault="008F7CBE" w:rsidP="00DC1333">
      <w:pPr>
        <w:jc w:val="both"/>
        <w:rPr>
          <w:szCs w:val="22"/>
        </w:rPr>
      </w:pPr>
      <w:r w:rsidRPr="008F7CBE">
        <w:rPr>
          <w:sz w:val="20"/>
          <w:szCs w:val="22"/>
        </w:rPr>
        <w:t>DATOS SOBRE EL RENDIMIENTO</w:t>
      </w:r>
    </w:p>
    <w:p w:rsidR="0095318C" w:rsidRPr="003C4694" w:rsidRDefault="0095318C" w:rsidP="00DC1333">
      <w:pPr>
        <w:rPr>
          <w:bCs/>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2"/>
        <w:gridCol w:w="141"/>
        <w:gridCol w:w="1749"/>
        <w:gridCol w:w="238"/>
        <w:gridCol w:w="139"/>
        <w:gridCol w:w="1420"/>
        <w:gridCol w:w="142"/>
        <w:gridCol w:w="142"/>
        <w:gridCol w:w="2055"/>
        <w:gridCol w:w="72"/>
        <w:gridCol w:w="140"/>
        <w:gridCol w:w="1278"/>
      </w:tblGrid>
      <w:tr w:rsidR="0095318C" w:rsidRPr="003131FE" w:rsidTr="00DC1333">
        <w:tc>
          <w:tcPr>
            <w:tcW w:w="9498" w:type="dxa"/>
            <w:gridSpan w:val="12"/>
            <w:tcBorders>
              <w:top w:val="single" w:sz="4" w:space="0" w:color="auto"/>
              <w:bottom w:val="single" w:sz="4" w:space="0" w:color="auto"/>
            </w:tcBorders>
            <w:shd w:val="clear" w:color="auto" w:fill="C6D9F1" w:themeFill="text2" w:themeFillTint="33"/>
            <w:vAlign w:val="center"/>
          </w:tcPr>
          <w:p w:rsidR="0095318C" w:rsidRPr="00211D2A" w:rsidRDefault="0095318C" w:rsidP="00DC1333">
            <w:pPr>
              <w:keepNext/>
              <w:keepLines/>
              <w:spacing w:before="120" w:after="120"/>
              <w:ind w:left="2019" w:hanging="2019"/>
              <w:rPr>
                <w:b/>
                <w:bCs/>
                <w:sz w:val="16"/>
                <w:szCs w:val="16"/>
              </w:rPr>
            </w:pPr>
            <w:r>
              <w:rPr>
                <w:b/>
                <w:bCs/>
                <w:sz w:val="16"/>
                <w:szCs w:val="16"/>
              </w:rPr>
              <w:t>Resultado  previsto</w:t>
            </w:r>
            <w:r w:rsidRPr="00211D2A">
              <w:rPr>
                <w:b/>
                <w:bCs/>
                <w:sz w:val="16"/>
                <w:szCs w:val="16"/>
              </w:rPr>
              <w:t>:</w:t>
            </w:r>
            <w:r w:rsidRPr="00211D2A">
              <w:rPr>
                <w:b/>
                <w:bCs/>
                <w:sz w:val="16"/>
                <w:szCs w:val="16"/>
              </w:rPr>
              <w:tab/>
            </w:r>
            <w:r w:rsidRPr="00631CC4">
              <w:rPr>
                <w:sz w:val="16"/>
                <w:szCs w:val="16"/>
                <w:lang w:bidi="th-TH"/>
              </w:rPr>
              <w:t>I.2 Marcos de P.I</w:t>
            </w:r>
            <w:r w:rsidR="00FB31BE">
              <w:rPr>
                <w:sz w:val="16"/>
                <w:szCs w:val="16"/>
                <w:lang w:bidi="th-TH"/>
              </w:rPr>
              <w:t>.</w:t>
            </w:r>
            <w:r w:rsidRPr="00631CC4">
              <w:rPr>
                <w:sz w:val="16"/>
                <w:szCs w:val="16"/>
                <w:lang w:bidi="th-TH"/>
              </w:rPr>
              <w:t xml:space="preserve"> adaptados y equilibrados en el ámbito legislativo, reglamentario y de política</w:t>
            </w:r>
          </w:p>
        </w:tc>
      </w:tr>
      <w:tr w:rsidR="0095318C" w:rsidRPr="003C4694" w:rsidTr="00DC1333">
        <w:trPr>
          <w:trHeight w:val="366"/>
        </w:trPr>
        <w:tc>
          <w:tcPr>
            <w:tcW w:w="2123" w:type="dxa"/>
            <w:gridSpan w:val="2"/>
            <w:tcBorders>
              <w:top w:val="single" w:sz="4" w:space="0" w:color="auto"/>
            </w:tcBorders>
            <w:shd w:val="clear" w:color="auto" w:fill="auto"/>
            <w:vAlign w:val="center"/>
          </w:tcPr>
          <w:p w:rsidR="0095318C" w:rsidRPr="003C4694" w:rsidRDefault="0095318C" w:rsidP="00DC1333">
            <w:pPr>
              <w:spacing w:before="40" w:after="40"/>
              <w:rPr>
                <w:sz w:val="16"/>
                <w:szCs w:val="16"/>
              </w:rPr>
            </w:pPr>
            <w:r>
              <w:rPr>
                <w:b/>
                <w:bCs/>
                <w:sz w:val="16"/>
                <w:szCs w:val="16"/>
              </w:rPr>
              <w:t>I</w:t>
            </w:r>
            <w:r w:rsidRPr="004B265E">
              <w:rPr>
                <w:b/>
                <w:bCs/>
                <w:sz w:val="16"/>
                <w:szCs w:val="16"/>
              </w:rPr>
              <w:t>ndicadores de rendimiento</w:t>
            </w:r>
          </w:p>
        </w:tc>
        <w:tc>
          <w:tcPr>
            <w:tcW w:w="2126" w:type="dxa"/>
            <w:gridSpan w:val="3"/>
            <w:tcBorders>
              <w:top w:val="single" w:sz="4" w:space="0" w:color="auto"/>
            </w:tcBorders>
            <w:shd w:val="clear" w:color="auto" w:fill="auto"/>
            <w:vAlign w:val="center"/>
          </w:tcPr>
          <w:p w:rsidR="0095318C" w:rsidRPr="003C4694" w:rsidRDefault="0095318C" w:rsidP="00DC1333">
            <w:pPr>
              <w:spacing w:before="40" w:after="40"/>
              <w:rPr>
                <w:b/>
                <w:bCs/>
                <w:sz w:val="16"/>
                <w:szCs w:val="16"/>
              </w:rPr>
            </w:pPr>
            <w:r>
              <w:rPr>
                <w:b/>
                <w:bCs/>
                <w:sz w:val="16"/>
                <w:szCs w:val="16"/>
              </w:rPr>
              <w:t>Referencia</w:t>
            </w:r>
          </w:p>
        </w:tc>
        <w:tc>
          <w:tcPr>
            <w:tcW w:w="1562" w:type="dxa"/>
            <w:gridSpan w:val="2"/>
            <w:tcBorders>
              <w:top w:val="single" w:sz="4" w:space="0" w:color="auto"/>
            </w:tcBorders>
            <w:shd w:val="clear" w:color="auto" w:fill="auto"/>
            <w:tcMar>
              <w:top w:w="110" w:type="dxa"/>
            </w:tcMar>
            <w:vAlign w:val="center"/>
          </w:tcPr>
          <w:p w:rsidR="0095318C" w:rsidRPr="003C4694" w:rsidRDefault="0095318C" w:rsidP="00DC1333">
            <w:pPr>
              <w:spacing w:before="40" w:after="40"/>
              <w:rPr>
                <w:b/>
                <w:sz w:val="16"/>
                <w:szCs w:val="16"/>
              </w:rPr>
            </w:pPr>
            <w:r>
              <w:rPr>
                <w:b/>
                <w:sz w:val="16"/>
                <w:szCs w:val="16"/>
              </w:rPr>
              <w:t>Objetivo</w:t>
            </w:r>
            <w:r w:rsidRPr="003C4694">
              <w:rPr>
                <w:b/>
                <w:sz w:val="16"/>
                <w:szCs w:val="16"/>
              </w:rPr>
              <w:t>s</w:t>
            </w:r>
          </w:p>
        </w:tc>
        <w:tc>
          <w:tcPr>
            <w:tcW w:w="2409" w:type="dxa"/>
            <w:gridSpan w:val="4"/>
            <w:tcBorders>
              <w:top w:val="single" w:sz="4" w:space="0" w:color="auto"/>
            </w:tcBorders>
            <w:shd w:val="clear" w:color="auto" w:fill="FFFFFF"/>
            <w:tcMar>
              <w:top w:w="110" w:type="dxa"/>
            </w:tcMar>
            <w:vAlign w:val="center"/>
          </w:tcPr>
          <w:p w:rsidR="0095318C" w:rsidRPr="003C4694" w:rsidRDefault="0095318C" w:rsidP="00DC1333">
            <w:pPr>
              <w:spacing w:before="40" w:after="40"/>
              <w:rPr>
                <w:sz w:val="16"/>
                <w:szCs w:val="16"/>
              </w:rPr>
            </w:pPr>
            <w:r>
              <w:rPr>
                <w:b/>
                <w:bCs/>
                <w:sz w:val="16"/>
                <w:szCs w:val="16"/>
              </w:rPr>
              <w:t>Datos sobre el rendimiento</w:t>
            </w:r>
          </w:p>
        </w:tc>
        <w:tc>
          <w:tcPr>
            <w:tcW w:w="1278" w:type="dxa"/>
            <w:tcBorders>
              <w:top w:val="single" w:sz="4" w:space="0" w:color="auto"/>
            </w:tcBorders>
            <w:shd w:val="clear" w:color="auto" w:fill="auto"/>
            <w:tcMar>
              <w:top w:w="110" w:type="dxa"/>
            </w:tcMar>
            <w:vAlign w:val="center"/>
          </w:tcPr>
          <w:p w:rsidR="0095318C" w:rsidRPr="003C4694" w:rsidRDefault="0095318C" w:rsidP="00DC1333">
            <w:pPr>
              <w:keepNext/>
              <w:keepLines/>
              <w:spacing w:before="40" w:after="40"/>
              <w:jc w:val="center"/>
              <w:rPr>
                <w:b/>
                <w:bCs/>
                <w:sz w:val="16"/>
                <w:szCs w:val="16"/>
              </w:rPr>
            </w:pPr>
            <w:r>
              <w:rPr>
                <w:b/>
                <w:bCs/>
                <w:sz w:val="16"/>
                <w:szCs w:val="16"/>
              </w:rPr>
              <w:t>Clave de los colores</w:t>
            </w:r>
          </w:p>
        </w:tc>
      </w:tr>
      <w:tr w:rsidR="0095318C" w:rsidRPr="004B265E" w:rsidTr="00DC1333">
        <w:tc>
          <w:tcPr>
            <w:tcW w:w="2123" w:type="dxa"/>
            <w:gridSpan w:val="2"/>
            <w:shd w:val="clear" w:color="auto" w:fill="auto"/>
          </w:tcPr>
          <w:p w:rsidR="0095318C" w:rsidRPr="004B265E" w:rsidRDefault="0095318C" w:rsidP="00DC1333">
            <w:pPr>
              <w:rPr>
                <w:sz w:val="16"/>
                <w:szCs w:val="16"/>
              </w:rPr>
            </w:pPr>
            <w:r w:rsidRPr="004B265E">
              <w:rPr>
                <w:sz w:val="16"/>
                <w:szCs w:val="16"/>
                <w:lang w:bidi="th-TH"/>
              </w:rPr>
              <w:t>Número y porcentaje de Estados miembros satisfechos con la calidad del asesoramiento jurídico sobre patentes, modelos de utilidad, secretos comerciales y circuitos integrados</w:t>
            </w:r>
          </w:p>
        </w:tc>
        <w:tc>
          <w:tcPr>
            <w:tcW w:w="2126" w:type="dxa"/>
            <w:gridSpan w:val="3"/>
            <w:shd w:val="clear" w:color="auto" w:fill="auto"/>
          </w:tcPr>
          <w:p w:rsidR="0095318C" w:rsidRPr="004B265E" w:rsidRDefault="0095318C" w:rsidP="00DC1333">
            <w:pPr>
              <w:rPr>
                <w:sz w:val="16"/>
                <w:szCs w:val="16"/>
                <w:lang w:bidi="th-TH"/>
              </w:rPr>
            </w:pPr>
            <w:r w:rsidRPr="004B265E">
              <w:rPr>
                <w:i/>
                <w:sz w:val="16"/>
                <w:szCs w:val="16"/>
              </w:rPr>
              <w:t xml:space="preserve">Referencia actualizada a fines de 2013:  </w:t>
            </w:r>
            <w:r w:rsidRPr="004B265E">
              <w:rPr>
                <w:sz w:val="16"/>
                <w:szCs w:val="16"/>
                <w:lang w:bidi="th-TH"/>
              </w:rPr>
              <w:t>9 Estados miembro</w:t>
            </w:r>
            <w:r>
              <w:rPr>
                <w:sz w:val="16"/>
                <w:szCs w:val="16"/>
                <w:lang w:bidi="th-TH"/>
              </w:rPr>
              <w:t xml:space="preserve">s (90%), a partir de una encuesta realizada por la </w:t>
            </w:r>
            <w:r w:rsidRPr="004B265E">
              <w:rPr>
                <w:sz w:val="16"/>
                <w:szCs w:val="16"/>
                <w:lang w:bidi="th-TH"/>
              </w:rPr>
              <w:t>D</w:t>
            </w:r>
            <w:r>
              <w:rPr>
                <w:sz w:val="16"/>
                <w:szCs w:val="16"/>
                <w:lang w:bidi="th-TH"/>
              </w:rPr>
              <w:t>ASI</w:t>
            </w:r>
            <w:r w:rsidRPr="004B265E">
              <w:rPr>
                <w:sz w:val="16"/>
                <w:szCs w:val="16"/>
                <w:lang w:bidi="th-TH"/>
              </w:rPr>
              <w:t xml:space="preserve"> </w:t>
            </w:r>
            <w:r>
              <w:rPr>
                <w:sz w:val="16"/>
                <w:szCs w:val="16"/>
                <w:lang w:bidi="th-TH"/>
              </w:rPr>
              <w:t>e</w:t>
            </w:r>
            <w:r w:rsidRPr="004B265E">
              <w:rPr>
                <w:sz w:val="16"/>
                <w:szCs w:val="16"/>
                <w:lang w:bidi="th-TH"/>
              </w:rPr>
              <w:t>n 2013</w:t>
            </w:r>
          </w:p>
          <w:p w:rsidR="0095318C" w:rsidRPr="004B265E" w:rsidRDefault="0095318C" w:rsidP="00DC1333">
            <w:pPr>
              <w:rPr>
                <w:i/>
                <w:sz w:val="8"/>
                <w:szCs w:val="8"/>
                <w:lang w:bidi="th-TH"/>
              </w:rPr>
            </w:pPr>
          </w:p>
          <w:p w:rsidR="0095318C" w:rsidRPr="004B265E" w:rsidRDefault="0095318C" w:rsidP="00DC1333">
            <w:pPr>
              <w:rPr>
                <w:sz w:val="16"/>
                <w:szCs w:val="16"/>
                <w:lang w:bidi="th-TH"/>
              </w:rPr>
            </w:pPr>
            <w:r w:rsidRPr="004B265E">
              <w:rPr>
                <w:i/>
                <w:sz w:val="16"/>
                <w:szCs w:val="16"/>
                <w:lang w:bidi="th-TH"/>
              </w:rPr>
              <w:t>Referencia original en el presupuesto de</w:t>
            </w:r>
            <w:r>
              <w:rPr>
                <w:i/>
                <w:sz w:val="16"/>
                <w:szCs w:val="16"/>
                <w:lang w:bidi="th-TH"/>
              </w:rPr>
              <w:t xml:space="preserve"> </w:t>
            </w:r>
            <w:r w:rsidRPr="004B265E">
              <w:rPr>
                <w:i/>
                <w:sz w:val="16"/>
                <w:szCs w:val="16"/>
                <w:lang w:bidi="th-TH"/>
              </w:rPr>
              <w:t xml:space="preserve">2014/15:  </w:t>
            </w:r>
            <w:r>
              <w:rPr>
                <w:sz w:val="16"/>
                <w:szCs w:val="16"/>
                <w:lang w:bidi="th-TH"/>
              </w:rPr>
              <w:t>encuesta</w:t>
            </w:r>
            <w:r w:rsidRPr="004B265E">
              <w:rPr>
                <w:sz w:val="16"/>
                <w:szCs w:val="16"/>
                <w:lang w:bidi="th-TH"/>
              </w:rPr>
              <w:t>s 2012</w:t>
            </w:r>
          </w:p>
        </w:tc>
        <w:tc>
          <w:tcPr>
            <w:tcW w:w="1562" w:type="dxa"/>
            <w:gridSpan w:val="2"/>
            <w:shd w:val="clear" w:color="auto" w:fill="auto"/>
            <w:tcMar>
              <w:top w:w="110" w:type="dxa"/>
            </w:tcMar>
          </w:tcPr>
          <w:p w:rsidR="0095318C" w:rsidRPr="003C4694" w:rsidRDefault="0095318C" w:rsidP="00DC1333">
            <w:pPr>
              <w:rPr>
                <w:sz w:val="16"/>
                <w:szCs w:val="16"/>
                <w:lang w:bidi="th-TH"/>
              </w:rPr>
            </w:pPr>
            <w:r w:rsidRPr="003C4694">
              <w:rPr>
                <w:sz w:val="16"/>
                <w:szCs w:val="16"/>
                <w:lang w:bidi="th-TH"/>
              </w:rPr>
              <w:t>90%</w:t>
            </w:r>
          </w:p>
        </w:tc>
        <w:tc>
          <w:tcPr>
            <w:tcW w:w="2409" w:type="dxa"/>
            <w:gridSpan w:val="4"/>
            <w:shd w:val="clear" w:color="auto" w:fill="FFFFFF"/>
            <w:tcMar>
              <w:top w:w="110" w:type="dxa"/>
            </w:tcMar>
          </w:tcPr>
          <w:p w:rsidR="0095318C" w:rsidRPr="00017A5E" w:rsidRDefault="0095318C" w:rsidP="00DC1333">
            <w:pPr>
              <w:pStyle w:val="ListParagraph"/>
              <w:ind w:left="0"/>
              <w:rPr>
                <w:rFonts w:cs="Arial"/>
                <w:sz w:val="16"/>
                <w:szCs w:val="16"/>
                <w:lang w:val="es-ES"/>
              </w:rPr>
            </w:pPr>
          </w:p>
          <w:p w:rsidR="0095318C" w:rsidRPr="004B265E" w:rsidRDefault="0095318C" w:rsidP="00DC1333">
            <w:pPr>
              <w:pStyle w:val="ListParagraph"/>
              <w:ind w:left="0"/>
              <w:rPr>
                <w:rFonts w:cs="Arial"/>
                <w:sz w:val="16"/>
                <w:szCs w:val="16"/>
                <w:lang w:val="es-ES"/>
              </w:rPr>
            </w:pPr>
            <w:r>
              <w:rPr>
                <w:rFonts w:cs="Arial"/>
                <w:sz w:val="16"/>
                <w:szCs w:val="16"/>
                <w:lang w:val="es-ES" w:bidi="th-TH"/>
              </w:rPr>
              <w:t>En 2014/15, siete</w:t>
            </w:r>
            <w:r w:rsidRPr="004B265E">
              <w:rPr>
                <w:rFonts w:cs="Arial"/>
                <w:sz w:val="16"/>
                <w:szCs w:val="16"/>
                <w:lang w:val="es-ES" w:bidi="th-TH"/>
              </w:rPr>
              <w:t xml:space="preserve"> encuestados manifestaron de promedio un 94% de índice de satisf</w:t>
            </w:r>
            <w:r>
              <w:rPr>
                <w:rFonts w:cs="Arial"/>
                <w:sz w:val="16"/>
                <w:szCs w:val="16"/>
                <w:lang w:val="es-ES" w:bidi="th-TH"/>
              </w:rPr>
              <w:t>acción (África 3;  región árabe 1</w:t>
            </w:r>
            <w:r w:rsidRPr="004B265E">
              <w:rPr>
                <w:rFonts w:cs="Arial"/>
                <w:sz w:val="16"/>
                <w:szCs w:val="16"/>
                <w:lang w:val="es-ES" w:bidi="th-TH"/>
              </w:rPr>
              <w:t xml:space="preserve">; </w:t>
            </w:r>
            <w:r>
              <w:rPr>
                <w:rFonts w:cs="Arial"/>
                <w:sz w:val="16"/>
                <w:szCs w:val="16"/>
                <w:lang w:val="es-ES" w:bidi="th-TH"/>
              </w:rPr>
              <w:t xml:space="preserve"> </w:t>
            </w:r>
            <w:r w:rsidRPr="004B265E">
              <w:rPr>
                <w:rFonts w:cs="Arial"/>
                <w:sz w:val="16"/>
                <w:szCs w:val="16"/>
                <w:lang w:val="es-ES" w:bidi="th-TH"/>
              </w:rPr>
              <w:t>Asia y el Pacíf</w:t>
            </w:r>
            <w:r>
              <w:rPr>
                <w:rFonts w:cs="Arial"/>
                <w:sz w:val="16"/>
                <w:szCs w:val="16"/>
                <w:lang w:val="es-ES" w:bidi="th-TH"/>
              </w:rPr>
              <w:t xml:space="preserve">ico 2;  América Latina y el Caribe </w:t>
            </w:r>
            <w:r w:rsidRPr="004B265E">
              <w:rPr>
                <w:rFonts w:cs="Arial"/>
                <w:sz w:val="16"/>
                <w:szCs w:val="16"/>
                <w:lang w:val="es-ES" w:bidi="th-TH"/>
              </w:rPr>
              <w:t>1)</w:t>
            </w:r>
            <w:r w:rsidRPr="004B265E">
              <w:rPr>
                <w:rStyle w:val="FootnoteReference"/>
                <w:rFonts w:cs="Arial"/>
                <w:sz w:val="16"/>
                <w:szCs w:val="16"/>
                <w:lang w:val="es-ES" w:bidi="th-TH"/>
              </w:rPr>
              <w:t xml:space="preserve"> </w:t>
            </w:r>
            <w:r w:rsidRPr="003C4694">
              <w:rPr>
                <w:rStyle w:val="FootnoteReference"/>
                <w:rFonts w:cs="Arial"/>
                <w:sz w:val="16"/>
                <w:szCs w:val="16"/>
                <w:lang w:val="es-ES" w:bidi="th-TH"/>
              </w:rPr>
              <w:footnoteReference w:id="59"/>
            </w:r>
          </w:p>
        </w:tc>
        <w:tc>
          <w:tcPr>
            <w:tcW w:w="1278" w:type="dxa"/>
            <w:shd w:val="clear" w:color="auto" w:fill="auto"/>
            <w:tcMar>
              <w:top w:w="110" w:type="dxa"/>
            </w:tcMar>
          </w:tcPr>
          <w:p w:rsidR="0095318C" w:rsidRPr="004B265E" w:rsidRDefault="0095318C" w:rsidP="00DC1333">
            <w:pPr>
              <w:keepNext/>
              <w:keepLines/>
              <w:jc w:val="center"/>
              <w:rPr>
                <w:b/>
                <w:bCs/>
                <w:sz w:val="14"/>
                <w:szCs w:val="14"/>
              </w:rPr>
            </w:pPr>
            <w:r w:rsidRPr="004B265E">
              <w:rPr>
                <w:b/>
                <w:bCs/>
                <w:color w:val="00B050"/>
                <w:sz w:val="14"/>
                <w:szCs w:val="14"/>
              </w:rPr>
              <w:t>Plenamente logrado</w:t>
            </w:r>
          </w:p>
        </w:tc>
      </w:tr>
      <w:tr w:rsidR="0095318C" w:rsidRPr="003C4694" w:rsidTr="00DC1333">
        <w:tc>
          <w:tcPr>
            <w:tcW w:w="2123" w:type="dxa"/>
            <w:gridSpan w:val="2"/>
            <w:shd w:val="clear" w:color="auto" w:fill="auto"/>
          </w:tcPr>
          <w:p w:rsidR="0095318C" w:rsidRPr="0044627C" w:rsidRDefault="0095318C" w:rsidP="00DC1333">
            <w:pPr>
              <w:rPr>
                <w:sz w:val="16"/>
                <w:szCs w:val="16"/>
              </w:rPr>
            </w:pPr>
            <w:r w:rsidRPr="0044627C">
              <w:rPr>
                <w:sz w:val="16"/>
                <w:szCs w:val="16"/>
              </w:rPr>
              <w:t>Número y porcentaje de Estados miembros/organizaciones regionales que han formulado comentarios positivos sobre el asesoramiento legislativo proporcionado en la esfera de las marcas, los diseños industriales y las indicaciones geográficas</w:t>
            </w:r>
          </w:p>
        </w:tc>
        <w:tc>
          <w:tcPr>
            <w:tcW w:w="2126" w:type="dxa"/>
            <w:gridSpan w:val="3"/>
            <w:shd w:val="clear" w:color="auto" w:fill="auto"/>
          </w:tcPr>
          <w:p w:rsidR="0095318C" w:rsidRPr="0044627C" w:rsidRDefault="0095318C" w:rsidP="0095318C">
            <w:pPr>
              <w:ind w:leftChars="-6" w:left="1" w:hangingChars="9" w:hanging="14"/>
              <w:rPr>
                <w:sz w:val="16"/>
                <w:szCs w:val="16"/>
                <w:lang w:bidi="th-TH"/>
              </w:rPr>
            </w:pPr>
            <w:r w:rsidRPr="0044627C">
              <w:rPr>
                <w:i/>
                <w:sz w:val="16"/>
                <w:szCs w:val="16"/>
              </w:rPr>
              <w:t>Referencia actualizada a fines de 2013</w:t>
            </w:r>
            <w:proofErr w:type="gramStart"/>
            <w:r w:rsidRPr="0044627C">
              <w:rPr>
                <w:i/>
                <w:sz w:val="16"/>
                <w:szCs w:val="16"/>
              </w:rPr>
              <w:t xml:space="preserve">:  </w:t>
            </w:r>
            <w:r w:rsidRPr="0044627C">
              <w:rPr>
                <w:sz w:val="16"/>
                <w:szCs w:val="16"/>
              </w:rPr>
              <w:t>9</w:t>
            </w:r>
            <w:proofErr w:type="gramEnd"/>
            <w:r w:rsidRPr="0044627C">
              <w:rPr>
                <w:sz w:val="16"/>
                <w:szCs w:val="16"/>
              </w:rPr>
              <w:t xml:space="preserve"> de 13 países formularon comentarios positivos. </w:t>
            </w:r>
            <w:r>
              <w:rPr>
                <w:sz w:val="16"/>
                <w:szCs w:val="16"/>
              </w:rPr>
              <w:t xml:space="preserve"> Cuatro países no respondieron</w:t>
            </w:r>
          </w:p>
          <w:p w:rsidR="0095318C" w:rsidRPr="0044627C" w:rsidRDefault="0095318C" w:rsidP="0095318C">
            <w:pPr>
              <w:ind w:leftChars="-6" w:left="1" w:hangingChars="9" w:hanging="14"/>
              <w:rPr>
                <w:i/>
                <w:sz w:val="16"/>
                <w:szCs w:val="16"/>
                <w:lang w:bidi="th-TH"/>
              </w:rPr>
            </w:pPr>
          </w:p>
          <w:p w:rsidR="0095318C" w:rsidRPr="0044627C" w:rsidRDefault="0095318C" w:rsidP="0095318C">
            <w:pPr>
              <w:ind w:leftChars="-6" w:left="1" w:hangingChars="9" w:hanging="14"/>
              <w:rPr>
                <w:sz w:val="16"/>
                <w:szCs w:val="16"/>
                <w:lang w:bidi="th-TH"/>
              </w:rPr>
            </w:pPr>
            <w:r w:rsidRPr="004B265E">
              <w:rPr>
                <w:i/>
                <w:sz w:val="16"/>
                <w:szCs w:val="16"/>
                <w:lang w:bidi="th-TH"/>
              </w:rPr>
              <w:t>Referencia original en el presupuesto de</w:t>
            </w:r>
            <w:r>
              <w:rPr>
                <w:i/>
                <w:sz w:val="16"/>
                <w:szCs w:val="16"/>
                <w:lang w:bidi="th-TH"/>
              </w:rPr>
              <w:t xml:space="preserve"> 2014/15:  </w:t>
            </w:r>
            <w:r w:rsidRPr="0044627C">
              <w:rPr>
                <w:iCs/>
                <w:sz w:val="16"/>
                <w:szCs w:val="16"/>
                <w:lang w:bidi="th-TH"/>
              </w:rPr>
              <w:t>tres</w:t>
            </w:r>
            <w:r>
              <w:rPr>
                <w:i/>
                <w:sz w:val="16"/>
                <w:szCs w:val="16"/>
                <w:lang w:bidi="th-TH"/>
              </w:rPr>
              <w:t xml:space="preserve"> </w:t>
            </w:r>
            <w:r w:rsidRPr="0044627C">
              <w:rPr>
                <w:sz w:val="16"/>
                <w:szCs w:val="16"/>
                <w:lang w:bidi="th-TH"/>
              </w:rPr>
              <w:t>Estados miembros/organizaciones regionales han formulado comentarios positivos sobre el asesoramiento legislativo recibido en 2012</w:t>
            </w:r>
          </w:p>
        </w:tc>
        <w:tc>
          <w:tcPr>
            <w:tcW w:w="1562" w:type="dxa"/>
            <w:gridSpan w:val="2"/>
            <w:shd w:val="clear" w:color="auto" w:fill="auto"/>
            <w:tcMar>
              <w:top w:w="110" w:type="dxa"/>
            </w:tcMar>
          </w:tcPr>
          <w:p w:rsidR="0095318C" w:rsidRPr="0044627C" w:rsidRDefault="0095318C" w:rsidP="00DC1333">
            <w:pPr>
              <w:autoSpaceDE w:val="0"/>
              <w:autoSpaceDN w:val="0"/>
              <w:adjustRightInd w:val="0"/>
              <w:rPr>
                <w:sz w:val="16"/>
                <w:szCs w:val="16"/>
              </w:rPr>
            </w:pPr>
            <w:r w:rsidRPr="0044627C">
              <w:rPr>
                <w:sz w:val="16"/>
                <w:szCs w:val="16"/>
              </w:rPr>
              <w:t>Comentarios positivos recibidos de 10 Estados miembros/ organizaciones</w:t>
            </w:r>
            <w:r>
              <w:rPr>
                <w:sz w:val="16"/>
                <w:szCs w:val="16"/>
              </w:rPr>
              <w:t xml:space="preserve"> regionales (desglose regional)</w:t>
            </w:r>
          </w:p>
        </w:tc>
        <w:tc>
          <w:tcPr>
            <w:tcW w:w="2409" w:type="dxa"/>
            <w:gridSpan w:val="4"/>
            <w:shd w:val="clear" w:color="auto" w:fill="FFFFFF"/>
            <w:tcMar>
              <w:top w:w="110" w:type="dxa"/>
            </w:tcMar>
          </w:tcPr>
          <w:p w:rsidR="0095318C" w:rsidRDefault="0095318C" w:rsidP="00DC1333">
            <w:pPr>
              <w:rPr>
                <w:sz w:val="16"/>
                <w:szCs w:val="16"/>
                <w:lang w:bidi="th-TH"/>
              </w:rPr>
            </w:pPr>
            <w:r w:rsidRPr="0044627C">
              <w:rPr>
                <w:sz w:val="16"/>
                <w:szCs w:val="16"/>
                <w:lang w:bidi="th-TH"/>
              </w:rPr>
              <w:t>Se prestó asesoramiento a 30 Estados miembros/Organizaciones regionales (África 8;</w:t>
            </w:r>
            <w:r>
              <w:rPr>
                <w:sz w:val="16"/>
                <w:szCs w:val="16"/>
                <w:lang w:bidi="th-TH"/>
              </w:rPr>
              <w:t xml:space="preserve"> </w:t>
            </w:r>
            <w:r w:rsidRPr="0044627C">
              <w:rPr>
                <w:sz w:val="16"/>
                <w:szCs w:val="16"/>
                <w:lang w:bidi="th-TH"/>
              </w:rPr>
              <w:t xml:space="preserve"> región árabe 6; </w:t>
            </w:r>
            <w:r>
              <w:rPr>
                <w:sz w:val="16"/>
                <w:szCs w:val="16"/>
                <w:lang w:bidi="th-TH"/>
              </w:rPr>
              <w:t xml:space="preserve"> Asia y el Pacífico 14;  </w:t>
            </w:r>
            <w:r w:rsidRPr="0044627C">
              <w:rPr>
                <w:sz w:val="16"/>
                <w:szCs w:val="16"/>
                <w:lang w:bidi="th-TH"/>
              </w:rPr>
              <w:t>América Latina y el Caribe 1)</w:t>
            </w:r>
          </w:p>
          <w:p w:rsidR="0095318C" w:rsidRPr="0044627C" w:rsidRDefault="0095318C" w:rsidP="00DC1333">
            <w:pPr>
              <w:rPr>
                <w:sz w:val="16"/>
                <w:szCs w:val="16"/>
                <w:lang w:bidi="th-TH"/>
              </w:rPr>
            </w:pPr>
          </w:p>
          <w:p w:rsidR="0095318C" w:rsidRPr="0044627C" w:rsidRDefault="0095318C" w:rsidP="00DC1333">
            <w:pPr>
              <w:rPr>
                <w:sz w:val="16"/>
                <w:szCs w:val="16"/>
              </w:rPr>
            </w:pPr>
            <w:r w:rsidRPr="0044627C">
              <w:rPr>
                <w:sz w:val="16"/>
                <w:szCs w:val="16"/>
                <w:lang w:bidi="th-TH"/>
              </w:rPr>
              <w:t>Se recibieron comentarios de siete encuestados, y todos ellos (100%) manifestaron estar satisfechos con el asesoramiento brindado</w:t>
            </w:r>
          </w:p>
        </w:tc>
        <w:tc>
          <w:tcPr>
            <w:tcW w:w="1278" w:type="dxa"/>
            <w:shd w:val="clear" w:color="auto" w:fill="auto"/>
            <w:tcMar>
              <w:top w:w="110" w:type="dxa"/>
            </w:tcMar>
          </w:tcPr>
          <w:p w:rsidR="0095318C" w:rsidRPr="003C4694" w:rsidRDefault="0095318C" w:rsidP="00DC1333">
            <w:pPr>
              <w:keepNext/>
              <w:keepLines/>
              <w:jc w:val="center"/>
              <w:rPr>
                <w:bCs/>
                <w:sz w:val="16"/>
                <w:szCs w:val="16"/>
              </w:rPr>
            </w:pPr>
            <w:r w:rsidRPr="004B265E">
              <w:rPr>
                <w:b/>
                <w:bCs/>
                <w:color w:val="00B050"/>
                <w:sz w:val="14"/>
                <w:szCs w:val="14"/>
              </w:rPr>
              <w:t>Plenamente logrado</w:t>
            </w:r>
          </w:p>
        </w:tc>
      </w:tr>
      <w:tr w:rsidR="0095318C" w:rsidRPr="003C4694" w:rsidTr="00DC1333">
        <w:tc>
          <w:tcPr>
            <w:tcW w:w="2123" w:type="dxa"/>
            <w:gridSpan w:val="2"/>
            <w:shd w:val="clear" w:color="auto" w:fill="auto"/>
          </w:tcPr>
          <w:p w:rsidR="0095318C" w:rsidRPr="00492290" w:rsidRDefault="0095318C" w:rsidP="00DC1333">
            <w:pPr>
              <w:rPr>
                <w:sz w:val="16"/>
                <w:szCs w:val="16"/>
              </w:rPr>
            </w:pPr>
            <w:r w:rsidRPr="00492290">
              <w:rPr>
                <w:sz w:val="16"/>
                <w:szCs w:val="16"/>
              </w:rPr>
              <w:t>Número y porcentaje de países que han presentado comentarios positivos sobre el aseso</w:t>
            </w:r>
            <w:r>
              <w:rPr>
                <w:sz w:val="16"/>
                <w:szCs w:val="16"/>
              </w:rPr>
              <w:t>ramiento legislativo de la OMPI</w:t>
            </w:r>
          </w:p>
        </w:tc>
        <w:tc>
          <w:tcPr>
            <w:tcW w:w="2126" w:type="dxa"/>
            <w:gridSpan w:val="3"/>
            <w:shd w:val="clear" w:color="auto" w:fill="auto"/>
          </w:tcPr>
          <w:p w:rsidR="0095318C" w:rsidRPr="008F34B1" w:rsidRDefault="0095318C" w:rsidP="00DC1333">
            <w:pPr>
              <w:ind w:left="1"/>
              <w:rPr>
                <w:sz w:val="16"/>
                <w:szCs w:val="16"/>
                <w:lang w:bidi="th-TH"/>
              </w:rPr>
            </w:pPr>
            <w:r w:rsidRPr="008F34B1">
              <w:rPr>
                <w:sz w:val="16"/>
                <w:szCs w:val="16"/>
                <w:lang w:bidi="th-TH"/>
              </w:rPr>
              <w:t>Todavía no se han recopilado los comentarios</w:t>
            </w:r>
          </w:p>
        </w:tc>
        <w:tc>
          <w:tcPr>
            <w:tcW w:w="1562" w:type="dxa"/>
            <w:gridSpan w:val="2"/>
            <w:shd w:val="clear" w:color="auto" w:fill="auto"/>
            <w:tcMar>
              <w:top w:w="110" w:type="dxa"/>
            </w:tcMar>
          </w:tcPr>
          <w:p w:rsidR="0095318C" w:rsidRPr="003C4694" w:rsidRDefault="0095318C" w:rsidP="00DC1333">
            <w:pPr>
              <w:autoSpaceDE w:val="0"/>
              <w:autoSpaceDN w:val="0"/>
              <w:adjustRightInd w:val="0"/>
              <w:rPr>
                <w:sz w:val="16"/>
                <w:szCs w:val="16"/>
              </w:rPr>
            </w:pPr>
            <w:r>
              <w:rPr>
                <w:sz w:val="16"/>
                <w:szCs w:val="16"/>
              </w:rPr>
              <w:t>15 países (desglose regional</w:t>
            </w:r>
            <w:r w:rsidRPr="003C4694">
              <w:rPr>
                <w:sz w:val="16"/>
                <w:szCs w:val="16"/>
              </w:rPr>
              <w:t>)</w:t>
            </w:r>
          </w:p>
        </w:tc>
        <w:tc>
          <w:tcPr>
            <w:tcW w:w="2409" w:type="dxa"/>
            <w:gridSpan w:val="4"/>
            <w:shd w:val="clear" w:color="auto" w:fill="FFFFFF"/>
            <w:tcMar>
              <w:top w:w="110" w:type="dxa"/>
            </w:tcMar>
          </w:tcPr>
          <w:p w:rsidR="0095318C" w:rsidRPr="00492290" w:rsidRDefault="0095318C" w:rsidP="00DC1333">
            <w:pPr>
              <w:rPr>
                <w:sz w:val="16"/>
                <w:szCs w:val="16"/>
                <w:lang w:bidi="th-TH"/>
              </w:rPr>
            </w:pPr>
            <w:r w:rsidRPr="00492290">
              <w:rPr>
                <w:sz w:val="16"/>
                <w:szCs w:val="16"/>
                <w:lang w:bidi="th-TH"/>
              </w:rPr>
              <w:t xml:space="preserve">23 países recibieron asesoramiento en </w:t>
            </w:r>
            <w:r>
              <w:rPr>
                <w:sz w:val="16"/>
                <w:szCs w:val="16"/>
                <w:lang w:bidi="th-TH"/>
              </w:rPr>
              <w:t>materia</w:t>
            </w:r>
            <w:r w:rsidRPr="00492290">
              <w:rPr>
                <w:sz w:val="16"/>
                <w:szCs w:val="16"/>
                <w:lang w:bidi="th-TH"/>
              </w:rPr>
              <w:t xml:space="preserve"> </w:t>
            </w:r>
            <w:r>
              <w:rPr>
                <w:sz w:val="16"/>
                <w:szCs w:val="16"/>
                <w:lang w:bidi="th-TH"/>
              </w:rPr>
              <w:t>legislativa</w:t>
            </w:r>
            <w:r w:rsidRPr="00492290">
              <w:rPr>
                <w:sz w:val="16"/>
                <w:szCs w:val="16"/>
                <w:lang w:bidi="th-TH"/>
              </w:rPr>
              <w:t xml:space="preserve"> </w:t>
            </w:r>
            <w:r>
              <w:rPr>
                <w:sz w:val="16"/>
                <w:szCs w:val="16"/>
                <w:lang w:bidi="th-TH"/>
              </w:rPr>
              <w:t>en 2014/15</w:t>
            </w:r>
            <w:r w:rsidRPr="00492290">
              <w:rPr>
                <w:sz w:val="16"/>
                <w:szCs w:val="16"/>
                <w:lang w:bidi="th-TH"/>
              </w:rPr>
              <w:t xml:space="preserve"> (África 9;  </w:t>
            </w:r>
            <w:r>
              <w:rPr>
                <w:sz w:val="16"/>
                <w:szCs w:val="16"/>
                <w:lang w:bidi="th-TH"/>
              </w:rPr>
              <w:t>regió</w:t>
            </w:r>
            <w:r w:rsidRPr="00492290">
              <w:rPr>
                <w:sz w:val="16"/>
                <w:szCs w:val="16"/>
                <w:lang w:bidi="th-TH"/>
              </w:rPr>
              <w:t>n árabe 3;  Asia y el Pacífico</w:t>
            </w:r>
            <w:r>
              <w:rPr>
                <w:sz w:val="16"/>
                <w:szCs w:val="16"/>
                <w:lang w:bidi="th-TH"/>
              </w:rPr>
              <w:t xml:space="preserve"> 5;  Amé</w:t>
            </w:r>
            <w:r w:rsidRPr="00492290">
              <w:rPr>
                <w:sz w:val="16"/>
                <w:szCs w:val="16"/>
                <w:lang w:bidi="th-TH"/>
              </w:rPr>
              <w:t xml:space="preserve">rica </w:t>
            </w:r>
            <w:r>
              <w:rPr>
                <w:sz w:val="16"/>
                <w:szCs w:val="16"/>
                <w:lang w:bidi="th-TH"/>
              </w:rPr>
              <w:t>Latina y el Caribe 6)</w:t>
            </w:r>
          </w:p>
          <w:p w:rsidR="0095318C" w:rsidRPr="00492290" w:rsidRDefault="0095318C" w:rsidP="00DC1333">
            <w:pPr>
              <w:rPr>
                <w:sz w:val="16"/>
                <w:szCs w:val="16"/>
                <w:lang w:bidi="th-TH"/>
              </w:rPr>
            </w:pPr>
          </w:p>
          <w:p w:rsidR="0095318C" w:rsidRPr="00492290" w:rsidRDefault="0095318C" w:rsidP="00DC1333">
            <w:pPr>
              <w:pStyle w:val="ListParagraph"/>
              <w:ind w:left="0"/>
              <w:rPr>
                <w:rFonts w:cs="Arial"/>
                <w:sz w:val="16"/>
                <w:szCs w:val="16"/>
                <w:lang w:val="es-ES" w:bidi="th-TH"/>
              </w:rPr>
            </w:pPr>
            <w:r w:rsidRPr="00492290">
              <w:rPr>
                <w:rFonts w:cs="Arial"/>
                <w:sz w:val="16"/>
                <w:szCs w:val="16"/>
                <w:lang w:val="es-ES" w:bidi="th-TH"/>
              </w:rPr>
              <w:t xml:space="preserve">100% de las respuestas válidas a las encuestas formularon comentarios positivos </w:t>
            </w:r>
            <w:r>
              <w:rPr>
                <w:rFonts w:cs="Arial"/>
                <w:sz w:val="16"/>
                <w:szCs w:val="16"/>
                <w:lang w:val="es-ES" w:bidi="th-TH"/>
              </w:rPr>
              <w:t xml:space="preserve">(5 o 6 en una escala de 1 a </w:t>
            </w:r>
            <w:r w:rsidRPr="00492290">
              <w:rPr>
                <w:rFonts w:cs="Arial"/>
                <w:sz w:val="16"/>
                <w:szCs w:val="16"/>
                <w:lang w:val="es-ES" w:bidi="th-TH"/>
              </w:rPr>
              <w:t xml:space="preserve">6) </w:t>
            </w:r>
            <w:r>
              <w:rPr>
                <w:rFonts w:cs="Arial"/>
                <w:sz w:val="16"/>
                <w:szCs w:val="16"/>
                <w:lang w:val="es-ES" w:bidi="th-TH"/>
              </w:rPr>
              <w:t xml:space="preserve">sobre el </w:t>
            </w:r>
            <w:r w:rsidRPr="00992AF7">
              <w:rPr>
                <w:rFonts w:cs="Arial"/>
                <w:sz w:val="16"/>
                <w:szCs w:val="16"/>
                <w:lang w:val="es-ES" w:bidi="th-TH"/>
              </w:rPr>
              <w:t>servicio de asesoramiento legislativo en materia de derecho de autor de la OMPI</w:t>
            </w:r>
          </w:p>
          <w:p w:rsidR="0095318C" w:rsidRPr="00492290" w:rsidRDefault="0095318C" w:rsidP="00DC1333">
            <w:pPr>
              <w:pStyle w:val="ListParagraph"/>
              <w:ind w:left="0"/>
              <w:rPr>
                <w:rFonts w:cs="Arial"/>
                <w:sz w:val="16"/>
                <w:szCs w:val="16"/>
                <w:lang w:val="es-ES"/>
              </w:rPr>
            </w:pPr>
          </w:p>
        </w:tc>
        <w:tc>
          <w:tcPr>
            <w:tcW w:w="1278" w:type="dxa"/>
            <w:shd w:val="clear" w:color="auto" w:fill="auto"/>
            <w:tcMar>
              <w:top w:w="110" w:type="dxa"/>
            </w:tcMar>
          </w:tcPr>
          <w:p w:rsidR="0095318C" w:rsidRPr="003C4694" w:rsidRDefault="0095318C" w:rsidP="00DC1333">
            <w:pPr>
              <w:keepNext/>
              <w:keepLines/>
              <w:jc w:val="center"/>
              <w:rPr>
                <w:bCs/>
                <w:sz w:val="16"/>
                <w:szCs w:val="16"/>
              </w:rPr>
            </w:pPr>
            <w:r w:rsidRPr="004B265E">
              <w:rPr>
                <w:b/>
                <w:bCs/>
                <w:color w:val="00B050"/>
                <w:sz w:val="14"/>
                <w:szCs w:val="14"/>
              </w:rPr>
              <w:t>Plenamente logrado</w:t>
            </w:r>
          </w:p>
        </w:tc>
      </w:tr>
      <w:tr w:rsidR="0095318C" w:rsidRPr="003131FE" w:rsidTr="00DC1333">
        <w:tc>
          <w:tcPr>
            <w:tcW w:w="9498" w:type="dxa"/>
            <w:gridSpan w:val="12"/>
            <w:tcBorders>
              <w:top w:val="single" w:sz="4" w:space="0" w:color="auto"/>
              <w:bottom w:val="single" w:sz="4" w:space="0" w:color="auto"/>
            </w:tcBorders>
            <w:shd w:val="clear" w:color="auto" w:fill="C6D9F1" w:themeFill="text2" w:themeFillTint="33"/>
            <w:vAlign w:val="center"/>
          </w:tcPr>
          <w:p w:rsidR="0095318C" w:rsidRPr="00451112" w:rsidRDefault="0095318C" w:rsidP="00DC1333">
            <w:pPr>
              <w:keepNext/>
              <w:keepLines/>
              <w:spacing w:before="120" w:after="120"/>
              <w:ind w:left="2019" w:hanging="2019"/>
              <w:rPr>
                <w:b/>
                <w:bCs/>
                <w:sz w:val="16"/>
                <w:szCs w:val="16"/>
              </w:rPr>
            </w:pPr>
            <w:r w:rsidRPr="00451112">
              <w:lastRenderedPageBreak/>
              <w:br w:type="page"/>
            </w:r>
            <w:r w:rsidRPr="00451112">
              <w:rPr>
                <w:b/>
                <w:bCs/>
                <w:sz w:val="16"/>
                <w:szCs w:val="16"/>
              </w:rPr>
              <w:t>Resultado previsto:</w:t>
            </w:r>
            <w:r w:rsidRPr="00451112">
              <w:rPr>
                <w:b/>
                <w:bCs/>
                <w:sz w:val="16"/>
                <w:szCs w:val="16"/>
              </w:rPr>
              <w:tab/>
            </w:r>
            <w:r w:rsidRPr="00451112">
              <w:rPr>
                <w:sz w:val="16"/>
                <w:szCs w:val="16"/>
                <w:lang w:bidi="th-TH"/>
              </w:rPr>
              <w:t>III.1 Estrategias y planes nacionales de innovación y de P.I. que estén en sintonía con los obj</w:t>
            </w:r>
            <w:r>
              <w:rPr>
                <w:sz w:val="16"/>
                <w:szCs w:val="16"/>
                <w:lang w:bidi="th-TH"/>
              </w:rPr>
              <w:t>etivos nacionales de desarrollo</w:t>
            </w:r>
          </w:p>
        </w:tc>
      </w:tr>
      <w:tr w:rsidR="0095318C" w:rsidRPr="003C4694" w:rsidTr="00DC1333">
        <w:tc>
          <w:tcPr>
            <w:tcW w:w="2123" w:type="dxa"/>
            <w:gridSpan w:val="2"/>
            <w:tcBorders>
              <w:top w:val="single" w:sz="4" w:space="0" w:color="auto"/>
            </w:tcBorders>
            <w:shd w:val="clear" w:color="auto" w:fill="auto"/>
            <w:vAlign w:val="center"/>
          </w:tcPr>
          <w:p w:rsidR="0095318C" w:rsidRPr="003C4694" w:rsidRDefault="0095318C" w:rsidP="00DC1333">
            <w:pPr>
              <w:keepNext/>
              <w:spacing w:after="40"/>
              <w:rPr>
                <w:sz w:val="16"/>
                <w:szCs w:val="16"/>
              </w:rPr>
            </w:pPr>
            <w:r>
              <w:rPr>
                <w:b/>
                <w:bCs/>
                <w:sz w:val="16"/>
                <w:szCs w:val="16"/>
              </w:rPr>
              <w:t>Indicadores de rendimiento</w:t>
            </w:r>
          </w:p>
        </w:tc>
        <w:tc>
          <w:tcPr>
            <w:tcW w:w="1987" w:type="dxa"/>
            <w:gridSpan w:val="2"/>
            <w:tcBorders>
              <w:top w:val="single" w:sz="4" w:space="0" w:color="auto"/>
            </w:tcBorders>
            <w:shd w:val="clear" w:color="auto" w:fill="auto"/>
            <w:vAlign w:val="center"/>
          </w:tcPr>
          <w:p w:rsidR="0095318C" w:rsidRPr="003C4694" w:rsidRDefault="0095318C" w:rsidP="00DC1333">
            <w:pPr>
              <w:keepNext/>
              <w:spacing w:after="40"/>
              <w:rPr>
                <w:b/>
                <w:bCs/>
                <w:sz w:val="16"/>
                <w:szCs w:val="16"/>
              </w:rPr>
            </w:pPr>
            <w:r>
              <w:rPr>
                <w:b/>
                <w:bCs/>
                <w:sz w:val="16"/>
                <w:szCs w:val="16"/>
              </w:rPr>
              <w:t>Referencia</w:t>
            </w:r>
          </w:p>
        </w:tc>
        <w:tc>
          <w:tcPr>
            <w:tcW w:w="1701" w:type="dxa"/>
            <w:gridSpan w:val="3"/>
            <w:tcBorders>
              <w:top w:val="single" w:sz="4" w:space="0" w:color="auto"/>
            </w:tcBorders>
            <w:shd w:val="clear" w:color="auto" w:fill="auto"/>
            <w:tcMar>
              <w:top w:w="110" w:type="dxa"/>
            </w:tcMar>
            <w:vAlign w:val="center"/>
          </w:tcPr>
          <w:p w:rsidR="0095318C" w:rsidRPr="003C4694" w:rsidRDefault="0095318C" w:rsidP="00DC1333">
            <w:pPr>
              <w:keepNext/>
              <w:spacing w:after="40"/>
              <w:rPr>
                <w:b/>
                <w:sz w:val="16"/>
                <w:szCs w:val="16"/>
              </w:rPr>
            </w:pPr>
            <w:r>
              <w:rPr>
                <w:b/>
                <w:sz w:val="16"/>
                <w:szCs w:val="16"/>
              </w:rPr>
              <w:t>Objetivo</w:t>
            </w:r>
            <w:r w:rsidRPr="003C4694">
              <w:rPr>
                <w:b/>
                <w:sz w:val="16"/>
                <w:szCs w:val="16"/>
              </w:rPr>
              <w:t>s</w:t>
            </w:r>
          </w:p>
        </w:tc>
        <w:tc>
          <w:tcPr>
            <w:tcW w:w="2269" w:type="dxa"/>
            <w:gridSpan w:val="3"/>
            <w:tcBorders>
              <w:top w:val="single" w:sz="4" w:space="0" w:color="auto"/>
            </w:tcBorders>
            <w:shd w:val="clear" w:color="auto" w:fill="FFFFFF"/>
            <w:tcMar>
              <w:top w:w="110" w:type="dxa"/>
            </w:tcMar>
            <w:vAlign w:val="center"/>
          </w:tcPr>
          <w:p w:rsidR="0095318C" w:rsidRPr="003C4694" w:rsidRDefault="0095318C" w:rsidP="00DC1333">
            <w:pPr>
              <w:keepNext/>
              <w:spacing w:after="40"/>
              <w:rPr>
                <w:sz w:val="16"/>
                <w:szCs w:val="16"/>
              </w:rPr>
            </w:pPr>
            <w:r>
              <w:rPr>
                <w:b/>
                <w:bCs/>
                <w:sz w:val="16"/>
                <w:szCs w:val="16"/>
              </w:rPr>
              <w:t>Datos sobre el rendimiento</w:t>
            </w:r>
          </w:p>
        </w:tc>
        <w:tc>
          <w:tcPr>
            <w:tcW w:w="1418" w:type="dxa"/>
            <w:gridSpan w:val="2"/>
            <w:tcBorders>
              <w:top w:val="single" w:sz="4" w:space="0" w:color="auto"/>
            </w:tcBorders>
            <w:shd w:val="clear" w:color="auto" w:fill="auto"/>
            <w:tcMar>
              <w:top w:w="110" w:type="dxa"/>
            </w:tcMar>
            <w:vAlign w:val="center"/>
          </w:tcPr>
          <w:p w:rsidR="0095318C" w:rsidRPr="003C4694" w:rsidRDefault="0095318C" w:rsidP="00DC1333">
            <w:pPr>
              <w:keepNext/>
              <w:keepLines/>
              <w:spacing w:after="40"/>
              <w:jc w:val="center"/>
              <w:rPr>
                <w:b/>
                <w:bCs/>
                <w:sz w:val="16"/>
                <w:szCs w:val="16"/>
              </w:rPr>
            </w:pPr>
            <w:r>
              <w:rPr>
                <w:b/>
                <w:bCs/>
                <w:sz w:val="16"/>
                <w:szCs w:val="16"/>
              </w:rPr>
              <w:t>Clave de los colores</w:t>
            </w:r>
          </w:p>
        </w:tc>
      </w:tr>
      <w:tr w:rsidR="0095318C" w:rsidRPr="004B265E" w:rsidTr="00DC1333">
        <w:tc>
          <w:tcPr>
            <w:tcW w:w="2123" w:type="dxa"/>
            <w:gridSpan w:val="2"/>
            <w:shd w:val="clear" w:color="auto" w:fill="FFFFFF"/>
          </w:tcPr>
          <w:p w:rsidR="0095318C" w:rsidRPr="00AD5551" w:rsidRDefault="0095318C" w:rsidP="00DC1333">
            <w:pPr>
              <w:keepNext/>
              <w:rPr>
                <w:sz w:val="16"/>
                <w:szCs w:val="16"/>
                <w:lang w:bidi="th-TH"/>
              </w:rPr>
            </w:pPr>
            <w:r w:rsidRPr="00AD5551">
              <w:rPr>
                <w:sz w:val="16"/>
                <w:szCs w:val="16"/>
                <w:lang w:bidi="th-TH"/>
              </w:rPr>
              <w:t>Número de países que están en proceso de formular/adoptar estrategias o planes de desarrollo nacionales de P.I.</w:t>
            </w:r>
          </w:p>
        </w:tc>
        <w:tc>
          <w:tcPr>
            <w:tcW w:w="1987" w:type="dxa"/>
            <w:gridSpan w:val="2"/>
            <w:shd w:val="clear" w:color="auto" w:fill="auto"/>
          </w:tcPr>
          <w:p w:rsidR="0095318C" w:rsidRPr="00992ABC" w:rsidRDefault="0095318C" w:rsidP="00DC1333">
            <w:pPr>
              <w:keepNext/>
              <w:rPr>
                <w:i/>
                <w:sz w:val="16"/>
                <w:szCs w:val="16"/>
              </w:rPr>
            </w:pPr>
            <w:r w:rsidRPr="00AD5551">
              <w:rPr>
                <w:i/>
                <w:sz w:val="16"/>
                <w:szCs w:val="16"/>
              </w:rPr>
              <w:t>R</w:t>
            </w:r>
            <w:r>
              <w:rPr>
                <w:i/>
                <w:sz w:val="16"/>
                <w:szCs w:val="16"/>
              </w:rPr>
              <w:t>eferencia actualizada a fines de</w:t>
            </w:r>
            <w:r w:rsidRPr="00AD5551">
              <w:rPr>
                <w:i/>
                <w:sz w:val="16"/>
                <w:szCs w:val="16"/>
              </w:rPr>
              <w:t xml:space="preserve"> </w:t>
            </w:r>
            <w:r>
              <w:rPr>
                <w:i/>
                <w:sz w:val="16"/>
                <w:szCs w:val="16"/>
              </w:rPr>
              <w:t xml:space="preserve">2013:  </w:t>
            </w:r>
            <w:r w:rsidRPr="00AD5551">
              <w:rPr>
                <w:sz w:val="16"/>
                <w:szCs w:val="16"/>
              </w:rPr>
              <w:t xml:space="preserve">África: </w:t>
            </w:r>
            <w:r>
              <w:rPr>
                <w:sz w:val="16"/>
                <w:szCs w:val="16"/>
              </w:rPr>
              <w:t xml:space="preserve"> </w:t>
            </w:r>
            <w:r w:rsidRPr="00AD5551">
              <w:rPr>
                <w:sz w:val="16"/>
                <w:szCs w:val="16"/>
              </w:rPr>
              <w:t xml:space="preserve">18 en total (Botswana, Burundi, Camerún, República Centroafricana, Chad, </w:t>
            </w:r>
            <w:r w:rsidRPr="00CD36EC">
              <w:rPr>
                <w:sz w:val="16"/>
                <w:szCs w:val="16"/>
              </w:rPr>
              <w:t>Congo</w:t>
            </w:r>
            <w:r w:rsidRPr="00AD5551">
              <w:rPr>
                <w:sz w:val="16"/>
                <w:szCs w:val="16"/>
              </w:rPr>
              <w:t>, Guinea Ecuatorial, Etiopía</w:t>
            </w:r>
            <w:r w:rsidRPr="003C4694">
              <w:rPr>
                <w:rStyle w:val="FootnoteReference"/>
                <w:sz w:val="16"/>
                <w:szCs w:val="16"/>
              </w:rPr>
              <w:footnoteReference w:id="60"/>
            </w:r>
            <w:r w:rsidRPr="00AD5551">
              <w:rPr>
                <w:sz w:val="16"/>
                <w:szCs w:val="16"/>
              </w:rPr>
              <w:t>, Gambia, Kenya, Lesotho, Malawi, Malí, Mauricio, Seychelles, Sierra Leona, Togo, República Unida de Tanzanía)</w:t>
            </w:r>
          </w:p>
          <w:p w:rsidR="0095318C" w:rsidRPr="00AD5551" w:rsidRDefault="0095318C" w:rsidP="00DC1333">
            <w:pPr>
              <w:keepNext/>
              <w:rPr>
                <w:sz w:val="16"/>
                <w:szCs w:val="16"/>
              </w:rPr>
            </w:pPr>
          </w:p>
          <w:p w:rsidR="0095318C" w:rsidRPr="008F34B1" w:rsidRDefault="0095318C" w:rsidP="00DC1333">
            <w:pPr>
              <w:keepNext/>
              <w:rPr>
                <w:sz w:val="16"/>
                <w:szCs w:val="16"/>
              </w:rPr>
            </w:pPr>
            <w:r>
              <w:rPr>
                <w:sz w:val="16"/>
                <w:szCs w:val="16"/>
              </w:rPr>
              <w:t>Región árabe:  6 en total</w:t>
            </w:r>
            <w:r w:rsidRPr="003C4694">
              <w:rPr>
                <w:rStyle w:val="FootnoteReference"/>
                <w:sz w:val="16"/>
                <w:szCs w:val="16"/>
              </w:rPr>
              <w:footnoteReference w:id="61"/>
            </w:r>
            <w:r w:rsidRPr="008F34B1">
              <w:rPr>
                <w:sz w:val="16"/>
                <w:szCs w:val="16"/>
              </w:rPr>
              <w:t xml:space="preserve"> (Argelia</w:t>
            </w:r>
            <w:r w:rsidRPr="003C4694">
              <w:rPr>
                <w:rStyle w:val="FootnoteReference"/>
                <w:sz w:val="16"/>
                <w:szCs w:val="16"/>
              </w:rPr>
              <w:footnoteReference w:id="62"/>
            </w:r>
            <w:r w:rsidRPr="008F34B1">
              <w:rPr>
                <w:sz w:val="16"/>
                <w:szCs w:val="16"/>
              </w:rPr>
              <w:t>, Omán, Qatar</w:t>
            </w:r>
            <w:r w:rsidRPr="003C4694">
              <w:rPr>
                <w:rStyle w:val="FootnoteReference"/>
                <w:sz w:val="16"/>
                <w:szCs w:val="16"/>
              </w:rPr>
              <w:footnoteReference w:id="63"/>
            </w:r>
            <w:r w:rsidRPr="008F34B1">
              <w:rPr>
                <w:sz w:val="16"/>
                <w:szCs w:val="16"/>
              </w:rPr>
              <w:t xml:space="preserve">, </w:t>
            </w:r>
            <w:r w:rsidRPr="00CD36EC">
              <w:rPr>
                <w:sz w:val="16"/>
                <w:szCs w:val="16"/>
              </w:rPr>
              <w:t>Sudán, Emiratos Árabes Unidos,</w:t>
            </w:r>
            <w:r w:rsidRPr="008F34B1">
              <w:rPr>
                <w:sz w:val="16"/>
                <w:szCs w:val="16"/>
              </w:rPr>
              <w:t xml:space="preserve"> Yemen)</w:t>
            </w:r>
          </w:p>
          <w:p w:rsidR="0095318C" w:rsidRPr="008F34B1" w:rsidRDefault="0095318C" w:rsidP="00DC1333">
            <w:pPr>
              <w:keepNext/>
              <w:rPr>
                <w:sz w:val="16"/>
                <w:szCs w:val="16"/>
              </w:rPr>
            </w:pPr>
          </w:p>
          <w:p w:rsidR="0095318C" w:rsidRDefault="0095318C" w:rsidP="00DC1333">
            <w:pPr>
              <w:keepNext/>
              <w:rPr>
                <w:sz w:val="16"/>
                <w:szCs w:val="16"/>
              </w:rPr>
            </w:pPr>
            <w:r w:rsidRPr="00B5108C">
              <w:rPr>
                <w:sz w:val="16"/>
                <w:szCs w:val="16"/>
              </w:rPr>
              <w:t xml:space="preserve">Asia y el Pacífico: </w:t>
            </w:r>
            <w:r>
              <w:rPr>
                <w:sz w:val="16"/>
                <w:szCs w:val="16"/>
              </w:rPr>
              <w:t xml:space="preserve"> </w:t>
            </w:r>
            <w:r w:rsidRPr="00B5108C">
              <w:rPr>
                <w:sz w:val="16"/>
                <w:szCs w:val="16"/>
              </w:rPr>
              <w:t>12 en total (Bangladesh, Bhután, Camboya, Fiji, Mongolia, Papua Nueva Guinea, Samoa, Islas Salomón, Sri Lanka, Tonga, Vanuatu, Viet Nam)</w:t>
            </w:r>
          </w:p>
          <w:p w:rsidR="0095318C" w:rsidRPr="00B5108C" w:rsidRDefault="0095318C" w:rsidP="00DC1333">
            <w:pPr>
              <w:keepNext/>
              <w:rPr>
                <w:sz w:val="16"/>
                <w:szCs w:val="16"/>
              </w:rPr>
            </w:pPr>
          </w:p>
          <w:p w:rsidR="0095318C" w:rsidRPr="003C4694" w:rsidRDefault="0095318C" w:rsidP="00DC1333">
            <w:pPr>
              <w:keepNext/>
              <w:rPr>
                <w:sz w:val="16"/>
                <w:szCs w:val="16"/>
              </w:rPr>
            </w:pPr>
            <w:r w:rsidRPr="00B5108C">
              <w:rPr>
                <w:sz w:val="16"/>
                <w:szCs w:val="16"/>
              </w:rPr>
              <w:t xml:space="preserve">América Latina y el Caribe: </w:t>
            </w:r>
            <w:r>
              <w:rPr>
                <w:sz w:val="16"/>
                <w:szCs w:val="16"/>
              </w:rPr>
              <w:t xml:space="preserve"> 11 en total (</w:t>
            </w:r>
            <w:r w:rsidRPr="00B5108C">
              <w:rPr>
                <w:sz w:val="16"/>
                <w:szCs w:val="16"/>
              </w:rPr>
              <w:t>Barbados, Costa Rica, República Dominicana, Ecuador, El Salvador, Guatemala, Honduras, Nicaragua, Panamá, Sa</w:t>
            </w:r>
            <w:r>
              <w:rPr>
                <w:sz w:val="16"/>
                <w:szCs w:val="16"/>
              </w:rPr>
              <w:t>i</w:t>
            </w:r>
            <w:r w:rsidRPr="00B5108C">
              <w:rPr>
                <w:sz w:val="16"/>
                <w:szCs w:val="16"/>
              </w:rPr>
              <w:t>nt K</w:t>
            </w:r>
            <w:r>
              <w:rPr>
                <w:sz w:val="16"/>
                <w:szCs w:val="16"/>
              </w:rPr>
              <w:t>itts y Nevis, Trinidad y Tabago</w:t>
            </w:r>
            <w:r w:rsidRPr="003C4694">
              <w:rPr>
                <w:sz w:val="16"/>
                <w:szCs w:val="16"/>
              </w:rPr>
              <w:t>)</w:t>
            </w:r>
          </w:p>
          <w:p w:rsidR="0095318C" w:rsidRPr="003C4694" w:rsidRDefault="0095318C" w:rsidP="00DC1333">
            <w:pPr>
              <w:keepNext/>
              <w:rPr>
                <w:sz w:val="16"/>
                <w:szCs w:val="16"/>
              </w:rPr>
            </w:pPr>
          </w:p>
          <w:p w:rsidR="0095318C" w:rsidRDefault="0095318C" w:rsidP="00DC1333">
            <w:pPr>
              <w:keepNext/>
              <w:rPr>
                <w:sz w:val="16"/>
                <w:szCs w:val="16"/>
              </w:rPr>
            </w:pPr>
            <w:r w:rsidRPr="00B5108C">
              <w:rPr>
                <w:sz w:val="16"/>
                <w:szCs w:val="16"/>
              </w:rPr>
              <w:t>19 PMA incluidos en el desglose regional precedente</w:t>
            </w:r>
          </w:p>
          <w:p w:rsidR="0095318C" w:rsidRPr="00B5108C" w:rsidRDefault="0095318C" w:rsidP="00DC1333">
            <w:pPr>
              <w:keepNext/>
              <w:rPr>
                <w:sz w:val="16"/>
                <w:szCs w:val="16"/>
              </w:rPr>
            </w:pPr>
          </w:p>
          <w:p w:rsidR="0095318C" w:rsidRPr="00017A5E" w:rsidRDefault="0095318C" w:rsidP="00DC1333">
            <w:pPr>
              <w:keepNext/>
              <w:rPr>
                <w:sz w:val="16"/>
                <w:szCs w:val="16"/>
                <w:lang w:bidi="th-TH"/>
              </w:rPr>
            </w:pPr>
            <w:r w:rsidRPr="00017A5E">
              <w:rPr>
                <w:i/>
                <w:sz w:val="16"/>
                <w:szCs w:val="16"/>
                <w:lang w:bidi="th-TH"/>
              </w:rPr>
              <w:t>Referencia original</w:t>
            </w:r>
          </w:p>
          <w:p w:rsidR="0095318C" w:rsidRPr="00017A5E" w:rsidRDefault="0095318C" w:rsidP="00DC1333">
            <w:pPr>
              <w:keepNext/>
              <w:rPr>
                <w:sz w:val="16"/>
                <w:szCs w:val="16"/>
                <w:lang w:bidi="th-TH"/>
              </w:rPr>
            </w:pPr>
            <w:r w:rsidRPr="00017A5E">
              <w:rPr>
                <w:i/>
                <w:sz w:val="16"/>
                <w:szCs w:val="16"/>
              </w:rPr>
              <w:t xml:space="preserve">Presup. </w:t>
            </w:r>
            <w:proofErr w:type="gramStart"/>
            <w:r w:rsidRPr="00017A5E">
              <w:rPr>
                <w:i/>
                <w:sz w:val="16"/>
                <w:szCs w:val="16"/>
              </w:rPr>
              <w:t>por</w:t>
            </w:r>
            <w:proofErr w:type="gramEnd"/>
            <w:r w:rsidRPr="00017A5E">
              <w:rPr>
                <w:i/>
                <w:sz w:val="16"/>
                <w:szCs w:val="16"/>
              </w:rPr>
              <w:t xml:space="preserve"> prog. 2014/15:</w:t>
            </w:r>
          </w:p>
          <w:p w:rsidR="0095318C" w:rsidRPr="00B5108C" w:rsidRDefault="0095318C" w:rsidP="00DC1333">
            <w:pPr>
              <w:keepNext/>
              <w:rPr>
                <w:sz w:val="16"/>
                <w:szCs w:val="16"/>
                <w:lang w:bidi="th-TH"/>
              </w:rPr>
            </w:pPr>
            <w:r w:rsidRPr="00B5108C">
              <w:rPr>
                <w:sz w:val="16"/>
                <w:szCs w:val="16"/>
                <w:lang w:bidi="th-TH"/>
              </w:rPr>
              <w:t xml:space="preserve">África (12 en total) </w:t>
            </w:r>
          </w:p>
          <w:p w:rsidR="0095318C" w:rsidRPr="00B5108C" w:rsidRDefault="0095318C" w:rsidP="00DC1333">
            <w:pPr>
              <w:keepNext/>
              <w:rPr>
                <w:sz w:val="16"/>
                <w:szCs w:val="16"/>
                <w:lang w:bidi="th-TH"/>
              </w:rPr>
            </w:pPr>
          </w:p>
          <w:p w:rsidR="0095318C" w:rsidRPr="00B5108C" w:rsidRDefault="0095318C" w:rsidP="00DC1333">
            <w:pPr>
              <w:keepNext/>
              <w:rPr>
                <w:sz w:val="16"/>
                <w:szCs w:val="16"/>
                <w:lang w:bidi="th-TH"/>
              </w:rPr>
            </w:pPr>
            <w:r w:rsidRPr="00B5108C">
              <w:rPr>
                <w:sz w:val="16"/>
                <w:szCs w:val="16"/>
                <w:lang w:bidi="th-TH"/>
              </w:rPr>
              <w:t xml:space="preserve">Región de los países </w:t>
            </w:r>
            <w:r>
              <w:rPr>
                <w:sz w:val="16"/>
                <w:szCs w:val="16"/>
                <w:lang w:bidi="th-TH"/>
              </w:rPr>
              <w:t>á</w:t>
            </w:r>
            <w:r w:rsidRPr="00B5108C">
              <w:rPr>
                <w:sz w:val="16"/>
                <w:szCs w:val="16"/>
                <w:lang w:bidi="th-TH"/>
              </w:rPr>
              <w:t>rabes (4)</w:t>
            </w:r>
          </w:p>
          <w:p w:rsidR="0095318C" w:rsidRPr="00B5108C" w:rsidRDefault="0095318C" w:rsidP="00DC1333">
            <w:pPr>
              <w:keepNext/>
              <w:rPr>
                <w:sz w:val="16"/>
                <w:szCs w:val="16"/>
                <w:lang w:bidi="th-TH"/>
              </w:rPr>
            </w:pPr>
          </w:p>
          <w:p w:rsidR="0095318C" w:rsidRPr="00822FFB" w:rsidRDefault="0095318C" w:rsidP="00DC1333">
            <w:pPr>
              <w:keepNext/>
              <w:rPr>
                <w:sz w:val="16"/>
                <w:szCs w:val="16"/>
                <w:lang w:bidi="th-TH"/>
              </w:rPr>
            </w:pPr>
            <w:r w:rsidRPr="00822FFB">
              <w:rPr>
                <w:sz w:val="16"/>
                <w:szCs w:val="16"/>
                <w:lang w:bidi="th-TH"/>
              </w:rPr>
              <w:t>Asia y el Pacífico (8)</w:t>
            </w:r>
          </w:p>
          <w:p w:rsidR="0095318C" w:rsidRPr="00822FFB" w:rsidRDefault="0095318C" w:rsidP="00DC1333">
            <w:pPr>
              <w:keepNext/>
              <w:rPr>
                <w:sz w:val="16"/>
                <w:szCs w:val="16"/>
                <w:lang w:bidi="th-TH"/>
              </w:rPr>
            </w:pPr>
          </w:p>
          <w:p w:rsidR="0095318C" w:rsidRPr="00822FFB" w:rsidRDefault="0095318C" w:rsidP="00DC1333">
            <w:pPr>
              <w:keepNext/>
              <w:rPr>
                <w:sz w:val="16"/>
                <w:szCs w:val="16"/>
                <w:lang w:bidi="th-TH"/>
              </w:rPr>
            </w:pPr>
            <w:r w:rsidRPr="00822FFB">
              <w:rPr>
                <w:sz w:val="16"/>
                <w:szCs w:val="16"/>
                <w:lang w:bidi="th-TH"/>
              </w:rPr>
              <w:t>América Latina y el Caribe (9)</w:t>
            </w:r>
          </w:p>
          <w:p w:rsidR="0095318C" w:rsidRPr="00822FFB" w:rsidRDefault="0095318C" w:rsidP="00DC1333">
            <w:pPr>
              <w:keepNext/>
              <w:rPr>
                <w:sz w:val="16"/>
                <w:szCs w:val="16"/>
                <w:lang w:bidi="th-TH"/>
              </w:rPr>
            </w:pPr>
          </w:p>
          <w:p w:rsidR="0095318C" w:rsidRPr="00822FFB" w:rsidRDefault="0095318C" w:rsidP="00DC1333">
            <w:pPr>
              <w:keepNext/>
              <w:rPr>
                <w:sz w:val="16"/>
                <w:szCs w:val="16"/>
                <w:lang w:bidi="th-TH"/>
              </w:rPr>
            </w:pPr>
            <w:r w:rsidRPr="00822FFB">
              <w:rPr>
                <w:sz w:val="16"/>
                <w:szCs w:val="16"/>
                <w:lang w:bidi="th-TH"/>
              </w:rPr>
              <w:t xml:space="preserve">5 PMA incluidos en el desglose regional </w:t>
            </w:r>
            <w:r w:rsidRPr="00822FFB">
              <w:rPr>
                <w:sz w:val="16"/>
                <w:szCs w:val="16"/>
                <w:lang w:bidi="th-TH"/>
              </w:rPr>
              <w:lastRenderedPageBreak/>
              <w:t>precedente</w:t>
            </w:r>
          </w:p>
        </w:tc>
        <w:tc>
          <w:tcPr>
            <w:tcW w:w="1701" w:type="dxa"/>
            <w:gridSpan w:val="3"/>
            <w:shd w:val="clear" w:color="auto" w:fill="auto"/>
            <w:tcMar>
              <w:top w:w="110" w:type="dxa"/>
            </w:tcMar>
          </w:tcPr>
          <w:p w:rsidR="0095318C" w:rsidRPr="002873AA" w:rsidRDefault="0095318C" w:rsidP="00DC1333">
            <w:pPr>
              <w:keepNext/>
              <w:rPr>
                <w:sz w:val="16"/>
                <w:szCs w:val="16"/>
                <w:lang w:bidi="th-TH"/>
              </w:rPr>
            </w:pPr>
            <w:r w:rsidRPr="002873AA">
              <w:rPr>
                <w:sz w:val="16"/>
                <w:szCs w:val="16"/>
                <w:lang w:bidi="th-TH"/>
              </w:rPr>
              <w:lastRenderedPageBreak/>
              <w:t>África (18 en total)</w:t>
            </w:r>
          </w:p>
          <w:p w:rsidR="0095318C" w:rsidRPr="002873AA" w:rsidRDefault="0095318C" w:rsidP="00DC1333">
            <w:pPr>
              <w:keepNext/>
              <w:rPr>
                <w:sz w:val="16"/>
                <w:szCs w:val="16"/>
                <w:lang w:bidi="th-TH"/>
              </w:rPr>
            </w:pPr>
          </w:p>
          <w:p w:rsidR="0095318C" w:rsidRPr="002873AA" w:rsidRDefault="0095318C" w:rsidP="00DC1333">
            <w:pPr>
              <w:keepNext/>
              <w:rPr>
                <w:sz w:val="16"/>
                <w:szCs w:val="16"/>
                <w:lang w:bidi="th-TH"/>
              </w:rPr>
            </w:pPr>
            <w:r>
              <w:rPr>
                <w:sz w:val="16"/>
                <w:szCs w:val="16"/>
                <w:lang w:bidi="th-TH"/>
              </w:rPr>
              <w:t>Región árabe (siete en total</w:t>
            </w:r>
            <w:r w:rsidRPr="002873AA">
              <w:rPr>
                <w:sz w:val="16"/>
                <w:szCs w:val="16"/>
                <w:lang w:bidi="th-TH"/>
              </w:rPr>
              <w:t>)</w:t>
            </w:r>
          </w:p>
          <w:p w:rsidR="0095318C" w:rsidRPr="002873AA" w:rsidRDefault="0095318C" w:rsidP="00DC1333">
            <w:pPr>
              <w:keepNext/>
              <w:rPr>
                <w:sz w:val="16"/>
                <w:szCs w:val="16"/>
                <w:lang w:bidi="th-TH"/>
              </w:rPr>
            </w:pPr>
          </w:p>
          <w:p w:rsidR="0095318C" w:rsidRPr="002873AA" w:rsidRDefault="0095318C" w:rsidP="00DC1333">
            <w:pPr>
              <w:keepNext/>
              <w:rPr>
                <w:sz w:val="16"/>
                <w:szCs w:val="16"/>
                <w:lang w:bidi="th-TH"/>
              </w:rPr>
            </w:pPr>
            <w:r w:rsidRPr="002873AA">
              <w:rPr>
                <w:sz w:val="16"/>
                <w:szCs w:val="16"/>
                <w:lang w:bidi="th-TH"/>
              </w:rPr>
              <w:t>Asia y el Pacífico (13 en total)</w:t>
            </w:r>
          </w:p>
          <w:p w:rsidR="0095318C" w:rsidRPr="002873AA" w:rsidRDefault="0095318C" w:rsidP="00DC1333">
            <w:pPr>
              <w:keepNext/>
              <w:rPr>
                <w:sz w:val="16"/>
                <w:szCs w:val="16"/>
                <w:lang w:bidi="th-TH"/>
              </w:rPr>
            </w:pPr>
          </w:p>
          <w:p w:rsidR="0095318C" w:rsidRPr="002873AA" w:rsidRDefault="0095318C" w:rsidP="00DC1333">
            <w:pPr>
              <w:keepNext/>
              <w:rPr>
                <w:sz w:val="16"/>
                <w:szCs w:val="16"/>
                <w:lang w:bidi="th-TH"/>
              </w:rPr>
            </w:pPr>
            <w:r w:rsidRPr="002873AA">
              <w:rPr>
                <w:sz w:val="16"/>
                <w:szCs w:val="16"/>
                <w:lang w:bidi="th-TH"/>
              </w:rPr>
              <w:t>América Latina y el Caribe</w:t>
            </w:r>
            <w:r>
              <w:rPr>
                <w:sz w:val="16"/>
                <w:szCs w:val="16"/>
                <w:lang w:bidi="th-TH"/>
              </w:rPr>
              <w:t xml:space="preserve"> (13 en total</w:t>
            </w:r>
            <w:r w:rsidRPr="002873AA">
              <w:rPr>
                <w:sz w:val="16"/>
                <w:szCs w:val="16"/>
                <w:lang w:bidi="th-TH"/>
              </w:rPr>
              <w:t>)</w:t>
            </w:r>
          </w:p>
          <w:p w:rsidR="0095318C" w:rsidRPr="002873AA" w:rsidRDefault="0095318C" w:rsidP="00DC1333">
            <w:pPr>
              <w:keepNext/>
              <w:rPr>
                <w:sz w:val="16"/>
                <w:szCs w:val="16"/>
                <w:lang w:bidi="th-TH"/>
              </w:rPr>
            </w:pPr>
          </w:p>
          <w:p w:rsidR="0095318C" w:rsidRPr="008F34B1" w:rsidRDefault="0095318C" w:rsidP="00DC1333">
            <w:pPr>
              <w:keepNext/>
              <w:rPr>
                <w:sz w:val="16"/>
                <w:szCs w:val="16"/>
                <w:lang w:bidi="th-TH"/>
              </w:rPr>
            </w:pPr>
            <w:r w:rsidRPr="008F34B1">
              <w:rPr>
                <w:sz w:val="16"/>
                <w:szCs w:val="16"/>
                <w:lang w:bidi="th-TH"/>
              </w:rPr>
              <w:t>10 PMA incluidos en el desglose regional precedente</w:t>
            </w:r>
          </w:p>
          <w:p w:rsidR="0095318C" w:rsidRPr="008F34B1" w:rsidRDefault="0095318C" w:rsidP="00DC1333">
            <w:pPr>
              <w:keepNext/>
              <w:rPr>
                <w:sz w:val="16"/>
                <w:szCs w:val="16"/>
                <w:lang w:bidi="th-TH"/>
              </w:rPr>
            </w:pPr>
          </w:p>
          <w:p w:rsidR="0095318C" w:rsidRPr="008F34B1" w:rsidRDefault="0095318C" w:rsidP="00DC1333">
            <w:pPr>
              <w:keepNext/>
              <w:rPr>
                <w:sz w:val="16"/>
                <w:szCs w:val="16"/>
                <w:lang w:bidi="th-TH"/>
              </w:rPr>
            </w:pPr>
          </w:p>
        </w:tc>
        <w:tc>
          <w:tcPr>
            <w:tcW w:w="2269" w:type="dxa"/>
            <w:gridSpan w:val="3"/>
            <w:shd w:val="clear" w:color="auto" w:fill="FFFFFF"/>
            <w:tcMar>
              <w:top w:w="110" w:type="dxa"/>
            </w:tcMar>
          </w:tcPr>
          <w:p w:rsidR="0095318C" w:rsidRPr="00C77382" w:rsidRDefault="0095318C" w:rsidP="00DC1333">
            <w:pPr>
              <w:keepNext/>
              <w:rPr>
                <w:sz w:val="16"/>
                <w:szCs w:val="16"/>
              </w:rPr>
            </w:pPr>
            <w:r w:rsidRPr="00C77382">
              <w:rPr>
                <w:sz w:val="16"/>
                <w:szCs w:val="16"/>
              </w:rPr>
              <w:t>África (6 países adicionales)</w:t>
            </w:r>
            <w:proofErr w:type="gramStart"/>
            <w:r w:rsidRPr="00C77382">
              <w:rPr>
                <w:sz w:val="16"/>
                <w:szCs w:val="16"/>
              </w:rPr>
              <w:t xml:space="preserve">:  </w:t>
            </w:r>
            <w:r>
              <w:rPr>
                <w:sz w:val="16"/>
                <w:szCs w:val="16"/>
              </w:rPr>
              <w:t>Benin</w:t>
            </w:r>
            <w:proofErr w:type="gramEnd"/>
            <w:r>
              <w:rPr>
                <w:sz w:val="16"/>
                <w:szCs w:val="16"/>
              </w:rPr>
              <w:t xml:space="preserve">, </w:t>
            </w:r>
            <w:r w:rsidRPr="00847037">
              <w:rPr>
                <w:sz w:val="16"/>
                <w:szCs w:val="16"/>
              </w:rPr>
              <w:t>República Democrática del Congo</w:t>
            </w:r>
            <w:r w:rsidRPr="003C4694">
              <w:rPr>
                <w:rStyle w:val="FootnoteReference"/>
                <w:sz w:val="16"/>
                <w:szCs w:val="16"/>
              </w:rPr>
              <w:footnoteReference w:id="64"/>
            </w:r>
            <w:r w:rsidRPr="00C77382">
              <w:rPr>
                <w:sz w:val="16"/>
                <w:szCs w:val="16"/>
              </w:rPr>
              <w:t xml:space="preserve">, Madagascar, Níger, Swazilandia, Uganda.  </w:t>
            </w:r>
          </w:p>
          <w:p w:rsidR="0095318C" w:rsidRPr="00C77382" w:rsidRDefault="0095318C" w:rsidP="00DC1333">
            <w:pPr>
              <w:keepNext/>
              <w:rPr>
                <w:sz w:val="16"/>
                <w:szCs w:val="16"/>
                <w:lang w:bidi="th-TH"/>
              </w:rPr>
            </w:pPr>
            <w:r w:rsidRPr="00C77382">
              <w:rPr>
                <w:sz w:val="16"/>
                <w:szCs w:val="16"/>
                <w:lang w:bidi="th-TH"/>
              </w:rPr>
              <w:t>(24 en total)</w:t>
            </w:r>
          </w:p>
          <w:p w:rsidR="0095318C" w:rsidRPr="00C77382" w:rsidRDefault="0095318C" w:rsidP="00DC1333">
            <w:pPr>
              <w:keepNext/>
              <w:rPr>
                <w:sz w:val="16"/>
                <w:szCs w:val="16"/>
                <w:lang w:bidi="th-TH"/>
              </w:rPr>
            </w:pPr>
          </w:p>
          <w:p w:rsidR="0095318C" w:rsidRPr="002A0F2F" w:rsidRDefault="0095318C" w:rsidP="00DC1333">
            <w:pPr>
              <w:keepNext/>
              <w:rPr>
                <w:sz w:val="16"/>
                <w:szCs w:val="16"/>
                <w:lang w:bidi="th-TH"/>
              </w:rPr>
            </w:pPr>
            <w:r w:rsidRPr="002A0F2F">
              <w:rPr>
                <w:sz w:val="16"/>
                <w:szCs w:val="16"/>
                <w:lang w:bidi="th-TH"/>
              </w:rPr>
              <w:t xml:space="preserve">Región árabe (no hay países adicionales):  </w:t>
            </w:r>
          </w:p>
          <w:p w:rsidR="0095318C" w:rsidRPr="002A0F2F" w:rsidRDefault="0095318C" w:rsidP="0095318C">
            <w:pPr>
              <w:pStyle w:val="ListParagraph"/>
              <w:keepNext/>
              <w:numPr>
                <w:ilvl w:val="0"/>
                <w:numId w:val="55"/>
              </w:numPr>
              <w:rPr>
                <w:sz w:val="16"/>
                <w:szCs w:val="16"/>
                <w:lang w:val="es-ES" w:bidi="th-TH"/>
              </w:rPr>
            </w:pPr>
            <w:r w:rsidRPr="002A0F2F">
              <w:rPr>
                <w:sz w:val="16"/>
                <w:szCs w:val="16"/>
                <w:lang w:val="es-ES" w:bidi="th-TH"/>
              </w:rPr>
              <w:t>Emiratos Árabes Unidos (no hubo progresos adicionales);</w:t>
            </w:r>
          </w:p>
          <w:p w:rsidR="0095318C" w:rsidRPr="002A0F2F" w:rsidRDefault="0095318C" w:rsidP="0095318C">
            <w:pPr>
              <w:pStyle w:val="ListParagraph"/>
              <w:keepNext/>
              <w:numPr>
                <w:ilvl w:val="0"/>
                <w:numId w:val="55"/>
              </w:numPr>
              <w:rPr>
                <w:lang w:val="es-ES" w:bidi="th-TH"/>
              </w:rPr>
            </w:pPr>
            <w:r w:rsidRPr="002A0F2F">
              <w:rPr>
                <w:sz w:val="16"/>
                <w:szCs w:val="16"/>
                <w:lang w:val="es-ES" w:bidi="th-TH"/>
              </w:rPr>
              <w:t>Yemen (proceso aplazado debido a la situación política)</w:t>
            </w:r>
          </w:p>
          <w:p w:rsidR="0095318C" w:rsidRPr="00D2450F" w:rsidRDefault="0095318C" w:rsidP="00DC1333">
            <w:pPr>
              <w:keepNext/>
              <w:rPr>
                <w:sz w:val="16"/>
                <w:szCs w:val="16"/>
                <w:lang w:bidi="th-TH"/>
              </w:rPr>
            </w:pPr>
            <w:r w:rsidRPr="00D2450F">
              <w:rPr>
                <w:sz w:val="16"/>
                <w:szCs w:val="16"/>
                <w:lang w:bidi="th-TH"/>
              </w:rPr>
              <w:t>(6 en total)</w:t>
            </w:r>
          </w:p>
          <w:p w:rsidR="0095318C" w:rsidRPr="00D2450F" w:rsidRDefault="0095318C" w:rsidP="00DC1333">
            <w:pPr>
              <w:keepNext/>
              <w:rPr>
                <w:sz w:val="16"/>
                <w:szCs w:val="16"/>
                <w:lang w:bidi="th-TH"/>
              </w:rPr>
            </w:pPr>
          </w:p>
          <w:p w:rsidR="0095318C" w:rsidRPr="00D2450F" w:rsidRDefault="0095318C" w:rsidP="00DC1333">
            <w:pPr>
              <w:keepNext/>
              <w:rPr>
                <w:sz w:val="16"/>
                <w:szCs w:val="16"/>
                <w:lang w:bidi="th-TH"/>
              </w:rPr>
            </w:pPr>
            <w:r w:rsidRPr="00D2450F">
              <w:rPr>
                <w:sz w:val="16"/>
                <w:szCs w:val="16"/>
                <w:lang w:bidi="th-TH"/>
              </w:rPr>
              <w:t>Asia y el Pacífico (5 países adicionales):</w:t>
            </w:r>
            <w:r>
              <w:rPr>
                <w:sz w:val="16"/>
                <w:szCs w:val="16"/>
                <w:lang w:bidi="th-TH"/>
              </w:rPr>
              <w:t xml:space="preserve">  </w:t>
            </w:r>
            <w:r w:rsidRPr="00D2450F">
              <w:rPr>
                <w:sz w:val="16"/>
                <w:szCs w:val="16"/>
                <w:lang w:bidi="th-TH"/>
              </w:rPr>
              <w:t xml:space="preserve">Brunei Darussalam, Islas Cook, República Popular Democrática de Corea, Myanmar </w:t>
            </w:r>
          </w:p>
          <w:p w:rsidR="0095318C" w:rsidRPr="00D2450F" w:rsidRDefault="0095318C" w:rsidP="00DC1333">
            <w:pPr>
              <w:keepNext/>
              <w:rPr>
                <w:sz w:val="16"/>
                <w:szCs w:val="16"/>
                <w:lang w:bidi="th-TH"/>
              </w:rPr>
            </w:pPr>
            <w:r w:rsidRPr="00D2450F">
              <w:rPr>
                <w:sz w:val="16"/>
                <w:szCs w:val="16"/>
                <w:lang w:bidi="th-TH"/>
              </w:rPr>
              <w:t>(17 en total)</w:t>
            </w:r>
          </w:p>
          <w:p w:rsidR="0095318C" w:rsidRPr="00D2450F" w:rsidRDefault="0095318C" w:rsidP="00DC1333">
            <w:pPr>
              <w:keepNext/>
              <w:rPr>
                <w:sz w:val="16"/>
                <w:szCs w:val="16"/>
                <w:lang w:bidi="th-TH"/>
              </w:rPr>
            </w:pPr>
          </w:p>
          <w:p w:rsidR="0095318C" w:rsidRPr="00D2450F" w:rsidRDefault="0095318C" w:rsidP="00DC1333">
            <w:pPr>
              <w:keepNext/>
              <w:rPr>
                <w:sz w:val="16"/>
                <w:szCs w:val="16"/>
                <w:lang w:bidi="th-TH"/>
              </w:rPr>
            </w:pPr>
            <w:r w:rsidRPr="00D2450F">
              <w:rPr>
                <w:sz w:val="16"/>
                <w:szCs w:val="16"/>
                <w:lang w:bidi="th-TH"/>
              </w:rPr>
              <w:t xml:space="preserve">América Latina y </w:t>
            </w:r>
            <w:r>
              <w:rPr>
                <w:sz w:val="16"/>
                <w:szCs w:val="16"/>
                <w:lang w:bidi="th-TH"/>
              </w:rPr>
              <w:t>el Caribe (4 países adicionale</w:t>
            </w:r>
            <w:r w:rsidRPr="00D2450F">
              <w:rPr>
                <w:sz w:val="16"/>
                <w:szCs w:val="16"/>
                <w:lang w:bidi="th-TH"/>
              </w:rPr>
              <w:t>s</w:t>
            </w:r>
            <w:r>
              <w:rPr>
                <w:sz w:val="16"/>
                <w:szCs w:val="16"/>
                <w:lang w:bidi="th-TH"/>
              </w:rPr>
              <w:t>):  Chile, Granada, Paraguay y</w:t>
            </w:r>
            <w:r w:rsidRPr="00D2450F">
              <w:rPr>
                <w:sz w:val="16"/>
                <w:szCs w:val="16"/>
                <w:lang w:bidi="th-TH"/>
              </w:rPr>
              <w:t xml:space="preserve"> Perú </w:t>
            </w:r>
            <w:r>
              <w:rPr>
                <w:sz w:val="16"/>
                <w:szCs w:val="16"/>
                <w:lang w:bidi="th-TH"/>
              </w:rPr>
              <w:t>(15 en total</w:t>
            </w:r>
            <w:r w:rsidRPr="00D2450F">
              <w:rPr>
                <w:sz w:val="16"/>
                <w:szCs w:val="16"/>
                <w:lang w:bidi="th-TH"/>
              </w:rPr>
              <w:t>)</w:t>
            </w:r>
          </w:p>
          <w:p w:rsidR="0095318C" w:rsidRPr="00D2450F" w:rsidRDefault="0095318C" w:rsidP="00DC1333">
            <w:pPr>
              <w:keepNext/>
              <w:rPr>
                <w:sz w:val="16"/>
                <w:szCs w:val="16"/>
                <w:lang w:bidi="th-TH"/>
              </w:rPr>
            </w:pPr>
          </w:p>
          <w:p w:rsidR="0095318C" w:rsidRPr="00017A5E" w:rsidRDefault="0095318C" w:rsidP="00DC1333">
            <w:pPr>
              <w:keepNext/>
              <w:rPr>
                <w:sz w:val="16"/>
                <w:szCs w:val="16"/>
                <w:lang w:bidi="th-TH"/>
              </w:rPr>
            </w:pPr>
            <w:r w:rsidRPr="00017A5E">
              <w:rPr>
                <w:sz w:val="16"/>
                <w:szCs w:val="16"/>
                <w:lang w:bidi="th-TH"/>
              </w:rPr>
              <w:t>24 PMA incluidos en el anterior desglose regional en total</w:t>
            </w:r>
          </w:p>
          <w:p w:rsidR="0095318C" w:rsidRPr="00017A5E" w:rsidRDefault="0095318C" w:rsidP="00DC1333">
            <w:pPr>
              <w:keepNext/>
              <w:rPr>
                <w:sz w:val="16"/>
                <w:szCs w:val="16"/>
                <w:lang w:bidi="th-TH"/>
              </w:rPr>
            </w:pPr>
          </w:p>
        </w:tc>
        <w:tc>
          <w:tcPr>
            <w:tcW w:w="1418" w:type="dxa"/>
            <w:gridSpan w:val="2"/>
            <w:shd w:val="clear" w:color="auto" w:fill="auto"/>
            <w:tcMar>
              <w:top w:w="110" w:type="dxa"/>
            </w:tcMar>
          </w:tcPr>
          <w:p w:rsidR="0095318C" w:rsidRPr="00017A5E" w:rsidRDefault="0095318C" w:rsidP="00DC1333">
            <w:pPr>
              <w:keepNext/>
              <w:keepLines/>
              <w:jc w:val="center"/>
              <w:rPr>
                <w:bCs/>
                <w:sz w:val="16"/>
                <w:szCs w:val="16"/>
              </w:rPr>
            </w:pPr>
            <w:r w:rsidRPr="004B265E">
              <w:rPr>
                <w:b/>
                <w:bCs/>
                <w:color w:val="00B050"/>
                <w:sz w:val="14"/>
                <w:szCs w:val="14"/>
              </w:rPr>
              <w:t>Plenamente logrado</w:t>
            </w:r>
            <w:r w:rsidRPr="00017A5E">
              <w:rPr>
                <w:bCs/>
                <w:sz w:val="16"/>
                <w:szCs w:val="16"/>
              </w:rPr>
              <w:t xml:space="preserve"> </w:t>
            </w:r>
          </w:p>
          <w:p w:rsidR="0095318C" w:rsidRPr="00017A5E" w:rsidRDefault="0095318C" w:rsidP="00DC1333">
            <w:pPr>
              <w:keepNext/>
              <w:keepLines/>
              <w:jc w:val="center"/>
              <w:rPr>
                <w:bCs/>
                <w:sz w:val="16"/>
                <w:szCs w:val="16"/>
              </w:rPr>
            </w:pPr>
          </w:p>
          <w:p w:rsidR="0095318C" w:rsidRPr="00017A5E" w:rsidRDefault="0095318C" w:rsidP="00DC1333">
            <w:pPr>
              <w:keepNext/>
              <w:keepLines/>
              <w:jc w:val="center"/>
              <w:rPr>
                <w:bCs/>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FF0000"/>
                <w:sz w:val="14"/>
                <w:szCs w:val="14"/>
              </w:rPr>
            </w:pPr>
            <w:r w:rsidRPr="00017A5E">
              <w:rPr>
                <w:b/>
                <w:bCs/>
                <w:color w:val="FF0000"/>
                <w:sz w:val="14"/>
                <w:szCs w:val="14"/>
              </w:rPr>
              <w:t>No logrado</w:t>
            </w: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017A5E" w:rsidRDefault="0095318C" w:rsidP="00DC1333">
            <w:pPr>
              <w:keepNext/>
              <w:keepLines/>
              <w:jc w:val="center"/>
              <w:rPr>
                <w:b/>
                <w:bCs/>
                <w:color w:val="00B050"/>
                <w:sz w:val="16"/>
                <w:szCs w:val="16"/>
              </w:rPr>
            </w:pPr>
          </w:p>
          <w:p w:rsidR="0095318C" w:rsidRPr="004B265E"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4B265E" w:rsidRDefault="0095318C" w:rsidP="00DC1333">
            <w:pPr>
              <w:keepNext/>
              <w:keepLines/>
              <w:jc w:val="center"/>
              <w:rPr>
                <w:b/>
                <w:bCs/>
                <w:color w:val="00B050"/>
                <w:sz w:val="16"/>
                <w:szCs w:val="16"/>
              </w:rPr>
            </w:pPr>
          </w:p>
          <w:p w:rsidR="0095318C" w:rsidRPr="004B265E" w:rsidRDefault="0095318C" w:rsidP="00DC1333">
            <w:pPr>
              <w:keepNext/>
              <w:keepLines/>
              <w:jc w:val="center"/>
              <w:rPr>
                <w:bCs/>
                <w:sz w:val="16"/>
                <w:szCs w:val="16"/>
              </w:rPr>
            </w:pPr>
          </w:p>
          <w:p w:rsidR="0095318C" w:rsidRPr="004B265E" w:rsidRDefault="0095318C" w:rsidP="00DC1333">
            <w:pPr>
              <w:keepNext/>
              <w:keepLines/>
              <w:jc w:val="center"/>
              <w:rPr>
                <w:bCs/>
                <w:sz w:val="16"/>
                <w:szCs w:val="16"/>
              </w:rPr>
            </w:pPr>
          </w:p>
          <w:p w:rsidR="0095318C" w:rsidRPr="004B265E" w:rsidRDefault="0095318C" w:rsidP="00DC1333">
            <w:pPr>
              <w:keepNext/>
              <w:keepLines/>
              <w:rPr>
                <w:bCs/>
                <w:sz w:val="16"/>
                <w:szCs w:val="16"/>
              </w:rPr>
            </w:pPr>
          </w:p>
          <w:p w:rsidR="0095318C" w:rsidRPr="004B265E" w:rsidRDefault="0095318C" w:rsidP="00DC1333">
            <w:pPr>
              <w:keepNext/>
              <w:keepLines/>
              <w:jc w:val="center"/>
              <w:rPr>
                <w:bCs/>
                <w:sz w:val="16"/>
                <w:szCs w:val="16"/>
              </w:rPr>
            </w:pPr>
          </w:p>
          <w:p w:rsidR="0095318C" w:rsidRPr="004B265E" w:rsidRDefault="0095318C" w:rsidP="00DC1333">
            <w:pPr>
              <w:keepNext/>
              <w:keepLines/>
              <w:jc w:val="center"/>
              <w:rPr>
                <w:b/>
                <w:bCs/>
                <w:color w:val="00B050"/>
                <w:sz w:val="16"/>
                <w:szCs w:val="16"/>
              </w:rPr>
            </w:pPr>
          </w:p>
          <w:p w:rsidR="0095318C" w:rsidRPr="003C4694" w:rsidRDefault="0095318C" w:rsidP="00DC1333">
            <w:pPr>
              <w:keepNext/>
              <w:keepLines/>
              <w:jc w:val="center"/>
              <w:rPr>
                <w:bCs/>
                <w:sz w:val="16"/>
                <w:szCs w:val="16"/>
              </w:rPr>
            </w:pPr>
            <w:r w:rsidRPr="004B265E">
              <w:rPr>
                <w:b/>
                <w:bCs/>
                <w:color w:val="00B050"/>
                <w:sz w:val="14"/>
                <w:szCs w:val="14"/>
              </w:rPr>
              <w:t>Plenamente logrado</w:t>
            </w:r>
            <w:r w:rsidRPr="003C4694">
              <w:rPr>
                <w:bCs/>
                <w:sz w:val="16"/>
                <w:szCs w:val="16"/>
              </w:rPr>
              <w:t xml:space="preserve"> </w:t>
            </w:r>
          </w:p>
          <w:p w:rsidR="0095318C" w:rsidRPr="003C4694" w:rsidRDefault="0095318C" w:rsidP="00DC1333">
            <w:pPr>
              <w:keepNext/>
              <w:keepLines/>
              <w:jc w:val="center"/>
              <w:rPr>
                <w:bCs/>
                <w:sz w:val="16"/>
                <w:szCs w:val="16"/>
              </w:rPr>
            </w:pPr>
          </w:p>
          <w:p w:rsidR="0095318C" w:rsidRPr="003C4694" w:rsidRDefault="0095318C" w:rsidP="00DC1333">
            <w:pPr>
              <w:keepNext/>
              <w:keepLines/>
              <w:jc w:val="center"/>
              <w:rPr>
                <w:bCs/>
                <w:sz w:val="16"/>
                <w:szCs w:val="16"/>
              </w:rPr>
            </w:pPr>
          </w:p>
          <w:p w:rsidR="0095318C" w:rsidRPr="003C4694" w:rsidRDefault="0095318C" w:rsidP="00DC1333">
            <w:pPr>
              <w:keepNext/>
              <w:keepLines/>
              <w:jc w:val="center"/>
              <w:rPr>
                <w:bCs/>
                <w:sz w:val="16"/>
                <w:szCs w:val="16"/>
              </w:rPr>
            </w:pPr>
          </w:p>
          <w:p w:rsidR="0095318C" w:rsidRPr="003C4694" w:rsidRDefault="0095318C" w:rsidP="00DC1333">
            <w:pPr>
              <w:keepNext/>
              <w:keepLines/>
              <w:jc w:val="center"/>
              <w:rPr>
                <w:bCs/>
                <w:sz w:val="16"/>
                <w:szCs w:val="16"/>
              </w:rPr>
            </w:pPr>
            <w:r w:rsidRPr="004B265E">
              <w:rPr>
                <w:b/>
                <w:bCs/>
                <w:color w:val="00B050"/>
                <w:sz w:val="14"/>
                <w:szCs w:val="14"/>
              </w:rPr>
              <w:t>Plenamente logrado</w:t>
            </w:r>
            <w:r w:rsidRPr="003C4694">
              <w:rPr>
                <w:bCs/>
                <w:sz w:val="16"/>
                <w:szCs w:val="16"/>
              </w:rPr>
              <w:t xml:space="preserve"> </w:t>
            </w:r>
          </w:p>
        </w:tc>
      </w:tr>
      <w:tr w:rsidR="0095318C" w:rsidRPr="00D1141E" w:rsidTr="00DC1333">
        <w:tc>
          <w:tcPr>
            <w:tcW w:w="2123" w:type="dxa"/>
            <w:gridSpan w:val="2"/>
            <w:shd w:val="clear" w:color="auto" w:fill="auto"/>
          </w:tcPr>
          <w:p w:rsidR="0095318C" w:rsidRPr="00775AC6" w:rsidRDefault="0095318C" w:rsidP="00DC1333">
            <w:pPr>
              <w:rPr>
                <w:sz w:val="16"/>
                <w:szCs w:val="16"/>
                <w:lang w:bidi="th-TH"/>
              </w:rPr>
            </w:pPr>
            <w:r w:rsidRPr="00775AC6">
              <w:rPr>
                <w:sz w:val="16"/>
                <w:szCs w:val="16"/>
                <w:lang w:bidi="th-TH"/>
              </w:rPr>
              <w:lastRenderedPageBreak/>
              <w:t>Número de países que han adoptado o aplicado estrategias o planes de desarrollo nacionales de P.I.</w:t>
            </w:r>
          </w:p>
        </w:tc>
        <w:tc>
          <w:tcPr>
            <w:tcW w:w="1987" w:type="dxa"/>
            <w:gridSpan w:val="2"/>
            <w:shd w:val="clear" w:color="auto" w:fill="auto"/>
          </w:tcPr>
          <w:p w:rsidR="0095318C" w:rsidRPr="00775AC6" w:rsidRDefault="0095318C" w:rsidP="00DC1333">
            <w:pPr>
              <w:rPr>
                <w:sz w:val="16"/>
                <w:szCs w:val="16"/>
              </w:rPr>
            </w:pPr>
            <w:r w:rsidRPr="00775AC6">
              <w:rPr>
                <w:i/>
                <w:sz w:val="16"/>
                <w:szCs w:val="16"/>
              </w:rPr>
              <w:t>Referencia actualizada a fines de 2013:</w:t>
            </w:r>
            <w:r w:rsidRPr="00775AC6">
              <w:rPr>
                <w:sz w:val="16"/>
                <w:szCs w:val="16"/>
              </w:rPr>
              <w:t xml:space="preserve">  </w:t>
            </w:r>
          </w:p>
          <w:p w:rsidR="0095318C" w:rsidRPr="00775AC6" w:rsidRDefault="0095318C" w:rsidP="00DC1333">
            <w:pPr>
              <w:rPr>
                <w:sz w:val="16"/>
                <w:szCs w:val="16"/>
              </w:rPr>
            </w:pPr>
            <w:r w:rsidRPr="00775AC6">
              <w:rPr>
                <w:sz w:val="16"/>
                <w:szCs w:val="16"/>
              </w:rPr>
              <w:t>Á</w:t>
            </w:r>
            <w:r>
              <w:rPr>
                <w:sz w:val="16"/>
                <w:szCs w:val="16"/>
              </w:rPr>
              <w:t>frica (9 en total): Comora</w:t>
            </w:r>
            <w:r w:rsidRPr="00775AC6">
              <w:rPr>
                <w:sz w:val="16"/>
                <w:szCs w:val="16"/>
              </w:rPr>
              <w:t>s, Ghana,</w:t>
            </w:r>
            <w:r w:rsidRPr="00775AC6">
              <w:t xml:space="preserve"> </w:t>
            </w:r>
            <w:r>
              <w:rPr>
                <w:sz w:val="16"/>
                <w:szCs w:val="16"/>
              </w:rPr>
              <w:t>Kenya, Liberia, Mauricio</w:t>
            </w:r>
            <w:r w:rsidRPr="00775AC6">
              <w:rPr>
                <w:sz w:val="16"/>
                <w:szCs w:val="16"/>
              </w:rPr>
              <w:t>, Mozambique, Senegal, Seychelles, Zambia</w:t>
            </w:r>
          </w:p>
          <w:p w:rsidR="0095318C" w:rsidRPr="00775AC6" w:rsidRDefault="0095318C" w:rsidP="00DC1333">
            <w:pPr>
              <w:rPr>
                <w:sz w:val="16"/>
                <w:szCs w:val="16"/>
              </w:rPr>
            </w:pPr>
          </w:p>
          <w:p w:rsidR="0095318C" w:rsidRPr="00775AC6" w:rsidRDefault="0095318C" w:rsidP="00DC1333">
            <w:pPr>
              <w:rPr>
                <w:sz w:val="16"/>
                <w:szCs w:val="16"/>
              </w:rPr>
            </w:pPr>
            <w:r w:rsidRPr="00775AC6">
              <w:rPr>
                <w:sz w:val="16"/>
                <w:szCs w:val="16"/>
              </w:rPr>
              <w:t>Región árabe (2 en total):  Omán, Sudán</w:t>
            </w:r>
          </w:p>
          <w:p w:rsidR="0095318C" w:rsidRPr="00775AC6" w:rsidRDefault="0095318C" w:rsidP="00DC1333">
            <w:pPr>
              <w:rPr>
                <w:sz w:val="16"/>
                <w:szCs w:val="16"/>
              </w:rPr>
            </w:pPr>
          </w:p>
          <w:p w:rsidR="0095318C" w:rsidRPr="00775AC6" w:rsidRDefault="0095318C" w:rsidP="00DC1333">
            <w:pPr>
              <w:rPr>
                <w:sz w:val="16"/>
                <w:szCs w:val="16"/>
              </w:rPr>
            </w:pPr>
            <w:r w:rsidRPr="00775AC6">
              <w:rPr>
                <w:sz w:val="16"/>
                <w:szCs w:val="16"/>
              </w:rPr>
              <w:t>Asia y el Pacífico (3 en total</w:t>
            </w:r>
            <w:r w:rsidRPr="003C4694">
              <w:rPr>
                <w:rStyle w:val="FootnoteReference"/>
                <w:sz w:val="16"/>
                <w:szCs w:val="16"/>
              </w:rPr>
              <w:footnoteReference w:id="65"/>
            </w:r>
            <w:r w:rsidRPr="00775AC6">
              <w:rPr>
                <w:sz w:val="16"/>
                <w:szCs w:val="16"/>
              </w:rPr>
              <w:t xml:space="preserve">):  </w:t>
            </w:r>
            <w:r>
              <w:rPr>
                <w:sz w:val="16"/>
                <w:szCs w:val="16"/>
              </w:rPr>
              <w:t xml:space="preserve"> Fiji, Papua Nueva</w:t>
            </w:r>
            <w:r w:rsidRPr="00775AC6">
              <w:rPr>
                <w:sz w:val="16"/>
                <w:szCs w:val="16"/>
              </w:rPr>
              <w:t xml:space="preserve"> Guinea, Samoa</w:t>
            </w:r>
          </w:p>
          <w:p w:rsidR="0095318C" w:rsidRPr="00775AC6" w:rsidRDefault="0095318C" w:rsidP="00DC1333">
            <w:pPr>
              <w:rPr>
                <w:sz w:val="16"/>
                <w:szCs w:val="16"/>
              </w:rPr>
            </w:pPr>
          </w:p>
          <w:p w:rsidR="0095318C" w:rsidRDefault="0095318C" w:rsidP="00DC1333">
            <w:pPr>
              <w:rPr>
                <w:sz w:val="16"/>
                <w:szCs w:val="16"/>
              </w:rPr>
            </w:pPr>
            <w:r w:rsidRPr="00FD4E4A">
              <w:rPr>
                <w:sz w:val="16"/>
                <w:szCs w:val="16"/>
              </w:rPr>
              <w:t>América Latina y el Caribe (3 en total): Costa Rica, República Dominicana, Honduras</w:t>
            </w:r>
          </w:p>
          <w:p w:rsidR="0095318C" w:rsidRPr="00FD4E4A" w:rsidRDefault="0095318C" w:rsidP="00DC1333">
            <w:pPr>
              <w:rPr>
                <w:sz w:val="16"/>
                <w:szCs w:val="16"/>
              </w:rPr>
            </w:pPr>
          </w:p>
          <w:p w:rsidR="0095318C" w:rsidRPr="00FD4E4A" w:rsidRDefault="0095318C" w:rsidP="00DC1333">
            <w:pPr>
              <w:rPr>
                <w:sz w:val="16"/>
                <w:szCs w:val="16"/>
              </w:rPr>
            </w:pPr>
            <w:r w:rsidRPr="00FD4E4A">
              <w:rPr>
                <w:sz w:val="16"/>
                <w:szCs w:val="16"/>
                <w:lang w:bidi="th-TH"/>
              </w:rPr>
              <w:t>7 PMA incluidos en el desglose regional precedente</w:t>
            </w:r>
          </w:p>
          <w:p w:rsidR="0095318C" w:rsidRPr="00FD4E4A" w:rsidRDefault="0095318C" w:rsidP="00DC1333">
            <w:pPr>
              <w:rPr>
                <w:sz w:val="16"/>
                <w:szCs w:val="16"/>
              </w:rPr>
            </w:pPr>
          </w:p>
          <w:p w:rsidR="0095318C" w:rsidRPr="00017A5E" w:rsidRDefault="0095318C" w:rsidP="00DC1333">
            <w:pPr>
              <w:rPr>
                <w:sz w:val="16"/>
                <w:szCs w:val="16"/>
                <w:lang w:bidi="th-TH"/>
              </w:rPr>
            </w:pPr>
            <w:r w:rsidRPr="00017A5E">
              <w:rPr>
                <w:i/>
                <w:sz w:val="16"/>
                <w:szCs w:val="16"/>
                <w:lang w:bidi="th-TH"/>
              </w:rPr>
              <w:t>Referencia original</w:t>
            </w:r>
          </w:p>
          <w:p w:rsidR="0095318C" w:rsidRPr="00FD4E4A" w:rsidRDefault="0095318C" w:rsidP="00DC1333">
            <w:pPr>
              <w:rPr>
                <w:sz w:val="16"/>
                <w:szCs w:val="16"/>
                <w:lang w:bidi="th-TH"/>
              </w:rPr>
            </w:pPr>
            <w:r w:rsidRPr="00017A5E">
              <w:rPr>
                <w:i/>
                <w:sz w:val="16"/>
                <w:szCs w:val="16"/>
              </w:rPr>
              <w:t xml:space="preserve">Presup. </w:t>
            </w:r>
            <w:proofErr w:type="gramStart"/>
            <w:r w:rsidRPr="00017A5E">
              <w:rPr>
                <w:i/>
                <w:sz w:val="16"/>
                <w:szCs w:val="16"/>
              </w:rPr>
              <w:t>por</w:t>
            </w:r>
            <w:proofErr w:type="gramEnd"/>
            <w:r w:rsidRPr="00017A5E">
              <w:rPr>
                <w:i/>
                <w:sz w:val="16"/>
                <w:szCs w:val="16"/>
              </w:rPr>
              <w:t xml:space="preserve"> prog. </w:t>
            </w:r>
            <w:r w:rsidRPr="00FD4E4A">
              <w:rPr>
                <w:i/>
                <w:sz w:val="16"/>
                <w:szCs w:val="16"/>
              </w:rPr>
              <w:t>2014/15:</w:t>
            </w:r>
            <w:r w:rsidRPr="00FD4E4A">
              <w:rPr>
                <w:sz w:val="16"/>
                <w:szCs w:val="16"/>
                <w:lang w:bidi="th-TH"/>
              </w:rPr>
              <w:t xml:space="preserve">  África (4)</w:t>
            </w:r>
          </w:p>
          <w:p w:rsidR="0095318C" w:rsidRPr="00FD4E4A" w:rsidRDefault="0095318C" w:rsidP="00DC1333">
            <w:pPr>
              <w:rPr>
                <w:sz w:val="16"/>
                <w:szCs w:val="16"/>
                <w:lang w:bidi="th-TH"/>
              </w:rPr>
            </w:pPr>
          </w:p>
          <w:p w:rsidR="0095318C" w:rsidRPr="00FD4E4A" w:rsidRDefault="0095318C" w:rsidP="00DC1333">
            <w:pPr>
              <w:rPr>
                <w:sz w:val="16"/>
                <w:szCs w:val="16"/>
                <w:lang w:bidi="th-TH"/>
              </w:rPr>
            </w:pPr>
            <w:r w:rsidRPr="00FD4E4A">
              <w:rPr>
                <w:sz w:val="16"/>
                <w:szCs w:val="16"/>
                <w:lang w:bidi="th-TH"/>
              </w:rPr>
              <w:t>Región árabe (3)</w:t>
            </w:r>
          </w:p>
          <w:p w:rsidR="0095318C" w:rsidRPr="00FD4E4A" w:rsidRDefault="0095318C" w:rsidP="00DC1333">
            <w:pPr>
              <w:rPr>
                <w:sz w:val="16"/>
                <w:szCs w:val="16"/>
                <w:lang w:bidi="th-TH"/>
              </w:rPr>
            </w:pPr>
          </w:p>
          <w:p w:rsidR="0095318C" w:rsidRPr="00FD4E4A" w:rsidRDefault="0095318C" w:rsidP="00DC1333">
            <w:pPr>
              <w:rPr>
                <w:sz w:val="16"/>
                <w:szCs w:val="16"/>
                <w:lang w:bidi="th-TH"/>
              </w:rPr>
            </w:pPr>
            <w:r w:rsidRPr="00FD4E4A">
              <w:rPr>
                <w:sz w:val="16"/>
                <w:szCs w:val="16"/>
                <w:lang w:bidi="th-TH"/>
              </w:rPr>
              <w:t>Asia y el Pacífico (3)</w:t>
            </w:r>
          </w:p>
          <w:p w:rsidR="0095318C" w:rsidRPr="00FD4E4A" w:rsidRDefault="0095318C" w:rsidP="00DC1333">
            <w:pPr>
              <w:rPr>
                <w:sz w:val="16"/>
                <w:szCs w:val="16"/>
                <w:lang w:bidi="th-TH"/>
              </w:rPr>
            </w:pPr>
          </w:p>
          <w:p w:rsidR="0095318C" w:rsidRPr="00FD4E4A" w:rsidRDefault="0095318C" w:rsidP="00DC1333">
            <w:pPr>
              <w:rPr>
                <w:sz w:val="16"/>
                <w:szCs w:val="16"/>
                <w:lang w:bidi="th-TH"/>
              </w:rPr>
            </w:pPr>
            <w:r w:rsidRPr="00FD4E4A">
              <w:rPr>
                <w:sz w:val="16"/>
                <w:szCs w:val="16"/>
                <w:lang w:bidi="th-TH"/>
              </w:rPr>
              <w:t>América Latina y el Caribe (4)</w:t>
            </w:r>
          </w:p>
          <w:p w:rsidR="0095318C" w:rsidRPr="00FD4E4A" w:rsidRDefault="0095318C" w:rsidP="00DC1333">
            <w:pPr>
              <w:rPr>
                <w:sz w:val="16"/>
                <w:szCs w:val="16"/>
                <w:lang w:bidi="th-TH"/>
              </w:rPr>
            </w:pPr>
          </w:p>
          <w:p w:rsidR="0095318C" w:rsidRPr="00FD4E4A" w:rsidRDefault="0095318C" w:rsidP="00DC1333">
            <w:pPr>
              <w:rPr>
                <w:sz w:val="16"/>
                <w:szCs w:val="16"/>
                <w:lang w:bidi="th-TH"/>
              </w:rPr>
            </w:pPr>
            <w:r w:rsidRPr="00FD4E4A">
              <w:rPr>
                <w:sz w:val="16"/>
                <w:szCs w:val="16"/>
                <w:lang w:bidi="th-TH"/>
              </w:rPr>
              <w:t>5 PMA incluidos en el desglose regional precedente</w:t>
            </w:r>
          </w:p>
          <w:p w:rsidR="0095318C" w:rsidRPr="00FD4E4A" w:rsidRDefault="0095318C" w:rsidP="00DC1333">
            <w:pPr>
              <w:rPr>
                <w:sz w:val="16"/>
                <w:szCs w:val="16"/>
                <w:lang w:bidi="th-TH"/>
              </w:rPr>
            </w:pPr>
          </w:p>
        </w:tc>
        <w:tc>
          <w:tcPr>
            <w:tcW w:w="1701" w:type="dxa"/>
            <w:gridSpan w:val="3"/>
            <w:shd w:val="clear" w:color="auto" w:fill="auto"/>
            <w:tcMar>
              <w:top w:w="110" w:type="dxa"/>
            </w:tcMar>
          </w:tcPr>
          <w:p w:rsidR="0095318C" w:rsidRPr="00D1141E" w:rsidRDefault="0095318C" w:rsidP="00DC1333">
            <w:pPr>
              <w:rPr>
                <w:sz w:val="16"/>
                <w:szCs w:val="16"/>
                <w:lang w:bidi="th-TH"/>
              </w:rPr>
            </w:pPr>
            <w:r w:rsidRPr="00D1141E">
              <w:rPr>
                <w:sz w:val="16"/>
                <w:szCs w:val="16"/>
                <w:lang w:bidi="th-TH"/>
              </w:rPr>
              <w:t>África (6 en total)</w:t>
            </w:r>
          </w:p>
          <w:p w:rsidR="0095318C" w:rsidRPr="00D1141E" w:rsidRDefault="0095318C" w:rsidP="00DC1333">
            <w:pPr>
              <w:rPr>
                <w:sz w:val="16"/>
                <w:szCs w:val="16"/>
                <w:lang w:bidi="th-TH"/>
              </w:rPr>
            </w:pPr>
          </w:p>
          <w:p w:rsidR="0095318C" w:rsidRPr="00D1141E" w:rsidRDefault="0095318C" w:rsidP="00DC1333">
            <w:pPr>
              <w:rPr>
                <w:sz w:val="16"/>
                <w:szCs w:val="16"/>
                <w:lang w:bidi="th-TH"/>
              </w:rPr>
            </w:pPr>
            <w:r w:rsidRPr="00D1141E">
              <w:rPr>
                <w:sz w:val="16"/>
                <w:szCs w:val="16"/>
                <w:lang w:bidi="th-TH"/>
              </w:rPr>
              <w:t>Región árabe (6</w:t>
            </w:r>
            <w:r>
              <w:rPr>
                <w:sz w:val="16"/>
                <w:szCs w:val="16"/>
                <w:lang w:bidi="th-TH"/>
              </w:rPr>
              <w:t xml:space="preserve"> en total)</w:t>
            </w:r>
          </w:p>
          <w:p w:rsidR="0095318C" w:rsidRPr="00D1141E" w:rsidRDefault="0095318C" w:rsidP="00DC1333">
            <w:pPr>
              <w:rPr>
                <w:sz w:val="16"/>
                <w:szCs w:val="16"/>
                <w:lang w:bidi="th-TH"/>
              </w:rPr>
            </w:pPr>
          </w:p>
          <w:p w:rsidR="0095318C" w:rsidRPr="00D1141E" w:rsidRDefault="0095318C" w:rsidP="00DC1333">
            <w:pPr>
              <w:rPr>
                <w:sz w:val="16"/>
                <w:szCs w:val="16"/>
                <w:lang w:bidi="th-TH"/>
              </w:rPr>
            </w:pPr>
            <w:r w:rsidRPr="00D1141E">
              <w:rPr>
                <w:sz w:val="16"/>
                <w:szCs w:val="16"/>
                <w:lang w:bidi="th-TH"/>
              </w:rPr>
              <w:t>Asia y el Pacífico (7 en total)</w:t>
            </w:r>
          </w:p>
          <w:p w:rsidR="0095318C" w:rsidRPr="00D1141E" w:rsidRDefault="0095318C" w:rsidP="00DC1333">
            <w:pPr>
              <w:rPr>
                <w:sz w:val="16"/>
                <w:szCs w:val="16"/>
                <w:lang w:bidi="th-TH"/>
              </w:rPr>
            </w:pPr>
          </w:p>
          <w:p w:rsidR="0095318C" w:rsidRPr="00D1141E" w:rsidRDefault="0095318C" w:rsidP="00DC1333">
            <w:pPr>
              <w:rPr>
                <w:sz w:val="16"/>
                <w:szCs w:val="16"/>
                <w:lang w:bidi="th-TH"/>
              </w:rPr>
            </w:pPr>
          </w:p>
          <w:p w:rsidR="0095318C" w:rsidRPr="00D1141E" w:rsidRDefault="0095318C" w:rsidP="00DC1333">
            <w:pPr>
              <w:rPr>
                <w:sz w:val="16"/>
                <w:szCs w:val="16"/>
                <w:lang w:bidi="th-TH"/>
              </w:rPr>
            </w:pPr>
            <w:r w:rsidRPr="00D1141E">
              <w:rPr>
                <w:sz w:val="16"/>
                <w:szCs w:val="16"/>
                <w:lang w:bidi="th-TH"/>
              </w:rPr>
              <w:t>América Latina y el Caribe (12)</w:t>
            </w:r>
          </w:p>
          <w:p w:rsidR="0095318C" w:rsidRPr="00D1141E" w:rsidRDefault="0095318C" w:rsidP="00DC1333">
            <w:pPr>
              <w:rPr>
                <w:sz w:val="16"/>
                <w:szCs w:val="16"/>
                <w:lang w:bidi="th-TH"/>
              </w:rPr>
            </w:pPr>
          </w:p>
          <w:p w:rsidR="0095318C" w:rsidRPr="00D1141E" w:rsidRDefault="0095318C" w:rsidP="00DC1333">
            <w:pPr>
              <w:rPr>
                <w:sz w:val="16"/>
                <w:szCs w:val="16"/>
                <w:lang w:bidi="th-TH"/>
              </w:rPr>
            </w:pPr>
            <w:r w:rsidRPr="00D1141E">
              <w:rPr>
                <w:sz w:val="16"/>
                <w:szCs w:val="16"/>
                <w:lang w:bidi="th-TH"/>
              </w:rPr>
              <w:t>11 PMA incluidos en el desglose regional precedente</w:t>
            </w:r>
          </w:p>
          <w:p w:rsidR="0095318C" w:rsidRPr="00D1141E" w:rsidRDefault="0095318C" w:rsidP="00DC1333">
            <w:pPr>
              <w:rPr>
                <w:sz w:val="16"/>
                <w:szCs w:val="16"/>
                <w:lang w:bidi="th-TH"/>
              </w:rPr>
            </w:pPr>
          </w:p>
          <w:p w:rsidR="0095318C" w:rsidRPr="00D1141E" w:rsidRDefault="0095318C" w:rsidP="00DC1333">
            <w:pPr>
              <w:rPr>
                <w:sz w:val="16"/>
                <w:szCs w:val="16"/>
                <w:lang w:bidi="th-TH"/>
              </w:rPr>
            </w:pPr>
          </w:p>
        </w:tc>
        <w:tc>
          <w:tcPr>
            <w:tcW w:w="2269" w:type="dxa"/>
            <w:gridSpan w:val="3"/>
            <w:shd w:val="clear" w:color="auto" w:fill="FFFFFF"/>
            <w:tcMar>
              <w:top w:w="110" w:type="dxa"/>
            </w:tcMar>
          </w:tcPr>
          <w:p w:rsidR="0095318C" w:rsidRPr="00D1141E" w:rsidRDefault="0095318C" w:rsidP="00DC1333">
            <w:pPr>
              <w:rPr>
                <w:sz w:val="16"/>
                <w:szCs w:val="16"/>
                <w:lang w:bidi="th-TH"/>
              </w:rPr>
            </w:pPr>
            <w:r w:rsidRPr="00D1141E">
              <w:rPr>
                <w:sz w:val="16"/>
                <w:szCs w:val="16"/>
              </w:rPr>
              <w:t xml:space="preserve">África (17 países adicionales en 2014/15):  Botswana, Burundi, Camerún, Chad, Congo, Côte d’Ivoire, </w:t>
            </w:r>
            <w:r>
              <w:rPr>
                <w:sz w:val="16"/>
                <w:szCs w:val="16"/>
              </w:rPr>
              <w:t>República Democrática del</w:t>
            </w:r>
            <w:r w:rsidRPr="00D1141E">
              <w:rPr>
                <w:sz w:val="16"/>
                <w:szCs w:val="16"/>
              </w:rPr>
              <w:t xml:space="preserve"> Congo, </w:t>
            </w:r>
            <w:r>
              <w:rPr>
                <w:sz w:val="16"/>
                <w:szCs w:val="16"/>
              </w:rPr>
              <w:t>Etiopía,</w:t>
            </w:r>
            <w:r w:rsidRPr="00D1141E">
              <w:rPr>
                <w:sz w:val="16"/>
                <w:szCs w:val="16"/>
              </w:rPr>
              <w:t xml:space="preserve"> </w:t>
            </w:r>
            <w:r>
              <w:rPr>
                <w:sz w:val="16"/>
                <w:szCs w:val="16"/>
              </w:rPr>
              <w:t>Lesotho, Malawi, Malí</w:t>
            </w:r>
            <w:r w:rsidRPr="00D1141E">
              <w:rPr>
                <w:sz w:val="16"/>
                <w:szCs w:val="16"/>
              </w:rPr>
              <w:t xml:space="preserve">, Rwanda, </w:t>
            </w:r>
            <w:r>
              <w:rPr>
                <w:sz w:val="16"/>
                <w:szCs w:val="16"/>
              </w:rPr>
              <w:t>Sao Tomé y</w:t>
            </w:r>
            <w:r w:rsidRPr="00D1141E">
              <w:rPr>
                <w:sz w:val="16"/>
                <w:szCs w:val="16"/>
              </w:rPr>
              <w:t xml:space="preserve"> P</w:t>
            </w:r>
            <w:r>
              <w:rPr>
                <w:sz w:val="16"/>
                <w:szCs w:val="16"/>
              </w:rPr>
              <w:t>rí</w:t>
            </w:r>
            <w:r w:rsidRPr="00D1141E">
              <w:rPr>
                <w:sz w:val="16"/>
                <w:szCs w:val="16"/>
              </w:rPr>
              <w:t>ncipe, Swaziland</w:t>
            </w:r>
            <w:r>
              <w:rPr>
                <w:sz w:val="16"/>
                <w:szCs w:val="16"/>
              </w:rPr>
              <w:t>ia</w:t>
            </w:r>
            <w:r w:rsidRPr="00D1141E">
              <w:rPr>
                <w:sz w:val="16"/>
                <w:szCs w:val="16"/>
              </w:rPr>
              <w:t>, Togo</w:t>
            </w:r>
            <w:r>
              <w:rPr>
                <w:sz w:val="16"/>
                <w:szCs w:val="16"/>
                <w:lang w:bidi="th-TH"/>
              </w:rPr>
              <w:t>, República Unida de</w:t>
            </w:r>
            <w:r>
              <w:rPr>
                <w:sz w:val="16"/>
                <w:szCs w:val="16"/>
              </w:rPr>
              <w:t xml:space="preserve"> Tanzaní</w:t>
            </w:r>
            <w:r w:rsidRPr="00D1141E">
              <w:rPr>
                <w:sz w:val="16"/>
                <w:szCs w:val="16"/>
              </w:rPr>
              <w:t>a, Zimbabwe</w:t>
            </w:r>
          </w:p>
          <w:p w:rsidR="0095318C" w:rsidRPr="0003412F" w:rsidRDefault="0095318C" w:rsidP="00DC1333">
            <w:pPr>
              <w:rPr>
                <w:sz w:val="16"/>
                <w:szCs w:val="16"/>
              </w:rPr>
            </w:pPr>
            <w:r w:rsidRPr="0003412F">
              <w:rPr>
                <w:sz w:val="16"/>
                <w:szCs w:val="16"/>
              </w:rPr>
              <w:t xml:space="preserve">(26 en total) </w:t>
            </w:r>
          </w:p>
          <w:p w:rsidR="0095318C" w:rsidRPr="0003412F" w:rsidRDefault="0095318C" w:rsidP="00DC1333">
            <w:pPr>
              <w:rPr>
                <w:sz w:val="16"/>
                <w:szCs w:val="16"/>
              </w:rPr>
            </w:pPr>
          </w:p>
          <w:p w:rsidR="0095318C" w:rsidRPr="0003412F" w:rsidRDefault="0095318C" w:rsidP="00DC1333">
            <w:pPr>
              <w:rPr>
                <w:sz w:val="16"/>
                <w:szCs w:val="16"/>
                <w:lang w:bidi="th-TH"/>
              </w:rPr>
            </w:pPr>
            <w:r w:rsidRPr="0003412F">
              <w:rPr>
                <w:sz w:val="16"/>
                <w:szCs w:val="16"/>
                <w:lang w:bidi="th-TH"/>
              </w:rPr>
              <w:t>Región árabe (no hay países adicionales en 2014/15):</w:t>
            </w:r>
            <w:r>
              <w:rPr>
                <w:sz w:val="16"/>
                <w:szCs w:val="16"/>
                <w:lang w:bidi="th-TH"/>
              </w:rPr>
              <w:t xml:space="preserve">  </w:t>
            </w:r>
            <w:r w:rsidRPr="0003412F">
              <w:rPr>
                <w:sz w:val="16"/>
                <w:szCs w:val="16"/>
              </w:rPr>
              <w:t>(2 en total)</w:t>
            </w:r>
          </w:p>
          <w:p w:rsidR="0095318C" w:rsidRPr="0003412F" w:rsidRDefault="0095318C" w:rsidP="00DC1333">
            <w:pPr>
              <w:rPr>
                <w:sz w:val="16"/>
                <w:szCs w:val="16"/>
                <w:lang w:bidi="th-TH"/>
              </w:rPr>
            </w:pPr>
          </w:p>
          <w:p w:rsidR="0095318C" w:rsidRPr="003C4694" w:rsidRDefault="0095318C" w:rsidP="00DC1333">
            <w:pPr>
              <w:rPr>
                <w:sz w:val="16"/>
                <w:szCs w:val="16"/>
              </w:rPr>
            </w:pPr>
            <w:r w:rsidRPr="0003412F">
              <w:rPr>
                <w:sz w:val="16"/>
                <w:szCs w:val="16"/>
              </w:rPr>
              <w:t>Asia y el Pacífico (5 países adicionales en 2014/15)</w:t>
            </w:r>
            <w:r>
              <w:rPr>
                <w:sz w:val="16"/>
                <w:szCs w:val="16"/>
              </w:rPr>
              <w:t>:  Camboy</w:t>
            </w:r>
            <w:r w:rsidRPr="003C4694">
              <w:rPr>
                <w:sz w:val="16"/>
                <w:szCs w:val="16"/>
              </w:rPr>
              <w:t>a, Mongolia, Sri Lanka, Tonga, Vanuatu</w:t>
            </w:r>
          </w:p>
          <w:p w:rsidR="0095318C" w:rsidRPr="0003412F" w:rsidRDefault="0095318C" w:rsidP="00DC1333">
            <w:pPr>
              <w:rPr>
                <w:sz w:val="16"/>
                <w:szCs w:val="16"/>
                <w:lang w:bidi="th-TH"/>
              </w:rPr>
            </w:pPr>
            <w:r w:rsidRPr="0003412F">
              <w:rPr>
                <w:sz w:val="16"/>
                <w:szCs w:val="16"/>
                <w:lang w:bidi="th-TH"/>
              </w:rPr>
              <w:t>(8 en total)</w:t>
            </w:r>
          </w:p>
          <w:p w:rsidR="0095318C" w:rsidRPr="0003412F" w:rsidRDefault="0095318C" w:rsidP="00DC1333">
            <w:pPr>
              <w:rPr>
                <w:sz w:val="16"/>
                <w:szCs w:val="16"/>
                <w:lang w:bidi="th-TH"/>
              </w:rPr>
            </w:pPr>
          </w:p>
          <w:p w:rsidR="0095318C" w:rsidRDefault="0095318C" w:rsidP="00DC1333">
            <w:pPr>
              <w:rPr>
                <w:sz w:val="16"/>
                <w:szCs w:val="16"/>
                <w:lang w:bidi="th-TH"/>
              </w:rPr>
            </w:pPr>
            <w:r w:rsidRPr="0003412F">
              <w:rPr>
                <w:sz w:val="16"/>
                <w:szCs w:val="16"/>
                <w:lang w:bidi="th-TH"/>
              </w:rPr>
              <w:t>América Lat</w:t>
            </w:r>
            <w:r>
              <w:rPr>
                <w:sz w:val="16"/>
                <w:szCs w:val="16"/>
                <w:lang w:bidi="th-TH"/>
              </w:rPr>
              <w:t xml:space="preserve">ina y el Caribe (4 países adicionales en 2014/15):  </w:t>
            </w:r>
            <w:r w:rsidRPr="0003412F">
              <w:rPr>
                <w:sz w:val="16"/>
                <w:szCs w:val="16"/>
                <w:lang w:bidi="th-TH"/>
              </w:rPr>
              <w:t>Barb</w:t>
            </w:r>
            <w:r>
              <w:rPr>
                <w:sz w:val="16"/>
                <w:szCs w:val="16"/>
                <w:lang w:bidi="th-TH"/>
              </w:rPr>
              <w:t>ados, El Salvador, Guatemala y</w:t>
            </w:r>
            <w:r w:rsidRPr="0003412F">
              <w:rPr>
                <w:sz w:val="16"/>
                <w:szCs w:val="16"/>
                <w:lang w:bidi="th-TH"/>
              </w:rPr>
              <w:t xml:space="preserve"> Saint Kitts y Nevis </w:t>
            </w:r>
            <w:r w:rsidR="001F7360">
              <w:rPr>
                <w:sz w:val="16"/>
                <w:szCs w:val="16"/>
                <w:lang w:bidi="th-TH"/>
              </w:rPr>
              <w:t>(8 en total)</w:t>
            </w:r>
          </w:p>
          <w:p w:rsidR="0095318C" w:rsidRPr="0003412F" w:rsidRDefault="0095318C" w:rsidP="00DC1333">
            <w:pPr>
              <w:rPr>
                <w:sz w:val="16"/>
                <w:szCs w:val="16"/>
                <w:lang w:bidi="th-TH"/>
              </w:rPr>
            </w:pPr>
          </w:p>
          <w:p w:rsidR="0095318C" w:rsidRPr="0003412F" w:rsidRDefault="0095318C" w:rsidP="00DC1333">
            <w:pPr>
              <w:rPr>
                <w:sz w:val="16"/>
                <w:szCs w:val="16"/>
                <w:lang w:bidi="th-TH"/>
              </w:rPr>
            </w:pPr>
            <w:r w:rsidRPr="0003412F">
              <w:rPr>
                <w:sz w:val="16"/>
                <w:szCs w:val="16"/>
                <w:lang w:bidi="th-TH"/>
              </w:rPr>
              <w:t>19 PMA incluidos en el anterior desglose regional en total</w:t>
            </w:r>
          </w:p>
        </w:tc>
        <w:tc>
          <w:tcPr>
            <w:tcW w:w="1418" w:type="dxa"/>
            <w:gridSpan w:val="2"/>
            <w:shd w:val="clear" w:color="auto" w:fill="auto"/>
          </w:tcPr>
          <w:p w:rsidR="0095318C" w:rsidRPr="00017A5E" w:rsidRDefault="0095318C" w:rsidP="00DC1333">
            <w:pPr>
              <w:keepNext/>
              <w:keepLines/>
              <w:spacing w:after="120"/>
              <w:jc w:val="center"/>
              <w:rPr>
                <w:bCs/>
                <w:sz w:val="16"/>
                <w:szCs w:val="16"/>
              </w:rPr>
            </w:pPr>
            <w:r w:rsidRPr="004B265E">
              <w:rPr>
                <w:b/>
                <w:bCs/>
                <w:color w:val="00B050"/>
                <w:sz w:val="14"/>
                <w:szCs w:val="14"/>
              </w:rPr>
              <w:t>Plenamente logrado</w:t>
            </w:r>
            <w:r w:rsidRPr="00017A5E">
              <w:rPr>
                <w:bCs/>
                <w:sz w:val="16"/>
                <w:szCs w:val="16"/>
              </w:rPr>
              <w:t xml:space="preserve"> </w:t>
            </w: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spacing w:after="120"/>
              <w:jc w:val="center"/>
              <w:rPr>
                <w:bCs/>
                <w:sz w:val="16"/>
                <w:szCs w:val="16"/>
              </w:rPr>
            </w:pPr>
          </w:p>
          <w:p w:rsidR="0095318C" w:rsidRPr="00017A5E" w:rsidRDefault="0095318C" w:rsidP="00DC1333">
            <w:pPr>
              <w:keepNext/>
              <w:keepLines/>
              <w:rPr>
                <w:bCs/>
                <w:sz w:val="16"/>
                <w:szCs w:val="16"/>
              </w:rPr>
            </w:pPr>
          </w:p>
          <w:p w:rsidR="0095318C" w:rsidRPr="00017A5E" w:rsidRDefault="0095318C" w:rsidP="00DC1333">
            <w:pPr>
              <w:keepNext/>
              <w:keepLines/>
              <w:spacing w:after="120"/>
              <w:jc w:val="center"/>
              <w:rPr>
                <w:b/>
                <w:bCs/>
                <w:color w:val="FF0000"/>
                <w:sz w:val="14"/>
                <w:szCs w:val="14"/>
              </w:rPr>
            </w:pPr>
          </w:p>
          <w:p w:rsidR="0095318C" w:rsidRPr="00017A5E" w:rsidRDefault="0095318C" w:rsidP="00DC1333">
            <w:pPr>
              <w:keepNext/>
              <w:keepLines/>
              <w:spacing w:after="120"/>
              <w:jc w:val="center"/>
              <w:rPr>
                <w:b/>
                <w:bCs/>
                <w:color w:val="FF0000"/>
                <w:sz w:val="14"/>
                <w:szCs w:val="14"/>
              </w:rPr>
            </w:pPr>
          </w:p>
          <w:p w:rsidR="0095318C" w:rsidRPr="00D1141E" w:rsidRDefault="0095318C" w:rsidP="00DC1333">
            <w:pPr>
              <w:keepNext/>
              <w:keepLines/>
              <w:spacing w:after="120"/>
              <w:jc w:val="center"/>
              <w:rPr>
                <w:bCs/>
                <w:sz w:val="14"/>
                <w:szCs w:val="14"/>
              </w:rPr>
            </w:pPr>
            <w:r w:rsidRPr="00D1141E">
              <w:rPr>
                <w:b/>
                <w:bCs/>
                <w:color w:val="FF0000"/>
                <w:sz w:val="14"/>
                <w:szCs w:val="14"/>
              </w:rPr>
              <w:t>No logrado</w:t>
            </w:r>
          </w:p>
          <w:p w:rsidR="0095318C" w:rsidRPr="00D1141E" w:rsidRDefault="0095318C" w:rsidP="001F7360">
            <w:pPr>
              <w:keepNext/>
              <w:keepLines/>
              <w:spacing w:after="120"/>
              <w:rPr>
                <w:bCs/>
                <w:sz w:val="16"/>
                <w:szCs w:val="16"/>
              </w:rPr>
            </w:pPr>
          </w:p>
          <w:p w:rsidR="0095318C" w:rsidRPr="00D1141E" w:rsidRDefault="0095318C" w:rsidP="00DC1333">
            <w:pPr>
              <w:keepNext/>
              <w:keepLines/>
              <w:spacing w:after="120"/>
              <w:jc w:val="center"/>
              <w:rPr>
                <w:bCs/>
                <w:sz w:val="16"/>
                <w:szCs w:val="16"/>
              </w:rPr>
            </w:pPr>
            <w:r w:rsidRPr="004B265E">
              <w:rPr>
                <w:b/>
                <w:bCs/>
                <w:color w:val="00B050"/>
                <w:sz w:val="14"/>
                <w:szCs w:val="14"/>
              </w:rPr>
              <w:t>Plenamente logrado</w:t>
            </w:r>
            <w:r w:rsidRPr="00D1141E">
              <w:rPr>
                <w:bCs/>
                <w:sz w:val="16"/>
                <w:szCs w:val="16"/>
              </w:rPr>
              <w:t xml:space="preserve"> </w:t>
            </w:r>
          </w:p>
          <w:p w:rsidR="0095318C" w:rsidRDefault="001F7360" w:rsidP="001F7360">
            <w:pPr>
              <w:keepNext/>
              <w:keepLines/>
              <w:spacing w:after="120"/>
              <w:rPr>
                <w:b/>
                <w:bCs/>
                <w:color w:val="F79646" w:themeColor="accent6"/>
                <w:sz w:val="14"/>
                <w:szCs w:val="14"/>
              </w:rPr>
            </w:pPr>
            <w:r>
              <w:rPr>
                <w:b/>
                <w:bCs/>
                <w:color w:val="F79646" w:themeColor="accent6"/>
                <w:sz w:val="14"/>
                <w:szCs w:val="14"/>
              </w:rPr>
              <w:br/>
            </w:r>
            <w:r>
              <w:rPr>
                <w:b/>
                <w:bCs/>
                <w:color w:val="F79646" w:themeColor="accent6"/>
                <w:sz w:val="14"/>
                <w:szCs w:val="14"/>
              </w:rPr>
              <w:br/>
            </w:r>
          </w:p>
          <w:p w:rsidR="0095318C" w:rsidRPr="0003412F" w:rsidRDefault="0095318C" w:rsidP="00DC1333">
            <w:pPr>
              <w:keepNext/>
              <w:keepLines/>
              <w:spacing w:after="120"/>
              <w:jc w:val="center"/>
              <w:rPr>
                <w:b/>
                <w:bCs/>
                <w:color w:val="F79646" w:themeColor="accent6"/>
                <w:sz w:val="14"/>
                <w:szCs w:val="14"/>
              </w:rPr>
            </w:pPr>
            <w:r w:rsidRPr="0003412F">
              <w:rPr>
                <w:b/>
                <w:bCs/>
                <w:color w:val="F79646" w:themeColor="accent6"/>
                <w:sz w:val="14"/>
                <w:szCs w:val="14"/>
              </w:rPr>
              <w:t>Parcialmente logrado</w:t>
            </w:r>
          </w:p>
          <w:p w:rsidR="0095318C" w:rsidRPr="003C4694" w:rsidRDefault="001F7360" w:rsidP="001F7360">
            <w:pPr>
              <w:keepNext/>
              <w:keepLines/>
              <w:spacing w:after="120"/>
              <w:jc w:val="center"/>
              <w:rPr>
                <w:bCs/>
                <w:sz w:val="16"/>
                <w:szCs w:val="16"/>
              </w:rPr>
            </w:pPr>
            <w:r>
              <w:rPr>
                <w:bCs/>
                <w:sz w:val="16"/>
                <w:szCs w:val="16"/>
              </w:rPr>
              <w:br/>
            </w:r>
            <w:r>
              <w:rPr>
                <w:bCs/>
                <w:sz w:val="16"/>
                <w:szCs w:val="16"/>
              </w:rPr>
              <w:br/>
            </w:r>
            <w:r>
              <w:rPr>
                <w:bCs/>
                <w:sz w:val="16"/>
                <w:szCs w:val="16"/>
              </w:rPr>
              <w:br/>
            </w:r>
            <w:r w:rsidRPr="004B265E">
              <w:rPr>
                <w:b/>
                <w:bCs/>
                <w:color w:val="00B050"/>
                <w:sz w:val="14"/>
                <w:szCs w:val="14"/>
              </w:rPr>
              <w:t>Plenamente logrado</w:t>
            </w:r>
          </w:p>
        </w:tc>
      </w:tr>
      <w:tr w:rsidR="0095318C" w:rsidRPr="003131FE" w:rsidTr="00DC1333">
        <w:tc>
          <w:tcPr>
            <w:tcW w:w="9498" w:type="dxa"/>
            <w:gridSpan w:val="12"/>
            <w:tcBorders>
              <w:top w:val="single" w:sz="4" w:space="0" w:color="auto"/>
              <w:bottom w:val="single" w:sz="4" w:space="0" w:color="auto"/>
            </w:tcBorders>
            <w:shd w:val="clear" w:color="auto" w:fill="C6D9F1" w:themeFill="text2" w:themeFillTint="33"/>
            <w:vAlign w:val="center"/>
          </w:tcPr>
          <w:p w:rsidR="0095318C" w:rsidRPr="00D0340B" w:rsidRDefault="0095318C" w:rsidP="00DC1333">
            <w:pPr>
              <w:keepNext/>
              <w:keepLines/>
              <w:spacing w:before="120" w:after="120"/>
              <w:ind w:left="2019" w:hanging="2019"/>
              <w:rPr>
                <w:b/>
                <w:bCs/>
                <w:sz w:val="16"/>
                <w:szCs w:val="16"/>
              </w:rPr>
            </w:pPr>
            <w:r w:rsidRPr="00D0340B">
              <w:rPr>
                <w:b/>
                <w:bCs/>
                <w:sz w:val="16"/>
                <w:szCs w:val="16"/>
              </w:rPr>
              <w:t>Resultado previsto:</w:t>
            </w:r>
            <w:r w:rsidRPr="00D0340B">
              <w:rPr>
                <w:b/>
                <w:bCs/>
                <w:sz w:val="16"/>
                <w:szCs w:val="16"/>
              </w:rPr>
              <w:tab/>
            </w:r>
            <w:r w:rsidRPr="00D0340B">
              <w:rPr>
                <w:sz w:val="16"/>
                <w:szCs w:val="16"/>
                <w:lang w:bidi="th-TH"/>
              </w:rPr>
              <w:t xml:space="preserve">III.2 Aumento de las capacidades en recursos humanos para hacer frente a la gran diversidad de exigencias </w:t>
            </w:r>
            <w:r>
              <w:rPr>
                <w:sz w:val="16"/>
                <w:szCs w:val="16"/>
                <w:lang w:bidi="th-TH"/>
              </w:rPr>
              <w:t>q</w:t>
            </w:r>
            <w:r w:rsidRPr="00D0340B">
              <w:rPr>
                <w:sz w:val="16"/>
                <w:szCs w:val="16"/>
                <w:lang w:bidi="th-TH"/>
              </w:rPr>
              <w:t>u</w:t>
            </w:r>
            <w:r>
              <w:rPr>
                <w:sz w:val="16"/>
                <w:szCs w:val="16"/>
                <w:lang w:bidi="th-TH"/>
              </w:rPr>
              <w:t>e</w:t>
            </w:r>
            <w:r w:rsidRPr="00D0340B">
              <w:rPr>
                <w:sz w:val="16"/>
                <w:szCs w:val="16"/>
                <w:lang w:bidi="th-TH"/>
              </w:rPr>
              <w:t xml:space="preserve"> supone la utilización eficaz de la P.I. para </w:t>
            </w:r>
            <w:r>
              <w:rPr>
                <w:sz w:val="16"/>
                <w:szCs w:val="16"/>
                <w:lang w:bidi="th-TH"/>
              </w:rPr>
              <w:t>fomenta</w:t>
            </w:r>
            <w:r w:rsidRPr="00D0340B">
              <w:rPr>
                <w:sz w:val="16"/>
                <w:szCs w:val="16"/>
                <w:lang w:bidi="th-TH"/>
              </w:rPr>
              <w:t>r el desarrollo en los países en desarrollo, PMA y países con economías en transición</w:t>
            </w:r>
          </w:p>
        </w:tc>
      </w:tr>
      <w:tr w:rsidR="0095318C" w:rsidRPr="003C4694" w:rsidTr="00DC1333">
        <w:tc>
          <w:tcPr>
            <w:tcW w:w="2123" w:type="dxa"/>
            <w:gridSpan w:val="2"/>
            <w:tcBorders>
              <w:top w:val="single" w:sz="4" w:space="0" w:color="auto"/>
            </w:tcBorders>
            <w:shd w:val="clear" w:color="auto" w:fill="auto"/>
            <w:vAlign w:val="center"/>
          </w:tcPr>
          <w:p w:rsidR="0095318C" w:rsidRPr="00D0340B" w:rsidRDefault="0095318C" w:rsidP="00DC1333">
            <w:pPr>
              <w:spacing w:after="40"/>
              <w:rPr>
                <w:sz w:val="16"/>
                <w:szCs w:val="16"/>
              </w:rPr>
            </w:pPr>
            <w:r>
              <w:rPr>
                <w:b/>
                <w:bCs/>
                <w:sz w:val="16"/>
                <w:szCs w:val="16"/>
              </w:rPr>
              <w:t>Indicadores de rendimiento</w:t>
            </w:r>
          </w:p>
        </w:tc>
        <w:tc>
          <w:tcPr>
            <w:tcW w:w="1987" w:type="dxa"/>
            <w:gridSpan w:val="2"/>
            <w:tcBorders>
              <w:top w:val="single" w:sz="4" w:space="0" w:color="auto"/>
            </w:tcBorders>
            <w:shd w:val="clear" w:color="auto" w:fill="auto"/>
            <w:vAlign w:val="center"/>
          </w:tcPr>
          <w:p w:rsidR="0095318C" w:rsidRPr="00D0340B" w:rsidRDefault="0095318C" w:rsidP="00DC1333">
            <w:pPr>
              <w:spacing w:after="40"/>
              <w:rPr>
                <w:b/>
                <w:bCs/>
                <w:sz w:val="16"/>
                <w:szCs w:val="16"/>
              </w:rPr>
            </w:pPr>
            <w:r>
              <w:rPr>
                <w:b/>
                <w:bCs/>
                <w:sz w:val="16"/>
                <w:szCs w:val="16"/>
              </w:rPr>
              <w:t>Referencia</w:t>
            </w:r>
          </w:p>
        </w:tc>
        <w:tc>
          <w:tcPr>
            <w:tcW w:w="1701" w:type="dxa"/>
            <w:gridSpan w:val="3"/>
            <w:tcBorders>
              <w:top w:val="single" w:sz="4" w:space="0" w:color="auto"/>
            </w:tcBorders>
            <w:shd w:val="clear" w:color="auto" w:fill="auto"/>
            <w:tcMar>
              <w:top w:w="110" w:type="dxa"/>
            </w:tcMar>
            <w:vAlign w:val="center"/>
          </w:tcPr>
          <w:p w:rsidR="0095318C" w:rsidRPr="00D0340B" w:rsidRDefault="0095318C" w:rsidP="00DC1333">
            <w:pPr>
              <w:spacing w:after="40"/>
              <w:rPr>
                <w:b/>
                <w:sz w:val="16"/>
                <w:szCs w:val="16"/>
              </w:rPr>
            </w:pPr>
            <w:r>
              <w:rPr>
                <w:b/>
                <w:sz w:val="16"/>
                <w:szCs w:val="16"/>
              </w:rPr>
              <w:t>Objetivo</w:t>
            </w:r>
            <w:r w:rsidRPr="003C4694">
              <w:rPr>
                <w:b/>
                <w:sz w:val="16"/>
                <w:szCs w:val="16"/>
              </w:rPr>
              <w:t>s</w:t>
            </w:r>
          </w:p>
        </w:tc>
        <w:tc>
          <w:tcPr>
            <w:tcW w:w="2269" w:type="dxa"/>
            <w:gridSpan w:val="3"/>
            <w:tcBorders>
              <w:top w:val="single" w:sz="4" w:space="0" w:color="auto"/>
            </w:tcBorders>
            <w:shd w:val="clear" w:color="auto" w:fill="FFFFFF"/>
            <w:tcMar>
              <w:top w:w="110" w:type="dxa"/>
            </w:tcMar>
            <w:vAlign w:val="center"/>
          </w:tcPr>
          <w:p w:rsidR="0095318C" w:rsidRPr="00D0340B" w:rsidRDefault="0095318C" w:rsidP="00DC1333">
            <w:pPr>
              <w:spacing w:after="40"/>
              <w:rPr>
                <w:sz w:val="16"/>
                <w:szCs w:val="16"/>
              </w:rPr>
            </w:pPr>
            <w:r>
              <w:rPr>
                <w:b/>
                <w:bCs/>
                <w:sz w:val="16"/>
                <w:szCs w:val="16"/>
              </w:rPr>
              <w:t>Datos sobre el rendimiento</w:t>
            </w:r>
          </w:p>
        </w:tc>
        <w:tc>
          <w:tcPr>
            <w:tcW w:w="1418" w:type="dxa"/>
            <w:gridSpan w:val="2"/>
            <w:tcBorders>
              <w:top w:val="single" w:sz="4" w:space="0" w:color="auto"/>
            </w:tcBorders>
            <w:shd w:val="clear" w:color="auto" w:fill="auto"/>
            <w:tcMar>
              <w:top w:w="110" w:type="dxa"/>
            </w:tcMar>
            <w:vAlign w:val="center"/>
          </w:tcPr>
          <w:p w:rsidR="0095318C" w:rsidRPr="00D0340B" w:rsidRDefault="0095318C" w:rsidP="00DC1333">
            <w:pPr>
              <w:keepNext/>
              <w:keepLines/>
              <w:spacing w:after="40"/>
              <w:jc w:val="center"/>
              <w:rPr>
                <w:b/>
                <w:bCs/>
                <w:sz w:val="16"/>
                <w:szCs w:val="16"/>
              </w:rPr>
            </w:pPr>
            <w:r>
              <w:rPr>
                <w:b/>
                <w:bCs/>
                <w:sz w:val="16"/>
                <w:szCs w:val="16"/>
              </w:rPr>
              <w:t>Clave de los colores</w:t>
            </w:r>
          </w:p>
        </w:tc>
      </w:tr>
      <w:tr w:rsidR="0095318C" w:rsidRPr="0044627C" w:rsidTr="00DC1333">
        <w:tc>
          <w:tcPr>
            <w:tcW w:w="2123" w:type="dxa"/>
            <w:gridSpan w:val="2"/>
            <w:shd w:val="clear" w:color="auto" w:fill="FFFFFF"/>
          </w:tcPr>
          <w:p w:rsidR="0095318C" w:rsidRPr="00017A5E" w:rsidRDefault="0095318C" w:rsidP="00DC1333">
            <w:pPr>
              <w:rPr>
                <w:sz w:val="16"/>
                <w:szCs w:val="16"/>
                <w:lang w:bidi="th-TH"/>
              </w:rPr>
            </w:pPr>
            <w:r w:rsidRPr="00017A5E">
              <w:rPr>
                <w:sz w:val="16"/>
                <w:szCs w:val="16"/>
                <w:lang w:bidi="th-TH"/>
              </w:rPr>
              <w:t>Porcentaje de participantes en actividades de la OMPI que se muestran satisfechos del contenido y la organización de dichos actos</w:t>
            </w:r>
          </w:p>
        </w:tc>
        <w:tc>
          <w:tcPr>
            <w:tcW w:w="1987" w:type="dxa"/>
            <w:gridSpan w:val="2"/>
            <w:shd w:val="clear" w:color="auto" w:fill="auto"/>
          </w:tcPr>
          <w:p w:rsidR="0095318C" w:rsidRPr="00530AAE" w:rsidRDefault="0095318C" w:rsidP="00DC1333">
            <w:pPr>
              <w:rPr>
                <w:i/>
                <w:sz w:val="16"/>
                <w:szCs w:val="16"/>
              </w:rPr>
            </w:pPr>
            <w:r w:rsidRPr="00530AAE">
              <w:rPr>
                <w:i/>
                <w:sz w:val="16"/>
                <w:szCs w:val="16"/>
              </w:rPr>
              <w:t xml:space="preserve">Referencia actualizada a fines de 2013: </w:t>
            </w:r>
          </w:p>
          <w:p w:rsidR="0095318C" w:rsidRPr="00530AAE" w:rsidRDefault="0095318C" w:rsidP="00DC1333">
            <w:pPr>
              <w:rPr>
                <w:sz w:val="16"/>
                <w:szCs w:val="16"/>
              </w:rPr>
            </w:pPr>
            <w:r w:rsidRPr="00530AAE">
              <w:rPr>
                <w:sz w:val="16"/>
                <w:szCs w:val="16"/>
              </w:rPr>
              <w:t>Asia y el Pacífico (65%);  PMA (60%)</w:t>
            </w:r>
          </w:p>
          <w:p w:rsidR="0095318C" w:rsidRPr="00530AAE" w:rsidRDefault="0095318C" w:rsidP="00DC1333">
            <w:pPr>
              <w:rPr>
                <w:i/>
                <w:sz w:val="16"/>
                <w:szCs w:val="16"/>
                <w:lang w:bidi="th-TH"/>
              </w:rPr>
            </w:pPr>
          </w:p>
          <w:p w:rsidR="0095318C" w:rsidRPr="00530AAE" w:rsidRDefault="0095318C" w:rsidP="00DC1333">
            <w:pPr>
              <w:rPr>
                <w:sz w:val="16"/>
                <w:szCs w:val="16"/>
                <w:lang w:bidi="th-TH"/>
              </w:rPr>
            </w:pPr>
            <w:r w:rsidRPr="00530AAE">
              <w:rPr>
                <w:i/>
                <w:sz w:val="16"/>
                <w:szCs w:val="16"/>
                <w:lang w:bidi="th-TH"/>
              </w:rPr>
              <w:t>Referencia original en el presupuesto 2014/15:</w:t>
            </w:r>
            <w:r>
              <w:rPr>
                <w:sz w:val="16"/>
                <w:szCs w:val="16"/>
                <w:lang w:bidi="th-TH"/>
              </w:rPr>
              <w:t xml:space="preserve">  </w:t>
            </w:r>
            <w:r w:rsidRPr="00992AF7">
              <w:rPr>
                <w:sz w:val="16"/>
                <w:szCs w:val="16"/>
                <w:lang w:bidi="th-TH"/>
              </w:rPr>
              <w:t>No se dispone de datos</w:t>
            </w:r>
          </w:p>
          <w:p w:rsidR="0095318C" w:rsidRPr="00530AAE" w:rsidRDefault="0095318C" w:rsidP="00DC1333">
            <w:pPr>
              <w:rPr>
                <w:sz w:val="16"/>
                <w:szCs w:val="16"/>
                <w:lang w:bidi="th-TH"/>
              </w:rPr>
            </w:pPr>
          </w:p>
        </w:tc>
        <w:tc>
          <w:tcPr>
            <w:tcW w:w="1701" w:type="dxa"/>
            <w:gridSpan w:val="3"/>
            <w:shd w:val="clear" w:color="auto" w:fill="auto"/>
            <w:tcMar>
              <w:top w:w="110" w:type="dxa"/>
            </w:tcMar>
          </w:tcPr>
          <w:p w:rsidR="0095318C" w:rsidRPr="00530AAE" w:rsidRDefault="0095318C" w:rsidP="00DC1333">
            <w:pPr>
              <w:rPr>
                <w:sz w:val="16"/>
                <w:szCs w:val="16"/>
                <w:lang w:bidi="th-TH"/>
              </w:rPr>
            </w:pPr>
            <w:r w:rsidRPr="00530AAE">
              <w:rPr>
                <w:sz w:val="16"/>
                <w:szCs w:val="16"/>
                <w:lang w:bidi="th-TH"/>
              </w:rPr>
              <w:t>África (70%)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Región árabe (80%)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Asia y el Pacífico (65%)</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América Latina y el Caribe (80%)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(80%)</w:t>
            </w:r>
          </w:p>
          <w:p w:rsidR="0095318C" w:rsidRPr="003C4694" w:rsidRDefault="0095318C" w:rsidP="00DC1333">
            <w:pPr>
              <w:rPr>
                <w:sz w:val="16"/>
                <w:szCs w:val="16"/>
                <w:lang w:bidi="th-TH"/>
              </w:rPr>
            </w:pPr>
          </w:p>
        </w:tc>
        <w:tc>
          <w:tcPr>
            <w:tcW w:w="2269" w:type="dxa"/>
            <w:gridSpan w:val="3"/>
            <w:shd w:val="clear" w:color="auto" w:fill="FFFFFF"/>
            <w:tcMar>
              <w:top w:w="110" w:type="dxa"/>
            </w:tcMar>
          </w:tcPr>
          <w:p w:rsidR="0095318C" w:rsidRPr="00530AAE" w:rsidRDefault="0095318C" w:rsidP="00DC1333">
            <w:pPr>
              <w:rPr>
                <w:sz w:val="16"/>
                <w:szCs w:val="16"/>
                <w:lang w:bidi="th-TH"/>
              </w:rPr>
            </w:pPr>
            <w:r w:rsidRPr="00530AAE">
              <w:rPr>
                <w:sz w:val="16"/>
                <w:szCs w:val="16"/>
                <w:lang w:bidi="th-TH"/>
              </w:rPr>
              <w:t>África (75%)</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 xml:space="preserve">Región árabe (90%) </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Asia y el Pacífico (95%)</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 xml:space="preserve">América Latina y el Caribe (80%) </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(85%) </w:t>
            </w:r>
          </w:p>
          <w:p w:rsidR="0095318C" w:rsidRPr="003C4694" w:rsidRDefault="0095318C" w:rsidP="00DC1333">
            <w:pPr>
              <w:rPr>
                <w:sz w:val="16"/>
                <w:szCs w:val="16"/>
                <w:lang w:bidi="th-TH"/>
              </w:rPr>
            </w:pPr>
          </w:p>
        </w:tc>
        <w:tc>
          <w:tcPr>
            <w:tcW w:w="1418" w:type="dxa"/>
            <w:gridSpan w:val="2"/>
            <w:shd w:val="clear" w:color="auto" w:fill="auto"/>
            <w:tcMar>
              <w:top w:w="110" w:type="dxa"/>
            </w:tcMar>
          </w:tcPr>
          <w:p w:rsidR="0095318C" w:rsidRPr="00017A5E" w:rsidRDefault="0095318C" w:rsidP="00DC1333">
            <w:pPr>
              <w:keepNext/>
              <w:keepLines/>
              <w:jc w:val="center"/>
              <w:rPr>
                <w:b/>
                <w:bCs/>
                <w:color w:val="00B050"/>
                <w:sz w:val="16"/>
                <w:szCs w:val="16"/>
              </w:rPr>
            </w:pPr>
            <w:r w:rsidRPr="004B265E">
              <w:rPr>
                <w:b/>
                <w:bCs/>
                <w:color w:val="00B050"/>
                <w:sz w:val="14"/>
                <w:szCs w:val="14"/>
              </w:rPr>
              <w:t>Plenamente logrado</w:t>
            </w:r>
          </w:p>
          <w:p w:rsidR="0095318C" w:rsidRDefault="0095318C" w:rsidP="00DC1333">
            <w:pPr>
              <w:keepNext/>
              <w:keepLines/>
              <w:jc w:val="center"/>
              <w:rPr>
                <w:b/>
                <w:bCs/>
                <w:color w:val="00B050"/>
                <w:sz w:val="14"/>
                <w:szCs w:val="14"/>
              </w:rPr>
            </w:pPr>
          </w:p>
          <w:p w:rsidR="0095318C" w:rsidRPr="0044627C" w:rsidRDefault="0095318C" w:rsidP="00DC1333">
            <w:pPr>
              <w:keepNext/>
              <w:keepLines/>
              <w:jc w:val="center"/>
              <w:rPr>
                <w:b/>
                <w:bCs/>
                <w:color w:val="00B050"/>
                <w:sz w:val="16"/>
                <w:szCs w:val="16"/>
              </w:rPr>
            </w:pPr>
            <w:r w:rsidRPr="004B265E">
              <w:rPr>
                <w:b/>
                <w:bCs/>
                <w:color w:val="00B050"/>
                <w:sz w:val="14"/>
                <w:szCs w:val="14"/>
              </w:rPr>
              <w:t>Plenamente logrado</w:t>
            </w:r>
          </w:p>
          <w:p w:rsidR="0095318C" w:rsidRDefault="0095318C" w:rsidP="00DC1333">
            <w:pPr>
              <w:keepNext/>
              <w:keepLines/>
              <w:jc w:val="center"/>
              <w:rPr>
                <w:b/>
                <w:bCs/>
                <w:color w:val="00B050"/>
                <w:sz w:val="14"/>
                <w:szCs w:val="14"/>
              </w:rPr>
            </w:pPr>
          </w:p>
          <w:p w:rsidR="0095318C" w:rsidRDefault="0095318C" w:rsidP="00DC1333">
            <w:pPr>
              <w:keepNext/>
              <w:keepLines/>
              <w:jc w:val="center"/>
              <w:rPr>
                <w:b/>
                <w:bCs/>
                <w:color w:val="00B050"/>
                <w:sz w:val="14"/>
                <w:szCs w:val="14"/>
              </w:rPr>
            </w:pPr>
          </w:p>
          <w:p w:rsidR="0095318C" w:rsidRPr="0044627C"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44627C" w:rsidRDefault="0095318C" w:rsidP="00DC1333">
            <w:pPr>
              <w:keepNext/>
              <w:keepLines/>
              <w:jc w:val="center"/>
              <w:rPr>
                <w:b/>
                <w:bCs/>
                <w:color w:val="00B050"/>
                <w:sz w:val="16"/>
                <w:szCs w:val="16"/>
              </w:rPr>
            </w:pPr>
          </w:p>
          <w:p w:rsidR="0095318C" w:rsidRDefault="0095318C" w:rsidP="00DC1333">
            <w:pPr>
              <w:keepNext/>
              <w:keepLines/>
              <w:jc w:val="center"/>
              <w:rPr>
                <w:b/>
                <w:bCs/>
                <w:color w:val="00B050"/>
                <w:sz w:val="14"/>
                <w:szCs w:val="14"/>
              </w:rPr>
            </w:pPr>
          </w:p>
          <w:p w:rsidR="0095318C" w:rsidRDefault="0095318C" w:rsidP="00DC1333">
            <w:pPr>
              <w:keepNext/>
              <w:keepLines/>
              <w:jc w:val="center"/>
              <w:rPr>
                <w:b/>
                <w:bCs/>
                <w:color w:val="00B050"/>
                <w:sz w:val="14"/>
                <w:szCs w:val="14"/>
              </w:rPr>
            </w:pPr>
          </w:p>
          <w:p w:rsidR="0095318C" w:rsidRPr="003C4694"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3C4694" w:rsidRDefault="0095318C" w:rsidP="00DC1333">
            <w:pPr>
              <w:keepNext/>
              <w:keepLines/>
              <w:jc w:val="center"/>
              <w:rPr>
                <w:b/>
                <w:bCs/>
                <w:color w:val="00B050"/>
                <w:sz w:val="16"/>
                <w:szCs w:val="16"/>
              </w:rPr>
            </w:pPr>
          </w:p>
          <w:p w:rsidR="0095318C" w:rsidRPr="003C4694" w:rsidRDefault="0095318C" w:rsidP="00DC1333">
            <w:pPr>
              <w:keepNext/>
              <w:keepLines/>
              <w:jc w:val="center"/>
              <w:rPr>
                <w:b/>
                <w:bCs/>
                <w:sz w:val="16"/>
                <w:szCs w:val="16"/>
              </w:rPr>
            </w:pPr>
            <w:r w:rsidRPr="004B265E">
              <w:rPr>
                <w:b/>
                <w:bCs/>
                <w:color w:val="00B050"/>
                <w:sz w:val="14"/>
                <w:szCs w:val="14"/>
              </w:rPr>
              <w:t>Plenamente logrado</w:t>
            </w:r>
          </w:p>
        </w:tc>
      </w:tr>
      <w:tr w:rsidR="0095318C" w:rsidRPr="003C4694" w:rsidTr="00DC1333">
        <w:tc>
          <w:tcPr>
            <w:tcW w:w="1982" w:type="dxa"/>
            <w:shd w:val="clear" w:color="auto" w:fill="FFFFFF"/>
          </w:tcPr>
          <w:p w:rsidR="0095318C" w:rsidRPr="00530AAE" w:rsidRDefault="0095318C" w:rsidP="00DC1333">
            <w:pPr>
              <w:rPr>
                <w:sz w:val="16"/>
                <w:szCs w:val="16"/>
                <w:lang w:bidi="th-TH"/>
              </w:rPr>
            </w:pPr>
            <w:r w:rsidRPr="00530AAE">
              <w:rPr>
                <w:sz w:val="16"/>
                <w:szCs w:val="16"/>
                <w:lang w:bidi="th-TH"/>
              </w:rPr>
              <w:t>Porcentaje de participantes en talleres de la OMPI que aplican las capacidades adquiridas en su labor/empresa</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tc>
        <w:tc>
          <w:tcPr>
            <w:tcW w:w="2128" w:type="dxa"/>
            <w:gridSpan w:val="3"/>
            <w:shd w:val="clear" w:color="auto" w:fill="auto"/>
          </w:tcPr>
          <w:p w:rsidR="0095318C" w:rsidRPr="00530AAE" w:rsidRDefault="0095318C" w:rsidP="00DC1333">
            <w:pPr>
              <w:rPr>
                <w:sz w:val="16"/>
                <w:szCs w:val="16"/>
              </w:rPr>
            </w:pPr>
            <w:r w:rsidRPr="00530AAE">
              <w:rPr>
                <w:i/>
                <w:sz w:val="16"/>
                <w:szCs w:val="16"/>
              </w:rPr>
              <w:lastRenderedPageBreak/>
              <w:t xml:space="preserve">Referencia actualizada a fines de 2013:  </w:t>
            </w:r>
            <w:r>
              <w:rPr>
                <w:sz w:val="16"/>
                <w:szCs w:val="16"/>
              </w:rPr>
              <w:t>África:  información no disponible</w:t>
            </w:r>
          </w:p>
          <w:p w:rsidR="0095318C" w:rsidRPr="00C974FE" w:rsidRDefault="0095318C" w:rsidP="00DC1333">
            <w:pPr>
              <w:rPr>
                <w:sz w:val="16"/>
                <w:szCs w:val="16"/>
              </w:rPr>
            </w:pPr>
            <w:r w:rsidRPr="00C974FE">
              <w:rPr>
                <w:sz w:val="16"/>
                <w:szCs w:val="16"/>
              </w:rPr>
              <w:t>Región árabe:  información no disponible</w:t>
            </w:r>
          </w:p>
          <w:p w:rsidR="0095318C" w:rsidRPr="00C974FE" w:rsidRDefault="0095318C" w:rsidP="00DC1333">
            <w:pPr>
              <w:rPr>
                <w:sz w:val="16"/>
                <w:szCs w:val="16"/>
              </w:rPr>
            </w:pPr>
            <w:r w:rsidRPr="00C974FE">
              <w:rPr>
                <w:sz w:val="16"/>
                <w:szCs w:val="16"/>
              </w:rPr>
              <w:t xml:space="preserve">Asia y el Pacífico:  65%;  </w:t>
            </w:r>
            <w:r w:rsidRPr="00C974FE">
              <w:rPr>
                <w:sz w:val="16"/>
                <w:szCs w:val="16"/>
              </w:rPr>
              <w:lastRenderedPageBreak/>
              <w:t xml:space="preserve">América Latina y el Caribe: </w:t>
            </w:r>
            <w:r>
              <w:rPr>
                <w:sz w:val="16"/>
                <w:szCs w:val="16"/>
              </w:rPr>
              <w:t xml:space="preserve"> información no disponi</w:t>
            </w:r>
            <w:r w:rsidRPr="00C974FE">
              <w:rPr>
                <w:sz w:val="16"/>
                <w:szCs w:val="16"/>
              </w:rPr>
              <w:t>ble;</w:t>
            </w:r>
          </w:p>
          <w:p w:rsidR="0095318C" w:rsidRPr="00C974FE" w:rsidRDefault="0095318C" w:rsidP="00DC1333">
            <w:pPr>
              <w:rPr>
                <w:sz w:val="16"/>
                <w:szCs w:val="16"/>
              </w:rPr>
            </w:pPr>
            <w:r w:rsidRPr="00C974FE">
              <w:rPr>
                <w:sz w:val="16"/>
                <w:szCs w:val="16"/>
              </w:rPr>
              <w:t>PMA:  información no disponible</w:t>
            </w:r>
          </w:p>
          <w:p w:rsidR="0095318C" w:rsidRPr="00C974FE" w:rsidRDefault="0095318C" w:rsidP="00DC1333">
            <w:pPr>
              <w:rPr>
                <w:i/>
                <w:sz w:val="16"/>
                <w:szCs w:val="16"/>
                <w:lang w:bidi="th-TH"/>
              </w:rPr>
            </w:pPr>
          </w:p>
          <w:p w:rsidR="0095318C" w:rsidRPr="00D83355" w:rsidRDefault="0095318C" w:rsidP="00DC1333">
            <w:pPr>
              <w:rPr>
                <w:sz w:val="16"/>
                <w:szCs w:val="16"/>
                <w:lang w:bidi="th-TH"/>
              </w:rPr>
            </w:pPr>
            <w:r w:rsidRPr="00804C04">
              <w:rPr>
                <w:i/>
                <w:sz w:val="16"/>
                <w:szCs w:val="16"/>
                <w:lang w:bidi="th-TH"/>
              </w:rPr>
              <w:t xml:space="preserve">Referencia original Presup. </w:t>
            </w:r>
            <w:proofErr w:type="gramStart"/>
            <w:r w:rsidRPr="00804C04">
              <w:rPr>
                <w:i/>
                <w:sz w:val="16"/>
                <w:szCs w:val="16"/>
                <w:lang w:bidi="th-TH"/>
              </w:rPr>
              <w:t>por</w:t>
            </w:r>
            <w:proofErr w:type="gramEnd"/>
            <w:r w:rsidRPr="00804C04">
              <w:rPr>
                <w:i/>
                <w:sz w:val="16"/>
                <w:szCs w:val="16"/>
                <w:lang w:bidi="th-TH"/>
              </w:rPr>
              <w:t xml:space="preserve"> prog. </w:t>
            </w:r>
            <w:r w:rsidRPr="00992AF7">
              <w:rPr>
                <w:i/>
                <w:sz w:val="16"/>
                <w:szCs w:val="16"/>
                <w:lang w:bidi="th-TH"/>
              </w:rPr>
              <w:t>2014/15:</w:t>
            </w:r>
            <w:r w:rsidRPr="00D83355">
              <w:rPr>
                <w:sz w:val="16"/>
                <w:szCs w:val="16"/>
                <w:lang w:bidi="th-TH"/>
              </w:rPr>
              <w:t xml:space="preserve">  África:  información no disponible;</w:t>
            </w:r>
          </w:p>
          <w:p w:rsidR="0095318C" w:rsidRPr="003C4694" w:rsidRDefault="0095318C" w:rsidP="00DC1333">
            <w:pPr>
              <w:rPr>
                <w:sz w:val="16"/>
                <w:szCs w:val="16"/>
                <w:lang w:bidi="th-TH"/>
              </w:rPr>
            </w:pPr>
            <w:r w:rsidRPr="00D83355">
              <w:rPr>
                <w:sz w:val="16"/>
                <w:szCs w:val="16"/>
                <w:lang w:bidi="th-TH"/>
              </w:rPr>
              <w:t>Región árabe:  información no disponi</w:t>
            </w:r>
            <w:r>
              <w:rPr>
                <w:sz w:val="16"/>
                <w:szCs w:val="16"/>
                <w:lang w:bidi="th-TH"/>
              </w:rPr>
              <w:t>ble;  Asia y el Pacífico (65%);  América Latina y el Caribe:  i</w:t>
            </w:r>
            <w:r w:rsidRPr="00D83355">
              <w:rPr>
                <w:sz w:val="16"/>
                <w:szCs w:val="16"/>
                <w:lang w:bidi="th-TH"/>
              </w:rPr>
              <w:t>nforma</w:t>
            </w:r>
            <w:r>
              <w:rPr>
                <w:sz w:val="16"/>
                <w:szCs w:val="16"/>
                <w:lang w:bidi="th-TH"/>
              </w:rPr>
              <w:t>ción no disponible;  PMA:  información no disponi</w:t>
            </w:r>
            <w:r w:rsidRPr="003C4694">
              <w:rPr>
                <w:sz w:val="16"/>
                <w:szCs w:val="16"/>
                <w:lang w:bidi="th-TH"/>
              </w:rPr>
              <w:t>ble</w:t>
            </w:r>
          </w:p>
          <w:p w:rsidR="0095318C" w:rsidRPr="003C4694" w:rsidRDefault="0095318C" w:rsidP="00DC1333">
            <w:pPr>
              <w:rPr>
                <w:i/>
                <w:sz w:val="16"/>
                <w:szCs w:val="16"/>
              </w:rPr>
            </w:pPr>
          </w:p>
        </w:tc>
        <w:tc>
          <w:tcPr>
            <w:tcW w:w="1701" w:type="dxa"/>
            <w:gridSpan w:val="3"/>
            <w:shd w:val="clear" w:color="auto" w:fill="auto"/>
            <w:tcMar>
              <w:top w:w="110" w:type="dxa"/>
            </w:tcMar>
          </w:tcPr>
          <w:p w:rsidR="0095318C" w:rsidRPr="00530AAE" w:rsidRDefault="0095318C" w:rsidP="00DC1333">
            <w:pPr>
              <w:rPr>
                <w:sz w:val="16"/>
                <w:szCs w:val="16"/>
                <w:lang w:bidi="th-TH"/>
              </w:rPr>
            </w:pPr>
            <w:r w:rsidRPr="00530AAE">
              <w:rPr>
                <w:sz w:val="16"/>
                <w:szCs w:val="16"/>
                <w:lang w:bidi="th-TH"/>
              </w:rPr>
              <w:lastRenderedPageBreak/>
              <w:t>África (70%)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Región árabe (70%)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lastRenderedPageBreak/>
              <w:t>Asia y el Pacífico (65%)</w:t>
            </w: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América Latina y el Caribe (30%)</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(80%)</w:t>
            </w:r>
          </w:p>
          <w:p w:rsidR="0095318C" w:rsidRPr="003C4694" w:rsidRDefault="0095318C" w:rsidP="00DC1333">
            <w:pPr>
              <w:rPr>
                <w:sz w:val="16"/>
                <w:szCs w:val="16"/>
                <w:lang w:bidi="th-TH"/>
              </w:rPr>
            </w:pPr>
          </w:p>
          <w:p w:rsidR="0095318C" w:rsidRPr="003C4694" w:rsidRDefault="0095318C" w:rsidP="00DC1333">
            <w:pPr>
              <w:rPr>
                <w:sz w:val="16"/>
                <w:szCs w:val="16"/>
                <w:lang w:bidi="th-TH"/>
              </w:rPr>
            </w:pPr>
          </w:p>
        </w:tc>
        <w:tc>
          <w:tcPr>
            <w:tcW w:w="2269" w:type="dxa"/>
            <w:gridSpan w:val="3"/>
            <w:shd w:val="clear" w:color="auto" w:fill="FFFFFF"/>
            <w:tcMar>
              <w:top w:w="110" w:type="dxa"/>
            </w:tcMar>
          </w:tcPr>
          <w:p w:rsidR="0095318C" w:rsidRPr="00530AAE" w:rsidRDefault="0095318C" w:rsidP="00DC1333">
            <w:pPr>
              <w:rPr>
                <w:sz w:val="16"/>
                <w:szCs w:val="16"/>
                <w:lang w:bidi="th-TH"/>
              </w:rPr>
            </w:pPr>
            <w:r w:rsidRPr="00530AAE">
              <w:rPr>
                <w:sz w:val="16"/>
                <w:szCs w:val="16"/>
                <w:lang w:bidi="th-TH"/>
              </w:rPr>
              <w:lastRenderedPageBreak/>
              <w:t xml:space="preserve">África (70%) </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 xml:space="preserve">Región árabe: </w:t>
            </w:r>
            <w:r>
              <w:rPr>
                <w:sz w:val="16"/>
                <w:szCs w:val="16"/>
                <w:lang w:bidi="th-TH"/>
              </w:rPr>
              <w:t xml:space="preserve"> no disponi</w:t>
            </w:r>
            <w:r w:rsidRPr="00530AAE">
              <w:rPr>
                <w:sz w:val="16"/>
                <w:szCs w:val="16"/>
                <w:lang w:bidi="th-TH"/>
              </w:rPr>
              <w:t>ble</w:t>
            </w:r>
            <w:r w:rsidRPr="003C4694">
              <w:rPr>
                <w:rStyle w:val="FootnoteReference"/>
                <w:b/>
                <w:bCs/>
                <w:sz w:val="16"/>
                <w:szCs w:val="16"/>
              </w:rPr>
              <w:footnoteReference w:id="66"/>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Asia y el Pacífico:   (91%)</w:t>
            </w:r>
          </w:p>
          <w:p w:rsidR="0095318C" w:rsidRPr="00530AAE" w:rsidRDefault="0095318C" w:rsidP="00DC1333">
            <w:pPr>
              <w:rPr>
                <w:sz w:val="16"/>
                <w:szCs w:val="16"/>
                <w:lang w:bidi="th-TH"/>
              </w:rPr>
            </w:pPr>
          </w:p>
          <w:p w:rsidR="0095318C" w:rsidRPr="00530AAE" w:rsidRDefault="0095318C" w:rsidP="00DC1333">
            <w:pPr>
              <w:rPr>
                <w:sz w:val="16"/>
                <w:szCs w:val="16"/>
                <w:lang w:bidi="th-TH"/>
              </w:rPr>
            </w:pPr>
            <w:r w:rsidRPr="00530AAE">
              <w:rPr>
                <w:sz w:val="16"/>
                <w:szCs w:val="16"/>
                <w:lang w:bidi="th-TH"/>
              </w:rPr>
              <w:t xml:space="preserve">América Latina y el Caribe (40%) </w:t>
            </w: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530AAE"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(90%) </w:t>
            </w:r>
          </w:p>
        </w:tc>
        <w:tc>
          <w:tcPr>
            <w:tcW w:w="1418" w:type="dxa"/>
            <w:gridSpan w:val="2"/>
            <w:shd w:val="clear" w:color="auto" w:fill="auto"/>
            <w:tcMar>
              <w:top w:w="110" w:type="dxa"/>
            </w:tcMar>
          </w:tcPr>
          <w:p w:rsidR="0095318C" w:rsidRPr="00017A5E" w:rsidRDefault="0095318C" w:rsidP="00DC1333">
            <w:pPr>
              <w:keepNext/>
              <w:keepLines/>
              <w:jc w:val="center"/>
              <w:rPr>
                <w:b/>
                <w:bCs/>
                <w:color w:val="808080" w:themeColor="background1" w:themeShade="80"/>
                <w:sz w:val="16"/>
                <w:szCs w:val="16"/>
              </w:rPr>
            </w:pPr>
            <w:r w:rsidRPr="004B265E">
              <w:rPr>
                <w:b/>
                <w:bCs/>
                <w:color w:val="00B050"/>
                <w:sz w:val="14"/>
                <w:szCs w:val="14"/>
              </w:rPr>
              <w:lastRenderedPageBreak/>
              <w:t>Plenamente logrado</w:t>
            </w:r>
            <w:r w:rsidRPr="00017A5E">
              <w:rPr>
                <w:b/>
                <w:bCs/>
                <w:color w:val="808080" w:themeColor="background1" w:themeShade="80"/>
                <w:sz w:val="16"/>
                <w:szCs w:val="16"/>
              </w:rPr>
              <w:t xml:space="preserve"> </w:t>
            </w:r>
          </w:p>
          <w:p w:rsidR="0095318C" w:rsidRPr="00017A5E" w:rsidRDefault="0095318C" w:rsidP="00DC1333">
            <w:pPr>
              <w:keepNext/>
              <w:keepLines/>
              <w:jc w:val="center"/>
              <w:rPr>
                <w:b/>
                <w:bCs/>
                <w:color w:val="808080" w:themeColor="background1" w:themeShade="80"/>
                <w:sz w:val="16"/>
                <w:szCs w:val="16"/>
              </w:rPr>
            </w:pPr>
          </w:p>
          <w:p w:rsidR="0095318C" w:rsidRPr="00530AAE" w:rsidRDefault="0095318C" w:rsidP="00DC1333">
            <w:pPr>
              <w:keepNext/>
              <w:keepLines/>
              <w:jc w:val="center"/>
              <w:rPr>
                <w:b/>
                <w:bCs/>
                <w:sz w:val="14"/>
                <w:szCs w:val="14"/>
              </w:rPr>
            </w:pPr>
            <w:r w:rsidRPr="00530AAE">
              <w:rPr>
                <w:b/>
                <w:bCs/>
                <w:color w:val="808080" w:themeColor="background1" w:themeShade="80"/>
                <w:sz w:val="14"/>
                <w:szCs w:val="14"/>
              </w:rPr>
              <w:t>No mensurable</w:t>
            </w:r>
          </w:p>
          <w:p w:rsidR="0095318C" w:rsidRPr="00017A5E" w:rsidRDefault="0095318C" w:rsidP="00DC1333">
            <w:pPr>
              <w:keepNext/>
              <w:keepLines/>
              <w:jc w:val="center"/>
              <w:rPr>
                <w:b/>
                <w:bCs/>
                <w:sz w:val="16"/>
                <w:szCs w:val="16"/>
              </w:rPr>
            </w:pPr>
          </w:p>
          <w:p w:rsidR="0095318C" w:rsidRPr="00017A5E"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017A5E" w:rsidRDefault="0095318C" w:rsidP="00DC1333">
            <w:pPr>
              <w:keepNext/>
              <w:keepLines/>
              <w:jc w:val="center"/>
              <w:rPr>
                <w:b/>
                <w:bCs/>
                <w:color w:val="00B050"/>
                <w:sz w:val="16"/>
                <w:szCs w:val="16"/>
              </w:rPr>
            </w:pPr>
          </w:p>
          <w:p w:rsidR="0095318C" w:rsidRDefault="0095318C" w:rsidP="00DC1333">
            <w:pPr>
              <w:keepNext/>
              <w:keepLines/>
              <w:jc w:val="center"/>
              <w:rPr>
                <w:b/>
                <w:bCs/>
                <w:color w:val="00B050"/>
                <w:sz w:val="14"/>
                <w:szCs w:val="14"/>
              </w:rPr>
            </w:pPr>
          </w:p>
          <w:p w:rsidR="0095318C" w:rsidRDefault="0095318C" w:rsidP="00DC1333">
            <w:pPr>
              <w:keepNext/>
              <w:keepLines/>
              <w:jc w:val="center"/>
              <w:rPr>
                <w:b/>
                <w:bCs/>
                <w:color w:val="00B050"/>
                <w:sz w:val="14"/>
                <w:szCs w:val="14"/>
              </w:rPr>
            </w:pPr>
          </w:p>
          <w:p w:rsidR="0095318C" w:rsidRPr="003C4694" w:rsidRDefault="0095318C" w:rsidP="00DC1333">
            <w:pPr>
              <w:keepNext/>
              <w:keepLines/>
              <w:jc w:val="center"/>
              <w:rPr>
                <w:b/>
                <w:bCs/>
                <w:color w:val="00B050"/>
                <w:sz w:val="16"/>
                <w:szCs w:val="16"/>
              </w:rPr>
            </w:pPr>
            <w:r w:rsidRPr="004B265E">
              <w:rPr>
                <w:b/>
                <w:bCs/>
                <w:color w:val="00B050"/>
                <w:sz w:val="14"/>
                <w:szCs w:val="14"/>
              </w:rPr>
              <w:t>Plenamente logrado</w:t>
            </w:r>
            <w:r w:rsidRPr="003C4694">
              <w:rPr>
                <w:b/>
                <w:bCs/>
                <w:color w:val="00B050"/>
                <w:sz w:val="16"/>
                <w:szCs w:val="16"/>
              </w:rPr>
              <w:t xml:space="preserve"> </w:t>
            </w:r>
          </w:p>
          <w:p w:rsidR="0095318C" w:rsidRPr="003C4694" w:rsidRDefault="0095318C" w:rsidP="00DC1333">
            <w:pPr>
              <w:keepNext/>
              <w:keepLines/>
              <w:jc w:val="center"/>
              <w:rPr>
                <w:b/>
                <w:bCs/>
                <w:color w:val="00B050"/>
                <w:sz w:val="16"/>
                <w:szCs w:val="16"/>
              </w:rPr>
            </w:pPr>
          </w:p>
          <w:p w:rsidR="0095318C" w:rsidRDefault="0095318C" w:rsidP="00DC1333">
            <w:pPr>
              <w:keepNext/>
              <w:keepLines/>
              <w:jc w:val="center"/>
              <w:rPr>
                <w:b/>
                <w:bCs/>
                <w:color w:val="00B050"/>
                <w:sz w:val="14"/>
                <w:szCs w:val="14"/>
              </w:rPr>
            </w:pPr>
          </w:p>
          <w:p w:rsidR="0095318C" w:rsidRDefault="0095318C" w:rsidP="00DC1333">
            <w:pPr>
              <w:keepNext/>
              <w:keepLines/>
              <w:jc w:val="center"/>
              <w:rPr>
                <w:b/>
                <w:bCs/>
                <w:color w:val="00B050"/>
                <w:sz w:val="14"/>
                <w:szCs w:val="14"/>
              </w:rPr>
            </w:pPr>
          </w:p>
          <w:p w:rsidR="0095318C" w:rsidRPr="003C4694" w:rsidRDefault="0095318C" w:rsidP="00DC1333">
            <w:pPr>
              <w:keepNext/>
              <w:keepLines/>
              <w:jc w:val="center"/>
              <w:rPr>
                <w:b/>
                <w:bCs/>
                <w:sz w:val="16"/>
                <w:szCs w:val="16"/>
              </w:rPr>
            </w:pPr>
            <w:r w:rsidRPr="004B265E">
              <w:rPr>
                <w:b/>
                <w:bCs/>
                <w:color w:val="00B050"/>
                <w:sz w:val="14"/>
                <w:szCs w:val="14"/>
              </w:rPr>
              <w:t>Plenamente logrado</w:t>
            </w:r>
            <w:r w:rsidRPr="003C4694">
              <w:rPr>
                <w:b/>
                <w:bCs/>
                <w:sz w:val="16"/>
                <w:szCs w:val="16"/>
              </w:rPr>
              <w:t xml:space="preserve"> </w:t>
            </w:r>
          </w:p>
        </w:tc>
      </w:tr>
      <w:tr w:rsidR="0095318C" w:rsidRPr="0044627C" w:rsidTr="00DC1333">
        <w:tc>
          <w:tcPr>
            <w:tcW w:w="1982" w:type="dxa"/>
            <w:tcBorders>
              <w:bottom w:val="single" w:sz="4" w:space="0" w:color="auto"/>
            </w:tcBorders>
            <w:shd w:val="clear" w:color="auto" w:fill="FFFFFF"/>
          </w:tcPr>
          <w:p w:rsidR="0095318C" w:rsidRPr="00D83355" w:rsidRDefault="0095318C" w:rsidP="00DC1333">
            <w:pPr>
              <w:rPr>
                <w:sz w:val="16"/>
                <w:szCs w:val="16"/>
                <w:lang w:bidi="th-TH"/>
              </w:rPr>
            </w:pPr>
            <w:r w:rsidRPr="00D83355">
              <w:rPr>
                <w:sz w:val="16"/>
                <w:szCs w:val="16"/>
                <w:lang w:bidi="th-TH"/>
              </w:rPr>
              <w:lastRenderedPageBreak/>
              <w:t>Porcentaje de expertos nacionales y regionales en P.I. empleados como expertos en las actividades de la OMPI</w:t>
            </w:r>
          </w:p>
        </w:tc>
        <w:tc>
          <w:tcPr>
            <w:tcW w:w="2128" w:type="dxa"/>
            <w:gridSpan w:val="3"/>
            <w:tcBorders>
              <w:bottom w:val="single" w:sz="4" w:space="0" w:color="auto"/>
            </w:tcBorders>
            <w:shd w:val="clear" w:color="auto" w:fill="auto"/>
          </w:tcPr>
          <w:p w:rsidR="0095318C" w:rsidRPr="00212130" w:rsidRDefault="0095318C" w:rsidP="00DC1333">
            <w:pPr>
              <w:rPr>
                <w:i/>
                <w:sz w:val="16"/>
                <w:szCs w:val="16"/>
              </w:rPr>
            </w:pPr>
            <w:r w:rsidRPr="00212130">
              <w:rPr>
                <w:i/>
                <w:sz w:val="16"/>
                <w:szCs w:val="16"/>
              </w:rPr>
              <w:t xml:space="preserve">Referencia actualizada a fines de 2013:  </w:t>
            </w:r>
          </w:p>
          <w:p w:rsidR="0095318C" w:rsidRPr="00212130" w:rsidRDefault="0095318C" w:rsidP="00DC1333">
            <w:pPr>
              <w:rPr>
                <w:sz w:val="16"/>
                <w:szCs w:val="16"/>
              </w:rPr>
            </w:pPr>
            <w:r w:rsidRPr="00212130">
              <w:rPr>
                <w:sz w:val="16"/>
                <w:szCs w:val="16"/>
              </w:rPr>
              <w:t>África (70%)</w:t>
            </w:r>
          </w:p>
          <w:p w:rsidR="0095318C" w:rsidRPr="00212130" w:rsidRDefault="0095318C" w:rsidP="00DC1333">
            <w:pPr>
              <w:rPr>
                <w:sz w:val="16"/>
                <w:szCs w:val="16"/>
              </w:rPr>
            </w:pPr>
            <w:r w:rsidRPr="00212130">
              <w:rPr>
                <w:sz w:val="16"/>
                <w:szCs w:val="16"/>
              </w:rPr>
              <w:t>Región árabe (50%)</w:t>
            </w:r>
          </w:p>
          <w:p w:rsidR="0095318C" w:rsidRPr="00212130" w:rsidRDefault="0095318C" w:rsidP="00DC1333">
            <w:pPr>
              <w:rPr>
                <w:sz w:val="16"/>
                <w:szCs w:val="16"/>
                <w:lang w:bidi="th-TH"/>
              </w:rPr>
            </w:pPr>
            <w:r w:rsidRPr="00212130">
              <w:rPr>
                <w:sz w:val="16"/>
                <w:szCs w:val="16"/>
                <w:lang w:bidi="th-TH"/>
              </w:rPr>
              <w:t xml:space="preserve">Asia y el Pacífico:  </w:t>
            </w:r>
            <w:r>
              <w:rPr>
                <w:sz w:val="16"/>
                <w:szCs w:val="16"/>
                <w:lang w:bidi="th-TH"/>
              </w:rPr>
              <w:t>datos no disponi</w:t>
            </w:r>
            <w:r w:rsidRPr="00212130">
              <w:rPr>
                <w:sz w:val="16"/>
                <w:szCs w:val="16"/>
                <w:lang w:bidi="th-TH"/>
              </w:rPr>
              <w:t>ble</w:t>
            </w:r>
            <w:r>
              <w:rPr>
                <w:sz w:val="16"/>
                <w:szCs w:val="16"/>
                <w:lang w:bidi="th-TH"/>
              </w:rPr>
              <w:t>s</w:t>
            </w:r>
          </w:p>
          <w:p w:rsidR="0095318C" w:rsidRPr="00212130" w:rsidRDefault="0095318C" w:rsidP="00DC1333">
            <w:pPr>
              <w:rPr>
                <w:sz w:val="16"/>
                <w:szCs w:val="16"/>
                <w:lang w:bidi="th-TH"/>
              </w:rPr>
            </w:pPr>
            <w:r w:rsidRPr="00212130">
              <w:rPr>
                <w:sz w:val="16"/>
                <w:szCs w:val="16"/>
                <w:lang w:bidi="th-TH"/>
              </w:rPr>
              <w:t>América Latina y el Caribe (70%)</w:t>
            </w:r>
          </w:p>
          <w:p w:rsidR="0095318C" w:rsidRPr="006208AA" w:rsidRDefault="0095318C" w:rsidP="00DC1333">
            <w:pPr>
              <w:rPr>
                <w:sz w:val="16"/>
                <w:szCs w:val="16"/>
              </w:rPr>
            </w:pPr>
            <w:r w:rsidRPr="006208AA">
              <w:rPr>
                <w:sz w:val="16"/>
                <w:szCs w:val="16"/>
                <w:lang w:bidi="th-TH"/>
              </w:rPr>
              <w:t>PMA (60%)</w:t>
            </w:r>
          </w:p>
          <w:p w:rsidR="0095318C" w:rsidRPr="006208AA" w:rsidRDefault="0095318C" w:rsidP="00DC1333">
            <w:pPr>
              <w:rPr>
                <w:i/>
                <w:sz w:val="16"/>
                <w:szCs w:val="16"/>
              </w:rPr>
            </w:pPr>
          </w:p>
          <w:p w:rsidR="0095318C" w:rsidRPr="006208AA" w:rsidRDefault="0095318C" w:rsidP="00DC1333">
            <w:pPr>
              <w:rPr>
                <w:i/>
                <w:sz w:val="16"/>
                <w:szCs w:val="16"/>
                <w:lang w:bidi="th-TH"/>
              </w:rPr>
            </w:pPr>
            <w:r w:rsidRPr="006208AA">
              <w:rPr>
                <w:i/>
                <w:sz w:val="16"/>
                <w:szCs w:val="16"/>
                <w:lang w:bidi="th-TH"/>
              </w:rPr>
              <w:t>Referencia original</w:t>
            </w:r>
            <w:r>
              <w:rPr>
                <w:i/>
                <w:sz w:val="16"/>
                <w:szCs w:val="16"/>
                <w:lang w:bidi="th-TH"/>
              </w:rPr>
              <w:t xml:space="preserve"> en el presupuesto de 2014/15</w:t>
            </w:r>
            <w:proofErr w:type="gramStart"/>
            <w:r>
              <w:rPr>
                <w:i/>
                <w:sz w:val="16"/>
                <w:szCs w:val="16"/>
                <w:lang w:bidi="th-TH"/>
              </w:rPr>
              <w:t xml:space="preserve">:  </w:t>
            </w:r>
            <w:r w:rsidRPr="006208AA">
              <w:rPr>
                <w:sz w:val="16"/>
                <w:szCs w:val="16"/>
                <w:lang w:bidi="th-TH"/>
              </w:rPr>
              <w:t>África</w:t>
            </w:r>
            <w:proofErr w:type="gramEnd"/>
            <w:r w:rsidRPr="006208AA">
              <w:rPr>
                <w:sz w:val="16"/>
                <w:szCs w:val="16"/>
                <w:lang w:bidi="th-TH"/>
              </w:rPr>
              <w:t xml:space="preserve"> (65%)</w:t>
            </w:r>
          </w:p>
          <w:p w:rsidR="0095318C" w:rsidRPr="006208AA" w:rsidRDefault="0095318C" w:rsidP="00DC1333">
            <w:pPr>
              <w:rPr>
                <w:sz w:val="16"/>
                <w:szCs w:val="16"/>
                <w:lang w:bidi="th-TH"/>
              </w:rPr>
            </w:pPr>
            <w:r w:rsidRPr="006208AA">
              <w:rPr>
                <w:sz w:val="16"/>
                <w:szCs w:val="16"/>
                <w:lang w:bidi="th-TH"/>
              </w:rPr>
              <w:t>Regi</w:t>
            </w:r>
            <w:r>
              <w:rPr>
                <w:sz w:val="16"/>
                <w:szCs w:val="16"/>
                <w:lang w:bidi="th-TH"/>
              </w:rPr>
              <w:t>ón á</w:t>
            </w:r>
            <w:r w:rsidRPr="006208AA">
              <w:rPr>
                <w:sz w:val="16"/>
                <w:szCs w:val="16"/>
                <w:lang w:bidi="th-TH"/>
              </w:rPr>
              <w:t>rabe (70%)</w:t>
            </w:r>
          </w:p>
          <w:p w:rsidR="0095318C" w:rsidRPr="006208AA" w:rsidRDefault="0095318C" w:rsidP="00DC1333">
            <w:pPr>
              <w:rPr>
                <w:sz w:val="16"/>
                <w:szCs w:val="16"/>
                <w:lang w:bidi="th-TH"/>
              </w:rPr>
            </w:pPr>
            <w:r w:rsidRPr="006208AA">
              <w:rPr>
                <w:sz w:val="16"/>
                <w:szCs w:val="16"/>
                <w:lang w:bidi="th-TH"/>
              </w:rPr>
              <w:t>Asia y el Pacífico:  datos no disponibles</w:t>
            </w:r>
          </w:p>
          <w:p w:rsidR="0095318C" w:rsidRPr="006208AA" w:rsidRDefault="0095318C" w:rsidP="00DC1333">
            <w:pPr>
              <w:rPr>
                <w:sz w:val="16"/>
                <w:szCs w:val="16"/>
                <w:lang w:bidi="th-TH"/>
              </w:rPr>
            </w:pPr>
            <w:r w:rsidRPr="006208AA">
              <w:rPr>
                <w:sz w:val="16"/>
                <w:szCs w:val="16"/>
                <w:lang w:bidi="th-TH"/>
              </w:rPr>
              <w:t>América Latina y el Caribe (70%)</w:t>
            </w: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(70%)</w:t>
            </w:r>
          </w:p>
          <w:p w:rsidR="0095318C" w:rsidRPr="003C4694" w:rsidRDefault="0095318C" w:rsidP="00DC1333">
            <w:pPr>
              <w:rPr>
                <w:i/>
                <w:sz w:val="16"/>
                <w:szCs w:val="16"/>
              </w:rPr>
            </w:pPr>
          </w:p>
        </w:tc>
        <w:tc>
          <w:tcPr>
            <w:tcW w:w="1701" w:type="dxa"/>
            <w:gridSpan w:val="3"/>
            <w:tcBorders>
              <w:bottom w:val="single" w:sz="4" w:space="0" w:color="auto"/>
            </w:tcBorders>
            <w:shd w:val="clear" w:color="auto" w:fill="auto"/>
            <w:tcMar>
              <w:top w:w="110" w:type="dxa"/>
            </w:tcMar>
          </w:tcPr>
          <w:p w:rsidR="0095318C" w:rsidRPr="00212130" w:rsidRDefault="0095318C" w:rsidP="00DC1333">
            <w:pPr>
              <w:rPr>
                <w:sz w:val="16"/>
                <w:szCs w:val="16"/>
                <w:lang w:bidi="th-TH"/>
              </w:rPr>
            </w:pPr>
            <w:r w:rsidRPr="00212130">
              <w:rPr>
                <w:sz w:val="16"/>
                <w:szCs w:val="16"/>
                <w:lang w:bidi="th-TH"/>
              </w:rPr>
              <w:t>África (75%)</w:t>
            </w:r>
          </w:p>
          <w:p w:rsidR="0095318C" w:rsidRPr="00212130" w:rsidRDefault="0095318C" w:rsidP="00DC1333">
            <w:pPr>
              <w:rPr>
                <w:sz w:val="16"/>
                <w:szCs w:val="16"/>
                <w:lang w:bidi="th-TH"/>
              </w:rPr>
            </w:pPr>
          </w:p>
          <w:p w:rsidR="0095318C" w:rsidRPr="00212130" w:rsidRDefault="0095318C" w:rsidP="00DC1333">
            <w:pPr>
              <w:rPr>
                <w:sz w:val="16"/>
                <w:szCs w:val="16"/>
                <w:lang w:bidi="th-TH"/>
              </w:rPr>
            </w:pPr>
            <w:r w:rsidRPr="00212130">
              <w:rPr>
                <w:sz w:val="16"/>
                <w:szCs w:val="16"/>
                <w:lang w:bidi="th-TH"/>
              </w:rPr>
              <w:t>Región árabe (80%)</w:t>
            </w:r>
          </w:p>
          <w:p w:rsidR="0095318C" w:rsidRPr="00212130" w:rsidRDefault="0095318C" w:rsidP="00DC1333">
            <w:pPr>
              <w:rPr>
                <w:sz w:val="16"/>
                <w:szCs w:val="16"/>
                <w:lang w:bidi="th-TH"/>
              </w:rPr>
            </w:pPr>
          </w:p>
          <w:p w:rsidR="0095318C" w:rsidRPr="00212130" w:rsidRDefault="0095318C" w:rsidP="00DC1333">
            <w:pPr>
              <w:rPr>
                <w:sz w:val="16"/>
                <w:szCs w:val="16"/>
                <w:lang w:bidi="th-TH"/>
              </w:rPr>
            </w:pPr>
          </w:p>
          <w:p w:rsidR="0095318C" w:rsidRPr="00212130" w:rsidRDefault="0095318C" w:rsidP="00DC1333">
            <w:pPr>
              <w:rPr>
                <w:sz w:val="16"/>
                <w:szCs w:val="16"/>
                <w:lang w:bidi="th-TH"/>
              </w:rPr>
            </w:pPr>
            <w:r w:rsidRPr="00212130">
              <w:rPr>
                <w:sz w:val="16"/>
                <w:szCs w:val="16"/>
                <w:lang w:bidi="th-TH"/>
              </w:rPr>
              <w:t>Asia y el Pacífico (55%)</w:t>
            </w:r>
          </w:p>
          <w:p w:rsidR="0095318C" w:rsidRPr="00212130" w:rsidRDefault="0095318C" w:rsidP="00DC1333">
            <w:pPr>
              <w:rPr>
                <w:sz w:val="16"/>
                <w:szCs w:val="16"/>
                <w:lang w:bidi="th-TH"/>
              </w:rPr>
            </w:pPr>
          </w:p>
          <w:p w:rsidR="0095318C" w:rsidRPr="00D83355" w:rsidRDefault="0095318C" w:rsidP="00DC1333">
            <w:pPr>
              <w:rPr>
                <w:sz w:val="16"/>
                <w:szCs w:val="16"/>
                <w:lang w:bidi="th-TH"/>
              </w:rPr>
            </w:pPr>
            <w:r w:rsidRPr="00D83355">
              <w:rPr>
                <w:sz w:val="16"/>
                <w:szCs w:val="16"/>
                <w:lang w:bidi="th-TH"/>
              </w:rPr>
              <w:t>América Latina y el Caribe (80%)</w:t>
            </w:r>
          </w:p>
          <w:p w:rsidR="0095318C" w:rsidRPr="00D83355"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(80%)</w:t>
            </w:r>
          </w:p>
        </w:tc>
        <w:tc>
          <w:tcPr>
            <w:tcW w:w="2269" w:type="dxa"/>
            <w:gridSpan w:val="3"/>
            <w:tcBorders>
              <w:bottom w:val="single" w:sz="4" w:space="0" w:color="auto"/>
            </w:tcBorders>
            <w:shd w:val="clear" w:color="auto" w:fill="FFFFFF"/>
            <w:tcMar>
              <w:top w:w="110" w:type="dxa"/>
            </w:tcMar>
          </w:tcPr>
          <w:p w:rsidR="0095318C" w:rsidRPr="00631CC4" w:rsidRDefault="0095318C" w:rsidP="00DC1333">
            <w:pPr>
              <w:rPr>
                <w:sz w:val="16"/>
                <w:szCs w:val="16"/>
                <w:lang w:bidi="th-TH"/>
              </w:rPr>
            </w:pPr>
            <w:r w:rsidRPr="00631CC4">
              <w:rPr>
                <w:sz w:val="16"/>
                <w:szCs w:val="16"/>
                <w:lang w:bidi="th-TH"/>
              </w:rPr>
              <w:t>África (75%)</w:t>
            </w:r>
          </w:p>
          <w:p w:rsidR="0095318C" w:rsidRPr="00631CC4" w:rsidRDefault="0095318C" w:rsidP="00DC1333">
            <w:pPr>
              <w:rPr>
                <w:sz w:val="16"/>
                <w:szCs w:val="16"/>
                <w:lang w:bidi="th-TH"/>
              </w:rPr>
            </w:pPr>
          </w:p>
          <w:p w:rsidR="0095318C" w:rsidRPr="00631CC4" w:rsidRDefault="0095318C" w:rsidP="00DC1333">
            <w:pPr>
              <w:rPr>
                <w:sz w:val="16"/>
                <w:szCs w:val="16"/>
                <w:lang w:bidi="th-TH"/>
              </w:rPr>
            </w:pPr>
            <w:r w:rsidRPr="00631CC4">
              <w:rPr>
                <w:sz w:val="16"/>
                <w:szCs w:val="16"/>
                <w:lang w:bidi="th-TH"/>
              </w:rPr>
              <w:t xml:space="preserve">Región árabe (55%) </w:t>
            </w:r>
          </w:p>
          <w:p w:rsidR="0095318C" w:rsidRPr="00631CC4" w:rsidRDefault="0095318C" w:rsidP="00DC1333">
            <w:pPr>
              <w:rPr>
                <w:sz w:val="16"/>
                <w:szCs w:val="16"/>
                <w:lang w:bidi="th-TH"/>
              </w:rPr>
            </w:pPr>
          </w:p>
          <w:p w:rsidR="0095318C" w:rsidRPr="00631CC4" w:rsidRDefault="0095318C" w:rsidP="00DC1333">
            <w:pPr>
              <w:rPr>
                <w:sz w:val="16"/>
                <w:szCs w:val="16"/>
                <w:lang w:bidi="th-TH"/>
              </w:rPr>
            </w:pPr>
          </w:p>
          <w:p w:rsidR="0095318C" w:rsidRPr="00631CC4" w:rsidRDefault="0095318C" w:rsidP="00DC1333">
            <w:pPr>
              <w:rPr>
                <w:sz w:val="16"/>
                <w:szCs w:val="16"/>
                <w:lang w:bidi="th-TH"/>
              </w:rPr>
            </w:pPr>
            <w:r w:rsidRPr="00631CC4">
              <w:rPr>
                <w:sz w:val="16"/>
                <w:szCs w:val="16"/>
                <w:lang w:bidi="th-TH"/>
              </w:rPr>
              <w:t>Asia y el Pacífico (66%)</w:t>
            </w:r>
          </w:p>
          <w:p w:rsidR="0095318C" w:rsidRPr="00631CC4" w:rsidRDefault="0095318C" w:rsidP="00DC1333">
            <w:pPr>
              <w:rPr>
                <w:sz w:val="16"/>
                <w:szCs w:val="16"/>
                <w:lang w:bidi="th-TH"/>
              </w:rPr>
            </w:pPr>
          </w:p>
          <w:p w:rsidR="0095318C" w:rsidRPr="00631CC4" w:rsidRDefault="0095318C" w:rsidP="00DC1333">
            <w:pPr>
              <w:rPr>
                <w:sz w:val="16"/>
                <w:szCs w:val="16"/>
                <w:lang w:bidi="th-TH"/>
              </w:rPr>
            </w:pPr>
          </w:p>
          <w:p w:rsidR="0095318C" w:rsidRPr="00D83355" w:rsidRDefault="0095318C" w:rsidP="00DC1333">
            <w:pPr>
              <w:rPr>
                <w:sz w:val="16"/>
                <w:szCs w:val="16"/>
                <w:lang w:bidi="th-TH"/>
              </w:rPr>
            </w:pPr>
            <w:r w:rsidRPr="00D83355">
              <w:rPr>
                <w:sz w:val="16"/>
                <w:szCs w:val="16"/>
                <w:lang w:bidi="th-TH"/>
              </w:rPr>
              <w:t xml:space="preserve">América Latina y el Caribe (80%) </w:t>
            </w:r>
          </w:p>
          <w:p w:rsidR="0095318C" w:rsidRPr="00D83355" w:rsidRDefault="0095318C" w:rsidP="00DC1333">
            <w:pPr>
              <w:rPr>
                <w:sz w:val="16"/>
                <w:szCs w:val="16"/>
                <w:lang w:bidi="th-TH"/>
              </w:rPr>
            </w:pPr>
          </w:p>
          <w:p w:rsidR="0095318C" w:rsidRPr="003C4694" w:rsidRDefault="0095318C" w:rsidP="00DC1333">
            <w:pPr>
              <w:rPr>
                <w:sz w:val="16"/>
                <w:szCs w:val="16"/>
                <w:lang w:bidi="th-TH"/>
              </w:rPr>
            </w:pPr>
            <w:r>
              <w:rPr>
                <w:sz w:val="16"/>
                <w:szCs w:val="16"/>
                <w:lang w:bidi="th-TH"/>
              </w:rPr>
              <w:t>PMA</w:t>
            </w:r>
            <w:r w:rsidRPr="003C4694">
              <w:rPr>
                <w:sz w:val="16"/>
                <w:szCs w:val="16"/>
                <w:lang w:bidi="th-TH"/>
              </w:rPr>
              <w:t xml:space="preserve"> (85%) </w:t>
            </w:r>
          </w:p>
        </w:tc>
        <w:tc>
          <w:tcPr>
            <w:tcW w:w="1418" w:type="dxa"/>
            <w:gridSpan w:val="2"/>
            <w:tcBorders>
              <w:bottom w:val="single" w:sz="4" w:space="0" w:color="auto"/>
            </w:tcBorders>
            <w:shd w:val="clear" w:color="auto" w:fill="auto"/>
            <w:tcMar>
              <w:top w:w="110" w:type="dxa"/>
            </w:tcMar>
          </w:tcPr>
          <w:p w:rsidR="0095318C" w:rsidRPr="00017A5E" w:rsidRDefault="0095318C" w:rsidP="00DC1333">
            <w:pPr>
              <w:keepNext/>
              <w:keepLines/>
              <w:jc w:val="center"/>
              <w:rPr>
                <w:b/>
                <w:bCs/>
                <w:sz w:val="16"/>
                <w:szCs w:val="16"/>
              </w:rPr>
            </w:pPr>
            <w:r w:rsidRPr="004B265E">
              <w:rPr>
                <w:b/>
                <w:bCs/>
                <w:color w:val="00B050"/>
                <w:sz w:val="14"/>
                <w:szCs w:val="14"/>
              </w:rPr>
              <w:t>Plenamente logrado</w:t>
            </w:r>
            <w:r w:rsidRPr="00017A5E">
              <w:rPr>
                <w:b/>
                <w:bCs/>
                <w:sz w:val="16"/>
                <w:szCs w:val="16"/>
              </w:rPr>
              <w:t xml:space="preserve"> </w:t>
            </w:r>
          </w:p>
          <w:p w:rsidR="0095318C" w:rsidRDefault="0095318C" w:rsidP="00DC1333">
            <w:pPr>
              <w:keepNext/>
              <w:keepLines/>
              <w:jc w:val="center"/>
              <w:rPr>
                <w:b/>
                <w:bCs/>
                <w:color w:val="E36C0A" w:themeColor="accent6" w:themeShade="BF"/>
                <w:sz w:val="14"/>
                <w:szCs w:val="14"/>
              </w:rPr>
            </w:pPr>
          </w:p>
          <w:p w:rsidR="0095318C" w:rsidRPr="00D83355" w:rsidRDefault="0095318C" w:rsidP="00DC1333">
            <w:pPr>
              <w:keepNext/>
              <w:keepLines/>
              <w:jc w:val="center"/>
              <w:rPr>
                <w:b/>
                <w:bCs/>
                <w:sz w:val="14"/>
                <w:szCs w:val="14"/>
              </w:rPr>
            </w:pPr>
            <w:r w:rsidRPr="00D83355">
              <w:rPr>
                <w:b/>
                <w:bCs/>
                <w:color w:val="E36C0A" w:themeColor="accent6" w:themeShade="BF"/>
                <w:sz w:val="14"/>
                <w:szCs w:val="14"/>
              </w:rPr>
              <w:t>Parcialmente logrado</w:t>
            </w:r>
          </w:p>
          <w:p w:rsidR="0095318C" w:rsidRPr="00017A5E" w:rsidRDefault="0095318C" w:rsidP="00DC1333">
            <w:pPr>
              <w:keepNext/>
              <w:keepLines/>
              <w:jc w:val="center"/>
              <w:rPr>
                <w:b/>
                <w:bCs/>
                <w:sz w:val="16"/>
                <w:szCs w:val="16"/>
              </w:rPr>
            </w:pPr>
          </w:p>
          <w:p w:rsidR="0095318C" w:rsidRPr="0044627C" w:rsidRDefault="0095318C" w:rsidP="00DC1333">
            <w:pPr>
              <w:keepNext/>
              <w:keepLines/>
              <w:jc w:val="center"/>
              <w:rPr>
                <w:b/>
                <w:bCs/>
                <w:color w:val="00B050"/>
                <w:sz w:val="16"/>
                <w:szCs w:val="16"/>
              </w:rPr>
            </w:pPr>
            <w:r w:rsidRPr="004B265E">
              <w:rPr>
                <w:b/>
                <w:bCs/>
                <w:color w:val="00B050"/>
                <w:sz w:val="14"/>
                <w:szCs w:val="14"/>
              </w:rPr>
              <w:t>Plenamente logrado</w:t>
            </w:r>
          </w:p>
          <w:p w:rsidR="0095318C" w:rsidRPr="0044627C" w:rsidRDefault="0095318C" w:rsidP="00DC1333">
            <w:pPr>
              <w:keepNext/>
              <w:keepLines/>
              <w:rPr>
                <w:b/>
                <w:bCs/>
                <w:color w:val="00B050"/>
                <w:sz w:val="16"/>
                <w:szCs w:val="16"/>
              </w:rPr>
            </w:pPr>
          </w:p>
          <w:p w:rsidR="0095318C" w:rsidRPr="003C4694" w:rsidRDefault="0095318C" w:rsidP="00DC1333">
            <w:pPr>
              <w:keepNext/>
              <w:keepLines/>
              <w:jc w:val="center"/>
              <w:rPr>
                <w:b/>
                <w:bCs/>
                <w:color w:val="00B050"/>
                <w:sz w:val="16"/>
                <w:szCs w:val="16"/>
              </w:rPr>
            </w:pPr>
            <w:r w:rsidRPr="004B265E">
              <w:rPr>
                <w:b/>
                <w:bCs/>
                <w:color w:val="00B050"/>
                <w:sz w:val="14"/>
                <w:szCs w:val="14"/>
              </w:rPr>
              <w:t>Plenamente logrado</w:t>
            </w:r>
            <w:r w:rsidRPr="003C4694">
              <w:rPr>
                <w:b/>
                <w:bCs/>
                <w:color w:val="00B050"/>
                <w:sz w:val="16"/>
                <w:szCs w:val="16"/>
              </w:rPr>
              <w:t xml:space="preserve"> </w:t>
            </w:r>
          </w:p>
          <w:p w:rsidR="0095318C" w:rsidRPr="003C4694" w:rsidRDefault="0095318C" w:rsidP="00DC1333">
            <w:pPr>
              <w:keepNext/>
              <w:keepLines/>
              <w:jc w:val="center"/>
              <w:rPr>
                <w:b/>
                <w:bCs/>
                <w:color w:val="00B050"/>
                <w:sz w:val="16"/>
                <w:szCs w:val="16"/>
              </w:rPr>
            </w:pPr>
          </w:p>
          <w:p w:rsidR="0095318C" w:rsidRPr="003C4694" w:rsidRDefault="0095318C" w:rsidP="00DC1333">
            <w:pPr>
              <w:keepNext/>
              <w:keepLines/>
              <w:jc w:val="center"/>
              <w:rPr>
                <w:b/>
                <w:bCs/>
                <w:sz w:val="16"/>
                <w:szCs w:val="16"/>
              </w:rPr>
            </w:pPr>
            <w:r w:rsidRPr="004B265E">
              <w:rPr>
                <w:b/>
                <w:bCs/>
                <w:color w:val="00B050"/>
                <w:sz w:val="14"/>
                <w:szCs w:val="14"/>
              </w:rPr>
              <w:t>Plenamente logrado</w:t>
            </w:r>
            <w:r w:rsidRPr="003C4694">
              <w:rPr>
                <w:b/>
                <w:bCs/>
                <w:sz w:val="16"/>
                <w:szCs w:val="16"/>
              </w:rPr>
              <w:t xml:space="preserve"> </w:t>
            </w:r>
          </w:p>
        </w:tc>
      </w:tr>
      <w:tr w:rsidR="0095318C" w:rsidRPr="003131FE" w:rsidTr="00DC1333">
        <w:tc>
          <w:tcPr>
            <w:tcW w:w="9498" w:type="dxa"/>
            <w:gridSpan w:val="12"/>
            <w:tcBorders>
              <w:top w:val="single" w:sz="4" w:space="0" w:color="auto"/>
              <w:bottom w:val="single" w:sz="4" w:space="0" w:color="auto"/>
            </w:tcBorders>
            <w:shd w:val="clear" w:color="auto" w:fill="C6D9F1" w:themeFill="text2" w:themeFillTint="33"/>
            <w:vAlign w:val="center"/>
          </w:tcPr>
          <w:p w:rsidR="0095318C" w:rsidRPr="00D0340B" w:rsidRDefault="0095318C" w:rsidP="00DC1333">
            <w:pPr>
              <w:spacing w:before="120" w:after="120"/>
              <w:ind w:left="2019" w:hanging="2019"/>
              <w:rPr>
                <w:b/>
                <w:bCs/>
                <w:sz w:val="16"/>
                <w:szCs w:val="16"/>
              </w:rPr>
            </w:pPr>
            <w:r>
              <w:rPr>
                <w:b/>
                <w:bCs/>
                <w:sz w:val="16"/>
                <w:szCs w:val="16"/>
              </w:rPr>
              <w:t>Resultado previsto</w:t>
            </w:r>
            <w:r w:rsidRPr="00D0340B">
              <w:rPr>
                <w:b/>
                <w:bCs/>
                <w:sz w:val="16"/>
                <w:szCs w:val="16"/>
              </w:rPr>
              <w:t>:</w:t>
            </w:r>
            <w:r w:rsidRPr="00D0340B">
              <w:rPr>
                <w:b/>
                <w:bCs/>
                <w:sz w:val="16"/>
                <w:szCs w:val="16"/>
              </w:rPr>
              <w:tab/>
            </w:r>
            <w:r w:rsidRPr="00D0340B">
              <w:rPr>
                <w:bCs/>
                <w:sz w:val="16"/>
                <w:szCs w:val="16"/>
              </w:rPr>
              <w:t>III.4 Fortalecimiento de los mecanismos y de los programas de cooperaci</w:t>
            </w:r>
            <w:r>
              <w:rPr>
                <w:bCs/>
                <w:sz w:val="16"/>
                <w:szCs w:val="16"/>
              </w:rPr>
              <w:t>ón conforme a las necesidades de los países en desarrollo y los PMA</w:t>
            </w:r>
          </w:p>
        </w:tc>
      </w:tr>
      <w:tr w:rsidR="0095318C" w:rsidRPr="003C4694" w:rsidTr="00DC1333">
        <w:trPr>
          <w:trHeight w:val="369"/>
        </w:trPr>
        <w:tc>
          <w:tcPr>
            <w:tcW w:w="1982" w:type="dxa"/>
            <w:tcBorders>
              <w:top w:val="single" w:sz="4" w:space="0" w:color="auto"/>
              <w:left w:val="single" w:sz="4" w:space="0" w:color="auto"/>
              <w:bottom w:val="nil"/>
              <w:right w:val="nil"/>
            </w:tcBorders>
            <w:shd w:val="clear" w:color="auto" w:fill="auto"/>
            <w:vAlign w:val="center"/>
          </w:tcPr>
          <w:p w:rsidR="0095318C" w:rsidRDefault="0095318C" w:rsidP="00DC1333">
            <w:pPr>
              <w:spacing w:after="40"/>
              <w:rPr>
                <w:b/>
                <w:bCs/>
                <w:sz w:val="16"/>
                <w:szCs w:val="16"/>
              </w:rPr>
            </w:pPr>
          </w:p>
          <w:p w:rsidR="0095318C" w:rsidRPr="003C4694" w:rsidRDefault="0095318C" w:rsidP="00DC1333">
            <w:pPr>
              <w:spacing w:after="40"/>
              <w:rPr>
                <w:sz w:val="16"/>
                <w:szCs w:val="16"/>
              </w:rPr>
            </w:pPr>
            <w:r>
              <w:rPr>
                <w:b/>
                <w:bCs/>
                <w:sz w:val="16"/>
                <w:szCs w:val="16"/>
              </w:rPr>
              <w:t>Indicadores de rendimiento</w:t>
            </w:r>
          </w:p>
        </w:tc>
        <w:tc>
          <w:tcPr>
            <w:tcW w:w="2128" w:type="dxa"/>
            <w:gridSpan w:val="3"/>
            <w:tcBorders>
              <w:top w:val="single" w:sz="4" w:space="0" w:color="auto"/>
              <w:left w:val="nil"/>
              <w:bottom w:val="nil"/>
              <w:right w:val="nil"/>
            </w:tcBorders>
            <w:shd w:val="clear" w:color="auto" w:fill="auto"/>
            <w:vAlign w:val="center"/>
          </w:tcPr>
          <w:p w:rsidR="0095318C" w:rsidRPr="003C4694" w:rsidRDefault="0095318C" w:rsidP="00DC1333">
            <w:pPr>
              <w:spacing w:after="40"/>
              <w:rPr>
                <w:b/>
                <w:bCs/>
                <w:sz w:val="16"/>
                <w:szCs w:val="16"/>
              </w:rPr>
            </w:pPr>
            <w:r>
              <w:rPr>
                <w:b/>
                <w:bCs/>
                <w:sz w:val="16"/>
                <w:szCs w:val="16"/>
              </w:rPr>
              <w:t>Referencia</w:t>
            </w:r>
          </w:p>
        </w:tc>
        <w:tc>
          <w:tcPr>
            <w:tcW w:w="1843" w:type="dxa"/>
            <w:gridSpan w:val="4"/>
            <w:tcBorders>
              <w:top w:val="single" w:sz="4" w:space="0" w:color="auto"/>
              <w:left w:val="nil"/>
              <w:bottom w:val="nil"/>
              <w:right w:val="nil"/>
            </w:tcBorders>
            <w:shd w:val="clear" w:color="auto" w:fill="auto"/>
            <w:vAlign w:val="center"/>
          </w:tcPr>
          <w:p w:rsidR="0095318C" w:rsidRPr="003C4694" w:rsidRDefault="0095318C" w:rsidP="00DC1333">
            <w:pPr>
              <w:spacing w:after="40"/>
              <w:rPr>
                <w:b/>
                <w:sz w:val="16"/>
                <w:szCs w:val="16"/>
              </w:rPr>
            </w:pPr>
            <w:r>
              <w:rPr>
                <w:b/>
                <w:sz w:val="16"/>
                <w:szCs w:val="16"/>
              </w:rPr>
              <w:t>Objetivo</w:t>
            </w:r>
            <w:r w:rsidRPr="003C4694">
              <w:rPr>
                <w:b/>
                <w:sz w:val="16"/>
                <w:szCs w:val="16"/>
              </w:rPr>
              <w:t>s</w:t>
            </w:r>
          </w:p>
        </w:tc>
        <w:tc>
          <w:tcPr>
            <w:tcW w:w="2055" w:type="dxa"/>
            <w:tcBorders>
              <w:top w:val="single" w:sz="4" w:space="0" w:color="auto"/>
              <w:left w:val="nil"/>
              <w:bottom w:val="nil"/>
              <w:right w:val="nil"/>
            </w:tcBorders>
            <w:shd w:val="clear" w:color="auto" w:fill="auto"/>
            <w:vAlign w:val="center"/>
          </w:tcPr>
          <w:p w:rsidR="0095318C" w:rsidRPr="003C4694" w:rsidRDefault="0095318C" w:rsidP="00DC1333">
            <w:pPr>
              <w:spacing w:after="40"/>
              <w:rPr>
                <w:sz w:val="16"/>
                <w:szCs w:val="16"/>
              </w:rPr>
            </w:pPr>
            <w:r>
              <w:rPr>
                <w:b/>
                <w:bCs/>
                <w:sz w:val="16"/>
                <w:szCs w:val="16"/>
              </w:rPr>
              <w:t>Datos sobre el rendimiento</w:t>
            </w:r>
          </w:p>
        </w:tc>
        <w:tc>
          <w:tcPr>
            <w:tcW w:w="1490" w:type="dxa"/>
            <w:gridSpan w:val="3"/>
            <w:tcBorders>
              <w:top w:val="single" w:sz="4" w:space="0" w:color="auto"/>
              <w:left w:val="nil"/>
              <w:bottom w:val="nil"/>
              <w:right w:val="single" w:sz="4" w:space="0" w:color="auto"/>
            </w:tcBorders>
            <w:shd w:val="clear" w:color="auto" w:fill="auto"/>
            <w:vAlign w:val="center"/>
          </w:tcPr>
          <w:p w:rsidR="0095318C" w:rsidRPr="003C4694" w:rsidRDefault="0095318C" w:rsidP="00DC1333">
            <w:pPr>
              <w:spacing w:after="40"/>
              <w:jc w:val="center"/>
              <w:rPr>
                <w:b/>
                <w:bCs/>
                <w:sz w:val="16"/>
                <w:szCs w:val="16"/>
              </w:rPr>
            </w:pPr>
            <w:r>
              <w:rPr>
                <w:b/>
                <w:bCs/>
                <w:sz w:val="16"/>
                <w:szCs w:val="16"/>
              </w:rPr>
              <w:t>Clave de los colores</w:t>
            </w:r>
          </w:p>
        </w:tc>
      </w:tr>
      <w:tr w:rsidR="0095318C" w:rsidRPr="00A7052B" w:rsidTr="00DC1333">
        <w:tc>
          <w:tcPr>
            <w:tcW w:w="1982" w:type="dxa"/>
            <w:tcBorders>
              <w:top w:val="nil"/>
              <w:left w:val="single" w:sz="4" w:space="0" w:color="auto"/>
              <w:bottom w:val="single" w:sz="4" w:space="0" w:color="auto"/>
              <w:right w:val="nil"/>
            </w:tcBorders>
            <w:shd w:val="clear" w:color="auto" w:fill="FFFFFF"/>
          </w:tcPr>
          <w:p w:rsidR="0095318C" w:rsidRPr="008A0ABA" w:rsidRDefault="0095318C" w:rsidP="00DC1333">
            <w:pPr>
              <w:rPr>
                <w:sz w:val="16"/>
                <w:szCs w:val="16"/>
                <w:lang w:bidi="th-TH"/>
              </w:rPr>
            </w:pPr>
            <w:r w:rsidRPr="008A0ABA">
              <w:rPr>
                <w:sz w:val="16"/>
                <w:szCs w:val="16"/>
                <w:lang w:bidi="th-TH"/>
              </w:rPr>
              <w:t>Número de mecanismos de cooperación, programas y asociaciones nuevos o consolidados a los que se presta apoyo para promover/fortalecer la cooperación subregional o regional en P.I.</w:t>
            </w:r>
          </w:p>
        </w:tc>
        <w:tc>
          <w:tcPr>
            <w:tcW w:w="2128" w:type="dxa"/>
            <w:gridSpan w:val="3"/>
            <w:tcBorders>
              <w:top w:val="nil"/>
              <w:left w:val="nil"/>
              <w:bottom w:val="single" w:sz="4" w:space="0" w:color="auto"/>
              <w:right w:val="nil"/>
            </w:tcBorders>
            <w:shd w:val="clear" w:color="auto" w:fill="auto"/>
          </w:tcPr>
          <w:p w:rsidR="0095318C" w:rsidRPr="008A0ABA" w:rsidRDefault="0095318C" w:rsidP="00DC1333">
            <w:pPr>
              <w:rPr>
                <w:sz w:val="16"/>
                <w:szCs w:val="16"/>
                <w:lang w:bidi="th-TH"/>
              </w:rPr>
            </w:pPr>
            <w:r w:rsidRPr="008A0ABA">
              <w:rPr>
                <w:sz w:val="16"/>
                <w:szCs w:val="16"/>
                <w:lang w:bidi="th-TH"/>
              </w:rPr>
              <w:t>África (3)</w:t>
            </w:r>
          </w:p>
          <w:p w:rsidR="0095318C" w:rsidRPr="008A0ABA" w:rsidRDefault="0095318C" w:rsidP="00DC1333">
            <w:pPr>
              <w:rPr>
                <w:sz w:val="16"/>
                <w:szCs w:val="16"/>
                <w:lang w:bidi="th-TH"/>
              </w:rPr>
            </w:pPr>
            <w:r w:rsidRPr="008A0ABA">
              <w:rPr>
                <w:sz w:val="16"/>
                <w:szCs w:val="16"/>
                <w:lang w:bidi="th-TH"/>
              </w:rPr>
              <w:t>Región árabe (2)</w:t>
            </w:r>
          </w:p>
          <w:p w:rsidR="0095318C" w:rsidRPr="008A0ABA" w:rsidRDefault="0095318C" w:rsidP="00DC1333">
            <w:pPr>
              <w:rPr>
                <w:sz w:val="16"/>
                <w:szCs w:val="16"/>
                <w:lang w:bidi="th-TH"/>
              </w:rPr>
            </w:pPr>
            <w:r w:rsidRPr="008A0ABA">
              <w:rPr>
                <w:sz w:val="16"/>
                <w:szCs w:val="16"/>
                <w:lang w:bidi="th-TH"/>
              </w:rPr>
              <w:t>Asia y el Pacífico (4)</w:t>
            </w:r>
          </w:p>
          <w:p w:rsidR="0095318C" w:rsidRPr="008A0ABA" w:rsidRDefault="0095318C" w:rsidP="00DC1333">
            <w:pPr>
              <w:rPr>
                <w:sz w:val="16"/>
                <w:szCs w:val="16"/>
                <w:lang w:bidi="th-TH"/>
              </w:rPr>
            </w:pPr>
            <w:r w:rsidRPr="008A0ABA">
              <w:rPr>
                <w:sz w:val="16"/>
                <w:szCs w:val="16"/>
                <w:lang w:bidi="th-TH"/>
              </w:rPr>
              <w:t>América Latina y el Caribe (3)</w:t>
            </w:r>
          </w:p>
          <w:p w:rsidR="0095318C" w:rsidRPr="008A0ABA" w:rsidRDefault="0095318C" w:rsidP="00DC1333">
            <w:pPr>
              <w:rPr>
                <w:sz w:val="16"/>
                <w:szCs w:val="16"/>
                <w:lang w:bidi="th-TH"/>
              </w:rPr>
            </w:pPr>
            <w:r w:rsidRPr="008A0ABA">
              <w:rPr>
                <w:sz w:val="16"/>
                <w:szCs w:val="16"/>
                <w:lang w:bidi="th-TH"/>
              </w:rPr>
              <w:t>2 PMA incluidos en el desglose regional precedente</w:t>
            </w:r>
          </w:p>
          <w:p w:rsidR="0095318C" w:rsidRPr="008A0ABA" w:rsidRDefault="0095318C" w:rsidP="00DC1333">
            <w:pPr>
              <w:rPr>
                <w:sz w:val="16"/>
                <w:szCs w:val="16"/>
              </w:rPr>
            </w:pPr>
            <w:r w:rsidRPr="008A0ABA">
              <w:rPr>
                <w:sz w:val="16"/>
                <w:szCs w:val="16"/>
                <w:lang w:bidi="th-TH"/>
              </w:rPr>
              <w:t>Proyectos de tecnología adecuados en 3 PMA</w:t>
            </w:r>
          </w:p>
        </w:tc>
        <w:tc>
          <w:tcPr>
            <w:tcW w:w="1843" w:type="dxa"/>
            <w:gridSpan w:val="4"/>
            <w:tcBorders>
              <w:top w:val="nil"/>
              <w:left w:val="nil"/>
              <w:bottom w:val="single" w:sz="4" w:space="0" w:color="auto"/>
              <w:right w:val="nil"/>
            </w:tcBorders>
            <w:shd w:val="clear" w:color="auto" w:fill="auto"/>
            <w:tcMar>
              <w:top w:w="110" w:type="dxa"/>
            </w:tcMar>
          </w:tcPr>
          <w:p w:rsidR="0095318C" w:rsidRPr="008A0ABA" w:rsidRDefault="0095318C" w:rsidP="00DC1333">
            <w:pPr>
              <w:rPr>
                <w:sz w:val="16"/>
                <w:szCs w:val="16"/>
                <w:lang w:bidi="th-TH"/>
              </w:rPr>
            </w:pPr>
            <w:r w:rsidRPr="008A0ABA">
              <w:rPr>
                <w:sz w:val="16"/>
                <w:szCs w:val="16"/>
                <w:lang w:bidi="th-TH"/>
              </w:rPr>
              <w:t>África (2)</w:t>
            </w: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Default="0095318C" w:rsidP="00DC1333">
            <w:pPr>
              <w:rPr>
                <w:sz w:val="16"/>
                <w:szCs w:val="16"/>
                <w:lang w:bidi="th-TH"/>
              </w:rPr>
            </w:pPr>
          </w:p>
          <w:p w:rsidR="0095318C"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r w:rsidRPr="008A0ABA">
              <w:rPr>
                <w:sz w:val="16"/>
                <w:szCs w:val="16"/>
                <w:lang w:bidi="th-TH"/>
              </w:rPr>
              <w:t>Región árabe (1)</w:t>
            </w: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Default="0095318C" w:rsidP="00DC1333">
            <w:pPr>
              <w:rPr>
                <w:sz w:val="16"/>
                <w:szCs w:val="16"/>
                <w:lang w:bidi="th-TH"/>
              </w:rPr>
            </w:pPr>
          </w:p>
          <w:p w:rsidR="0095318C" w:rsidRDefault="0095318C" w:rsidP="00DC1333">
            <w:pPr>
              <w:rPr>
                <w:sz w:val="16"/>
                <w:szCs w:val="16"/>
                <w:lang w:bidi="th-TH"/>
              </w:rPr>
            </w:pPr>
          </w:p>
          <w:p w:rsidR="0095318C"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p w:rsidR="0095318C" w:rsidRPr="008A0ABA" w:rsidRDefault="0095318C" w:rsidP="00DC1333">
            <w:pPr>
              <w:rPr>
                <w:sz w:val="16"/>
                <w:szCs w:val="16"/>
                <w:lang w:bidi="th-TH"/>
              </w:rPr>
            </w:pPr>
          </w:p>
        </w:tc>
        <w:tc>
          <w:tcPr>
            <w:tcW w:w="2055" w:type="dxa"/>
            <w:tcBorders>
              <w:top w:val="nil"/>
              <w:left w:val="nil"/>
              <w:bottom w:val="single" w:sz="4" w:space="0" w:color="auto"/>
              <w:right w:val="nil"/>
            </w:tcBorders>
            <w:shd w:val="clear" w:color="auto" w:fill="FFFFFF"/>
            <w:tcMar>
              <w:top w:w="110" w:type="dxa"/>
            </w:tcMar>
          </w:tcPr>
          <w:p w:rsidR="0095318C" w:rsidRPr="00992AF7" w:rsidRDefault="0095318C" w:rsidP="00DC1333">
            <w:pPr>
              <w:rPr>
                <w:sz w:val="16"/>
                <w:szCs w:val="16"/>
                <w:lang w:bidi="th-TH"/>
              </w:rPr>
            </w:pPr>
            <w:r w:rsidRPr="008A0ABA">
              <w:rPr>
                <w:sz w:val="16"/>
                <w:szCs w:val="16"/>
                <w:lang w:bidi="th-TH"/>
              </w:rPr>
              <w:t>África (2):</w:t>
            </w:r>
            <w:r>
              <w:rPr>
                <w:sz w:val="16"/>
                <w:szCs w:val="16"/>
                <w:lang w:bidi="th-TH"/>
              </w:rPr>
              <w:t xml:space="preserve"> </w:t>
            </w:r>
            <w:r w:rsidRPr="008A0ABA">
              <w:rPr>
                <w:sz w:val="16"/>
                <w:szCs w:val="16"/>
                <w:lang w:bidi="th-TH"/>
              </w:rPr>
              <w:t xml:space="preserve"> i) </w:t>
            </w:r>
            <w:r>
              <w:rPr>
                <w:sz w:val="16"/>
                <w:szCs w:val="16"/>
                <w:lang w:bidi="th-TH"/>
              </w:rPr>
              <w:t xml:space="preserve">en mayo de 2014 </w:t>
            </w:r>
            <w:r w:rsidRPr="008A0ABA">
              <w:rPr>
                <w:sz w:val="16"/>
                <w:szCs w:val="16"/>
                <w:lang w:bidi="th-TH"/>
              </w:rPr>
              <w:t xml:space="preserve">se firmó un memorando de entendimiento con la </w:t>
            </w:r>
            <w:r w:rsidRPr="008A0ABA">
              <w:rPr>
                <w:i/>
                <w:sz w:val="16"/>
                <w:szCs w:val="16"/>
                <w:lang w:bidi="th-TH"/>
              </w:rPr>
              <w:t xml:space="preserve">Organisation Internationale de la Francophonie </w:t>
            </w:r>
            <w:r>
              <w:rPr>
                <w:sz w:val="16"/>
                <w:szCs w:val="16"/>
                <w:lang w:bidi="th-TH"/>
              </w:rPr>
              <w:t xml:space="preserve">(OIF);  </w:t>
            </w:r>
            <w:r w:rsidRPr="008A0ABA">
              <w:rPr>
                <w:sz w:val="16"/>
                <w:szCs w:val="16"/>
                <w:lang w:bidi="th-TH"/>
              </w:rPr>
              <w:t xml:space="preserve">ii) </w:t>
            </w:r>
            <w:r>
              <w:rPr>
                <w:sz w:val="16"/>
                <w:szCs w:val="16"/>
                <w:lang w:bidi="th-TH"/>
              </w:rPr>
              <w:t>cooperación Unió</w:t>
            </w:r>
            <w:r w:rsidRPr="008A0ABA">
              <w:rPr>
                <w:sz w:val="16"/>
                <w:szCs w:val="16"/>
                <w:lang w:bidi="th-TH"/>
              </w:rPr>
              <w:t>n</w:t>
            </w:r>
            <w:r>
              <w:rPr>
                <w:sz w:val="16"/>
                <w:szCs w:val="16"/>
                <w:lang w:bidi="th-TH"/>
              </w:rPr>
              <w:t xml:space="preserve"> Africana /</w:t>
            </w:r>
            <w:r w:rsidRPr="008A0ABA">
              <w:rPr>
                <w:sz w:val="16"/>
                <w:szCs w:val="16"/>
                <w:lang w:bidi="th-TH"/>
              </w:rPr>
              <w:t>O</w:t>
            </w:r>
            <w:r>
              <w:rPr>
                <w:sz w:val="16"/>
                <w:szCs w:val="16"/>
                <w:lang w:bidi="th-TH"/>
              </w:rPr>
              <w:t>MPI en virtud de la</w:t>
            </w:r>
            <w:r w:rsidRPr="008A0ABA">
              <w:rPr>
                <w:sz w:val="16"/>
                <w:szCs w:val="16"/>
                <w:lang w:bidi="th-TH"/>
              </w:rPr>
              <w:t xml:space="preserve"> </w:t>
            </w:r>
            <w:r w:rsidRPr="008A0ABA">
              <w:rPr>
                <w:i/>
                <w:sz w:val="16"/>
                <w:szCs w:val="16"/>
                <w:lang w:bidi="th-TH"/>
              </w:rPr>
              <w:t>D</w:t>
            </w:r>
            <w:r>
              <w:rPr>
                <w:i/>
                <w:sz w:val="16"/>
                <w:szCs w:val="16"/>
                <w:lang w:bidi="th-TH"/>
              </w:rPr>
              <w:t xml:space="preserve">eclaración de Dakar sobre la Propiedad </w:t>
            </w:r>
            <w:r w:rsidRPr="00992AF7">
              <w:rPr>
                <w:i/>
                <w:sz w:val="16"/>
                <w:szCs w:val="16"/>
                <w:lang w:bidi="th-TH"/>
              </w:rPr>
              <w:t>Intelectual para África</w:t>
            </w:r>
            <w:r w:rsidRPr="00992AF7">
              <w:rPr>
                <w:rStyle w:val="FootnoteReference"/>
                <w:i/>
                <w:sz w:val="16"/>
                <w:szCs w:val="16"/>
                <w:lang w:bidi="th-TH"/>
              </w:rPr>
              <w:footnoteReference w:id="67"/>
            </w:r>
          </w:p>
          <w:p w:rsidR="0095318C" w:rsidRPr="00992AF7" w:rsidRDefault="0095318C" w:rsidP="00DC1333">
            <w:pPr>
              <w:rPr>
                <w:sz w:val="16"/>
                <w:szCs w:val="16"/>
                <w:lang w:bidi="th-TH"/>
              </w:rPr>
            </w:pPr>
          </w:p>
          <w:p w:rsidR="0095318C" w:rsidRPr="006561B2" w:rsidRDefault="0095318C" w:rsidP="00DC1333">
            <w:pPr>
              <w:rPr>
                <w:sz w:val="16"/>
                <w:szCs w:val="16"/>
                <w:lang w:bidi="th-TH"/>
              </w:rPr>
            </w:pPr>
            <w:r w:rsidRPr="00992AF7">
              <w:rPr>
                <w:sz w:val="16"/>
                <w:szCs w:val="16"/>
                <w:lang w:bidi="th-TH"/>
              </w:rPr>
              <w:t>Región árabe (1):  en octubre de 2015 se firmó un memorando de entendimiento con la Emirates Intellectual Property Association (EIPA) y los Emiratos Árabes Unidos</w:t>
            </w:r>
            <w:r w:rsidRPr="003C4694">
              <w:rPr>
                <w:rStyle w:val="FootnoteReference"/>
                <w:sz w:val="16"/>
                <w:szCs w:val="16"/>
                <w:lang w:bidi="th-TH"/>
              </w:rPr>
              <w:footnoteReference w:id="68"/>
            </w:r>
            <w:r w:rsidRPr="006561B2">
              <w:rPr>
                <w:sz w:val="16"/>
                <w:szCs w:val="16"/>
                <w:lang w:bidi="th-TH"/>
              </w:rPr>
              <w:t xml:space="preserve"> </w:t>
            </w:r>
          </w:p>
          <w:p w:rsidR="0095318C" w:rsidRPr="006561B2" w:rsidRDefault="0095318C" w:rsidP="00DC1333">
            <w:pPr>
              <w:rPr>
                <w:sz w:val="16"/>
                <w:szCs w:val="16"/>
                <w:lang w:bidi="th-TH"/>
              </w:rPr>
            </w:pPr>
          </w:p>
          <w:p w:rsidR="0095318C" w:rsidRPr="008268D1" w:rsidRDefault="0095318C" w:rsidP="00DC1333">
            <w:pPr>
              <w:rPr>
                <w:sz w:val="16"/>
                <w:szCs w:val="16"/>
                <w:lang w:bidi="th-TH"/>
              </w:rPr>
            </w:pPr>
          </w:p>
        </w:tc>
        <w:tc>
          <w:tcPr>
            <w:tcW w:w="1490" w:type="dxa"/>
            <w:gridSpan w:val="3"/>
            <w:tcBorders>
              <w:top w:val="nil"/>
              <w:left w:val="nil"/>
              <w:bottom w:val="single" w:sz="4" w:space="0" w:color="auto"/>
              <w:right w:val="single" w:sz="4" w:space="0" w:color="auto"/>
            </w:tcBorders>
            <w:shd w:val="clear" w:color="auto" w:fill="auto"/>
            <w:tcMar>
              <w:top w:w="110" w:type="dxa"/>
            </w:tcMar>
          </w:tcPr>
          <w:p w:rsidR="0095318C" w:rsidRPr="00017A5E" w:rsidRDefault="0095318C" w:rsidP="00DC1333">
            <w:pPr>
              <w:jc w:val="center"/>
              <w:rPr>
                <w:b/>
                <w:bCs/>
                <w:color w:val="00B050"/>
                <w:sz w:val="16"/>
                <w:szCs w:val="16"/>
              </w:rPr>
            </w:pPr>
            <w:r w:rsidRPr="004B265E">
              <w:rPr>
                <w:b/>
                <w:bCs/>
                <w:color w:val="00B050"/>
                <w:sz w:val="14"/>
                <w:szCs w:val="14"/>
              </w:rPr>
              <w:t>Plenamente logrado</w:t>
            </w:r>
            <w:r w:rsidRPr="00017A5E">
              <w:rPr>
                <w:b/>
                <w:bCs/>
                <w:color w:val="00B050"/>
                <w:sz w:val="16"/>
                <w:szCs w:val="16"/>
              </w:rPr>
              <w:t xml:space="preserve"> </w:t>
            </w: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jc w:val="center"/>
              <w:rPr>
                <w:b/>
                <w:bCs/>
                <w:color w:val="00B050"/>
                <w:sz w:val="16"/>
                <w:szCs w:val="16"/>
              </w:rPr>
            </w:pPr>
          </w:p>
          <w:p w:rsidR="0095318C" w:rsidRPr="00017A5E" w:rsidRDefault="0095318C" w:rsidP="00DC1333">
            <w:pPr>
              <w:rPr>
                <w:b/>
                <w:bCs/>
                <w:color w:val="00B050"/>
                <w:sz w:val="16"/>
                <w:szCs w:val="16"/>
              </w:rPr>
            </w:pPr>
          </w:p>
          <w:p w:rsidR="0095318C" w:rsidRDefault="0095318C" w:rsidP="00DC1333">
            <w:pPr>
              <w:jc w:val="center"/>
              <w:rPr>
                <w:b/>
                <w:bCs/>
                <w:color w:val="00B050"/>
                <w:sz w:val="14"/>
                <w:szCs w:val="14"/>
              </w:rPr>
            </w:pPr>
          </w:p>
          <w:p w:rsidR="0095318C" w:rsidRDefault="0095318C" w:rsidP="00DC1333">
            <w:pPr>
              <w:jc w:val="center"/>
              <w:rPr>
                <w:b/>
                <w:bCs/>
                <w:color w:val="00B050"/>
                <w:sz w:val="14"/>
                <w:szCs w:val="14"/>
              </w:rPr>
            </w:pPr>
          </w:p>
          <w:p w:rsidR="0095318C" w:rsidRDefault="0095318C" w:rsidP="00DC1333">
            <w:pPr>
              <w:jc w:val="center"/>
              <w:rPr>
                <w:b/>
                <w:bCs/>
                <w:color w:val="00B050"/>
                <w:sz w:val="14"/>
                <w:szCs w:val="14"/>
              </w:rPr>
            </w:pPr>
          </w:p>
          <w:p w:rsidR="0095318C" w:rsidRDefault="0095318C" w:rsidP="00DC1333">
            <w:pPr>
              <w:jc w:val="center"/>
              <w:rPr>
                <w:b/>
                <w:bCs/>
                <w:color w:val="00B050"/>
                <w:sz w:val="14"/>
                <w:szCs w:val="14"/>
              </w:rPr>
            </w:pPr>
          </w:p>
          <w:p w:rsidR="0095318C" w:rsidRPr="00017A5E" w:rsidRDefault="0095318C" w:rsidP="00DC1333">
            <w:pPr>
              <w:jc w:val="center"/>
              <w:rPr>
                <w:b/>
                <w:bCs/>
                <w:sz w:val="16"/>
                <w:szCs w:val="16"/>
              </w:rPr>
            </w:pPr>
            <w:r w:rsidRPr="004B265E">
              <w:rPr>
                <w:b/>
                <w:bCs/>
                <w:color w:val="00B050"/>
                <w:sz w:val="14"/>
                <w:szCs w:val="14"/>
              </w:rPr>
              <w:t>Plenamente logrado</w:t>
            </w:r>
            <w:r w:rsidRPr="00017A5E">
              <w:rPr>
                <w:b/>
                <w:bCs/>
                <w:sz w:val="16"/>
                <w:szCs w:val="16"/>
              </w:rPr>
              <w:t xml:space="preserve"> </w:t>
            </w:r>
          </w:p>
          <w:p w:rsidR="0095318C" w:rsidRPr="00017A5E" w:rsidRDefault="0095318C" w:rsidP="00DC1333">
            <w:pPr>
              <w:jc w:val="center"/>
              <w:rPr>
                <w:b/>
                <w:bCs/>
                <w:sz w:val="16"/>
                <w:szCs w:val="16"/>
              </w:rPr>
            </w:pPr>
          </w:p>
          <w:p w:rsidR="0095318C" w:rsidRPr="00017A5E" w:rsidRDefault="0095318C" w:rsidP="00DC1333">
            <w:pPr>
              <w:jc w:val="center"/>
              <w:rPr>
                <w:b/>
                <w:bCs/>
                <w:sz w:val="16"/>
                <w:szCs w:val="16"/>
              </w:rPr>
            </w:pPr>
          </w:p>
          <w:p w:rsidR="0095318C" w:rsidRDefault="0095318C" w:rsidP="00DC1333">
            <w:pPr>
              <w:jc w:val="center"/>
              <w:rPr>
                <w:b/>
                <w:bCs/>
                <w:color w:val="E36C0A" w:themeColor="accent6" w:themeShade="BF"/>
                <w:sz w:val="16"/>
                <w:szCs w:val="16"/>
              </w:rPr>
            </w:pPr>
          </w:p>
          <w:p w:rsidR="0095318C" w:rsidRDefault="0095318C" w:rsidP="00DC1333">
            <w:pPr>
              <w:jc w:val="center"/>
              <w:rPr>
                <w:b/>
                <w:bCs/>
                <w:color w:val="E36C0A" w:themeColor="accent6" w:themeShade="BF"/>
                <w:sz w:val="16"/>
                <w:szCs w:val="16"/>
              </w:rPr>
            </w:pPr>
          </w:p>
          <w:p w:rsidR="0095318C" w:rsidRDefault="0095318C" w:rsidP="00DC1333">
            <w:pPr>
              <w:jc w:val="center"/>
              <w:rPr>
                <w:b/>
                <w:bCs/>
                <w:color w:val="E36C0A" w:themeColor="accent6" w:themeShade="BF"/>
                <w:sz w:val="16"/>
                <w:szCs w:val="16"/>
              </w:rPr>
            </w:pPr>
          </w:p>
          <w:p w:rsidR="0095318C" w:rsidRPr="00017A5E" w:rsidRDefault="0095318C" w:rsidP="00DC1333">
            <w:pPr>
              <w:jc w:val="center"/>
              <w:rPr>
                <w:b/>
                <w:bCs/>
                <w:color w:val="E36C0A" w:themeColor="accent6" w:themeShade="BF"/>
                <w:sz w:val="16"/>
                <w:szCs w:val="16"/>
              </w:rPr>
            </w:pPr>
          </w:p>
          <w:p w:rsidR="0095318C" w:rsidRPr="00017A5E" w:rsidRDefault="0095318C" w:rsidP="00DC1333">
            <w:pPr>
              <w:jc w:val="center"/>
              <w:rPr>
                <w:b/>
                <w:bCs/>
                <w:color w:val="E36C0A" w:themeColor="accent6" w:themeShade="BF"/>
                <w:sz w:val="16"/>
                <w:szCs w:val="16"/>
              </w:rPr>
            </w:pPr>
          </w:p>
          <w:p w:rsidR="0095318C" w:rsidRPr="00017A5E" w:rsidRDefault="0095318C" w:rsidP="00DC1333">
            <w:pPr>
              <w:jc w:val="center"/>
              <w:rPr>
                <w:b/>
                <w:bCs/>
                <w:sz w:val="16"/>
                <w:szCs w:val="16"/>
              </w:rPr>
            </w:pPr>
          </w:p>
        </w:tc>
      </w:tr>
      <w:tr w:rsidR="0095318C" w:rsidRPr="00A7052B" w:rsidTr="00DC1333">
        <w:tc>
          <w:tcPr>
            <w:tcW w:w="1982" w:type="dxa"/>
            <w:tcBorders>
              <w:top w:val="single" w:sz="4" w:space="0" w:color="auto"/>
              <w:left w:val="single" w:sz="4" w:space="0" w:color="auto"/>
              <w:bottom w:val="single" w:sz="4" w:space="0" w:color="auto"/>
              <w:right w:val="nil"/>
            </w:tcBorders>
            <w:shd w:val="clear" w:color="auto" w:fill="FFFFFF"/>
          </w:tcPr>
          <w:p w:rsidR="0095318C" w:rsidRPr="008A0ABA" w:rsidRDefault="0095318C" w:rsidP="00D34131">
            <w:pPr>
              <w:rPr>
                <w:sz w:val="16"/>
                <w:szCs w:val="16"/>
                <w:lang w:bidi="th-TH"/>
              </w:rPr>
            </w:pPr>
          </w:p>
        </w:tc>
        <w:tc>
          <w:tcPr>
            <w:tcW w:w="2128" w:type="dxa"/>
            <w:gridSpan w:val="3"/>
            <w:tcBorders>
              <w:top w:val="single" w:sz="4" w:space="0" w:color="auto"/>
              <w:left w:val="nil"/>
              <w:bottom w:val="single" w:sz="4" w:space="0" w:color="auto"/>
              <w:right w:val="nil"/>
            </w:tcBorders>
            <w:shd w:val="clear" w:color="auto" w:fill="auto"/>
          </w:tcPr>
          <w:p w:rsidR="0095318C" w:rsidRPr="008A0ABA" w:rsidRDefault="0095318C" w:rsidP="00D34131">
            <w:pPr>
              <w:rPr>
                <w:sz w:val="16"/>
                <w:szCs w:val="16"/>
                <w:lang w:bidi="th-TH"/>
              </w:rPr>
            </w:pPr>
          </w:p>
        </w:tc>
        <w:tc>
          <w:tcPr>
            <w:tcW w:w="1843" w:type="dxa"/>
            <w:gridSpan w:val="4"/>
            <w:tcBorders>
              <w:top w:val="single" w:sz="4" w:space="0" w:color="auto"/>
              <w:left w:val="nil"/>
              <w:bottom w:val="single" w:sz="4" w:space="0" w:color="auto"/>
              <w:right w:val="nil"/>
            </w:tcBorders>
            <w:shd w:val="clear" w:color="auto" w:fill="auto"/>
            <w:tcMar>
              <w:top w:w="110" w:type="dxa"/>
            </w:tcMar>
          </w:tcPr>
          <w:p w:rsidR="0095318C" w:rsidRPr="008A0ABA" w:rsidRDefault="0095318C" w:rsidP="00D34131">
            <w:pPr>
              <w:rPr>
                <w:sz w:val="16"/>
                <w:szCs w:val="16"/>
                <w:lang w:bidi="th-TH"/>
              </w:rPr>
            </w:pPr>
            <w:r w:rsidRPr="008A0ABA">
              <w:rPr>
                <w:sz w:val="16"/>
                <w:szCs w:val="16"/>
                <w:lang w:bidi="th-TH"/>
              </w:rPr>
              <w:t>Asia y el Pacífico (4)</w:t>
            </w:r>
          </w:p>
          <w:p w:rsidR="0095318C" w:rsidRPr="008A0ABA" w:rsidRDefault="0095318C" w:rsidP="00D34131">
            <w:pPr>
              <w:rPr>
                <w:sz w:val="16"/>
                <w:szCs w:val="16"/>
                <w:lang w:bidi="th-TH"/>
              </w:rPr>
            </w:pPr>
          </w:p>
          <w:p w:rsidR="0095318C" w:rsidRPr="008A0ABA" w:rsidRDefault="0095318C" w:rsidP="00D34131">
            <w:pPr>
              <w:rPr>
                <w:sz w:val="16"/>
                <w:szCs w:val="16"/>
                <w:lang w:bidi="th-TH"/>
              </w:rPr>
            </w:pPr>
          </w:p>
          <w:p w:rsidR="0095318C" w:rsidRDefault="0095318C" w:rsidP="00D34131">
            <w:pPr>
              <w:rPr>
                <w:sz w:val="16"/>
                <w:szCs w:val="16"/>
                <w:lang w:bidi="th-TH"/>
              </w:rPr>
            </w:pPr>
          </w:p>
          <w:p w:rsidR="0095318C" w:rsidRDefault="0095318C" w:rsidP="00D34131">
            <w:pPr>
              <w:rPr>
                <w:sz w:val="16"/>
                <w:szCs w:val="16"/>
                <w:lang w:bidi="th-TH"/>
              </w:rPr>
            </w:pPr>
          </w:p>
          <w:p w:rsidR="0095318C" w:rsidRPr="008A0ABA" w:rsidRDefault="0095318C" w:rsidP="00D34131">
            <w:pPr>
              <w:rPr>
                <w:sz w:val="16"/>
                <w:szCs w:val="16"/>
                <w:lang w:bidi="th-TH"/>
              </w:rPr>
            </w:pPr>
          </w:p>
          <w:p w:rsidR="0095318C" w:rsidRPr="008A0ABA" w:rsidRDefault="0095318C" w:rsidP="00D34131">
            <w:pPr>
              <w:rPr>
                <w:sz w:val="16"/>
                <w:szCs w:val="16"/>
                <w:lang w:bidi="th-TH"/>
              </w:rPr>
            </w:pPr>
          </w:p>
          <w:p w:rsidR="0095318C" w:rsidRPr="008A0ABA" w:rsidRDefault="0095318C" w:rsidP="00D34131">
            <w:pPr>
              <w:rPr>
                <w:sz w:val="16"/>
                <w:szCs w:val="16"/>
                <w:lang w:bidi="th-TH"/>
              </w:rPr>
            </w:pPr>
          </w:p>
          <w:p w:rsidR="0095318C" w:rsidRPr="008A0ABA" w:rsidRDefault="0095318C" w:rsidP="00D34131">
            <w:pPr>
              <w:rPr>
                <w:sz w:val="16"/>
                <w:szCs w:val="16"/>
                <w:lang w:bidi="th-TH"/>
              </w:rPr>
            </w:pPr>
            <w:r w:rsidRPr="008A0ABA">
              <w:rPr>
                <w:sz w:val="16"/>
                <w:szCs w:val="16"/>
                <w:lang w:bidi="th-TH"/>
              </w:rPr>
              <w:t>América Latina y el Caribe (7)</w:t>
            </w:r>
          </w:p>
          <w:p w:rsidR="0095318C" w:rsidRDefault="0095318C" w:rsidP="00D34131">
            <w:pPr>
              <w:rPr>
                <w:sz w:val="16"/>
                <w:szCs w:val="16"/>
                <w:lang w:bidi="th-TH"/>
              </w:rPr>
            </w:pPr>
          </w:p>
          <w:p w:rsidR="0095318C" w:rsidRPr="008A0ABA" w:rsidRDefault="0095318C" w:rsidP="00D34131">
            <w:pPr>
              <w:rPr>
                <w:sz w:val="16"/>
                <w:szCs w:val="16"/>
                <w:lang w:bidi="th-TH"/>
              </w:rPr>
            </w:pPr>
          </w:p>
          <w:p w:rsidR="0095318C" w:rsidRPr="00631CC4" w:rsidRDefault="0095318C" w:rsidP="00D34131">
            <w:pPr>
              <w:rPr>
                <w:sz w:val="16"/>
                <w:szCs w:val="16"/>
                <w:lang w:bidi="th-TH"/>
              </w:rPr>
            </w:pPr>
            <w:r w:rsidRPr="00631CC4">
              <w:rPr>
                <w:sz w:val="16"/>
                <w:szCs w:val="16"/>
                <w:lang w:bidi="th-TH"/>
              </w:rPr>
              <w:t>4 PMA incluidos en el desglose regional precedente</w:t>
            </w:r>
          </w:p>
          <w:p w:rsidR="0095318C" w:rsidRDefault="0095318C" w:rsidP="00D34131">
            <w:pPr>
              <w:rPr>
                <w:sz w:val="16"/>
                <w:szCs w:val="16"/>
                <w:lang w:bidi="th-TH"/>
              </w:rPr>
            </w:pPr>
          </w:p>
          <w:p w:rsidR="0095318C" w:rsidRPr="00631CC4" w:rsidRDefault="0095318C" w:rsidP="00D34131">
            <w:pPr>
              <w:rPr>
                <w:sz w:val="16"/>
                <w:szCs w:val="16"/>
                <w:lang w:bidi="th-TH"/>
              </w:rPr>
            </w:pPr>
          </w:p>
          <w:p w:rsidR="0095318C" w:rsidRPr="008A0ABA" w:rsidRDefault="0095318C" w:rsidP="00D34131">
            <w:pPr>
              <w:rPr>
                <w:sz w:val="16"/>
                <w:szCs w:val="16"/>
                <w:lang w:bidi="th-TH"/>
              </w:rPr>
            </w:pPr>
            <w:r w:rsidRPr="008A0ABA">
              <w:rPr>
                <w:sz w:val="16"/>
                <w:szCs w:val="16"/>
                <w:lang w:bidi="th-TH"/>
              </w:rPr>
              <w:t>Proyectos de tecnolog</w:t>
            </w:r>
            <w:r>
              <w:rPr>
                <w:sz w:val="16"/>
                <w:szCs w:val="16"/>
                <w:lang w:bidi="th-TH"/>
              </w:rPr>
              <w:t>ía adecuados en al menos 4 PMA</w:t>
            </w:r>
          </w:p>
          <w:p w:rsidR="0095318C" w:rsidRPr="008A0ABA" w:rsidRDefault="0095318C" w:rsidP="00D34131">
            <w:pPr>
              <w:rPr>
                <w:sz w:val="16"/>
                <w:szCs w:val="16"/>
                <w:lang w:bidi="th-TH"/>
              </w:rPr>
            </w:pPr>
          </w:p>
        </w:tc>
        <w:tc>
          <w:tcPr>
            <w:tcW w:w="2055" w:type="dxa"/>
            <w:tcBorders>
              <w:top w:val="single" w:sz="4" w:space="0" w:color="auto"/>
              <w:left w:val="nil"/>
              <w:bottom w:val="single" w:sz="4" w:space="0" w:color="auto"/>
              <w:right w:val="nil"/>
            </w:tcBorders>
            <w:shd w:val="clear" w:color="auto" w:fill="FFFFFF"/>
            <w:tcMar>
              <w:top w:w="110" w:type="dxa"/>
            </w:tcMar>
          </w:tcPr>
          <w:p w:rsidR="0095318C" w:rsidRPr="006561B2" w:rsidRDefault="0095318C" w:rsidP="00D34131">
            <w:pPr>
              <w:rPr>
                <w:sz w:val="16"/>
                <w:szCs w:val="16"/>
                <w:lang w:bidi="th-TH"/>
              </w:rPr>
            </w:pPr>
            <w:r w:rsidRPr="006561B2">
              <w:rPr>
                <w:sz w:val="16"/>
                <w:szCs w:val="16"/>
                <w:lang w:bidi="th-TH"/>
              </w:rPr>
              <w:t>Asia y el Pacífico (</w:t>
            </w:r>
            <w:r w:rsidR="001F7360">
              <w:rPr>
                <w:sz w:val="16"/>
                <w:szCs w:val="16"/>
                <w:lang w:bidi="th-TH"/>
              </w:rPr>
              <w:t>1</w:t>
            </w:r>
            <w:r w:rsidRPr="006561B2">
              <w:rPr>
                <w:sz w:val="16"/>
                <w:szCs w:val="16"/>
                <w:lang w:bidi="th-TH"/>
              </w:rPr>
              <w:t>):</w:t>
            </w:r>
            <w:r>
              <w:rPr>
                <w:sz w:val="16"/>
                <w:szCs w:val="16"/>
                <w:lang w:bidi="th-TH"/>
              </w:rPr>
              <w:t xml:space="preserve">  </w:t>
            </w:r>
            <w:r w:rsidRPr="006561B2">
              <w:rPr>
                <w:sz w:val="16"/>
                <w:szCs w:val="16"/>
              </w:rPr>
              <w:t>i) Asociación de Naciones del Asia Sudoriental (ASEAN)</w:t>
            </w:r>
            <w:r w:rsidR="001C1881" w:rsidRPr="00ED0448">
              <w:rPr>
                <w:rStyle w:val="FootnoteReference"/>
                <w:sz w:val="16"/>
                <w:szCs w:val="16"/>
              </w:rPr>
              <w:footnoteReference w:id="69"/>
            </w:r>
          </w:p>
          <w:p w:rsidR="0095318C" w:rsidRPr="006561B2" w:rsidRDefault="0095318C" w:rsidP="00D34131">
            <w:pPr>
              <w:rPr>
                <w:sz w:val="16"/>
                <w:szCs w:val="16"/>
                <w:lang w:bidi="th-TH"/>
              </w:rPr>
            </w:pPr>
          </w:p>
          <w:p w:rsidR="0095318C" w:rsidRDefault="0095318C" w:rsidP="00D34131">
            <w:pPr>
              <w:rPr>
                <w:sz w:val="16"/>
                <w:szCs w:val="16"/>
                <w:lang w:bidi="th-TH"/>
              </w:rPr>
            </w:pPr>
            <w:r w:rsidRPr="008268D1">
              <w:rPr>
                <w:sz w:val="16"/>
                <w:szCs w:val="16"/>
                <w:lang w:bidi="th-TH"/>
              </w:rPr>
              <w:t>América Latina y el Caribe:  6 proyectos en curso</w:t>
            </w:r>
            <w:r w:rsidRPr="003C4694">
              <w:rPr>
                <w:rStyle w:val="FootnoteReference"/>
                <w:sz w:val="16"/>
                <w:szCs w:val="16"/>
                <w:lang w:bidi="th-TH"/>
              </w:rPr>
              <w:footnoteReference w:id="70"/>
            </w:r>
          </w:p>
          <w:p w:rsidR="0095318C" w:rsidRPr="008268D1" w:rsidRDefault="0095318C" w:rsidP="00D34131">
            <w:pPr>
              <w:rPr>
                <w:sz w:val="16"/>
                <w:szCs w:val="16"/>
                <w:lang w:bidi="th-TH"/>
              </w:rPr>
            </w:pPr>
          </w:p>
          <w:p w:rsidR="0095318C" w:rsidRPr="008268D1" w:rsidRDefault="0095318C" w:rsidP="00D34131">
            <w:pPr>
              <w:rPr>
                <w:sz w:val="16"/>
                <w:szCs w:val="16"/>
                <w:lang w:bidi="th-TH"/>
              </w:rPr>
            </w:pPr>
            <w:r w:rsidRPr="008268D1">
              <w:rPr>
                <w:sz w:val="16"/>
                <w:szCs w:val="16"/>
                <w:lang w:bidi="th-TH"/>
              </w:rPr>
              <w:t xml:space="preserve">4 de las organizaciones que figuran en el desglose regional tienen miembros </w:t>
            </w:r>
            <w:r>
              <w:rPr>
                <w:sz w:val="16"/>
                <w:szCs w:val="16"/>
                <w:lang w:bidi="th-TH"/>
              </w:rPr>
              <w:t>PMA</w:t>
            </w:r>
          </w:p>
          <w:p w:rsidR="0095318C" w:rsidRPr="008268D1" w:rsidRDefault="0095318C" w:rsidP="00D34131">
            <w:pPr>
              <w:rPr>
                <w:sz w:val="16"/>
                <w:szCs w:val="16"/>
              </w:rPr>
            </w:pPr>
          </w:p>
          <w:p w:rsidR="0095318C" w:rsidRDefault="0095318C" w:rsidP="00D34131">
            <w:pPr>
              <w:rPr>
                <w:sz w:val="16"/>
                <w:szCs w:val="16"/>
              </w:rPr>
            </w:pPr>
            <w:r w:rsidRPr="008268D1">
              <w:rPr>
                <w:sz w:val="16"/>
                <w:szCs w:val="16"/>
              </w:rPr>
              <w:t xml:space="preserve">Como parte de la de la A.D. sobre fortalecimiento de capacidades en el uso de información técnica y científica relativa a las tecnologías apropiadas para solucionar determinados problemas de desarrollo, se </w:t>
            </w:r>
            <w:r>
              <w:rPr>
                <w:sz w:val="16"/>
                <w:szCs w:val="16"/>
              </w:rPr>
              <w:t>firmaron memorandos de entendimiento con cuatro PMA (Etiopí</w:t>
            </w:r>
            <w:r w:rsidRPr="008268D1">
              <w:rPr>
                <w:sz w:val="16"/>
                <w:szCs w:val="16"/>
              </w:rPr>
              <w:t>a, Rwanda,</w:t>
            </w:r>
            <w:r>
              <w:rPr>
                <w:sz w:val="16"/>
                <w:szCs w:val="16"/>
              </w:rPr>
              <w:t xml:space="preserve"> República Unida de Tanzanía y</w:t>
            </w:r>
            <w:r w:rsidRPr="008268D1">
              <w:rPr>
                <w:sz w:val="16"/>
                <w:szCs w:val="16"/>
              </w:rPr>
              <w:t xml:space="preserve"> Uganda)</w:t>
            </w:r>
            <w:r>
              <w:rPr>
                <w:sz w:val="16"/>
                <w:szCs w:val="16"/>
              </w:rPr>
              <w:t xml:space="preserve"> y, a finales de 2015, el proyecto había comenzado a aplicarse en tres PMA (Etiopía</w:t>
            </w:r>
            <w:r w:rsidRPr="008268D1">
              <w:rPr>
                <w:sz w:val="16"/>
                <w:szCs w:val="16"/>
              </w:rPr>
              <w:t>, Rwanda</w:t>
            </w:r>
            <w:r>
              <w:rPr>
                <w:sz w:val="16"/>
                <w:szCs w:val="16"/>
              </w:rPr>
              <w:t xml:space="preserve"> y República Unida de Tanzaní</w:t>
            </w:r>
            <w:r w:rsidRPr="008268D1">
              <w:rPr>
                <w:sz w:val="16"/>
                <w:szCs w:val="16"/>
              </w:rPr>
              <w:t>a)</w:t>
            </w:r>
          </w:p>
          <w:p w:rsidR="0095318C" w:rsidRPr="008A0ABA" w:rsidRDefault="0095318C" w:rsidP="00D34131">
            <w:pPr>
              <w:rPr>
                <w:sz w:val="16"/>
                <w:szCs w:val="16"/>
                <w:lang w:bidi="th-TH"/>
              </w:rPr>
            </w:pPr>
          </w:p>
        </w:tc>
        <w:tc>
          <w:tcPr>
            <w:tcW w:w="1490" w:type="dxa"/>
            <w:gridSpan w:val="3"/>
            <w:tcBorders>
              <w:top w:val="single" w:sz="4" w:space="0" w:color="auto"/>
              <w:left w:val="nil"/>
              <w:bottom w:val="single" w:sz="4" w:space="0" w:color="auto"/>
              <w:right w:val="single" w:sz="4" w:space="0" w:color="auto"/>
            </w:tcBorders>
            <w:shd w:val="clear" w:color="auto" w:fill="auto"/>
            <w:tcMar>
              <w:top w:w="110" w:type="dxa"/>
            </w:tcMar>
          </w:tcPr>
          <w:p w:rsidR="0095318C" w:rsidRPr="00017A5E" w:rsidRDefault="001F7360" w:rsidP="00D34131">
            <w:pPr>
              <w:jc w:val="center"/>
              <w:rPr>
                <w:b/>
                <w:bCs/>
                <w:color w:val="E36C0A" w:themeColor="accent6" w:themeShade="BF"/>
                <w:sz w:val="16"/>
                <w:szCs w:val="16"/>
              </w:rPr>
            </w:pPr>
            <w:r w:rsidRPr="00D1141E">
              <w:rPr>
                <w:b/>
                <w:bCs/>
                <w:color w:val="FF0000"/>
                <w:sz w:val="14"/>
                <w:szCs w:val="14"/>
              </w:rPr>
              <w:t>No logrado</w:t>
            </w:r>
          </w:p>
          <w:p w:rsidR="0095318C" w:rsidRDefault="0095318C" w:rsidP="00D34131">
            <w:pPr>
              <w:jc w:val="center"/>
              <w:rPr>
                <w:b/>
                <w:bCs/>
                <w:color w:val="00B050"/>
                <w:sz w:val="16"/>
                <w:szCs w:val="16"/>
              </w:rPr>
            </w:pPr>
          </w:p>
          <w:p w:rsidR="0095318C" w:rsidRPr="00017A5E" w:rsidRDefault="0095318C" w:rsidP="00D34131">
            <w:pPr>
              <w:jc w:val="center"/>
              <w:rPr>
                <w:b/>
                <w:bCs/>
                <w:color w:val="00B050"/>
                <w:sz w:val="16"/>
                <w:szCs w:val="16"/>
              </w:rPr>
            </w:pPr>
          </w:p>
          <w:p w:rsidR="0095318C" w:rsidRPr="00017A5E" w:rsidRDefault="0095318C" w:rsidP="00D34131">
            <w:pPr>
              <w:jc w:val="center"/>
              <w:rPr>
                <w:b/>
                <w:bCs/>
                <w:color w:val="00B050"/>
                <w:sz w:val="16"/>
                <w:szCs w:val="16"/>
              </w:rPr>
            </w:pPr>
          </w:p>
          <w:p w:rsidR="0095318C" w:rsidRPr="00017A5E" w:rsidRDefault="0095318C" w:rsidP="00D34131">
            <w:pPr>
              <w:jc w:val="center"/>
              <w:rPr>
                <w:b/>
                <w:bCs/>
                <w:color w:val="00B050"/>
                <w:sz w:val="16"/>
                <w:szCs w:val="16"/>
              </w:rPr>
            </w:pPr>
          </w:p>
          <w:p w:rsidR="0095318C" w:rsidRPr="00017A5E" w:rsidRDefault="0095318C" w:rsidP="00D34131">
            <w:pPr>
              <w:jc w:val="center"/>
              <w:rPr>
                <w:b/>
                <w:bCs/>
                <w:color w:val="00B050"/>
                <w:sz w:val="16"/>
                <w:szCs w:val="16"/>
              </w:rPr>
            </w:pPr>
            <w:r w:rsidRPr="004B265E">
              <w:rPr>
                <w:b/>
                <w:bCs/>
                <w:color w:val="00B050"/>
                <w:sz w:val="14"/>
                <w:szCs w:val="14"/>
              </w:rPr>
              <w:t>Plenamente logrado</w:t>
            </w:r>
            <w:r w:rsidRPr="00017A5E">
              <w:rPr>
                <w:b/>
                <w:bCs/>
                <w:color w:val="00B050"/>
                <w:sz w:val="16"/>
                <w:szCs w:val="16"/>
              </w:rPr>
              <w:t xml:space="preserve"> </w:t>
            </w:r>
          </w:p>
          <w:p w:rsidR="0095318C" w:rsidRDefault="001F7360" w:rsidP="00D34131">
            <w:pPr>
              <w:jc w:val="center"/>
              <w:rPr>
                <w:b/>
                <w:bCs/>
                <w:color w:val="00B050"/>
                <w:sz w:val="14"/>
                <w:szCs w:val="14"/>
              </w:rPr>
            </w:pPr>
            <w:r>
              <w:rPr>
                <w:b/>
                <w:bCs/>
                <w:color w:val="00B050"/>
                <w:sz w:val="14"/>
                <w:szCs w:val="14"/>
              </w:rPr>
              <w:br/>
            </w:r>
          </w:p>
          <w:p w:rsidR="0095318C" w:rsidRDefault="0095318C" w:rsidP="00D34131">
            <w:pPr>
              <w:jc w:val="center"/>
              <w:rPr>
                <w:b/>
                <w:bCs/>
                <w:color w:val="00B050"/>
                <w:sz w:val="14"/>
                <w:szCs w:val="14"/>
              </w:rPr>
            </w:pPr>
          </w:p>
          <w:p w:rsidR="0095318C" w:rsidRPr="00017A5E" w:rsidRDefault="0095318C" w:rsidP="00D34131">
            <w:pPr>
              <w:jc w:val="center"/>
              <w:rPr>
                <w:b/>
                <w:bCs/>
                <w:color w:val="00B050"/>
                <w:sz w:val="16"/>
                <w:szCs w:val="16"/>
              </w:rPr>
            </w:pPr>
            <w:r w:rsidRPr="004B265E">
              <w:rPr>
                <w:b/>
                <w:bCs/>
                <w:color w:val="00B050"/>
                <w:sz w:val="14"/>
                <w:szCs w:val="14"/>
              </w:rPr>
              <w:t>Plenamente logrado</w:t>
            </w:r>
            <w:r w:rsidRPr="00017A5E">
              <w:rPr>
                <w:b/>
                <w:bCs/>
                <w:color w:val="00B050"/>
                <w:sz w:val="16"/>
                <w:szCs w:val="16"/>
              </w:rPr>
              <w:t xml:space="preserve"> </w:t>
            </w:r>
          </w:p>
          <w:p w:rsidR="0095318C" w:rsidRPr="00017A5E" w:rsidRDefault="001F7360" w:rsidP="00D34131">
            <w:pPr>
              <w:jc w:val="center"/>
              <w:rPr>
                <w:b/>
                <w:bCs/>
                <w:color w:val="00B050"/>
                <w:sz w:val="16"/>
                <w:szCs w:val="16"/>
              </w:rPr>
            </w:pPr>
            <w:r>
              <w:rPr>
                <w:b/>
                <w:bCs/>
                <w:color w:val="00B050"/>
                <w:sz w:val="16"/>
                <w:szCs w:val="16"/>
              </w:rPr>
              <w:br/>
            </w:r>
          </w:p>
          <w:p w:rsidR="0095318C" w:rsidRPr="00017A5E" w:rsidRDefault="0095318C" w:rsidP="00D34131">
            <w:pPr>
              <w:jc w:val="center"/>
              <w:rPr>
                <w:b/>
                <w:bCs/>
                <w:color w:val="00B050"/>
                <w:sz w:val="16"/>
                <w:szCs w:val="16"/>
              </w:rPr>
            </w:pPr>
          </w:p>
          <w:p w:rsidR="0095318C" w:rsidRPr="004B265E" w:rsidRDefault="0095318C" w:rsidP="00D34131">
            <w:pPr>
              <w:jc w:val="center"/>
              <w:rPr>
                <w:b/>
                <w:bCs/>
                <w:color w:val="00B050"/>
                <w:sz w:val="14"/>
                <w:szCs w:val="14"/>
              </w:rPr>
            </w:pPr>
            <w:r w:rsidRPr="004B265E">
              <w:rPr>
                <w:b/>
                <w:bCs/>
                <w:color w:val="00B050"/>
                <w:sz w:val="14"/>
                <w:szCs w:val="14"/>
              </w:rPr>
              <w:t>Plenamente logrado</w:t>
            </w:r>
          </w:p>
        </w:tc>
      </w:tr>
      <w:tr w:rsidR="0095318C" w:rsidRPr="003131FE" w:rsidTr="00DC1333">
        <w:tc>
          <w:tcPr>
            <w:tcW w:w="9498" w:type="dxa"/>
            <w:gridSpan w:val="12"/>
            <w:tcBorders>
              <w:top w:val="single" w:sz="4" w:space="0" w:color="auto"/>
              <w:bottom w:val="single" w:sz="4" w:space="0" w:color="auto"/>
            </w:tcBorders>
            <w:shd w:val="clear" w:color="auto" w:fill="C6D9F1" w:themeFill="text2" w:themeFillTint="33"/>
          </w:tcPr>
          <w:p w:rsidR="0095318C" w:rsidRPr="00D0340B" w:rsidRDefault="0095318C" w:rsidP="00D34131">
            <w:pPr>
              <w:keepNext/>
              <w:keepLines/>
              <w:spacing w:before="120" w:after="120"/>
              <w:ind w:left="2019" w:hanging="2019"/>
              <w:rPr>
                <w:b/>
                <w:bCs/>
                <w:sz w:val="16"/>
                <w:szCs w:val="16"/>
              </w:rPr>
            </w:pPr>
            <w:r w:rsidRPr="00D0340B">
              <w:lastRenderedPageBreak/>
              <w:br w:type="page"/>
            </w:r>
            <w:r w:rsidRPr="00D0340B">
              <w:rPr>
                <w:b/>
                <w:bCs/>
                <w:sz w:val="16"/>
                <w:szCs w:val="16"/>
              </w:rPr>
              <w:t>Resultado previsto</w:t>
            </w:r>
            <w:r>
              <w:rPr>
                <w:b/>
                <w:bCs/>
                <w:sz w:val="16"/>
                <w:szCs w:val="16"/>
              </w:rPr>
              <w:t>:</w:t>
            </w:r>
            <w:r>
              <w:rPr>
                <w:b/>
                <w:bCs/>
                <w:sz w:val="16"/>
                <w:szCs w:val="16"/>
              </w:rPr>
              <w:tab/>
            </w:r>
            <w:r w:rsidRPr="00D0340B">
              <w:rPr>
                <w:bCs/>
                <w:sz w:val="16"/>
                <w:szCs w:val="16"/>
              </w:rPr>
              <w:t>IV.2 Mejora del acceso y uso de informaci</w:t>
            </w:r>
            <w:r>
              <w:rPr>
                <w:bCs/>
                <w:sz w:val="16"/>
                <w:szCs w:val="16"/>
              </w:rPr>
              <w:t>ón de P.I. por parte de instituciones de P.I. y el público para fomentar la innovación y la creatividad</w:t>
            </w:r>
          </w:p>
        </w:tc>
      </w:tr>
      <w:tr w:rsidR="0095318C" w:rsidRPr="003C4694" w:rsidTr="00DC1333">
        <w:trPr>
          <w:trHeight w:val="368"/>
        </w:trPr>
        <w:tc>
          <w:tcPr>
            <w:tcW w:w="2123" w:type="dxa"/>
            <w:gridSpan w:val="2"/>
            <w:tcBorders>
              <w:top w:val="single" w:sz="4" w:space="0" w:color="auto"/>
              <w:left w:val="single" w:sz="4" w:space="0" w:color="auto"/>
              <w:bottom w:val="nil"/>
              <w:right w:val="nil"/>
            </w:tcBorders>
            <w:shd w:val="clear" w:color="auto" w:fill="auto"/>
            <w:vAlign w:val="center"/>
          </w:tcPr>
          <w:p w:rsidR="0095318C" w:rsidRDefault="0095318C" w:rsidP="00D34131">
            <w:pPr>
              <w:keepNext/>
              <w:spacing w:after="40"/>
              <w:rPr>
                <w:b/>
                <w:bCs/>
                <w:sz w:val="16"/>
                <w:szCs w:val="16"/>
              </w:rPr>
            </w:pPr>
          </w:p>
          <w:p w:rsidR="0095318C" w:rsidRPr="003C4694" w:rsidRDefault="0095318C" w:rsidP="00D34131">
            <w:pPr>
              <w:keepNext/>
              <w:spacing w:after="40"/>
              <w:rPr>
                <w:sz w:val="16"/>
                <w:szCs w:val="16"/>
              </w:rPr>
            </w:pPr>
            <w:r>
              <w:rPr>
                <w:b/>
                <w:bCs/>
                <w:sz w:val="16"/>
                <w:szCs w:val="16"/>
              </w:rPr>
              <w:t>Indicadores de rendimiento</w:t>
            </w:r>
          </w:p>
        </w:tc>
        <w:tc>
          <w:tcPr>
            <w:tcW w:w="1987" w:type="dxa"/>
            <w:gridSpan w:val="2"/>
            <w:tcBorders>
              <w:top w:val="single" w:sz="4" w:space="0" w:color="auto"/>
              <w:left w:val="nil"/>
              <w:bottom w:val="nil"/>
              <w:right w:val="nil"/>
            </w:tcBorders>
            <w:shd w:val="clear" w:color="auto" w:fill="auto"/>
            <w:vAlign w:val="center"/>
          </w:tcPr>
          <w:p w:rsidR="0095318C" w:rsidRPr="003C4694" w:rsidRDefault="0095318C" w:rsidP="00D34131">
            <w:pPr>
              <w:keepNext/>
              <w:spacing w:after="40"/>
              <w:rPr>
                <w:b/>
                <w:bCs/>
                <w:sz w:val="16"/>
                <w:szCs w:val="16"/>
              </w:rPr>
            </w:pPr>
            <w:r>
              <w:rPr>
                <w:b/>
                <w:bCs/>
                <w:sz w:val="16"/>
                <w:szCs w:val="16"/>
              </w:rPr>
              <w:t>Referencia</w:t>
            </w:r>
          </w:p>
        </w:tc>
        <w:tc>
          <w:tcPr>
            <w:tcW w:w="1559" w:type="dxa"/>
            <w:gridSpan w:val="2"/>
            <w:tcBorders>
              <w:top w:val="single" w:sz="4" w:space="0" w:color="auto"/>
              <w:left w:val="nil"/>
              <w:bottom w:val="nil"/>
              <w:right w:val="nil"/>
            </w:tcBorders>
            <w:shd w:val="clear" w:color="auto" w:fill="auto"/>
            <w:vAlign w:val="center"/>
          </w:tcPr>
          <w:p w:rsidR="0095318C" w:rsidRPr="003C4694" w:rsidRDefault="0095318C" w:rsidP="00D34131">
            <w:pPr>
              <w:keepNext/>
              <w:spacing w:after="40"/>
              <w:rPr>
                <w:b/>
                <w:sz w:val="16"/>
                <w:szCs w:val="16"/>
              </w:rPr>
            </w:pPr>
            <w:r>
              <w:rPr>
                <w:b/>
                <w:sz w:val="16"/>
                <w:szCs w:val="16"/>
              </w:rPr>
              <w:t>Objetivo</w:t>
            </w:r>
            <w:r w:rsidRPr="003C4694">
              <w:rPr>
                <w:b/>
                <w:sz w:val="16"/>
                <w:szCs w:val="16"/>
              </w:rPr>
              <w:t>s</w:t>
            </w:r>
          </w:p>
        </w:tc>
        <w:tc>
          <w:tcPr>
            <w:tcW w:w="2551" w:type="dxa"/>
            <w:gridSpan w:val="5"/>
            <w:tcBorders>
              <w:top w:val="single" w:sz="4" w:space="0" w:color="auto"/>
              <w:left w:val="nil"/>
              <w:bottom w:val="nil"/>
              <w:right w:val="nil"/>
            </w:tcBorders>
            <w:shd w:val="clear" w:color="auto" w:fill="auto"/>
            <w:vAlign w:val="center"/>
          </w:tcPr>
          <w:p w:rsidR="0095318C" w:rsidRPr="003C4694" w:rsidRDefault="0095318C" w:rsidP="00D34131">
            <w:pPr>
              <w:keepNext/>
              <w:spacing w:after="40"/>
              <w:rPr>
                <w:sz w:val="16"/>
                <w:szCs w:val="16"/>
              </w:rPr>
            </w:pPr>
            <w:r>
              <w:rPr>
                <w:b/>
                <w:bCs/>
                <w:sz w:val="16"/>
                <w:szCs w:val="16"/>
              </w:rPr>
              <w:t>Datos sobre el rendimiento</w:t>
            </w:r>
          </w:p>
        </w:tc>
        <w:tc>
          <w:tcPr>
            <w:tcW w:w="1278" w:type="dxa"/>
            <w:tcBorders>
              <w:top w:val="single" w:sz="4" w:space="0" w:color="auto"/>
              <w:left w:val="nil"/>
              <w:bottom w:val="nil"/>
              <w:right w:val="single" w:sz="4" w:space="0" w:color="auto"/>
            </w:tcBorders>
            <w:shd w:val="clear" w:color="auto" w:fill="auto"/>
            <w:vAlign w:val="center"/>
          </w:tcPr>
          <w:p w:rsidR="0095318C" w:rsidRPr="003C4694" w:rsidRDefault="0095318C" w:rsidP="00D34131">
            <w:pPr>
              <w:keepNext/>
              <w:keepLines/>
              <w:spacing w:after="40"/>
              <w:jc w:val="center"/>
              <w:rPr>
                <w:b/>
                <w:bCs/>
                <w:sz w:val="16"/>
                <w:szCs w:val="16"/>
              </w:rPr>
            </w:pPr>
            <w:r>
              <w:rPr>
                <w:b/>
                <w:bCs/>
                <w:sz w:val="16"/>
                <w:szCs w:val="16"/>
              </w:rPr>
              <w:t>Clave sobre los colores</w:t>
            </w:r>
          </w:p>
        </w:tc>
      </w:tr>
      <w:tr w:rsidR="0095318C" w:rsidRPr="0044627C" w:rsidTr="00D34131">
        <w:tc>
          <w:tcPr>
            <w:tcW w:w="2123" w:type="dxa"/>
            <w:gridSpan w:val="2"/>
            <w:tcBorders>
              <w:top w:val="nil"/>
              <w:left w:val="single" w:sz="4" w:space="0" w:color="auto"/>
              <w:bottom w:val="nil"/>
              <w:right w:val="nil"/>
            </w:tcBorders>
            <w:shd w:val="clear" w:color="auto" w:fill="FFFFFF"/>
          </w:tcPr>
          <w:p w:rsidR="0095318C" w:rsidRPr="0023492D" w:rsidRDefault="0095318C" w:rsidP="00D34131">
            <w:pPr>
              <w:keepNext/>
              <w:rPr>
                <w:sz w:val="16"/>
                <w:szCs w:val="16"/>
                <w:lang w:bidi="th-TH"/>
              </w:rPr>
            </w:pPr>
            <w:r w:rsidRPr="0023492D">
              <w:rPr>
                <w:sz w:val="16"/>
                <w:szCs w:val="16"/>
                <w:lang w:bidi="th-TH"/>
              </w:rPr>
              <w:t>Número de redes nacionales sostenibles de CATI</w:t>
            </w:r>
          </w:p>
        </w:tc>
        <w:tc>
          <w:tcPr>
            <w:tcW w:w="1987" w:type="dxa"/>
            <w:gridSpan w:val="2"/>
            <w:tcBorders>
              <w:top w:val="nil"/>
              <w:left w:val="nil"/>
              <w:bottom w:val="nil"/>
              <w:right w:val="nil"/>
            </w:tcBorders>
            <w:shd w:val="clear" w:color="auto" w:fill="auto"/>
          </w:tcPr>
          <w:p w:rsidR="0095318C" w:rsidRPr="001955BD" w:rsidRDefault="0095318C" w:rsidP="00D34131">
            <w:pPr>
              <w:keepNext/>
              <w:rPr>
                <w:sz w:val="16"/>
                <w:szCs w:val="16"/>
              </w:rPr>
            </w:pPr>
            <w:r w:rsidRPr="001955BD">
              <w:rPr>
                <w:i/>
                <w:sz w:val="16"/>
                <w:szCs w:val="16"/>
              </w:rPr>
              <w:t xml:space="preserve">Referencia creada a fines de 2013:  </w:t>
            </w:r>
            <w:r w:rsidRPr="001955BD">
              <w:rPr>
                <w:sz w:val="16"/>
                <w:szCs w:val="16"/>
              </w:rPr>
              <w:t xml:space="preserve">14 redes sostenibles de CATI </w:t>
            </w:r>
            <w:r>
              <w:rPr>
                <w:sz w:val="16"/>
                <w:szCs w:val="16"/>
              </w:rPr>
              <w:t>(de 36 creadas)</w:t>
            </w:r>
          </w:p>
          <w:p w:rsidR="0095318C" w:rsidRPr="001955BD" w:rsidRDefault="0095318C" w:rsidP="00D34131">
            <w:pPr>
              <w:keepNext/>
              <w:rPr>
                <w:i/>
                <w:sz w:val="16"/>
                <w:szCs w:val="16"/>
              </w:rPr>
            </w:pPr>
          </w:p>
          <w:p w:rsidR="0095318C" w:rsidRPr="001955BD" w:rsidRDefault="0095318C" w:rsidP="00D34131">
            <w:pPr>
              <w:keepNext/>
              <w:rPr>
                <w:i/>
                <w:sz w:val="16"/>
                <w:szCs w:val="16"/>
                <w:lang w:bidi="th-TH"/>
              </w:rPr>
            </w:pPr>
            <w:r w:rsidRPr="001955BD">
              <w:rPr>
                <w:i/>
                <w:sz w:val="16"/>
                <w:szCs w:val="16"/>
                <w:lang w:bidi="th-TH"/>
              </w:rPr>
              <w:t xml:space="preserve">Referencia original en el presupuesto de 2014/15: </w:t>
            </w:r>
          </w:p>
          <w:p w:rsidR="0095318C" w:rsidRDefault="0095318C" w:rsidP="00D34131">
            <w:pPr>
              <w:keepNext/>
              <w:rPr>
                <w:sz w:val="16"/>
                <w:szCs w:val="16"/>
                <w:lang w:bidi="th-TH"/>
              </w:rPr>
            </w:pPr>
            <w:r w:rsidRPr="001955BD">
              <w:rPr>
                <w:i/>
                <w:sz w:val="16"/>
                <w:szCs w:val="16"/>
                <w:lang w:bidi="th-TH"/>
              </w:rPr>
              <w:t xml:space="preserve">14 redes nacionales de CATI:  </w:t>
            </w:r>
            <w:r w:rsidRPr="001955BD">
              <w:rPr>
                <w:sz w:val="16"/>
                <w:szCs w:val="16"/>
                <w:lang w:bidi="th-TH"/>
              </w:rPr>
              <w:t>Á</w:t>
            </w:r>
            <w:r>
              <w:rPr>
                <w:sz w:val="16"/>
                <w:szCs w:val="16"/>
                <w:lang w:bidi="th-TH"/>
              </w:rPr>
              <w:t>frica (6)</w:t>
            </w:r>
          </w:p>
          <w:p w:rsidR="0095318C" w:rsidRPr="001955BD" w:rsidRDefault="0095318C" w:rsidP="00D34131">
            <w:pPr>
              <w:keepNext/>
              <w:rPr>
                <w:i/>
                <w:sz w:val="16"/>
                <w:szCs w:val="16"/>
                <w:lang w:bidi="th-TH"/>
              </w:rPr>
            </w:pPr>
            <w:r>
              <w:rPr>
                <w:sz w:val="16"/>
                <w:szCs w:val="16"/>
                <w:lang w:bidi="th-TH"/>
              </w:rPr>
              <w:t>Región árabe</w:t>
            </w:r>
            <w:r w:rsidRPr="001955BD">
              <w:rPr>
                <w:sz w:val="16"/>
                <w:szCs w:val="16"/>
                <w:lang w:bidi="th-TH"/>
              </w:rPr>
              <w:t xml:space="preserve"> (2)</w:t>
            </w:r>
          </w:p>
          <w:p w:rsidR="0095318C" w:rsidRPr="001955BD" w:rsidRDefault="0095318C" w:rsidP="00D34131">
            <w:pPr>
              <w:keepNext/>
              <w:rPr>
                <w:sz w:val="16"/>
                <w:szCs w:val="16"/>
                <w:lang w:bidi="th-TH"/>
              </w:rPr>
            </w:pPr>
            <w:r w:rsidRPr="001955BD">
              <w:rPr>
                <w:sz w:val="16"/>
                <w:szCs w:val="16"/>
                <w:lang w:bidi="th-TH"/>
              </w:rPr>
              <w:t>Asia y el Pacífico (2)</w:t>
            </w:r>
          </w:p>
          <w:p w:rsidR="0095318C" w:rsidRPr="001955BD" w:rsidRDefault="0095318C" w:rsidP="00D34131">
            <w:pPr>
              <w:keepNext/>
              <w:rPr>
                <w:sz w:val="16"/>
                <w:szCs w:val="16"/>
                <w:lang w:bidi="th-TH"/>
              </w:rPr>
            </w:pPr>
            <w:r w:rsidRPr="001955BD">
              <w:rPr>
                <w:sz w:val="16"/>
                <w:szCs w:val="16"/>
                <w:lang w:bidi="th-TH"/>
              </w:rPr>
              <w:t>América Latina y el Caribe (4)</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6 PMA incluidos en el desglose nacional precedente</w:t>
            </w:r>
          </w:p>
          <w:p w:rsidR="0095318C" w:rsidRPr="001955BD" w:rsidRDefault="0095318C" w:rsidP="00D34131">
            <w:pPr>
              <w:keepNext/>
              <w:rPr>
                <w:i/>
                <w:sz w:val="16"/>
                <w:szCs w:val="16"/>
              </w:rPr>
            </w:pPr>
          </w:p>
        </w:tc>
        <w:tc>
          <w:tcPr>
            <w:tcW w:w="1559" w:type="dxa"/>
            <w:gridSpan w:val="2"/>
            <w:tcBorders>
              <w:top w:val="nil"/>
              <w:left w:val="nil"/>
              <w:bottom w:val="nil"/>
              <w:right w:val="nil"/>
            </w:tcBorders>
            <w:shd w:val="clear" w:color="auto" w:fill="auto"/>
            <w:tcMar>
              <w:top w:w="110" w:type="dxa"/>
            </w:tcMar>
          </w:tcPr>
          <w:p w:rsidR="0095318C" w:rsidRPr="001955BD" w:rsidRDefault="0095318C" w:rsidP="00D34131">
            <w:pPr>
              <w:keepNext/>
              <w:rPr>
                <w:sz w:val="16"/>
                <w:szCs w:val="16"/>
                <w:lang w:bidi="th-TH"/>
              </w:rPr>
            </w:pPr>
            <w:r w:rsidRPr="001955BD">
              <w:rPr>
                <w:sz w:val="16"/>
                <w:szCs w:val="16"/>
                <w:lang w:bidi="th-TH"/>
              </w:rPr>
              <w:t>23 redes nacionales de CATI (en total):</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África (10 países, de los cuales 8 son PMA)</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 xml:space="preserve">Región árabe (3) </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Asia y el Pacífico (4 países, de los cuales 2 son PMA)</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América Latina y el Caribe (6)</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p>
        </w:tc>
        <w:tc>
          <w:tcPr>
            <w:tcW w:w="2551" w:type="dxa"/>
            <w:gridSpan w:val="5"/>
            <w:tcBorders>
              <w:top w:val="nil"/>
              <w:left w:val="nil"/>
              <w:bottom w:val="nil"/>
              <w:right w:val="nil"/>
            </w:tcBorders>
            <w:shd w:val="clear" w:color="auto" w:fill="FFFFFF"/>
            <w:tcMar>
              <w:top w:w="110" w:type="dxa"/>
            </w:tcMar>
          </w:tcPr>
          <w:p w:rsidR="0095318C" w:rsidRPr="001955BD" w:rsidRDefault="0095318C" w:rsidP="00D34131">
            <w:pPr>
              <w:keepNext/>
              <w:rPr>
                <w:sz w:val="16"/>
                <w:szCs w:val="16"/>
              </w:rPr>
            </w:pPr>
            <w:r w:rsidRPr="001955BD">
              <w:rPr>
                <w:sz w:val="16"/>
                <w:szCs w:val="16"/>
              </w:rPr>
              <w:t>24 redes nacionales sostenibles de 49 creadas oficialmente</w:t>
            </w:r>
            <w:r>
              <w:rPr>
                <w:sz w:val="16"/>
                <w:szCs w:val="16"/>
              </w:rPr>
              <w:t xml:space="preserve"> (en total</w:t>
            </w:r>
            <w:r w:rsidRPr="001955BD">
              <w:rPr>
                <w:sz w:val="16"/>
                <w:szCs w:val="16"/>
              </w:rPr>
              <w:t xml:space="preserve">):  </w:t>
            </w:r>
          </w:p>
          <w:p w:rsidR="0095318C" w:rsidRPr="001955BD" w:rsidRDefault="0095318C" w:rsidP="00D34131">
            <w:pPr>
              <w:keepNext/>
              <w:rPr>
                <w:sz w:val="16"/>
                <w:szCs w:val="16"/>
              </w:rPr>
            </w:pPr>
          </w:p>
          <w:p w:rsidR="0095318C" w:rsidRPr="001955BD" w:rsidRDefault="0095318C" w:rsidP="00D34131">
            <w:pPr>
              <w:keepNext/>
              <w:rPr>
                <w:sz w:val="16"/>
                <w:szCs w:val="16"/>
              </w:rPr>
            </w:pPr>
            <w:r w:rsidRPr="001955BD">
              <w:rPr>
                <w:sz w:val="16"/>
                <w:szCs w:val="16"/>
              </w:rPr>
              <w:t xml:space="preserve">África (10 países, de los cuales 8 son PMA)  </w:t>
            </w:r>
          </w:p>
          <w:p w:rsidR="0095318C" w:rsidRPr="001955BD" w:rsidRDefault="0095318C" w:rsidP="00D34131">
            <w:pPr>
              <w:keepNext/>
              <w:rPr>
                <w:sz w:val="16"/>
                <w:szCs w:val="16"/>
              </w:rPr>
            </w:pPr>
          </w:p>
          <w:p w:rsidR="0095318C" w:rsidRPr="001955BD" w:rsidRDefault="0095318C" w:rsidP="00D34131">
            <w:pPr>
              <w:keepNext/>
              <w:rPr>
                <w:sz w:val="16"/>
                <w:szCs w:val="16"/>
              </w:rPr>
            </w:pPr>
          </w:p>
          <w:p w:rsidR="0095318C" w:rsidRPr="001955BD" w:rsidRDefault="0095318C" w:rsidP="00D34131">
            <w:pPr>
              <w:keepNext/>
              <w:rPr>
                <w:sz w:val="16"/>
                <w:szCs w:val="16"/>
              </w:rPr>
            </w:pPr>
            <w:r w:rsidRPr="001955BD">
              <w:rPr>
                <w:sz w:val="16"/>
                <w:szCs w:val="16"/>
              </w:rPr>
              <w:t xml:space="preserve">Región árabe (3)  </w:t>
            </w:r>
          </w:p>
          <w:p w:rsidR="0095318C" w:rsidRPr="001955BD" w:rsidRDefault="0095318C" w:rsidP="00D34131">
            <w:pPr>
              <w:keepNext/>
              <w:rPr>
                <w:sz w:val="16"/>
                <w:szCs w:val="16"/>
              </w:rPr>
            </w:pPr>
          </w:p>
          <w:p w:rsidR="0095318C" w:rsidRPr="001955BD" w:rsidRDefault="0095318C" w:rsidP="00D34131">
            <w:pPr>
              <w:keepNext/>
              <w:rPr>
                <w:sz w:val="16"/>
                <w:szCs w:val="16"/>
              </w:rPr>
            </w:pPr>
          </w:p>
          <w:p w:rsidR="0095318C" w:rsidRPr="001955BD" w:rsidRDefault="0095318C" w:rsidP="00D34131">
            <w:pPr>
              <w:keepNext/>
              <w:rPr>
                <w:sz w:val="16"/>
                <w:szCs w:val="16"/>
              </w:rPr>
            </w:pPr>
            <w:r w:rsidRPr="001955BD">
              <w:rPr>
                <w:sz w:val="16"/>
                <w:szCs w:val="16"/>
              </w:rPr>
              <w:t>Asia y el Pacífico (4 países, entre los cuales hay un PMA)</w:t>
            </w:r>
          </w:p>
          <w:p w:rsidR="0095318C" w:rsidRPr="001955BD" w:rsidRDefault="0095318C" w:rsidP="00D34131">
            <w:pPr>
              <w:keepNext/>
              <w:rPr>
                <w:sz w:val="16"/>
                <w:szCs w:val="16"/>
              </w:rPr>
            </w:pPr>
          </w:p>
          <w:p w:rsidR="0095318C" w:rsidRPr="001955BD" w:rsidRDefault="0095318C" w:rsidP="00D34131">
            <w:pPr>
              <w:keepNext/>
              <w:rPr>
                <w:sz w:val="16"/>
                <w:szCs w:val="16"/>
              </w:rPr>
            </w:pPr>
          </w:p>
          <w:p w:rsidR="0095318C" w:rsidRPr="001955BD" w:rsidRDefault="0095318C" w:rsidP="00D34131">
            <w:pPr>
              <w:keepNext/>
              <w:rPr>
                <w:sz w:val="16"/>
                <w:szCs w:val="16"/>
                <w:lang w:bidi="th-TH"/>
              </w:rPr>
            </w:pPr>
            <w:r w:rsidRPr="001955BD">
              <w:rPr>
                <w:sz w:val="16"/>
                <w:szCs w:val="16"/>
                <w:lang w:bidi="th-TH"/>
              </w:rPr>
              <w:t xml:space="preserve">América Latina y el Caribe (7) </w:t>
            </w:r>
          </w:p>
          <w:p w:rsidR="0095318C" w:rsidRPr="001955BD" w:rsidRDefault="0095318C" w:rsidP="00D34131">
            <w:pPr>
              <w:keepNext/>
              <w:rPr>
                <w:sz w:val="16"/>
                <w:szCs w:val="16"/>
                <w:lang w:bidi="th-TH"/>
              </w:rPr>
            </w:pPr>
          </w:p>
          <w:p w:rsidR="0095318C" w:rsidRPr="001955BD" w:rsidRDefault="0095318C" w:rsidP="00D34131">
            <w:pPr>
              <w:keepNext/>
              <w:rPr>
                <w:sz w:val="16"/>
                <w:szCs w:val="16"/>
                <w:lang w:bidi="th-TH"/>
              </w:rPr>
            </w:pPr>
            <w:r w:rsidRPr="001955BD">
              <w:rPr>
                <w:sz w:val="16"/>
                <w:szCs w:val="16"/>
                <w:lang w:bidi="th-TH"/>
              </w:rPr>
              <w:t>9 PMA incluidos en el desglose nacional precedente</w:t>
            </w:r>
            <w:r w:rsidRPr="001955BD" w:rsidDel="00626749">
              <w:rPr>
                <w:sz w:val="16"/>
                <w:szCs w:val="16"/>
                <w:lang w:bidi="th-TH"/>
              </w:rPr>
              <w:t xml:space="preserve"> </w:t>
            </w:r>
          </w:p>
        </w:tc>
        <w:tc>
          <w:tcPr>
            <w:tcW w:w="1278" w:type="dxa"/>
            <w:tcBorders>
              <w:top w:val="nil"/>
              <w:left w:val="nil"/>
              <w:bottom w:val="nil"/>
              <w:right w:val="single" w:sz="4" w:space="0" w:color="auto"/>
            </w:tcBorders>
            <w:shd w:val="clear" w:color="auto" w:fill="auto"/>
            <w:tcMar>
              <w:top w:w="110" w:type="dxa"/>
            </w:tcMar>
          </w:tcPr>
          <w:p w:rsidR="0095318C" w:rsidRPr="0044627C" w:rsidRDefault="0095318C" w:rsidP="00D34131">
            <w:pPr>
              <w:keepNext/>
              <w:keepLines/>
              <w:jc w:val="center"/>
              <w:rPr>
                <w:b/>
                <w:bCs/>
                <w:color w:val="00B050"/>
                <w:sz w:val="16"/>
                <w:szCs w:val="16"/>
              </w:rPr>
            </w:pPr>
            <w:r w:rsidRPr="004B265E">
              <w:rPr>
                <w:b/>
                <w:bCs/>
                <w:color w:val="00B050"/>
                <w:sz w:val="14"/>
                <w:szCs w:val="14"/>
              </w:rPr>
              <w:t>Plenamente logrado</w:t>
            </w:r>
            <w:r w:rsidRPr="0044627C">
              <w:rPr>
                <w:b/>
                <w:bCs/>
                <w:color w:val="00B050"/>
                <w:sz w:val="16"/>
                <w:szCs w:val="16"/>
              </w:rPr>
              <w:t xml:space="preserve"> </w:t>
            </w:r>
          </w:p>
          <w:p w:rsidR="0095318C" w:rsidRPr="0044627C" w:rsidRDefault="0095318C" w:rsidP="00D34131">
            <w:pPr>
              <w:keepNext/>
              <w:keepLines/>
              <w:jc w:val="center"/>
              <w:rPr>
                <w:b/>
                <w:bCs/>
                <w:color w:val="00B050"/>
                <w:sz w:val="16"/>
                <w:szCs w:val="16"/>
              </w:rPr>
            </w:pPr>
          </w:p>
          <w:p w:rsidR="0095318C" w:rsidRDefault="0095318C" w:rsidP="00D34131">
            <w:pPr>
              <w:keepNext/>
              <w:keepLines/>
              <w:jc w:val="center"/>
              <w:rPr>
                <w:b/>
                <w:bCs/>
                <w:color w:val="00B050"/>
                <w:sz w:val="14"/>
                <w:szCs w:val="14"/>
              </w:rPr>
            </w:pPr>
          </w:p>
          <w:p w:rsidR="0095318C" w:rsidRPr="0044627C" w:rsidRDefault="0095318C" w:rsidP="00D34131">
            <w:pPr>
              <w:keepNext/>
              <w:keepLines/>
              <w:jc w:val="center"/>
              <w:rPr>
                <w:b/>
                <w:bCs/>
                <w:color w:val="00B050"/>
                <w:sz w:val="16"/>
                <w:szCs w:val="16"/>
              </w:rPr>
            </w:pPr>
            <w:r w:rsidRPr="004B265E">
              <w:rPr>
                <w:b/>
                <w:bCs/>
                <w:color w:val="00B050"/>
                <w:sz w:val="14"/>
                <w:szCs w:val="14"/>
              </w:rPr>
              <w:t>Plenamente logrado</w:t>
            </w:r>
            <w:r w:rsidRPr="0044627C">
              <w:rPr>
                <w:b/>
                <w:bCs/>
                <w:color w:val="00B050"/>
                <w:sz w:val="16"/>
                <w:szCs w:val="16"/>
              </w:rPr>
              <w:t xml:space="preserve"> </w:t>
            </w:r>
          </w:p>
          <w:p w:rsidR="0095318C" w:rsidRDefault="0095318C" w:rsidP="00D34131">
            <w:pPr>
              <w:keepNext/>
              <w:keepLines/>
              <w:jc w:val="center"/>
              <w:rPr>
                <w:b/>
                <w:bCs/>
                <w:color w:val="00B050"/>
                <w:sz w:val="14"/>
                <w:szCs w:val="14"/>
              </w:rPr>
            </w:pPr>
          </w:p>
          <w:p w:rsidR="0095318C" w:rsidRPr="0044627C" w:rsidRDefault="0095318C" w:rsidP="00D34131">
            <w:pPr>
              <w:keepNext/>
              <w:keepLines/>
              <w:jc w:val="center"/>
              <w:rPr>
                <w:b/>
                <w:bCs/>
                <w:color w:val="00B050"/>
                <w:sz w:val="16"/>
                <w:szCs w:val="16"/>
              </w:rPr>
            </w:pPr>
            <w:r w:rsidRPr="004B265E">
              <w:rPr>
                <w:b/>
                <w:bCs/>
                <w:color w:val="00B050"/>
                <w:sz w:val="14"/>
                <w:szCs w:val="14"/>
              </w:rPr>
              <w:t>Plenamente logrado</w:t>
            </w:r>
            <w:r w:rsidRPr="0044627C">
              <w:rPr>
                <w:b/>
                <w:bCs/>
                <w:color w:val="00B050"/>
                <w:sz w:val="16"/>
                <w:szCs w:val="16"/>
              </w:rPr>
              <w:t xml:space="preserve"> </w:t>
            </w:r>
          </w:p>
          <w:p w:rsidR="0095318C" w:rsidRDefault="0095318C" w:rsidP="00D34131">
            <w:pPr>
              <w:keepNext/>
              <w:keepLines/>
              <w:jc w:val="center"/>
              <w:rPr>
                <w:b/>
                <w:bCs/>
                <w:color w:val="00B050"/>
                <w:sz w:val="14"/>
                <w:szCs w:val="14"/>
              </w:rPr>
            </w:pPr>
          </w:p>
          <w:p w:rsidR="0095318C" w:rsidRDefault="0095318C" w:rsidP="00D34131">
            <w:pPr>
              <w:keepNext/>
              <w:keepLines/>
              <w:jc w:val="center"/>
              <w:rPr>
                <w:b/>
                <w:bCs/>
                <w:color w:val="00B050"/>
                <w:sz w:val="14"/>
                <w:szCs w:val="14"/>
              </w:rPr>
            </w:pPr>
          </w:p>
          <w:p w:rsidR="0095318C" w:rsidRPr="003C4694" w:rsidRDefault="0095318C" w:rsidP="00D34131">
            <w:pPr>
              <w:keepNext/>
              <w:keepLines/>
              <w:jc w:val="center"/>
              <w:rPr>
                <w:b/>
                <w:bCs/>
                <w:sz w:val="16"/>
                <w:szCs w:val="16"/>
              </w:rPr>
            </w:pPr>
            <w:r w:rsidRPr="004B265E">
              <w:rPr>
                <w:b/>
                <w:bCs/>
                <w:color w:val="00B050"/>
                <w:sz w:val="14"/>
                <w:szCs w:val="14"/>
              </w:rPr>
              <w:t>Plenamente logrado</w:t>
            </w:r>
            <w:r w:rsidRPr="003C4694">
              <w:rPr>
                <w:b/>
                <w:bCs/>
                <w:sz w:val="16"/>
                <w:szCs w:val="16"/>
              </w:rPr>
              <w:t xml:space="preserve"> </w:t>
            </w:r>
          </w:p>
          <w:p w:rsidR="0095318C" w:rsidRPr="003C4694" w:rsidRDefault="0095318C" w:rsidP="00D34131">
            <w:pPr>
              <w:keepNext/>
              <w:keepLines/>
              <w:jc w:val="center"/>
              <w:rPr>
                <w:b/>
                <w:bCs/>
                <w:sz w:val="16"/>
                <w:szCs w:val="16"/>
              </w:rPr>
            </w:pPr>
          </w:p>
          <w:p w:rsidR="0095318C" w:rsidRDefault="0095318C" w:rsidP="00D34131">
            <w:pPr>
              <w:keepNext/>
              <w:keepLines/>
              <w:jc w:val="center"/>
              <w:rPr>
                <w:b/>
                <w:bCs/>
                <w:color w:val="00B050"/>
                <w:sz w:val="14"/>
                <w:szCs w:val="14"/>
              </w:rPr>
            </w:pPr>
          </w:p>
          <w:p w:rsidR="0095318C" w:rsidRPr="003C4694" w:rsidRDefault="0095318C" w:rsidP="00D34131">
            <w:pPr>
              <w:keepNext/>
              <w:keepLines/>
              <w:jc w:val="center"/>
              <w:rPr>
                <w:b/>
                <w:bCs/>
                <w:sz w:val="16"/>
                <w:szCs w:val="16"/>
              </w:rPr>
            </w:pPr>
            <w:r w:rsidRPr="004B265E">
              <w:rPr>
                <w:b/>
                <w:bCs/>
                <w:color w:val="00B050"/>
                <w:sz w:val="14"/>
                <w:szCs w:val="14"/>
              </w:rPr>
              <w:t>Plenamente logrado</w:t>
            </w:r>
            <w:r w:rsidRPr="003C4694">
              <w:rPr>
                <w:b/>
                <w:bCs/>
                <w:sz w:val="16"/>
                <w:szCs w:val="16"/>
              </w:rPr>
              <w:t xml:space="preserve"> </w:t>
            </w:r>
          </w:p>
          <w:p w:rsidR="0095318C" w:rsidRPr="003C4694" w:rsidRDefault="0095318C" w:rsidP="00D34131">
            <w:pPr>
              <w:keepNext/>
              <w:keepLines/>
              <w:jc w:val="center"/>
              <w:rPr>
                <w:b/>
                <w:bCs/>
                <w:sz w:val="16"/>
                <w:szCs w:val="16"/>
              </w:rPr>
            </w:pPr>
          </w:p>
        </w:tc>
      </w:tr>
      <w:tr w:rsidR="0095318C" w:rsidRPr="00C10E3B" w:rsidTr="00D34131">
        <w:trPr>
          <w:trHeight w:val="1780"/>
        </w:trPr>
        <w:tc>
          <w:tcPr>
            <w:tcW w:w="2123" w:type="dxa"/>
            <w:gridSpan w:val="2"/>
            <w:tcBorders>
              <w:top w:val="nil"/>
              <w:left w:val="single" w:sz="4" w:space="0" w:color="auto"/>
              <w:bottom w:val="nil"/>
            </w:tcBorders>
            <w:shd w:val="clear" w:color="auto" w:fill="FFFFFF"/>
          </w:tcPr>
          <w:p w:rsidR="0095318C" w:rsidRPr="00C10E3B" w:rsidRDefault="0095318C" w:rsidP="00D34131">
            <w:pPr>
              <w:keepNext/>
              <w:rPr>
                <w:sz w:val="16"/>
                <w:szCs w:val="16"/>
                <w:lang w:bidi="th-TH"/>
              </w:rPr>
            </w:pPr>
            <w:r w:rsidRPr="00C10E3B">
              <w:rPr>
                <w:sz w:val="16"/>
                <w:szCs w:val="16"/>
                <w:lang w:bidi="th-TH"/>
              </w:rPr>
              <w:t>Promedio de usuarios que utilizan los servicios de los CATI por trimestre y por país</w:t>
            </w:r>
          </w:p>
        </w:tc>
        <w:tc>
          <w:tcPr>
            <w:tcW w:w="1987" w:type="dxa"/>
            <w:gridSpan w:val="2"/>
            <w:tcBorders>
              <w:top w:val="nil"/>
              <w:bottom w:val="nil"/>
            </w:tcBorders>
            <w:shd w:val="clear" w:color="auto" w:fill="auto"/>
          </w:tcPr>
          <w:p w:rsidR="0095318C" w:rsidRPr="00C10E3B" w:rsidRDefault="0095318C" w:rsidP="00D34131">
            <w:pPr>
              <w:keepNext/>
              <w:rPr>
                <w:sz w:val="16"/>
                <w:szCs w:val="16"/>
              </w:rPr>
            </w:pPr>
            <w:r w:rsidRPr="00C10E3B">
              <w:rPr>
                <w:i/>
                <w:sz w:val="16"/>
                <w:szCs w:val="16"/>
              </w:rPr>
              <w:t>Referencia actualizada a fines de 2013</w:t>
            </w:r>
            <w:proofErr w:type="gramStart"/>
            <w:r w:rsidRPr="00C10E3B">
              <w:rPr>
                <w:i/>
                <w:sz w:val="16"/>
                <w:szCs w:val="16"/>
              </w:rPr>
              <w:t xml:space="preserve">:  </w:t>
            </w:r>
            <w:r>
              <w:rPr>
                <w:i/>
                <w:sz w:val="16"/>
                <w:szCs w:val="16"/>
              </w:rPr>
              <w:t>entre</w:t>
            </w:r>
            <w:proofErr w:type="gramEnd"/>
            <w:r>
              <w:rPr>
                <w:i/>
                <w:sz w:val="16"/>
                <w:szCs w:val="16"/>
              </w:rPr>
              <w:t xml:space="preserve"> </w:t>
            </w:r>
            <w:r w:rsidRPr="00C10E3B">
              <w:rPr>
                <w:sz w:val="16"/>
                <w:szCs w:val="16"/>
              </w:rPr>
              <w:t xml:space="preserve">532 (min.) </w:t>
            </w:r>
            <w:r>
              <w:rPr>
                <w:sz w:val="16"/>
                <w:szCs w:val="16"/>
              </w:rPr>
              <w:t>y</w:t>
            </w:r>
            <w:r w:rsidRPr="00C10E3B">
              <w:rPr>
                <w:sz w:val="16"/>
                <w:szCs w:val="16"/>
              </w:rPr>
              <w:t xml:space="preserve"> 1</w:t>
            </w:r>
            <w:r>
              <w:rPr>
                <w:sz w:val="16"/>
                <w:szCs w:val="16"/>
              </w:rPr>
              <w:t>.370 (má</w:t>
            </w:r>
            <w:r w:rsidRPr="00C10E3B">
              <w:rPr>
                <w:sz w:val="16"/>
                <w:szCs w:val="16"/>
              </w:rPr>
              <w:t>x.).</w:t>
            </w:r>
            <w:r>
              <w:rPr>
                <w:sz w:val="16"/>
                <w:szCs w:val="16"/>
              </w:rPr>
              <w:t xml:space="preserve"> </w:t>
            </w:r>
            <w:proofErr w:type="gramStart"/>
            <w:r>
              <w:rPr>
                <w:sz w:val="16"/>
                <w:szCs w:val="16"/>
              </w:rPr>
              <w:t>usuarios</w:t>
            </w:r>
            <w:proofErr w:type="gramEnd"/>
            <w:r>
              <w:rPr>
                <w:sz w:val="16"/>
                <w:szCs w:val="16"/>
              </w:rPr>
              <w:t xml:space="preserve"> atendidos al día por los CATI en 2013.</w:t>
            </w:r>
          </w:p>
          <w:p w:rsidR="0095318C" w:rsidRPr="00C10E3B" w:rsidRDefault="0095318C" w:rsidP="00D34131">
            <w:pPr>
              <w:keepNext/>
              <w:rPr>
                <w:i/>
                <w:sz w:val="16"/>
                <w:szCs w:val="16"/>
              </w:rPr>
            </w:pPr>
          </w:p>
          <w:p w:rsidR="0095318C" w:rsidRPr="00C10E3B" w:rsidRDefault="0095318C" w:rsidP="00D34131">
            <w:pPr>
              <w:keepNext/>
              <w:rPr>
                <w:i/>
                <w:sz w:val="16"/>
                <w:szCs w:val="16"/>
                <w:lang w:bidi="th-TH"/>
              </w:rPr>
            </w:pPr>
            <w:r>
              <w:rPr>
                <w:i/>
                <w:sz w:val="16"/>
                <w:szCs w:val="16"/>
                <w:lang w:bidi="th-TH"/>
              </w:rPr>
              <w:t>Referencia original en el presupuesto de 2014/15</w:t>
            </w:r>
            <w:proofErr w:type="gramStart"/>
            <w:r>
              <w:rPr>
                <w:i/>
                <w:sz w:val="16"/>
                <w:szCs w:val="16"/>
                <w:lang w:bidi="th-TH"/>
              </w:rPr>
              <w:t>:  entre</w:t>
            </w:r>
            <w:proofErr w:type="gramEnd"/>
            <w:r>
              <w:rPr>
                <w:i/>
                <w:sz w:val="16"/>
                <w:szCs w:val="16"/>
                <w:lang w:bidi="th-TH"/>
              </w:rPr>
              <w:t xml:space="preserve"> </w:t>
            </w:r>
            <w:r>
              <w:rPr>
                <w:sz w:val="16"/>
                <w:szCs w:val="16"/>
                <w:lang w:bidi="th-TH"/>
              </w:rPr>
              <w:t>200 (min.) y 630 (má</w:t>
            </w:r>
            <w:r w:rsidRPr="00C10E3B">
              <w:rPr>
                <w:sz w:val="16"/>
                <w:szCs w:val="16"/>
                <w:lang w:bidi="th-TH"/>
              </w:rPr>
              <w:t>x</w:t>
            </w:r>
            <w:r>
              <w:rPr>
                <w:sz w:val="16"/>
                <w:szCs w:val="16"/>
                <w:lang w:bidi="th-TH"/>
              </w:rPr>
              <w:t>.</w:t>
            </w:r>
            <w:r w:rsidRPr="00C10E3B">
              <w:rPr>
                <w:sz w:val="16"/>
                <w:szCs w:val="16"/>
                <w:lang w:bidi="th-TH"/>
              </w:rPr>
              <w:t>)</w:t>
            </w:r>
          </w:p>
          <w:p w:rsidR="0095318C" w:rsidRPr="00C10E3B" w:rsidRDefault="0095318C" w:rsidP="00D34131">
            <w:pPr>
              <w:keepNext/>
              <w:rPr>
                <w:i/>
                <w:sz w:val="16"/>
                <w:szCs w:val="16"/>
              </w:rPr>
            </w:pPr>
          </w:p>
        </w:tc>
        <w:tc>
          <w:tcPr>
            <w:tcW w:w="1559" w:type="dxa"/>
            <w:gridSpan w:val="2"/>
            <w:tcBorders>
              <w:top w:val="nil"/>
              <w:bottom w:val="nil"/>
            </w:tcBorders>
            <w:shd w:val="clear" w:color="auto" w:fill="auto"/>
            <w:tcMar>
              <w:top w:w="110" w:type="dxa"/>
            </w:tcMar>
          </w:tcPr>
          <w:p w:rsidR="0095318C" w:rsidRPr="00C10E3B" w:rsidRDefault="0095318C" w:rsidP="00D34131">
            <w:pPr>
              <w:keepNext/>
              <w:rPr>
                <w:sz w:val="16"/>
                <w:szCs w:val="16"/>
                <w:lang w:bidi="th-TH"/>
              </w:rPr>
            </w:pPr>
            <w:r w:rsidRPr="00C10E3B">
              <w:rPr>
                <w:sz w:val="16"/>
                <w:szCs w:val="16"/>
                <w:lang w:bidi="th-TH"/>
              </w:rPr>
              <w:t>300 (min.) – 750 (máx.)</w:t>
            </w:r>
          </w:p>
        </w:tc>
        <w:tc>
          <w:tcPr>
            <w:tcW w:w="2551" w:type="dxa"/>
            <w:gridSpan w:val="5"/>
            <w:tcBorders>
              <w:top w:val="nil"/>
              <w:bottom w:val="nil"/>
            </w:tcBorders>
            <w:shd w:val="clear" w:color="auto" w:fill="FFFFFF"/>
            <w:tcMar>
              <w:top w:w="110" w:type="dxa"/>
            </w:tcMar>
          </w:tcPr>
          <w:p w:rsidR="0095318C" w:rsidRPr="00C10E3B" w:rsidRDefault="0095318C" w:rsidP="00D34131">
            <w:pPr>
              <w:keepNext/>
              <w:rPr>
                <w:sz w:val="16"/>
                <w:szCs w:val="16"/>
                <w:lang w:bidi="th-TH"/>
              </w:rPr>
            </w:pPr>
            <w:r w:rsidRPr="00C10E3B">
              <w:rPr>
                <w:sz w:val="16"/>
                <w:szCs w:val="16"/>
              </w:rPr>
              <w:t>874 (min.) – 2.631 (máx.)</w:t>
            </w:r>
          </w:p>
        </w:tc>
        <w:tc>
          <w:tcPr>
            <w:tcW w:w="1278" w:type="dxa"/>
            <w:tcBorders>
              <w:top w:val="nil"/>
              <w:bottom w:val="nil"/>
              <w:right w:val="single" w:sz="4" w:space="0" w:color="auto"/>
            </w:tcBorders>
            <w:shd w:val="clear" w:color="auto" w:fill="auto"/>
            <w:tcMar>
              <w:top w:w="110" w:type="dxa"/>
            </w:tcMar>
          </w:tcPr>
          <w:p w:rsidR="0095318C" w:rsidRPr="00C10E3B" w:rsidRDefault="0095318C" w:rsidP="00D34131">
            <w:pPr>
              <w:keepNext/>
              <w:keepLines/>
              <w:jc w:val="center"/>
              <w:rPr>
                <w:b/>
                <w:bCs/>
                <w:sz w:val="16"/>
                <w:szCs w:val="16"/>
              </w:rPr>
            </w:pPr>
            <w:r w:rsidRPr="00C10E3B">
              <w:rPr>
                <w:b/>
                <w:bCs/>
                <w:color w:val="00B050"/>
                <w:sz w:val="14"/>
                <w:szCs w:val="14"/>
              </w:rPr>
              <w:t>Plenamente logrado</w:t>
            </w:r>
          </w:p>
        </w:tc>
      </w:tr>
      <w:tr w:rsidR="0095318C" w:rsidRPr="003C4694" w:rsidTr="00DC1333">
        <w:tc>
          <w:tcPr>
            <w:tcW w:w="2123" w:type="dxa"/>
            <w:gridSpan w:val="2"/>
            <w:tcBorders>
              <w:top w:val="nil"/>
              <w:left w:val="single" w:sz="4" w:space="0" w:color="auto"/>
              <w:bottom w:val="single" w:sz="4" w:space="0" w:color="auto"/>
            </w:tcBorders>
            <w:shd w:val="clear" w:color="auto" w:fill="FFFFFF"/>
          </w:tcPr>
          <w:p w:rsidR="0095318C" w:rsidRPr="00C10E3B" w:rsidRDefault="0095318C" w:rsidP="00DC1333">
            <w:pPr>
              <w:keepNext/>
              <w:rPr>
                <w:sz w:val="16"/>
                <w:szCs w:val="16"/>
                <w:lang w:bidi="th-TH"/>
              </w:rPr>
            </w:pPr>
            <w:r w:rsidRPr="00C10E3B">
              <w:rPr>
                <w:sz w:val="16"/>
                <w:szCs w:val="16"/>
                <w:lang w:bidi="th-TH"/>
              </w:rPr>
              <w:t>Número de países que utilizan la base de datos de asistencia técnica en P.I. (IP-TAD) y la lista de consultores (IP_ROC)</w:t>
            </w:r>
          </w:p>
        </w:tc>
        <w:tc>
          <w:tcPr>
            <w:tcW w:w="1987" w:type="dxa"/>
            <w:gridSpan w:val="2"/>
            <w:tcBorders>
              <w:top w:val="nil"/>
              <w:bottom w:val="single" w:sz="4" w:space="0" w:color="auto"/>
            </w:tcBorders>
            <w:shd w:val="clear" w:color="auto" w:fill="auto"/>
          </w:tcPr>
          <w:p w:rsidR="0095318C" w:rsidRPr="00C10E3B" w:rsidRDefault="0095318C" w:rsidP="00DC1333">
            <w:pPr>
              <w:keepNext/>
              <w:rPr>
                <w:i/>
                <w:sz w:val="16"/>
                <w:szCs w:val="16"/>
              </w:rPr>
            </w:pPr>
            <w:r w:rsidRPr="00C10E3B">
              <w:rPr>
                <w:i/>
                <w:sz w:val="16"/>
                <w:szCs w:val="16"/>
              </w:rPr>
              <w:t>Referencia actualizada a fines de</w:t>
            </w:r>
            <w:r>
              <w:rPr>
                <w:i/>
                <w:sz w:val="16"/>
                <w:szCs w:val="16"/>
              </w:rPr>
              <w:t xml:space="preserve"> 2013:  </w:t>
            </w:r>
            <w:r w:rsidRPr="00C10E3B">
              <w:rPr>
                <w:sz w:val="16"/>
                <w:szCs w:val="16"/>
              </w:rPr>
              <w:t xml:space="preserve">IP-TAD:  43 países </w:t>
            </w:r>
          </w:p>
          <w:p w:rsidR="0095318C" w:rsidRPr="00C10E3B" w:rsidRDefault="0095318C" w:rsidP="00DC1333">
            <w:pPr>
              <w:keepNext/>
              <w:rPr>
                <w:sz w:val="16"/>
                <w:szCs w:val="16"/>
              </w:rPr>
            </w:pPr>
            <w:r w:rsidRPr="00C10E3B">
              <w:rPr>
                <w:sz w:val="16"/>
                <w:szCs w:val="16"/>
              </w:rPr>
              <w:t>IP-ROC: 8 países (en 2013)</w:t>
            </w:r>
          </w:p>
          <w:p w:rsidR="0095318C" w:rsidRPr="00C10E3B" w:rsidRDefault="0095318C" w:rsidP="00DC1333">
            <w:pPr>
              <w:keepNext/>
              <w:rPr>
                <w:i/>
                <w:sz w:val="16"/>
                <w:szCs w:val="16"/>
              </w:rPr>
            </w:pPr>
          </w:p>
          <w:p w:rsidR="0095318C" w:rsidRPr="00C10E3B" w:rsidRDefault="0095318C" w:rsidP="00DC1333">
            <w:pPr>
              <w:keepNext/>
              <w:rPr>
                <w:i/>
                <w:sz w:val="16"/>
                <w:szCs w:val="16"/>
                <w:lang w:bidi="th-TH"/>
              </w:rPr>
            </w:pPr>
            <w:r w:rsidRPr="00C10E3B">
              <w:rPr>
                <w:i/>
                <w:sz w:val="16"/>
                <w:szCs w:val="16"/>
                <w:lang w:bidi="th-TH"/>
              </w:rPr>
              <w:t>Referencia original en el presupuesto de</w:t>
            </w:r>
            <w:r>
              <w:rPr>
                <w:i/>
                <w:sz w:val="16"/>
                <w:szCs w:val="16"/>
                <w:lang w:bidi="th-TH"/>
              </w:rPr>
              <w:t xml:space="preserve"> 2014/15:  </w:t>
            </w:r>
            <w:r>
              <w:rPr>
                <w:sz w:val="16"/>
                <w:szCs w:val="16"/>
                <w:lang w:bidi="th-TH"/>
              </w:rPr>
              <w:t xml:space="preserve">60 (a fecha de 1 de marzo de </w:t>
            </w:r>
            <w:r w:rsidRPr="00C10E3B">
              <w:rPr>
                <w:sz w:val="16"/>
                <w:szCs w:val="16"/>
                <w:lang w:bidi="th-TH"/>
              </w:rPr>
              <w:t>2013)</w:t>
            </w:r>
          </w:p>
          <w:p w:rsidR="0095318C" w:rsidRPr="00C10E3B" w:rsidRDefault="0095318C" w:rsidP="00DC1333">
            <w:pPr>
              <w:keepNext/>
              <w:rPr>
                <w:i/>
                <w:sz w:val="16"/>
                <w:szCs w:val="16"/>
              </w:rPr>
            </w:pPr>
          </w:p>
        </w:tc>
        <w:tc>
          <w:tcPr>
            <w:tcW w:w="1559" w:type="dxa"/>
            <w:gridSpan w:val="2"/>
            <w:tcBorders>
              <w:top w:val="nil"/>
              <w:bottom w:val="single" w:sz="4" w:space="0" w:color="auto"/>
            </w:tcBorders>
            <w:shd w:val="clear" w:color="auto" w:fill="auto"/>
            <w:tcMar>
              <w:top w:w="110" w:type="dxa"/>
            </w:tcMar>
          </w:tcPr>
          <w:p w:rsidR="0095318C" w:rsidRPr="003C4694" w:rsidRDefault="0095318C" w:rsidP="00DC1333">
            <w:pPr>
              <w:keepNext/>
              <w:rPr>
                <w:sz w:val="16"/>
                <w:szCs w:val="16"/>
                <w:lang w:bidi="th-TH"/>
              </w:rPr>
            </w:pPr>
            <w:r w:rsidRPr="00631CC4">
              <w:rPr>
                <w:sz w:val="16"/>
                <w:szCs w:val="16"/>
                <w:lang w:bidi="th-TH"/>
              </w:rPr>
              <w:t>70</w:t>
            </w:r>
          </w:p>
        </w:tc>
        <w:tc>
          <w:tcPr>
            <w:tcW w:w="2551" w:type="dxa"/>
            <w:gridSpan w:val="5"/>
            <w:tcBorders>
              <w:top w:val="nil"/>
              <w:bottom w:val="single" w:sz="4" w:space="0" w:color="auto"/>
            </w:tcBorders>
            <w:shd w:val="clear" w:color="auto" w:fill="FFFFFF"/>
            <w:tcMar>
              <w:top w:w="110" w:type="dxa"/>
            </w:tcMar>
          </w:tcPr>
          <w:p w:rsidR="0095318C" w:rsidRPr="00C10E3B" w:rsidRDefault="0095318C" w:rsidP="00DC1333">
            <w:pPr>
              <w:keepNext/>
              <w:rPr>
                <w:sz w:val="16"/>
                <w:szCs w:val="16"/>
                <w:lang w:bidi="th-TH"/>
              </w:rPr>
            </w:pPr>
            <w:r w:rsidRPr="00C10E3B">
              <w:rPr>
                <w:sz w:val="16"/>
                <w:szCs w:val="16"/>
                <w:lang w:bidi="th-TH"/>
              </w:rPr>
              <w:t>2014:  46 países</w:t>
            </w:r>
          </w:p>
          <w:p w:rsidR="0095318C" w:rsidRPr="00C10E3B" w:rsidRDefault="0095318C" w:rsidP="00DC1333">
            <w:pPr>
              <w:keepNext/>
              <w:rPr>
                <w:sz w:val="16"/>
                <w:szCs w:val="16"/>
                <w:lang w:bidi="th-TH"/>
              </w:rPr>
            </w:pPr>
            <w:r w:rsidRPr="00C10E3B">
              <w:rPr>
                <w:sz w:val="16"/>
                <w:szCs w:val="16"/>
                <w:lang w:bidi="th-TH"/>
              </w:rPr>
              <w:t>IP-TAD:  37 países</w:t>
            </w:r>
          </w:p>
          <w:p w:rsidR="0095318C" w:rsidRPr="00C10E3B" w:rsidRDefault="0095318C" w:rsidP="00DC1333">
            <w:pPr>
              <w:keepNext/>
              <w:rPr>
                <w:sz w:val="16"/>
                <w:szCs w:val="16"/>
                <w:lang w:bidi="th-TH"/>
              </w:rPr>
            </w:pPr>
            <w:r w:rsidRPr="00C10E3B">
              <w:rPr>
                <w:sz w:val="16"/>
                <w:szCs w:val="16"/>
                <w:lang w:bidi="th-TH"/>
              </w:rPr>
              <w:t>IP-ROC: 9 países</w:t>
            </w:r>
            <w:r w:rsidRPr="00C10E3B" w:rsidDel="007D1787">
              <w:rPr>
                <w:sz w:val="16"/>
                <w:szCs w:val="16"/>
                <w:lang w:bidi="th-TH"/>
              </w:rPr>
              <w:t xml:space="preserve"> </w:t>
            </w:r>
          </w:p>
          <w:p w:rsidR="0095318C" w:rsidRPr="00C10E3B" w:rsidRDefault="0095318C" w:rsidP="00DC1333">
            <w:pPr>
              <w:keepNext/>
              <w:rPr>
                <w:sz w:val="16"/>
                <w:szCs w:val="16"/>
                <w:lang w:bidi="th-TH"/>
              </w:rPr>
            </w:pPr>
            <w:r w:rsidRPr="00C10E3B">
              <w:rPr>
                <w:sz w:val="16"/>
                <w:szCs w:val="16"/>
                <w:lang w:bidi="th-TH"/>
              </w:rPr>
              <w:t xml:space="preserve">(-10% </w:t>
            </w:r>
            <w:r>
              <w:rPr>
                <w:sz w:val="16"/>
                <w:szCs w:val="16"/>
                <w:lang w:bidi="th-TH"/>
              </w:rPr>
              <w:t>con respecto a</w:t>
            </w:r>
            <w:r w:rsidRPr="00C10E3B">
              <w:rPr>
                <w:sz w:val="16"/>
                <w:szCs w:val="16"/>
                <w:lang w:bidi="th-TH"/>
              </w:rPr>
              <w:t xml:space="preserve"> 2013)</w:t>
            </w:r>
          </w:p>
          <w:p w:rsidR="0095318C" w:rsidRPr="00C10E3B" w:rsidRDefault="0095318C" w:rsidP="00DC1333">
            <w:pPr>
              <w:keepNext/>
              <w:rPr>
                <w:sz w:val="16"/>
                <w:szCs w:val="16"/>
                <w:lang w:bidi="th-TH"/>
              </w:rPr>
            </w:pPr>
          </w:p>
          <w:p w:rsidR="0095318C" w:rsidRPr="00C10E3B" w:rsidRDefault="0095318C" w:rsidP="00DC1333">
            <w:pPr>
              <w:keepNext/>
              <w:rPr>
                <w:sz w:val="16"/>
                <w:szCs w:val="16"/>
                <w:lang w:bidi="th-TH"/>
              </w:rPr>
            </w:pPr>
            <w:r w:rsidRPr="00C10E3B">
              <w:rPr>
                <w:sz w:val="16"/>
                <w:szCs w:val="16"/>
                <w:lang w:bidi="th-TH"/>
              </w:rPr>
              <w:t>2</w:t>
            </w:r>
            <w:r>
              <w:rPr>
                <w:sz w:val="16"/>
                <w:szCs w:val="16"/>
                <w:lang w:bidi="th-TH"/>
              </w:rPr>
              <w:t xml:space="preserve">015:  </w:t>
            </w:r>
            <w:r w:rsidRPr="00C10E3B">
              <w:rPr>
                <w:sz w:val="16"/>
                <w:szCs w:val="16"/>
                <w:lang w:bidi="th-TH"/>
              </w:rPr>
              <w:t>33 países</w:t>
            </w:r>
          </w:p>
          <w:p w:rsidR="0095318C" w:rsidRPr="00C10E3B" w:rsidRDefault="0095318C" w:rsidP="00DC1333">
            <w:pPr>
              <w:keepNext/>
              <w:rPr>
                <w:sz w:val="16"/>
                <w:szCs w:val="16"/>
                <w:lang w:bidi="th-TH"/>
              </w:rPr>
            </w:pPr>
            <w:r w:rsidRPr="00C10E3B">
              <w:rPr>
                <w:sz w:val="16"/>
                <w:szCs w:val="16"/>
                <w:lang w:bidi="th-TH"/>
              </w:rPr>
              <w:t xml:space="preserve">IP-TAD: </w:t>
            </w:r>
            <w:r>
              <w:rPr>
                <w:sz w:val="16"/>
                <w:szCs w:val="16"/>
                <w:lang w:bidi="th-TH"/>
              </w:rPr>
              <w:t xml:space="preserve"> </w:t>
            </w:r>
            <w:r w:rsidRPr="00C10E3B">
              <w:rPr>
                <w:sz w:val="16"/>
                <w:szCs w:val="16"/>
                <w:lang w:bidi="th-TH"/>
              </w:rPr>
              <w:t>29 países</w:t>
            </w:r>
          </w:p>
          <w:p w:rsidR="0095318C" w:rsidRPr="00C10E3B" w:rsidRDefault="0095318C" w:rsidP="00DC1333">
            <w:pPr>
              <w:keepNext/>
              <w:rPr>
                <w:sz w:val="16"/>
                <w:szCs w:val="16"/>
                <w:lang w:bidi="th-TH"/>
              </w:rPr>
            </w:pPr>
            <w:r w:rsidRPr="00C10E3B">
              <w:rPr>
                <w:sz w:val="16"/>
                <w:szCs w:val="16"/>
                <w:lang w:bidi="th-TH"/>
              </w:rPr>
              <w:t>IP-ROC: 4 países</w:t>
            </w:r>
          </w:p>
          <w:p w:rsidR="0095318C" w:rsidRPr="00C10E3B" w:rsidRDefault="0095318C" w:rsidP="00DC1333">
            <w:pPr>
              <w:keepNext/>
              <w:rPr>
                <w:sz w:val="16"/>
                <w:szCs w:val="16"/>
                <w:lang w:bidi="th-TH"/>
              </w:rPr>
            </w:pPr>
            <w:r w:rsidRPr="00C10E3B">
              <w:rPr>
                <w:sz w:val="16"/>
                <w:szCs w:val="16"/>
                <w:lang w:bidi="th-TH"/>
              </w:rPr>
              <w:t xml:space="preserve">(-28% </w:t>
            </w:r>
            <w:r>
              <w:rPr>
                <w:sz w:val="16"/>
                <w:szCs w:val="16"/>
                <w:lang w:bidi="th-TH"/>
              </w:rPr>
              <w:t>con respecto a</w:t>
            </w:r>
            <w:r w:rsidRPr="00C10E3B">
              <w:rPr>
                <w:sz w:val="16"/>
                <w:szCs w:val="16"/>
                <w:lang w:bidi="th-TH"/>
              </w:rPr>
              <w:t xml:space="preserve"> 2014)</w:t>
            </w:r>
          </w:p>
        </w:tc>
        <w:tc>
          <w:tcPr>
            <w:tcW w:w="1278" w:type="dxa"/>
            <w:tcBorders>
              <w:top w:val="nil"/>
              <w:bottom w:val="single" w:sz="4" w:space="0" w:color="auto"/>
              <w:right w:val="single" w:sz="4" w:space="0" w:color="auto"/>
            </w:tcBorders>
            <w:shd w:val="clear" w:color="auto" w:fill="auto"/>
            <w:tcMar>
              <w:top w:w="110" w:type="dxa"/>
            </w:tcMar>
          </w:tcPr>
          <w:p w:rsidR="0095318C" w:rsidRPr="005342C1" w:rsidRDefault="0095318C" w:rsidP="00DC1333">
            <w:pPr>
              <w:keepNext/>
              <w:keepLines/>
              <w:jc w:val="center"/>
              <w:rPr>
                <w:b/>
                <w:bCs/>
                <w:sz w:val="14"/>
                <w:szCs w:val="14"/>
              </w:rPr>
            </w:pPr>
            <w:r w:rsidRPr="005342C1">
              <w:rPr>
                <w:b/>
                <w:bCs/>
                <w:color w:val="FF0000"/>
                <w:sz w:val="14"/>
                <w:szCs w:val="14"/>
              </w:rPr>
              <w:t>No logrado</w:t>
            </w:r>
          </w:p>
        </w:tc>
      </w:tr>
      <w:tr w:rsidR="0095318C" w:rsidRPr="003131FE" w:rsidTr="00DC1333">
        <w:tc>
          <w:tcPr>
            <w:tcW w:w="9498" w:type="dxa"/>
            <w:gridSpan w:val="12"/>
            <w:tcBorders>
              <w:top w:val="single" w:sz="4" w:space="0" w:color="auto"/>
              <w:left w:val="single" w:sz="4" w:space="0" w:color="auto"/>
              <w:bottom w:val="single" w:sz="4" w:space="0" w:color="auto"/>
              <w:right w:val="single" w:sz="4" w:space="0" w:color="auto"/>
            </w:tcBorders>
            <w:shd w:val="clear" w:color="auto" w:fill="C6D9F1" w:themeFill="text2" w:themeFillTint="33"/>
          </w:tcPr>
          <w:p w:rsidR="0095318C" w:rsidRPr="00170721" w:rsidRDefault="0095318C" w:rsidP="00DC1333">
            <w:pPr>
              <w:keepNext/>
              <w:keepLines/>
              <w:spacing w:before="120" w:after="120"/>
              <w:ind w:left="2019" w:hanging="2019"/>
              <w:rPr>
                <w:b/>
                <w:bCs/>
                <w:sz w:val="16"/>
                <w:szCs w:val="16"/>
              </w:rPr>
            </w:pPr>
            <w:r w:rsidRPr="00170721">
              <w:rPr>
                <w:b/>
                <w:bCs/>
                <w:sz w:val="16"/>
                <w:szCs w:val="16"/>
              </w:rPr>
              <w:t>Resultado previsto</w:t>
            </w:r>
            <w:r>
              <w:rPr>
                <w:b/>
                <w:bCs/>
                <w:sz w:val="16"/>
                <w:szCs w:val="16"/>
              </w:rPr>
              <w:t>:</w:t>
            </w:r>
            <w:r>
              <w:rPr>
                <w:b/>
                <w:bCs/>
                <w:sz w:val="16"/>
                <w:szCs w:val="16"/>
              </w:rPr>
              <w:tab/>
            </w:r>
            <w:r w:rsidRPr="00170721">
              <w:rPr>
                <w:bCs/>
                <w:sz w:val="16"/>
                <w:szCs w:val="16"/>
              </w:rPr>
              <w:t xml:space="preserve">IV.4  Mejora en la infraestructura técnica y de conocimientos de las Oficinas y demás instituciones de P.I. que les permita </w:t>
            </w:r>
            <w:r>
              <w:rPr>
                <w:bCs/>
                <w:sz w:val="16"/>
                <w:szCs w:val="16"/>
              </w:rPr>
              <w:t>prestar</w:t>
            </w:r>
            <w:r w:rsidRPr="00170721">
              <w:rPr>
                <w:bCs/>
                <w:sz w:val="16"/>
                <w:szCs w:val="16"/>
              </w:rPr>
              <w:t xml:space="preserve"> mejores servicios (más económicos, más rápidos y de </w:t>
            </w:r>
            <w:r>
              <w:rPr>
                <w:bCs/>
                <w:sz w:val="16"/>
                <w:szCs w:val="16"/>
              </w:rPr>
              <w:t>me</w:t>
            </w:r>
            <w:r w:rsidRPr="00170721">
              <w:rPr>
                <w:bCs/>
                <w:sz w:val="16"/>
                <w:szCs w:val="16"/>
              </w:rPr>
              <w:t>jor calidad) a sus partes interesadas</w:t>
            </w:r>
          </w:p>
        </w:tc>
      </w:tr>
      <w:tr w:rsidR="0095318C" w:rsidRPr="001333DE" w:rsidTr="00DC1333">
        <w:trPr>
          <w:trHeight w:val="291"/>
        </w:trPr>
        <w:tc>
          <w:tcPr>
            <w:tcW w:w="2123" w:type="dxa"/>
            <w:gridSpan w:val="2"/>
            <w:tcBorders>
              <w:top w:val="single" w:sz="4" w:space="0" w:color="auto"/>
              <w:left w:val="single" w:sz="4" w:space="0" w:color="auto"/>
              <w:bottom w:val="nil"/>
              <w:right w:val="nil"/>
            </w:tcBorders>
            <w:shd w:val="clear" w:color="auto" w:fill="FFFFFF"/>
            <w:vAlign w:val="center"/>
          </w:tcPr>
          <w:p w:rsidR="0095318C" w:rsidRPr="001333DE" w:rsidRDefault="0095318C" w:rsidP="00DC1333">
            <w:pPr>
              <w:rPr>
                <w:sz w:val="16"/>
                <w:szCs w:val="16"/>
                <w:lang w:bidi="th-TH"/>
              </w:rPr>
            </w:pPr>
            <w:r>
              <w:rPr>
                <w:b/>
                <w:bCs/>
                <w:sz w:val="16"/>
                <w:szCs w:val="16"/>
              </w:rPr>
              <w:t>Indicadores de rendimiento</w:t>
            </w:r>
          </w:p>
        </w:tc>
        <w:tc>
          <w:tcPr>
            <w:tcW w:w="1749" w:type="dxa"/>
            <w:tcBorders>
              <w:top w:val="single" w:sz="4" w:space="0" w:color="auto"/>
              <w:left w:val="nil"/>
              <w:bottom w:val="nil"/>
              <w:right w:val="nil"/>
            </w:tcBorders>
            <w:shd w:val="clear" w:color="auto" w:fill="auto"/>
            <w:vAlign w:val="center"/>
          </w:tcPr>
          <w:p w:rsidR="0095318C" w:rsidRPr="001333DE" w:rsidRDefault="0095318C" w:rsidP="00DC1333">
            <w:pPr>
              <w:rPr>
                <w:i/>
                <w:sz w:val="16"/>
                <w:szCs w:val="16"/>
              </w:rPr>
            </w:pPr>
            <w:r>
              <w:rPr>
                <w:b/>
                <w:bCs/>
                <w:sz w:val="16"/>
                <w:szCs w:val="16"/>
              </w:rPr>
              <w:t>Referencia</w:t>
            </w:r>
          </w:p>
        </w:tc>
        <w:tc>
          <w:tcPr>
            <w:tcW w:w="1797" w:type="dxa"/>
            <w:gridSpan w:val="3"/>
            <w:tcBorders>
              <w:top w:val="single" w:sz="4" w:space="0" w:color="auto"/>
              <w:left w:val="nil"/>
              <w:bottom w:val="nil"/>
              <w:right w:val="nil"/>
            </w:tcBorders>
            <w:shd w:val="clear" w:color="auto" w:fill="auto"/>
            <w:tcMar>
              <w:top w:w="110" w:type="dxa"/>
            </w:tcMar>
            <w:vAlign w:val="center"/>
          </w:tcPr>
          <w:p w:rsidR="0095318C" w:rsidRPr="001333DE" w:rsidRDefault="0095318C" w:rsidP="00DC1333">
            <w:pPr>
              <w:rPr>
                <w:sz w:val="16"/>
                <w:szCs w:val="16"/>
                <w:lang w:bidi="th-TH"/>
              </w:rPr>
            </w:pPr>
            <w:r>
              <w:rPr>
                <w:b/>
                <w:sz w:val="16"/>
                <w:szCs w:val="16"/>
              </w:rPr>
              <w:t>Objetivo</w:t>
            </w:r>
            <w:r w:rsidRPr="003C4694">
              <w:rPr>
                <w:b/>
                <w:sz w:val="16"/>
                <w:szCs w:val="16"/>
              </w:rPr>
              <w:t>s</w:t>
            </w:r>
          </w:p>
        </w:tc>
        <w:tc>
          <w:tcPr>
            <w:tcW w:w="2551" w:type="dxa"/>
            <w:gridSpan w:val="5"/>
            <w:tcBorders>
              <w:top w:val="single" w:sz="4" w:space="0" w:color="auto"/>
              <w:left w:val="nil"/>
              <w:bottom w:val="nil"/>
              <w:right w:val="nil"/>
            </w:tcBorders>
            <w:shd w:val="clear" w:color="auto" w:fill="FFFFFF"/>
            <w:tcMar>
              <w:top w:w="110" w:type="dxa"/>
            </w:tcMar>
            <w:vAlign w:val="center"/>
          </w:tcPr>
          <w:p w:rsidR="0095318C" w:rsidRPr="001333DE" w:rsidRDefault="0095318C" w:rsidP="00DC1333">
            <w:pPr>
              <w:rPr>
                <w:sz w:val="16"/>
                <w:szCs w:val="16"/>
                <w:lang w:bidi="th-TH"/>
              </w:rPr>
            </w:pPr>
            <w:r>
              <w:rPr>
                <w:b/>
                <w:bCs/>
                <w:sz w:val="16"/>
                <w:szCs w:val="16"/>
              </w:rPr>
              <w:t>Datos sobre el rendimiento</w:t>
            </w:r>
          </w:p>
        </w:tc>
        <w:tc>
          <w:tcPr>
            <w:tcW w:w="1278" w:type="dxa"/>
            <w:tcBorders>
              <w:top w:val="single" w:sz="4" w:space="0" w:color="auto"/>
              <w:left w:val="nil"/>
              <w:bottom w:val="nil"/>
              <w:right w:val="single" w:sz="4" w:space="0" w:color="auto"/>
            </w:tcBorders>
            <w:shd w:val="clear" w:color="auto" w:fill="auto"/>
            <w:tcMar>
              <w:top w:w="110" w:type="dxa"/>
            </w:tcMar>
            <w:vAlign w:val="center"/>
          </w:tcPr>
          <w:p w:rsidR="0095318C" w:rsidRPr="001333DE" w:rsidRDefault="0095318C" w:rsidP="00DC1333">
            <w:pPr>
              <w:keepNext/>
              <w:keepLines/>
              <w:jc w:val="center"/>
              <w:rPr>
                <w:b/>
                <w:bCs/>
                <w:sz w:val="16"/>
                <w:szCs w:val="16"/>
              </w:rPr>
            </w:pPr>
            <w:r>
              <w:rPr>
                <w:b/>
                <w:bCs/>
                <w:sz w:val="16"/>
                <w:szCs w:val="16"/>
              </w:rPr>
              <w:t>Clave sobre los colores</w:t>
            </w:r>
          </w:p>
        </w:tc>
      </w:tr>
      <w:tr w:rsidR="0095318C" w:rsidRPr="003C4694" w:rsidTr="00DC1333">
        <w:tc>
          <w:tcPr>
            <w:tcW w:w="2123" w:type="dxa"/>
            <w:gridSpan w:val="2"/>
            <w:tcBorders>
              <w:top w:val="nil"/>
              <w:left w:val="single" w:sz="4" w:space="0" w:color="auto"/>
              <w:bottom w:val="single" w:sz="4" w:space="0" w:color="auto"/>
              <w:right w:val="nil"/>
            </w:tcBorders>
            <w:shd w:val="clear" w:color="auto" w:fill="FFFFFF"/>
          </w:tcPr>
          <w:p w:rsidR="0095318C" w:rsidRPr="00C10E3B" w:rsidRDefault="0095318C" w:rsidP="00DC1333">
            <w:pPr>
              <w:rPr>
                <w:sz w:val="16"/>
                <w:szCs w:val="16"/>
                <w:lang w:bidi="th-TH"/>
              </w:rPr>
            </w:pPr>
            <w:r w:rsidRPr="00C10E3B">
              <w:rPr>
                <w:sz w:val="16"/>
                <w:szCs w:val="16"/>
                <w:lang w:bidi="th-TH"/>
              </w:rPr>
              <w:t>Media del nivel de los servicios prestados por las Oficinas de P.I. que reciben asistencia (en una escala del 1 al 5)</w:t>
            </w:r>
          </w:p>
        </w:tc>
        <w:tc>
          <w:tcPr>
            <w:tcW w:w="1749" w:type="dxa"/>
            <w:tcBorders>
              <w:top w:val="nil"/>
              <w:left w:val="nil"/>
              <w:bottom w:val="single" w:sz="4" w:space="0" w:color="auto"/>
              <w:right w:val="nil"/>
            </w:tcBorders>
            <w:shd w:val="clear" w:color="auto" w:fill="auto"/>
          </w:tcPr>
          <w:p w:rsidR="0095318C" w:rsidRPr="00DA5950" w:rsidRDefault="0095318C" w:rsidP="00DC1333">
            <w:pPr>
              <w:rPr>
                <w:sz w:val="16"/>
                <w:szCs w:val="16"/>
              </w:rPr>
            </w:pPr>
            <w:r w:rsidRPr="00DA5950">
              <w:rPr>
                <w:i/>
                <w:sz w:val="16"/>
                <w:szCs w:val="16"/>
              </w:rPr>
              <w:t>Referencia actualizada a fines de 2013:</w:t>
            </w:r>
            <w:r w:rsidRPr="00DA5950">
              <w:rPr>
                <w:sz w:val="16"/>
                <w:szCs w:val="16"/>
              </w:rPr>
              <w:t xml:space="preserve">  </w:t>
            </w:r>
            <w:r w:rsidRPr="00992AF7">
              <w:rPr>
                <w:sz w:val="16"/>
                <w:szCs w:val="16"/>
              </w:rPr>
              <w:t>2,8</w:t>
            </w:r>
          </w:p>
          <w:p w:rsidR="0095318C" w:rsidRPr="00DA5950" w:rsidRDefault="0095318C" w:rsidP="00DC1333">
            <w:pPr>
              <w:rPr>
                <w:i/>
                <w:sz w:val="16"/>
                <w:szCs w:val="16"/>
              </w:rPr>
            </w:pPr>
          </w:p>
          <w:p w:rsidR="0095318C" w:rsidRPr="00DA5950" w:rsidRDefault="0095318C" w:rsidP="00DC1333">
            <w:pPr>
              <w:rPr>
                <w:sz w:val="16"/>
                <w:szCs w:val="16"/>
              </w:rPr>
            </w:pPr>
            <w:r w:rsidRPr="00DA5950">
              <w:rPr>
                <w:i/>
                <w:sz w:val="16"/>
                <w:szCs w:val="16"/>
                <w:lang w:bidi="th-TH"/>
              </w:rPr>
              <w:t xml:space="preserve">Referencia original Presup. </w:t>
            </w:r>
            <w:proofErr w:type="gramStart"/>
            <w:r>
              <w:rPr>
                <w:i/>
                <w:sz w:val="16"/>
                <w:szCs w:val="16"/>
                <w:lang w:bidi="th-TH"/>
              </w:rPr>
              <w:t>por</w:t>
            </w:r>
            <w:proofErr w:type="gramEnd"/>
            <w:r>
              <w:rPr>
                <w:i/>
                <w:sz w:val="16"/>
                <w:szCs w:val="16"/>
                <w:lang w:bidi="th-TH"/>
              </w:rPr>
              <w:t xml:space="preserve"> prog.</w:t>
            </w:r>
            <w:r w:rsidRPr="00DA5950">
              <w:rPr>
                <w:i/>
                <w:sz w:val="16"/>
                <w:szCs w:val="16"/>
                <w:lang w:bidi="th-TH"/>
              </w:rPr>
              <w:t xml:space="preserve"> 2014/15:</w:t>
            </w:r>
            <w:r>
              <w:rPr>
                <w:sz w:val="16"/>
                <w:szCs w:val="16"/>
                <w:lang w:bidi="th-TH"/>
              </w:rPr>
              <w:t xml:space="preserve">  por determinar</w:t>
            </w:r>
          </w:p>
        </w:tc>
        <w:tc>
          <w:tcPr>
            <w:tcW w:w="1797" w:type="dxa"/>
            <w:gridSpan w:val="3"/>
            <w:tcBorders>
              <w:top w:val="nil"/>
              <w:left w:val="nil"/>
              <w:bottom w:val="single" w:sz="4" w:space="0" w:color="auto"/>
              <w:right w:val="nil"/>
            </w:tcBorders>
            <w:shd w:val="clear" w:color="auto" w:fill="auto"/>
            <w:tcMar>
              <w:top w:w="110" w:type="dxa"/>
            </w:tcMar>
          </w:tcPr>
          <w:p w:rsidR="0095318C" w:rsidRPr="00DA5950" w:rsidRDefault="0095318C" w:rsidP="00DC1333">
            <w:pPr>
              <w:pStyle w:val="Default"/>
              <w:rPr>
                <w:rFonts w:eastAsia="Times New Roman"/>
                <w:color w:val="auto"/>
                <w:sz w:val="16"/>
                <w:szCs w:val="16"/>
                <w:lang w:val="es-ES" w:eastAsia="en-US"/>
              </w:rPr>
            </w:pPr>
            <w:r w:rsidRPr="00DA5950">
              <w:rPr>
                <w:rFonts w:eastAsia="Times New Roman"/>
                <w:i/>
                <w:color w:val="auto"/>
                <w:sz w:val="16"/>
                <w:szCs w:val="16"/>
                <w:lang w:val="es-ES" w:eastAsia="en-US"/>
              </w:rPr>
              <w:t xml:space="preserve">Objetivo definido:  </w:t>
            </w:r>
            <w:r w:rsidRPr="00DA5950">
              <w:rPr>
                <w:rFonts w:eastAsia="Times New Roman"/>
                <w:color w:val="auto"/>
                <w:sz w:val="16"/>
                <w:szCs w:val="16"/>
                <w:lang w:val="es-ES" w:eastAsia="en-US"/>
              </w:rPr>
              <w:t>3</w:t>
            </w:r>
          </w:p>
          <w:p w:rsidR="0095318C" w:rsidRPr="00DA5950" w:rsidRDefault="0095318C" w:rsidP="00DC1333">
            <w:pPr>
              <w:pStyle w:val="Default"/>
              <w:rPr>
                <w:rFonts w:eastAsia="Times New Roman"/>
                <w:color w:val="auto"/>
                <w:sz w:val="16"/>
                <w:szCs w:val="16"/>
                <w:lang w:val="es-ES" w:eastAsia="en-US"/>
              </w:rPr>
            </w:pPr>
          </w:p>
          <w:p w:rsidR="0095318C" w:rsidRPr="00DA5950" w:rsidRDefault="0095318C" w:rsidP="00DC1333">
            <w:pPr>
              <w:rPr>
                <w:sz w:val="16"/>
                <w:szCs w:val="16"/>
                <w:lang w:bidi="th-TH"/>
              </w:rPr>
            </w:pPr>
            <w:r>
              <w:rPr>
                <w:i/>
                <w:sz w:val="16"/>
                <w:szCs w:val="16"/>
              </w:rPr>
              <w:t>Objetivo original en el presupuesto</w:t>
            </w:r>
            <w:r w:rsidRPr="00DA5950">
              <w:rPr>
                <w:i/>
                <w:sz w:val="16"/>
                <w:szCs w:val="16"/>
              </w:rPr>
              <w:t xml:space="preserve"> 2014/15: </w:t>
            </w:r>
            <w:r>
              <w:rPr>
                <w:i/>
                <w:sz w:val="16"/>
                <w:szCs w:val="16"/>
              </w:rPr>
              <w:t xml:space="preserve"> </w:t>
            </w:r>
            <w:r w:rsidRPr="00DA5950">
              <w:rPr>
                <w:iCs/>
                <w:sz w:val="16"/>
                <w:szCs w:val="16"/>
              </w:rPr>
              <w:t>por determinar</w:t>
            </w:r>
          </w:p>
        </w:tc>
        <w:tc>
          <w:tcPr>
            <w:tcW w:w="2551" w:type="dxa"/>
            <w:gridSpan w:val="5"/>
            <w:tcBorders>
              <w:top w:val="nil"/>
              <w:left w:val="nil"/>
              <w:bottom w:val="single" w:sz="4" w:space="0" w:color="auto"/>
              <w:right w:val="nil"/>
            </w:tcBorders>
            <w:shd w:val="clear" w:color="auto" w:fill="FFFFFF"/>
            <w:tcMar>
              <w:top w:w="110" w:type="dxa"/>
            </w:tcMar>
          </w:tcPr>
          <w:p w:rsidR="0095318C" w:rsidRPr="00DA5950" w:rsidRDefault="0095318C">
            <w:pPr>
              <w:spacing w:line="276" w:lineRule="auto"/>
              <w:rPr>
                <w:color w:val="000000" w:themeColor="text1"/>
                <w:sz w:val="16"/>
                <w:szCs w:val="16"/>
              </w:rPr>
            </w:pPr>
            <w:r>
              <w:rPr>
                <w:color w:val="000000" w:themeColor="text1"/>
                <w:sz w:val="16"/>
                <w:szCs w:val="16"/>
              </w:rPr>
              <w:t>Promedio general:  2,</w:t>
            </w:r>
            <w:r w:rsidRPr="00DA5950">
              <w:rPr>
                <w:color w:val="000000" w:themeColor="text1"/>
                <w:sz w:val="16"/>
                <w:szCs w:val="16"/>
              </w:rPr>
              <w:t>9</w:t>
            </w:r>
          </w:p>
          <w:p w:rsidR="0095318C" w:rsidRPr="00DA5950" w:rsidRDefault="0095318C" w:rsidP="0095318C">
            <w:pPr>
              <w:pStyle w:val="ListParagraph"/>
              <w:numPr>
                <w:ilvl w:val="0"/>
                <w:numId w:val="54"/>
              </w:numPr>
              <w:spacing w:line="276" w:lineRule="auto"/>
              <w:rPr>
                <w:color w:val="000000" w:themeColor="text1"/>
                <w:sz w:val="16"/>
                <w:szCs w:val="16"/>
              </w:rPr>
            </w:pPr>
            <w:r>
              <w:rPr>
                <w:color w:val="000000" w:themeColor="text1"/>
                <w:sz w:val="16"/>
                <w:szCs w:val="16"/>
              </w:rPr>
              <w:t>África:  2,</w:t>
            </w:r>
            <w:r w:rsidRPr="00DA5950">
              <w:rPr>
                <w:color w:val="000000" w:themeColor="text1"/>
                <w:sz w:val="16"/>
                <w:szCs w:val="16"/>
              </w:rPr>
              <w:t>9</w:t>
            </w:r>
          </w:p>
          <w:p w:rsidR="0095318C" w:rsidRPr="00DA5950" w:rsidRDefault="0095318C" w:rsidP="0095318C">
            <w:pPr>
              <w:pStyle w:val="ListParagraph"/>
              <w:numPr>
                <w:ilvl w:val="0"/>
                <w:numId w:val="54"/>
              </w:numPr>
              <w:spacing w:line="276" w:lineRule="auto"/>
              <w:rPr>
                <w:color w:val="000000" w:themeColor="text1"/>
                <w:sz w:val="16"/>
                <w:szCs w:val="16"/>
              </w:rPr>
            </w:pPr>
            <w:r>
              <w:rPr>
                <w:color w:val="000000" w:themeColor="text1"/>
                <w:sz w:val="16"/>
                <w:szCs w:val="16"/>
              </w:rPr>
              <w:t>Región árabe:  2,</w:t>
            </w:r>
            <w:r w:rsidRPr="00DA5950">
              <w:rPr>
                <w:color w:val="000000" w:themeColor="text1"/>
                <w:sz w:val="16"/>
                <w:szCs w:val="16"/>
              </w:rPr>
              <w:t>8</w:t>
            </w:r>
          </w:p>
          <w:p w:rsidR="0095318C" w:rsidRPr="003C4694" w:rsidRDefault="0095318C" w:rsidP="0095318C">
            <w:pPr>
              <w:pStyle w:val="ListParagraph"/>
              <w:numPr>
                <w:ilvl w:val="0"/>
                <w:numId w:val="54"/>
              </w:numPr>
              <w:spacing w:line="276" w:lineRule="auto"/>
              <w:rPr>
                <w:color w:val="000000" w:themeColor="text1"/>
                <w:sz w:val="16"/>
                <w:szCs w:val="16"/>
                <w:lang w:val="es-ES"/>
              </w:rPr>
            </w:pPr>
            <w:r>
              <w:rPr>
                <w:color w:val="000000" w:themeColor="text1"/>
                <w:sz w:val="16"/>
                <w:szCs w:val="16"/>
              </w:rPr>
              <w:t>Asia y el Pacífico</w:t>
            </w:r>
            <w:r w:rsidRPr="00DA5950">
              <w:rPr>
                <w:color w:val="000000" w:themeColor="text1"/>
                <w:sz w:val="16"/>
                <w:szCs w:val="16"/>
              </w:rPr>
              <w:t xml:space="preserve">:  </w:t>
            </w:r>
            <w:r>
              <w:rPr>
                <w:color w:val="000000" w:themeColor="text1"/>
                <w:sz w:val="16"/>
                <w:szCs w:val="16"/>
                <w:lang w:val="es-ES"/>
              </w:rPr>
              <w:t>2,</w:t>
            </w:r>
            <w:r w:rsidRPr="003C4694">
              <w:rPr>
                <w:color w:val="000000" w:themeColor="text1"/>
                <w:sz w:val="16"/>
                <w:szCs w:val="16"/>
                <w:lang w:val="es-ES"/>
              </w:rPr>
              <w:t>7</w:t>
            </w:r>
          </w:p>
          <w:p w:rsidR="0095318C" w:rsidRPr="00DA5950" w:rsidRDefault="0095318C" w:rsidP="0095318C">
            <w:pPr>
              <w:pStyle w:val="ListParagraph"/>
              <w:numPr>
                <w:ilvl w:val="0"/>
                <w:numId w:val="54"/>
              </w:numPr>
              <w:spacing w:line="276" w:lineRule="auto"/>
              <w:rPr>
                <w:color w:val="000000" w:themeColor="text1"/>
                <w:sz w:val="16"/>
                <w:szCs w:val="16"/>
                <w:lang w:val="es-ES"/>
              </w:rPr>
            </w:pPr>
            <w:r w:rsidRPr="00DA5950">
              <w:rPr>
                <w:color w:val="000000" w:themeColor="text1"/>
                <w:sz w:val="16"/>
                <w:szCs w:val="16"/>
                <w:lang w:val="es-ES"/>
              </w:rPr>
              <w:t>América Latina y el Caribe:  3</w:t>
            </w:r>
          </w:p>
          <w:p w:rsidR="0095318C" w:rsidRPr="00DA5950" w:rsidRDefault="0095318C" w:rsidP="00DC1333">
            <w:pPr>
              <w:rPr>
                <w:sz w:val="16"/>
                <w:szCs w:val="16"/>
                <w:lang w:bidi="th-TH"/>
              </w:rPr>
            </w:pPr>
          </w:p>
        </w:tc>
        <w:tc>
          <w:tcPr>
            <w:tcW w:w="1278" w:type="dxa"/>
            <w:tcBorders>
              <w:top w:val="nil"/>
              <w:left w:val="nil"/>
              <w:bottom w:val="single" w:sz="4" w:space="0" w:color="auto"/>
              <w:right w:val="single" w:sz="4" w:space="0" w:color="auto"/>
            </w:tcBorders>
            <w:shd w:val="clear" w:color="auto" w:fill="auto"/>
            <w:tcMar>
              <w:top w:w="110" w:type="dxa"/>
            </w:tcMar>
          </w:tcPr>
          <w:p w:rsidR="0095318C" w:rsidRPr="003C4694" w:rsidRDefault="0095318C" w:rsidP="00DC1333">
            <w:pPr>
              <w:keepNext/>
              <w:keepLines/>
              <w:jc w:val="center"/>
              <w:rPr>
                <w:b/>
                <w:bCs/>
                <w:sz w:val="16"/>
                <w:szCs w:val="16"/>
              </w:rPr>
            </w:pPr>
            <w:r w:rsidRPr="004B265E">
              <w:rPr>
                <w:b/>
                <w:bCs/>
                <w:color w:val="00B050"/>
                <w:sz w:val="14"/>
                <w:szCs w:val="14"/>
              </w:rPr>
              <w:t>Plenamente logrado</w:t>
            </w:r>
          </w:p>
        </w:tc>
      </w:tr>
    </w:tbl>
    <w:p w:rsidR="0095318C" w:rsidRDefault="0095318C" w:rsidP="00DC1333"/>
    <w:p w:rsidR="0095318C" w:rsidRDefault="0095318C" w:rsidP="00DC1333"/>
    <w:p w:rsidR="0095318C" w:rsidRPr="003C4694" w:rsidRDefault="008F7CBE" w:rsidP="00377FD8">
      <w:pPr>
        <w:keepNext/>
      </w:pPr>
      <w:r w:rsidRPr="008F7CBE">
        <w:rPr>
          <w:color w:val="000000"/>
          <w:sz w:val="20"/>
          <w:szCs w:val="22"/>
        </w:rPr>
        <w:lastRenderedPageBreak/>
        <w:t>INFORMACIÓN SOBRE LOS RIESGOS PLANTEADOS EN EL BIENIO</w:t>
      </w:r>
    </w:p>
    <w:p w:rsidR="0095318C" w:rsidRPr="003C4694" w:rsidRDefault="0095318C" w:rsidP="00377FD8">
      <w:pPr>
        <w:keepNext/>
        <w:rPr>
          <w:b/>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95318C" w:rsidRPr="003131FE" w:rsidTr="00DC1333">
        <w:trPr>
          <w:trHeight w:val="900"/>
        </w:trPr>
        <w:tc>
          <w:tcPr>
            <w:tcW w:w="2420" w:type="dxa"/>
            <w:tcBorders>
              <w:top w:val="single" w:sz="4" w:space="0" w:color="auto"/>
              <w:bottom w:val="single" w:sz="4" w:space="0" w:color="auto"/>
            </w:tcBorders>
            <w:shd w:val="clear" w:color="auto" w:fill="C6D9F1" w:themeFill="text2" w:themeFillTint="33"/>
            <w:vAlign w:val="center"/>
          </w:tcPr>
          <w:p w:rsidR="0095318C" w:rsidRPr="00D1141E" w:rsidRDefault="0095318C" w:rsidP="00377FD8">
            <w:pPr>
              <w:keepNext/>
              <w:autoSpaceDE w:val="0"/>
              <w:autoSpaceDN w:val="0"/>
              <w:adjustRightInd w:val="0"/>
              <w:ind w:right="-59"/>
              <w:jc w:val="center"/>
              <w:rPr>
                <w:b/>
                <w:sz w:val="18"/>
                <w:szCs w:val="18"/>
              </w:rPr>
            </w:pPr>
            <w:r w:rsidRPr="00D1141E">
              <w:rPr>
                <w:b/>
                <w:sz w:val="18"/>
                <w:szCs w:val="18"/>
              </w:rPr>
              <w:t>Riesgo</w:t>
            </w:r>
            <w:r>
              <w:rPr>
                <w:b/>
                <w:sz w:val="18"/>
                <w:szCs w:val="18"/>
              </w:rPr>
              <w:t>s</w:t>
            </w:r>
            <w:r w:rsidRPr="00D1141E">
              <w:rPr>
                <w:b/>
                <w:sz w:val="18"/>
                <w:szCs w:val="18"/>
              </w:rPr>
              <w:t xml:space="preserve">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95318C" w:rsidRPr="00D1141E" w:rsidRDefault="0095318C" w:rsidP="00377FD8">
            <w:pPr>
              <w:keepNext/>
              <w:autoSpaceDE w:val="0"/>
              <w:autoSpaceDN w:val="0"/>
              <w:adjustRightInd w:val="0"/>
              <w:ind w:right="-59"/>
              <w:jc w:val="center"/>
              <w:rPr>
                <w:b/>
                <w:sz w:val="18"/>
                <w:szCs w:val="18"/>
              </w:rPr>
            </w:pPr>
            <w:r w:rsidRPr="00D1141E">
              <w:rPr>
                <w:b/>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vAlign w:val="center"/>
          </w:tcPr>
          <w:p w:rsidR="0095318C" w:rsidRPr="00D1141E" w:rsidRDefault="0095318C" w:rsidP="00377FD8">
            <w:pPr>
              <w:keepNext/>
              <w:jc w:val="center"/>
              <w:rPr>
                <w:b/>
                <w:bCs/>
                <w:sz w:val="18"/>
                <w:szCs w:val="18"/>
              </w:rPr>
            </w:pPr>
            <w:r>
              <w:rPr>
                <w:b/>
                <w:bCs/>
                <w:sz w:val="18"/>
                <w:szCs w:val="18"/>
              </w:rPr>
              <w:t>Evolución de los riesgos</w:t>
            </w:r>
            <w:r w:rsidRPr="00D1141E">
              <w:rPr>
                <w:b/>
                <w:bCs/>
                <w:sz w:val="18"/>
                <w:szCs w:val="18"/>
              </w:rPr>
              <w:t xml:space="preserve"> y estrategias </w:t>
            </w:r>
            <w:r>
              <w:rPr>
                <w:b/>
                <w:bCs/>
                <w:sz w:val="18"/>
                <w:szCs w:val="18"/>
              </w:rPr>
              <w:t>de</w:t>
            </w:r>
            <w:r w:rsidRPr="00D1141E">
              <w:rPr>
                <w:b/>
                <w:bCs/>
                <w:sz w:val="18"/>
                <w:szCs w:val="18"/>
              </w:rPr>
              <w:t xml:space="preserve"> mitigaci</w:t>
            </w:r>
            <w:r>
              <w:rPr>
                <w:b/>
                <w:bCs/>
                <w:sz w:val="18"/>
                <w:szCs w:val="18"/>
              </w:rPr>
              <w:t>ón durante el bienio</w:t>
            </w:r>
          </w:p>
        </w:tc>
        <w:tc>
          <w:tcPr>
            <w:tcW w:w="2306" w:type="dxa"/>
            <w:tcBorders>
              <w:top w:val="single" w:sz="4" w:space="0" w:color="auto"/>
              <w:bottom w:val="single" w:sz="4" w:space="0" w:color="auto"/>
            </w:tcBorders>
            <w:shd w:val="clear" w:color="auto" w:fill="C6D9F1" w:themeFill="text2" w:themeFillTint="33"/>
            <w:vAlign w:val="center"/>
          </w:tcPr>
          <w:p w:rsidR="0095318C" w:rsidRPr="005342C1" w:rsidRDefault="0095318C" w:rsidP="00377FD8">
            <w:pPr>
              <w:keepNext/>
              <w:jc w:val="center"/>
              <w:rPr>
                <w:b/>
                <w:bCs/>
                <w:sz w:val="18"/>
                <w:szCs w:val="18"/>
              </w:rPr>
            </w:pPr>
            <w:r>
              <w:rPr>
                <w:b/>
                <w:bCs/>
                <w:sz w:val="18"/>
                <w:szCs w:val="18"/>
              </w:rPr>
              <w:t>Incidencia</w:t>
            </w:r>
            <w:r w:rsidRPr="005342C1">
              <w:rPr>
                <w:b/>
                <w:bCs/>
                <w:sz w:val="18"/>
                <w:szCs w:val="18"/>
              </w:rPr>
              <w:t xml:space="preserve"> </w:t>
            </w:r>
            <w:r>
              <w:rPr>
                <w:b/>
                <w:bCs/>
                <w:sz w:val="18"/>
                <w:szCs w:val="18"/>
              </w:rPr>
              <w:t xml:space="preserve">en </w:t>
            </w:r>
            <w:r w:rsidRPr="005342C1">
              <w:rPr>
                <w:b/>
                <w:bCs/>
                <w:sz w:val="18"/>
                <w:szCs w:val="18"/>
              </w:rPr>
              <w:t>el rendimiento del programa</w:t>
            </w:r>
          </w:p>
        </w:tc>
      </w:tr>
      <w:tr w:rsidR="0095318C" w:rsidRPr="003131FE" w:rsidTr="00DC1333">
        <w:trPr>
          <w:trHeight w:val="1456"/>
        </w:trPr>
        <w:tc>
          <w:tcPr>
            <w:tcW w:w="2420" w:type="dxa"/>
            <w:tcBorders>
              <w:top w:val="single" w:sz="4" w:space="0" w:color="auto"/>
            </w:tcBorders>
            <w:shd w:val="clear" w:color="auto" w:fill="auto"/>
            <w:tcMar>
              <w:top w:w="113" w:type="dxa"/>
              <w:bottom w:w="85" w:type="dxa"/>
            </w:tcMar>
          </w:tcPr>
          <w:p w:rsidR="0095318C" w:rsidRPr="005342C1" w:rsidRDefault="0095318C" w:rsidP="00377FD8">
            <w:pPr>
              <w:keepNext/>
              <w:autoSpaceDE w:val="0"/>
              <w:autoSpaceDN w:val="0"/>
              <w:adjustRightInd w:val="0"/>
              <w:ind w:right="-59"/>
              <w:rPr>
                <w:sz w:val="16"/>
                <w:szCs w:val="16"/>
              </w:rPr>
            </w:pPr>
            <w:r w:rsidRPr="005342C1">
              <w:rPr>
                <w:sz w:val="16"/>
                <w:szCs w:val="16"/>
              </w:rPr>
              <w:t xml:space="preserve">Riesgo de inestabilidad política en los Estados miembros expuestos </w:t>
            </w:r>
            <w:r w:rsidRPr="00992AF7">
              <w:rPr>
                <w:sz w:val="16"/>
                <w:szCs w:val="16"/>
              </w:rPr>
              <w:t>a un alto riesgo de seguridad, que puede ocasionar la cancelación</w:t>
            </w:r>
            <w:r w:rsidRPr="005342C1">
              <w:rPr>
                <w:sz w:val="16"/>
                <w:szCs w:val="16"/>
              </w:rPr>
              <w:t xml:space="preserve"> de algunas actividades o retrasos en la prestación de asistencia técnica, obstaculizando la plena consecución de los resultados previstos en el programa 9</w:t>
            </w:r>
          </w:p>
        </w:tc>
        <w:tc>
          <w:tcPr>
            <w:tcW w:w="2200" w:type="dxa"/>
            <w:tcBorders>
              <w:top w:val="single" w:sz="4" w:space="0" w:color="auto"/>
            </w:tcBorders>
            <w:shd w:val="clear" w:color="auto" w:fill="auto"/>
            <w:tcMar>
              <w:top w:w="113" w:type="dxa"/>
              <w:bottom w:w="85" w:type="dxa"/>
            </w:tcMar>
          </w:tcPr>
          <w:p w:rsidR="0095318C" w:rsidRDefault="0095318C" w:rsidP="00377FD8">
            <w:pPr>
              <w:keepNext/>
              <w:autoSpaceDE w:val="0"/>
              <w:autoSpaceDN w:val="0"/>
              <w:adjustRightInd w:val="0"/>
              <w:ind w:right="-59"/>
              <w:rPr>
                <w:sz w:val="16"/>
                <w:szCs w:val="16"/>
              </w:rPr>
            </w:pPr>
            <w:r w:rsidRPr="005342C1">
              <w:rPr>
                <w:sz w:val="16"/>
                <w:szCs w:val="16"/>
              </w:rPr>
              <w:t>i) Ejecución de una adecuada evaluación de riesgos y formulación de los planes y las actividades anuales del país teni</w:t>
            </w:r>
            <w:r>
              <w:rPr>
                <w:sz w:val="16"/>
                <w:szCs w:val="16"/>
              </w:rPr>
              <w:t>endo en cuenta dicha evaluación</w:t>
            </w:r>
          </w:p>
          <w:p w:rsidR="0095318C" w:rsidRPr="005342C1" w:rsidRDefault="0095318C" w:rsidP="00377FD8">
            <w:pPr>
              <w:keepNext/>
              <w:autoSpaceDE w:val="0"/>
              <w:autoSpaceDN w:val="0"/>
              <w:adjustRightInd w:val="0"/>
              <w:ind w:right="-59"/>
              <w:rPr>
                <w:sz w:val="16"/>
                <w:szCs w:val="16"/>
              </w:rPr>
            </w:pPr>
            <w:r w:rsidRPr="005342C1">
              <w:rPr>
                <w:sz w:val="16"/>
                <w:szCs w:val="16"/>
              </w:rPr>
              <w:br/>
              <w:t>ii) Continua supervisión, junto con la oficina de P.I. y las partes interesadas, a fin de elaborar planes alternativos</w:t>
            </w:r>
          </w:p>
        </w:tc>
        <w:tc>
          <w:tcPr>
            <w:tcW w:w="2310" w:type="dxa"/>
            <w:tcBorders>
              <w:top w:val="single" w:sz="4" w:space="0" w:color="auto"/>
            </w:tcBorders>
          </w:tcPr>
          <w:p w:rsidR="0095318C" w:rsidRPr="00631CC4" w:rsidRDefault="0095318C" w:rsidP="00377FD8">
            <w:pPr>
              <w:keepNext/>
              <w:autoSpaceDE w:val="0"/>
              <w:autoSpaceDN w:val="0"/>
              <w:adjustRightInd w:val="0"/>
              <w:ind w:right="-59"/>
              <w:rPr>
                <w:sz w:val="16"/>
                <w:szCs w:val="16"/>
                <w:highlight w:val="green"/>
              </w:rPr>
            </w:pPr>
            <w:r w:rsidRPr="00DA5950">
              <w:rPr>
                <w:sz w:val="16"/>
                <w:szCs w:val="16"/>
              </w:rPr>
              <w:t>El riesgo se materializó a causa de situaciones nacionales delicadas y continuos cambios estructurales en las instituciones de P.</w:t>
            </w:r>
            <w:r>
              <w:rPr>
                <w:sz w:val="16"/>
                <w:szCs w:val="16"/>
              </w:rPr>
              <w:t xml:space="preserve">I. de ciertos países árabes.  </w:t>
            </w:r>
            <w:r w:rsidRPr="008A6FCA">
              <w:rPr>
                <w:sz w:val="16"/>
                <w:szCs w:val="16"/>
              </w:rPr>
              <w:t xml:space="preserve">Hasta cierto punto, las </w:t>
            </w:r>
            <w:r w:rsidRPr="00992AF7">
              <w:rPr>
                <w:sz w:val="16"/>
                <w:szCs w:val="16"/>
              </w:rPr>
              <w:t>medidas de mitigación de riesgos</w:t>
            </w:r>
            <w:r w:rsidRPr="008A6FCA">
              <w:rPr>
                <w:sz w:val="16"/>
                <w:szCs w:val="16"/>
              </w:rPr>
              <w:t xml:space="preserve"> consiguieron brindar opciones alternativas para la prestaci</w:t>
            </w:r>
            <w:r>
              <w:rPr>
                <w:sz w:val="16"/>
                <w:szCs w:val="16"/>
              </w:rPr>
              <w:t>ón de as</w:t>
            </w:r>
            <w:r w:rsidRPr="008A6FCA">
              <w:rPr>
                <w:sz w:val="16"/>
                <w:szCs w:val="16"/>
              </w:rPr>
              <w:t>i</w:t>
            </w:r>
            <w:r>
              <w:rPr>
                <w:sz w:val="16"/>
                <w:szCs w:val="16"/>
              </w:rPr>
              <w:t>s</w:t>
            </w:r>
            <w:r w:rsidRPr="008A6FCA">
              <w:rPr>
                <w:sz w:val="16"/>
                <w:szCs w:val="16"/>
              </w:rPr>
              <w:t>tencia t</w:t>
            </w:r>
            <w:r>
              <w:rPr>
                <w:sz w:val="16"/>
                <w:szCs w:val="16"/>
              </w:rPr>
              <w:t>écnica en consulta con las autoridades pertinentes.</w:t>
            </w:r>
            <w:r w:rsidRPr="008A6FCA">
              <w:rPr>
                <w:sz w:val="16"/>
                <w:szCs w:val="16"/>
              </w:rPr>
              <w:t xml:space="preserve"> </w:t>
            </w:r>
          </w:p>
        </w:tc>
        <w:tc>
          <w:tcPr>
            <w:tcW w:w="2306" w:type="dxa"/>
            <w:tcBorders>
              <w:top w:val="single" w:sz="4" w:space="0" w:color="auto"/>
            </w:tcBorders>
          </w:tcPr>
          <w:p w:rsidR="0095318C" w:rsidRPr="00DB2A62" w:rsidRDefault="0095318C" w:rsidP="00377FD8">
            <w:pPr>
              <w:keepNext/>
              <w:autoSpaceDE w:val="0"/>
              <w:autoSpaceDN w:val="0"/>
              <w:adjustRightInd w:val="0"/>
              <w:ind w:right="-59"/>
              <w:rPr>
                <w:sz w:val="16"/>
                <w:szCs w:val="16"/>
                <w:highlight w:val="green"/>
              </w:rPr>
            </w:pPr>
            <w:r w:rsidRPr="00DB2A62">
              <w:rPr>
                <w:sz w:val="16"/>
                <w:szCs w:val="16"/>
              </w:rPr>
              <w:t xml:space="preserve">Las medidas de mitigación no lograron abordar </w:t>
            </w:r>
            <w:r>
              <w:rPr>
                <w:sz w:val="16"/>
                <w:szCs w:val="16"/>
              </w:rPr>
              <w:t xml:space="preserve">plenamente la incidencia </w:t>
            </w:r>
            <w:r w:rsidRPr="00DB2A62">
              <w:rPr>
                <w:sz w:val="16"/>
                <w:szCs w:val="16"/>
              </w:rPr>
              <w:t xml:space="preserve">del riesgo, lo que dio lugar a que ciertos objetivos no se lograran o solo se lograran en parte, y al aplazamiento y/o la </w:t>
            </w:r>
            <w:r w:rsidRPr="00992AF7">
              <w:rPr>
                <w:sz w:val="16"/>
                <w:szCs w:val="16"/>
              </w:rPr>
              <w:t>modificación del diseño</w:t>
            </w:r>
            <w:r w:rsidRPr="00DB2A62">
              <w:rPr>
                <w:sz w:val="16"/>
                <w:szCs w:val="16"/>
              </w:rPr>
              <w:t xml:space="preserve"> de</w:t>
            </w:r>
            <w:r>
              <w:rPr>
                <w:sz w:val="16"/>
                <w:szCs w:val="16"/>
              </w:rPr>
              <w:t xml:space="preserve"> las iniciativas destinadas a prestar asistencia técnica</w:t>
            </w:r>
          </w:p>
        </w:tc>
      </w:tr>
      <w:tr w:rsidR="0095318C" w:rsidRPr="003131FE" w:rsidTr="00DC1333">
        <w:trPr>
          <w:trHeight w:val="1508"/>
        </w:trPr>
        <w:tc>
          <w:tcPr>
            <w:tcW w:w="2420" w:type="dxa"/>
            <w:shd w:val="clear" w:color="auto" w:fill="auto"/>
            <w:tcMar>
              <w:top w:w="113" w:type="dxa"/>
              <w:bottom w:w="85" w:type="dxa"/>
            </w:tcMar>
          </w:tcPr>
          <w:p w:rsidR="0095318C" w:rsidRPr="005342C1" w:rsidRDefault="0095318C" w:rsidP="00DC1333">
            <w:pPr>
              <w:keepNext/>
              <w:keepLines/>
              <w:autoSpaceDE w:val="0"/>
              <w:autoSpaceDN w:val="0"/>
              <w:adjustRightInd w:val="0"/>
              <w:ind w:right="-59"/>
              <w:rPr>
                <w:sz w:val="16"/>
                <w:szCs w:val="16"/>
              </w:rPr>
            </w:pPr>
            <w:r w:rsidRPr="005342C1">
              <w:rPr>
                <w:sz w:val="16"/>
                <w:szCs w:val="16"/>
              </w:rPr>
              <w:t>Cambios políticos que podrían producir cambios en las políticas de P.I. de los países y los gobiernos o los altos directivos de las oficinas de P.I., lo que, a su vez, podría dar lugar a la revisión de los planes de trabajo de los países afectados y reducir o retrasar la prestación de servicios, incidiendo negativamente en la consecuc</w:t>
            </w:r>
            <w:r>
              <w:rPr>
                <w:sz w:val="16"/>
                <w:szCs w:val="16"/>
              </w:rPr>
              <w:t>ión de los resultados previstos</w:t>
            </w:r>
          </w:p>
        </w:tc>
        <w:tc>
          <w:tcPr>
            <w:tcW w:w="2200" w:type="dxa"/>
            <w:shd w:val="clear" w:color="auto" w:fill="auto"/>
            <w:tcMar>
              <w:top w:w="113" w:type="dxa"/>
              <w:bottom w:w="85" w:type="dxa"/>
            </w:tcMar>
          </w:tcPr>
          <w:p w:rsidR="0095318C" w:rsidRDefault="0095318C" w:rsidP="00DC1333">
            <w:pPr>
              <w:keepNext/>
              <w:keepLines/>
              <w:autoSpaceDE w:val="0"/>
              <w:autoSpaceDN w:val="0"/>
              <w:adjustRightInd w:val="0"/>
              <w:ind w:right="-59"/>
              <w:rPr>
                <w:sz w:val="16"/>
                <w:szCs w:val="16"/>
              </w:rPr>
            </w:pPr>
            <w:r w:rsidRPr="005342C1">
              <w:rPr>
                <w:sz w:val="16"/>
                <w:szCs w:val="16"/>
              </w:rPr>
              <w:t>i) Mantenimiento de la flexibilidad para efectuar ajustes ocasionales en los planes de trabajo de lo</w:t>
            </w:r>
            <w:r>
              <w:rPr>
                <w:sz w:val="16"/>
                <w:szCs w:val="16"/>
              </w:rPr>
              <w:t>s distintos países</w:t>
            </w:r>
          </w:p>
          <w:p w:rsidR="0095318C" w:rsidRPr="005342C1" w:rsidRDefault="0095318C" w:rsidP="00DC1333">
            <w:pPr>
              <w:keepNext/>
              <w:keepLines/>
              <w:autoSpaceDE w:val="0"/>
              <w:autoSpaceDN w:val="0"/>
              <w:adjustRightInd w:val="0"/>
              <w:ind w:right="-59"/>
              <w:rPr>
                <w:sz w:val="16"/>
                <w:szCs w:val="16"/>
              </w:rPr>
            </w:pPr>
            <w:r w:rsidRPr="005342C1">
              <w:rPr>
                <w:sz w:val="16"/>
                <w:szCs w:val="16"/>
              </w:rPr>
              <w:br/>
              <w:t>ii) Fomento y facilitación del consenso en estrategias de P.I. y planes de trabajo nacionales</w:t>
            </w:r>
          </w:p>
        </w:tc>
        <w:tc>
          <w:tcPr>
            <w:tcW w:w="2310" w:type="dxa"/>
          </w:tcPr>
          <w:p w:rsidR="0095318C" w:rsidRPr="008A6FCA" w:rsidRDefault="0095318C" w:rsidP="00DC1333">
            <w:pPr>
              <w:keepNext/>
              <w:keepLines/>
              <w:autoSpaceDE w:val="0"/>
              <w:autoSpaceDN w:val="0"/>
              <w:adjustRightInd w:val="0"/>
              <w:ind w:right="-59"/>
              <w:rPr>
                <w:sz w:val="16"/>
                <w:szCs w:val="16"/>
                <w:highlight w:val="green"/>
              </w:rPr>
            </w:pPr>
            <w:r w:rsidRPr="008A6FCA">
              <w:rPr>
                <w:sz w:val="16"/>
                <w:szCs w:val="16"/>
              </w:rPr>
              <w:t xml:space="preserve">El riesgo se </w:t>
            </w:r>
            <w:r>
              <w:rPr>
                <w:sz w:val="16"/>
                <w:szCs w:val="16"/>
              </w:rPr>
              <w:t>materializó</w:t>
            </w:r>
            <w:r w:rsidRPr="008A6FCA">
              <w:rPr>
                <w:sz w:val="16"/>
                <w:szCs w:val="16"/>
              </w:rPr>
              <w:t xml:space="preserve"> en ciertos países.  Las medidas para mitigarlo</w:t>
            </w:r>
            <w:r>
              <w:rPr>
                <w:sz w:val="16"/>
                <w:szCs w:val="16"/>
              </w:rPr>
              <w:t xml:space="preserve"> abordaron ampliamente la incidencia</w:t>
            </w:r>
            <w:r w:rsidRPr="008A6FCA">
              <w:rPr>
                <w:sz w:val="16"/>
                <w:szCs w:val="16"/>
              </w:rPr>
              <w:t xml:space="preserve"> </w:t>
            </w:r>
            <w:r>
              <w:rPr>
                <w:sz w:val="16"/>
                <w:szCs w:val="16"/>
              </w:rPr>
              <w:t>negativa</w:t>
            </w:r>
            <w:r w:rsidRPr="008A6FCA">
              <w:rPr>
                <w:sz w:val="16"/>
                <w:szCs w:val="16"/>
              </w:rPr>
              <w:t xml:space="preserve"> sobr</w:t>
            </w:r>
            <w:r>
              <w:rPr>
                <w:sz w:val="16"/>
                <w:szCs w:val="16"/>
              </w:rPr>
              <w:t>e esa flexibilidad y el aumento d</w:t>
            </w:r>
            <w:r w:rsidRPr="008A6FCA">
              <w:rPr>
                <w:sz w:val="16"/>
                <w:szCs w:val="16"/>
              </w:rPr>
              <w:t>el di</w:t>
            </w:r>
            <w:r>
              <w:rPr>
                <w:sz w:val="16"/>
                <w:szCs w:val="16"/>
              </w:rPr>
              <w:t>álogo con los funcionarios recién nombrados facilitó los ajustes necesarios en estrategias de P.I. y planes de trabajo nacionales.</w:t>
            </w:r>
          </w:p>
        </w:tc>
        <w:tc>
          <w:tcPr>
            <w:tcW w:w="2306" w:type="dxa"/>
          </w:tcPr>
          <w:p w:rsidR="0095318C" w:rsidRPr="008A6FCA" w:rsidRDefault="0095318C" w:rsidP="00DC1333">
            <w:pPr>
              <w:keepNext/>
              <w:keepLines/>
              <w:autoSpaceDE w:val="0"/>
              <w:autoSpaceDN w:val="0"/>
              <w:adjustRightInd w:val="0"/>
              <w:ind w:right="-59"/>
              <w:rPr>
                <w:sz w:val="16"/>
                <w:szCs w:val="16"/>
                <w:highlight w:val="green"/>
              </w:rPr>
            </w:pPr>
            <w:r w:rsidRPr="008A6FCA">
              <w:rPr>
                <w:sz w:val="16"/>
                <w:szCs w:val="16"/>
              </w:rPr>
              <w:t>Las medidas de mitigación</w:t>
            </w:r>
            <w:r>
              <w:rPr>
                <w:sz w:val="16"/>
                <w:szCs w:val="16"/>
              </w:rPr>
              <w:t xml:space="preserve"> abordaron ampliamente la incidencia</w:t>
            </w:r>
            <w:r w:rsidRPr="008A6FCA">
              <w:rPr>
                <w:sz w:val="16"/>
                <w:szCs w:val="16"/>
              </w:rPr>
              <w:t xml:space="preserve"> so</w:t>
            </w:r>
            <w:r>
              <w:rPr>
                <w:sz w:val="16"/>
                <w:szCs w:val="16"/>
              </w:rPr>
              <w:t>bre el rendimiento del programa</w:t>
            </w:r>
          </w:p>
        </w:tc>
      </w:tr>
    </w:tbl>
    <w:p w:rsidR="0095318C" w:rsidRPr="008A6FCA" w:rsidRDefault="0095318C" w:rsidP="00DC1333">
      <w:pPr>
        <w:rPr>
          <w:szCs w:val="22"/>
        </w:rPr>
      </w:pPr>
    </w:p>
    <w:p w:rsidR="0095318C" w:rsidRPr="00A57B46" w:rsidRDefault="0095318C" w:rsidP="005A3359">
      <w:pPr>
        <w:keepNext/>
        <w:rPr>
          <w:szCs w:val="22"/>
        </w:rPr>
      </w:pPr>
    </w:p>
    <w:p w:rsidR="0095318C" w:rsidRPr="00A57B46" w:rsidRDefault="00403D2C" w:rsidP="005A3359">
      <w:pPr>
        <w:keepNext/>
        <w:rPr>
          <w:b/>
          <w:szCs w:val="22"/>
        </w:rPr>
      </w:pPr>
      <w:r w:rsidRPr="00403D2C">
        <w:rPr>
          <w:sz w:val="20"/>
          <w:szCs w:val="22"/>
        </w:rPr>
        <w:t>UTILIZACIÓN DE LOS RECURSOS</w:t>
      </w:r>
    </w:p>
    <w:p w:rsidR="0095318C" w:rsidRPr="00017A5E" w:rsidRDefault="0095318C" w:rsidP="005A3359">
      <w:pPr>
        <w:keepNext/>
      </w:pPr>
    </w:p>
    <w:p w:rsidR="0095318C" w:rsidRPr="00170721" w:rsidRDefault="0095318C" w:rsidP="005A3359">
      <w:pPr>
        <w:pStyle w:val="NormalWeb"/>
        <w:keepNext/>
        <w:spacing w:before="0" w:beforeAutospacing="0" w:after="0" w:afterAutospacing="0"/>
        <w:jc w:val="center"/>
        <w:rPr>
          <w:sz w:val="20"/>
          <w:szCs w:val="20"/>
          <w:lang w:val="es-ES"/>
        </w:rPr>
      </w:pPr>
      <w:r w:rsidRPr="00170721">
        <w:rPr>
          <w:sz w:val="20"/>
          <w:szCs w:val="20"/>
          <w:lang w:val="es-ES"/>
        </w:rPr>
        <w:t>Presupuesto y gasto</w:t>
      </w:r>
      <w:r>
        <w:rPr>
          <w:sz w:val="20"/>
          <w:szCs w:val="20"/>
          <w:lang w:val="es-ES"/>
        </w:rPr>
        <w:t>s</w:t>
      </w:r>
      <w:r w:rsidRPr="00170721">
        <w:rPr>
          <w:sz w:val="20"/>
          <w:szCs w:val="20"/>
          <w:lang w:val="es-ES"/>
        </w:rPr>
        <w:t xml:space="preserve"> reales (por resultado) </w:t>
      </w:r>
    </w:p>
    <w:p w:rsidR="0095318C" w:rsidRPr="00170721" w:rsidRDefault="0095318C" w:rsidP="005A3359">
      <w:pPr>
        <w:pStyle w:val="NormalWeb"/>
        <w:keepNext/>
        <w:spacing w:before="0" w:beforeAutospacing="0" w:after="0" w:afterAutospacing="0"/>
        <w:jc w:val="center"/>
        <w:rPr>
          <w:i/>
          <w:iCs/>
          <w:sz w:val="20"/>
          <w:szCs w:val="20"/>
          <w:lang w:val="es-ES"/>
        </w:rPr>
      </w:pPr>
      <w:r w:rsidRPr="00170721">
        <w:rPr>
          <w:i/>
          <w:iCs/>
          <w:sz w:val="20"/>
          <w:szCs w:val="20"/>
          <w:lang w:val="es-ES"/>
        </w:rPr>
        <w:t>(</w:t>
      </w:r>
      <w:proofErr w:type="gramStart"/>
      <w:r w:rsidRPr="00170721">
        <w:rPr>
          <w:i/>
          <w:iCs/>
          <w:sz w:val="20"/>
          <w:szCs w:val="20"/>
          <w:lang w:val="es-ES"/>
        </w:rPr>
        <w:t>en</w:t>
      </w:r>
      <w:proofErr w:type="gramEnd"/>
      <w:r w:rsidRPr="00170721">
        <w:rPr>
          <w:i/>
          <w:iCs/>
          <w:sz w:val="20"/>
          <w:szCs w:val="20"/>
          <w:lang w:val="es-ES"/>
        </w:rPr>
        <w:t xml:space="preserve"> miles de francos suizos)</w:t>
      </w:r>
    </w:p>
    <w:p w:rsidR="0095318C" w:rsidRPr="00170721" w:rsidRDefault="0095318C" w:rsidP="005A3359">
      <w:pPr>
        <w:keepNext/>
        <w:jc w:val="center"/>
        <w:rPr>
          <w:bCs/>
        </w:rPr>
      </w:pPr>
    </w:p>
    <w:p w:rsidR="0095318C" w:rsidRDefault="0095318C" w:rsidP="005A3359">
      <w:pPr>
        <w:keepNext/>
        <w:jc w:val="center"/>
        <w:rPr>
          <w:bCs/>
        </w:rPr>
      </w:pPr>
      <w:r>
        <w:rPr>
          <w:bCs/>
          <w:noProof/>
          <w:lang w:val="en-US" w:eastAsia="en-US"/>
        </w:rPr>
        <w:drawing>
          <wp:inline distT="0" distB="0" distL="0" distR="0" wp14:anchorId="242DEF8B" wp14:editId="114B6278">
            <wp:extent cx="5032075" cy="4313207"/>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32149" cy="4313271"/>
                    </a:xfrm>
                    <a:prstGeom prst="rect">
                      <a:avLst/>
                    </a:prstGeom>
                    <a:noFill/>
                    <a:ln>
                      <a:noFill/>
                    </a:ln>
                  </pic:spPr>
                </pic:pic>
              </a:graphicData>
            </a:graphic>
          </wp:inline>
        </w:drawing>
      </w:r>
    </w:p>
    <w:p w:rsidR="0095318C" w:rsidRPr="003C4694" w:rsidRDefault="0095318C" w:rsidP="00DC1333"/>
    <w:p w:rsidR="0095318C" w:rsidRPr="003C4694" w:rsidRDefault="0095318C" w:rsidP="00DC1333">
      <w:pPr>
        <w:pStyle w:val="NormalWeb"/>
        <w:keepNext/>
        <w:keepLines/>
        <w:spacing w:before="0" w:beforeAutospacing="0" w:after="0" w:afterAutospacing="0"/>
        <w:jc w:val="center"/>
        <w:rPr>
          <w:sz w:val="20"/>
          <w:szCs w:val="20"/>
          <w:lang w:val="es-ES"/>
        </w:rPr>
      </w:pPr>
    </w:p>
    <w:p w:rsidR="0095318C" w:rsidRPr="00EC4263" w:rsidRDefault="0095318C" w:rsidP="00DC1333">
      <w:pPr>
        <w:pStyle w:val="NormalWeb"/>
        <w:keepNext/>
        <w:keepLines/>
        <w:spacing w:before="0" w:beforeAutospacing="0" w:after="0" w:afterAutospacing="0"/>
        <w:jc w:val="center"/>
        <w:rPr>
          <w:sz w:val="20"/>
          <w:szCs w:val="20"/>
          <w:lang w:val="es-ES"/>
        </w:rPr>
      </w:pPr>
      <w:r w:rsidRPr="00EC4263">
        <w:rPr>
          <w:sz w:val="20"/>
          <w:szCs w:val="20"/>
          <w:lang w:val="es-ES"/>
        </w:rPr>
        <w:t xml:space="preserve">Presupuesto y gastos reales (de personal y no relativos al personal) </w:t>
      </w:r>
    </w:p>
    <w:p w:rsidR="0095318C" w:rsidRDefault="0095318C" w:rsidP="00DC1333">
      <w:pPr>
        <w:pStyle w:val="NormalWeb"/>
        <w:keepNext/>
        <w:keepLines/>
        <w:spacing w:before="0" w:beforeAutospacing="0" w:after="0" w:afterAutospacing="0"/>
        <w:jc w:val="center"/>
        <w:rPr>
          <w:i/>
          <w:iCs/>
          <w:sz w:val="20"/>
          <w:szCs w:val="20"/>
          <w:lang w:val="es-ES"/>
        </w:rPr>
      </w:pPr>
      <w:r w:rsidRPr="00EC4263">
        <w:rPr>
          <w:i/>
          <w:iCs/>
          <w:sz w:val="20"/>
          <w:szCs w:val="20"/>
          <w:lang w:val="es-ES"/>
        </w:rPr>
        <w:t>(</w:t>
      </w:r>
      <w:proofErr w:type="gramStart"/>
      <w:r w:rsidRPr="00EC4263">
        <w:rPr>
          <w:i/>
          <w:iCs/>
          <w:sz w:val="20"/>
          <w:szCs w:val="20"/>
          <w:lang w:val="es-ES"/>
        </w:rPr>
        <w:t>en</w:t>
      </w:r>
      <w:proofErr w:type="gramEnd"/>
      <w:r w:rsidRPr="00EC4263">
        <w:rPr>
          <w:i/>
          <w:iCs/>
          <w:sz w:val="20"/>
          <w:szCs w:val="20"/>
          <w:lang w:val="es-ES"/>
        </w:rPr>
        <w:t xml:space="preserve"> miles de francos suizos)</w:t>
      </w:r>
    </w:p>
    <w:p w:rsidR="0095318C" w:rsidRDefault="0095318C" w:rsidP="00DC1333">
      <w:pPr>
        <w:pStyle w:val="NormalWeb"/>
        <w:keepNext/>
        <w:keepLines/>
        <w:spacing w:before="0" w:beforeAutospacing="0" w:after="0" w:afterAutospacing="0"/>
        <w:jc w:val="center"/>
        <w:rPr>
          <w:i/>
          <w:iCs/>
          <w:sz w:val="20"/>
          <w:szCs w:val="20"/>
          <w:lang w:val="es-ES"/>
        </w:rPr>
      </w:pPr>
    </w:p>
    <w:p w:rsidR="0095318C" w:rsidRPr="00EC4263" w:rsidRDefault="0095318C" w:rsidP="00DC1333">
      <w:pPr>
        <w:pStyle w:val="NormalWeb"/>
        <w:keepNext/>
        <w:keepLines/>
        <w:spacing w:before="0" w:beforeAutospacing="0" w:after="0" w:afterAutospacing="0"/>
        <w:jc w:val="center"/>
        <w:rPr>
          <w:i/>
          <w:iCs/>
          <w:sz w:val="20"/>
          <w:szCs w:val="20"/>
          <w:lang w:val="es-ES"/>
        </w:rPr>
      </w:pPr>
      <w:r>
        <w:rPr>
          <w:i/>
          <w:iCs/>
          <w:noProof/>
          <w:sz w:val="20"/>
          <w:szCs w:val="20"/>
        </w:rPr>
        <w:drawing>
          <wp:inline distT="0" distB="0" distL="0" distR="0" wp14:anchorId="140D4733" wp14:editId="5C712C71">
            <wp:extent cx="5175849" cy="1052423"/>
            <wp:effectExtent l="0" t="0" r="635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96042" cy="1056529"/>
                    </a:xfrm>
                    <a:prstGeom prst="rect">
                      <a:avLst/>
                    </a:prstGeom>
                    <a:noFill/>
                    <a:ln>
                      <a:noFill/>
                    </a:ln>
                  </pic:spPr>
                </pic:pic>
              </a:graphicData>
            </a:graphic>
          </wp:inline>
        </w:drawing>
      </w:r>
    </w:p>
    <w:p w:rsidR="0095318C" w:rsidRPr="005A3359" w:rsidRDefault="0095318C" w:rsidP="00DC1333">
      <w:pPr>
        <w:keepNext/>
        <w:keepLines/>
        <w:rPr>
          <w:bCs/>
          <w:sz w:val="20"/>
        </w:rPr>
      </w:pPr>
    </w:p>
    <w:p w:rsidR="0095318C" w:rsidRPr="005A3359" w:rsidRDefault="0095318C" w:rsidP="00DC1333">
      <w:pPr>
        <w:widowControl w:val="0"/>
        <w:autoSpaceDE w:val="0"/>
        <w:autoSpaceDN w:val="0"/>
        <w:adjustRightInd w:val="0"/>
        <w:rPr>
          <w:sz w:val="20"/>
        </w:rPr>
      </w:pPr>
    </w:p>
    <w:p w:rsidR="0095318C" w:rsidRPr="005A3359" w:rsidRDefault="00403D2C" w:rsidP="00DC1333">
      <w:pPr>
        <w:jc w:val="both"/>
        <w:rPr>
          <w:sz w:val="20"/>
        </w:rPr>
      </w:pPr>
      <w:r w:rsidRPr="00403D2C">
        <w:rPr>
          <w:sz w:val="20"/>
        </w:rPr>
        <w:t>A.</w:t>
      </w:r>
      <w:r w:rsidRPr="00403D2C">
        <w:rPr>
          <w:sz w:val="20"/>
        </w:rPr>
        <w:tab/>
      </w:r>
      <w:r w:rsidRPr="00403D2C">
        <w:rPr>
          <w:sz w:val="20"/>
          <w:u w:val="single"/>
        </w:rPr>
        <w:t>Presupuesto final de 2014/15 tras las transferencias</w:t>
      </w:r>
      <w:r w:rsidR="0095318C" w:rsidRPr="005A3359">
        <w:rPr>
          <w:sz w:val="20"/>
          <w:u w:val="single"/>
        </w:rPr>
        <w:t xml:space="preserve"> </w:t>
      </w:r>
    </w:p>
    <w:p w:rsidR="0095318C" w:rsidRPr="005A3359" w:rsidRDefault="0095318C" w:rsidP="00DC1333">
      <w:pPr>
        <w:jc w:val="both"/>
        <w:rPr>
          <w:sz w:val="20"/>
        </w:rPr>
      </w:pPr>
    </w:p>
    <w:p w:rsidR="0095318C" w:rsidRPr="005A3359" w:rsidRDefault="0095318C" w:rsidP="0095318C">
      <w:pPr>
        <w:pStyle w:val="ListParagraph"/>
        <w:numPr>
          <w:ilvl w:val="1"/>
          <w:numId w:val="53"/>
        </w:numPr>
        <w:contextualSpacing/>
        <w:jc w:val="both"/>
        <w:rPr>
          <w:rFonts w:eastAsia="SimSun"/>
          <w:bCs/>
          <w:lang w:val="es-ES" w:eastAsia="zh-CN"/>
        </w:rPr>
      </w:pPr>
      <w:r w:rsidRPr="005A3359">
        <w:rPr>
          <w:rFonts w:eastAsia="SimSun"/>
          <w:bCs/>
          <w:lang w:val="es-ES" w:eastAsia="zh-CN"/>
        </w:rPr>
        <w:t>El trasvase de recursos entre varios resultados previstos es señal de la importancia mayor que se ha atribuido a facilitar y coordinar las siguientes actividades: i) actividades de asesoramiento legislativo de la OMPI en la esfera de las patentes, las marcas, los diseños industriales y el derecho de autor (resultado previsto I.2, Asesoramiento en el ámbito legislativo);  ii) actividades de la OMPI relativas al acceso y el uso de la información de P.I. mediante un mayor número de redes nacionales sostenibles de CATI (resultado previsto IV.2), y iii) esfuerzos para prestar asistencia a oficinas de P.I. y otras instituciones de P.I. para desarrollar su infraestructura técnica y de conocimientos (resultado previsto IV.4, Mejora en la infraestructura técnica y de conocimientos).</w:t>
      </w:r>
    </w:p>
    <w:p w:rsidR="0095318C" w:rsidRPr="005A3359" w:rsidRDefault="0095318C" w:rsidP="00DC1333">
      <w:pPr>
        <w:jc w:val="both"/>
        <w:rPr>
          <w:sz w:val="20"/>
        </w:rPr>
      </w:pPr>
    </w:p>
    <w:p w:rsidR="0095318C" w:rsidRPr="005A3359" w:rsidRDefault="00403D2C" w:rsidP="005A3359">
      <w:pPr>
        <w:keepNext/>
        <w:jc w:val="both"/>
        <w:rPr>
          <w:sz w:val="20"/>
          <w:u w:val="single"/>
        </w:rPr>
      </w:pPr>
      <w:r w:rsidRPr="00403D2C">
        <w:rPr>
          <w:sz w:val="20"/>
        </w:rPr>
        <w:lastRenderedPageBreak/>
        <w:t>B.</w:t>
      </w:r>
      <w:r w:rsidRPr="00403D2C">
        <w:rPr>
          <w:sz w:val="20"/>
        </w:rPr>
        <w:tab/>
      </w:r>
      <w:r w:rsidRPr="00403D2C">
        <w:rPr>
          <w:sz w:val="20"/>
          <w:u w:val="single"/>
        </w:rPr>
        <w:t>Utilización del presupuesto en 2014/15</w:t>
      </w:r>
    </w:p>
    <w:p w:rsidR="0095318C" w:rsidRPr="005A3359" w:rsidRDefault="0095318C" w:rsidP="005A3359">
      <w:pPr>
        <w:keepNext/>
        <w:jc w:val="both"/>
        <w:rPr>
          <w:sz w:val="20"/>
          <w:u w:val="single"/>
        </w:rPr>
      </w:pPr>
    </w:p>
    <w:p w:rsidR="0095318C" w:rsidRPr="005A3359" w:rsidRDefault="0095318C" w:rsidP="005A3359">
      <w:pPr>
        <w:pStyle w:val="ListParagraph"/>
        <w:keepNext/>
        <w:numPr>
          <w:ilvl w:val="1"/>
          <w:numId w:val="53"/>
        </w:numPr>
        <w:contextualSpacing/>
        <w:jc w:val="both"/>
        <w:rPr>
          <w:rFonts w:eastAsia="SimSun"/>
          <w:bCs/>
          <w:lang w:val="es-ES" w:eastAsia="zh-CN"/>
        </w:rPr>
      </w:pPr>
      <w:r w:rsidRPr="005A3359">
        <w:rPr>
          <w:rFonts w:eastAsia="SimSun"/>
          <w:bCs/>
          <w:lang w:val="es-ES" w:eastAsia="zh-CN"/>
        </w:rPr>
        <w:t>El índice de utilización de recursos no relativos a personal, menor del que se había previsto, refleja principalmente el aplazamiento o cancelación de algunos eventos/actividades a instancias de determinados Estados miembros o en cumplimiento de las directrices de las Naciones Unidas sobre seguridad.  Los riesgos para la salud y las restricciones en los viajes que conllevan debido a la crisis causada por el virus Ébola obligaron a cancelar algunas de las actividades previstas. Además, la disminución de los viajes y los costos relacionados con ellos se lograron a través de la celebración de un creciente número de actividades en grupo o consecutivamente.</w:t>
      </w:r>
    </w:p>
    <w:p w:rsidR="0095318C" w:rsidRPr="005A3359" w:rsidRDefault="0095318C" w:rsidP="00DC1333">
      <w:pPr>
        <w:contextualSpacing/>
        <w:jc w:val="both"/>
        <w:rPr>
          <w:bCs/>
          <w:sz w:val="20"/>
        </w:rPr>
      </w:pPr>
    </w:p>
    <w:p w:rsidR="0095318C" w:rsidRPr="00DD6EE8" w:rsidRDefault="0095318C" w:rsidP="00DC1333">
      <w:pPr>
        <w:contextualSpacing/>
        <w:jc w:val="both"/>
        <w:rPr>
          <w:bCs/>
        </w:rPr>
      </w:pPr>
    </w:p>
    <w:p w:rsidR="0095318C" w:rsidRDefault="0095318C">
      <w:pPr>
        <w:rPr>
          <w:bCs/>
          <w:iCs/>
          <w:caps/>
          <w:szCs w:val="28"/>
        </w:rPr>
      </w:pPr>
      <w:bookmarkStart w:id="107" w:name="_Toc422210492"/>
      <w:r>
        <w:br w:type="page"/>
      </w:r>
    </w:p>
    <w:p w:rsidR="0095318C" w:rsidRPr="0095318C" w:rsidRDefault="0095318C" w:rsidP="00DC1333">
      <w:pPr>
        <w:pStyle w:val="Heading2"/>
        <w:ind w:left="2410" w:hanging="2410"/>
        <w:rPr>
          <w:b/>
          <w:caps w:val="0"/>
        </w:rPr>
      </w:pPr>
      <w:bookmarkStart w:id="108" w:name="_Toc455159085"/>
      <w:r w:rsidRPr="0095318C">
        <w:rPr>
          <w:b/>
          <w:caps w:val="0"/>
        </w:rPr>
        <w:lastRenderedPageBreak/>
        <w:t>PROGRAMA 10</w:t>
      </w:r>
      <w:r w:rsidRPr="0095318C">
        <w:rPr>
          <w:b/>
          <w:caps w:val="0"/>
        </w:rPr>
        <w:tab/>
        <w:t>COOPERACIÓN CON DETERMINADOS PAÍSES DE EUROPA Y ASIA</w:t>
      </w:r>
      <w:bookmarkEnd w:id="107"/>
      <w:bookmarkEnd w:id="108"/>
    </w:p>
    <w:p w:rsidR="0095318C" w:rsidRPr="00335B1C" w:rsidRDefault="0095318C" w:rsidP="00DC1333"/>
    <w:p w:rsidR="0095318C" w:rsidRPr="00013B5C" w:rsidRDefault="0095318C" w:rsidP="00DC1333">
      <w:pPr>
        <w:tabs>
          <w:tab w:val="left" w:pos="1985"/>
          <w:tab w:val="left" w:pos="2410"/>
        </w:tabs>
        <w:rPr>
          <w:sz w:val="20"/>
        </w:rPr>
      </w:pPr>
      <w:r w:rsidRPr="00013B5C">
        <w:rPr>
          <w:b/>
          <w:sz w:val="20"/>
        </w:rPr>
        <w:t>Director de programa</w:t>
      </w:r>
      <w:r w:rsidRPr="00013B5C">
        <w:rPr>
          <w:b/>
          <w:sz w:val="20"/>
        </w:rPr>
        <w:tab/>
        <w:t>Director General</w:t>
      </w:r>
    </w:p>
    <w:p w:rsidR="0095318C" w:rsidRPr="00335B1C" w:rsidRDefault="0095318C" w:rsidP="00DC1333">
      <w:pPr>
        <w:jc w:val="both"/>
      </w:pPr>
    </w:p>
    <w:p w:rsidR="0095318C" w:rsidRPr="00335B1C" w:rsidRDefault="0095318C" w:rsidP="00DC1333">
      <w:pPr>
        <w:jc w:val="both"/>
      </w:pPr>
    </w:p>
    <w:p w:rsidR="0095318C" w:rsidRPr="00267E8F" w:rsidRDefault="008F7CBE" w:rsidP="00DC1333">
      <w:pPr>
        <w:rPr>
          <w:bCs/>
          <w:szCs w:val="22"/>
        </w:rPr>
      </w:pPr>
      <w:r w:rsidRPr="008F7CBE">
        <w:rPr>
          <w:bCs/>
          <w:sz w:val="20"/>
          <w:szCs w:val="22"/>
        </w:rPr>
        <w:t>LOGROS ALCANZADOS EN EL BIENIO 2014/15</w:t>
      </w:r>
    </w:p>
    <w:p w:rsidR="0095318C" w:rsidRPr="00335B1C" w:rsidRDefault="0095318C" w:rsidP="00DC1333">
      <w:pPr>
        <w:rPr>
          <w:bCs/>
        </w:rPr>
      </w:pPr>
    </w:p>
    <w:p w:rsidR="0095318C" w:rsidRPr="003832F1" w:rsidRDefault="0095318C" w:rsidP="004C50F9">
      <w:pPr>
        <w:pStyle w:val="ListParagraph"/>
        <w:numPr>
          <w:ilvl w:val="0"/>
          <w:numId w:val="56"/>
        </w:numPr>
        <w:tabs>
          <w:tab w:val="left" w:pos="709"/>
        </w:tabs>
        <w:spacing w:after="200"/>
        <w:ind w:left="0" w:firstLine="0"/>
        <w:jc w:val="both"/>
        <w:rPr>
          <w:rFonts w:cs="Arial"/>
          <w:lang w:val="es-ES"/>
        </w:rPr>
      </w:pPr>
      <w:r w:rsidRPr="00843A0A">
        <w:rPr>
          <w:rFonts w:cs="Arial"/>
          <w:lang w:val="es-ES"/>
        </w:rPr>
        <w:t xml:space="preserve">En el bienio 2014/15, en el marco del programa 10 se siguió </w:t>
      </w:r>
      <w:r w:rsidRPr="002915BC">
        <w:rPr>
          <w:rFonts w:cs="Arial"/>
          <w:lang w:val="es-ES"/>
        </w:rPr>
        <w:t>impulsando</w:t>
      </w:r>
      <w:r w:rsidRPr="00843A0A">
        <w:rPr>
          <w:rFonts w:cs="Arial"/>
          <w:lang w:val="es-ES"/>
        </w:rPr>
        <w:t xml:space="preserve"> y</w:t>
      </w:r>
      <w:r>
        <w:rPr>
          <w:rFonts w:cs="Arial"/>
          <w:lang w:val="es-ES"/>
        </w:rPr>
        <w:t>,</w:t>
      </w:r>
      <w:r w:rsidRPr="00843A0A">
        <w:rPr>
          <w:rFonts w:cs="Arial"/>
          <w:lang w:val="es-ES"/>
        </w:rPr>
        <w:t xml:space="preserve"> en colaboración con todos los sectores pertinentes, coordinando la</w:t>
      </w:r>
      <w:r w:rsidR="002E3193">
        <w:rPr>
          <w:rFonts w:cs="Arial"/>
          <w:lang w:val="es-ES"/>
        </w:rPr>
        <w:t xml:space="preserve"> ejecución</w:t>
      </w:r>
      <w:r>
        <w:rPr>
          <w:rFonts w:cs="Arial"/>
          <w:lang w:val="es-ES"/>
        </w:rPr>
        <w:t xml:space="preserve"> de las actividades de cooperación</w:t>
      </w:r>
      <w:r w:rsidR="002E3193">
        <w:rPr>
          <w:rFonts w:cs="Arial"/>
          <w:lang w:val="es-ES"/>
        </w:rPr>
        <w:t>, a largo plazo y orientadas a la obtención de resultados,</w:t>
      </w:r>
      <w:r>
        <w:rPr>
          <w:rFonts w:cs="Arial"/>
          <w:lang w:val="es-ES"/>
        </w:rPr>
        <w:t xml:space="preserve"> con los países con economías en transición</w:t>
      </w:r>
      <w:r w:rsidRPr="00843A0A">
        <w:rPr>
          <w:rFonts w:cs="Arial"/>
          <w:lang w:val="es-ES"/>
        </w:rPr>
        <w:t xml:space="preserve">.  </w:t>
      </w:r>
      <w:r w:rsidRPr="003832F1">
        <w:rPr>
          <w:rFonts w:cs="Arial"/>
          <w:lang w:val="es-ES"/>
        </w:rPr>
        <w:t>A tal fin, los trabajos en el bienio se centraron en un enfoque de planificación</w:t>
      </w:r>
      <w:r>
        <w:rPr>
          <w:rFonts w:cs="Arial"/>
          <w:lang w:val="es-ES"/>
        </w:rPr>
        <w:t xml:space="preserve"> plurianual encaminado a fomentar el uso del s</w:t>
      </w:r>
      <w:r w:rsidRPr="003832F1">
        <w:rPr>
          <w:rFonts w:cs="Arial"/>
          <w:lang w:val="es-ES"/>
        </w:rPr>
        <w:t>istema de P.I. para estimular la innovaci</w:t>
      </w:r>
      <w:r>
        <w:rPr>
          <w:rFonts w:cs="Arial"/>
          <w:lang w:val="es-ES"/>
        </w:rPr>
        <w:t>ón y la creatividad en aras del desarrollo económico, social y cultural.</w:t>
      </w:r>
    </w:p>
    <w:p w:rsidR="0095318C" w:rsidRPr="00692675" w:rsidRDefault="0095318C" w:rsidP="004C50F9">
      <w:pPr>
        <w:pStyle w:val="ListParagraph"/>
        <w:numPr>
          <w:ilvl w:val="0"/>
          <w:numId w:val="56"/>
        </w:numPr>
        <w:tabs>
          <w:tab w:val="left" w:pos="709"/>
        </w:tabs>
        <w:spacing w:after="200"/>
        <w:ind w:left="0" w:firstLine="0"/>
        <w:jc w:val="both"/>
        <w:rPr>
          <w:rFonts w:cs="Arial"/>
          <w:lang w:val="es-ES"/>
        </w:rPr>
      </w:pPr>
      <w:r>
        <w:rPr>
          <w:lang w:val="es-ES"/>
        </w:rPr>
        <w:t>Durante el bienio</w:t>
      </w:r>
      <w:r w:rsidRPr="00526311">
        <w:rPr>
          <w:lang w:val="es-ES"/>
        </w:rPr>
        <w:t>, siguió siendo prioritario fomentar la importancia de elaborar y aplicar estrategias nacionales exhaustivas y de largo plazo, así como prestar asistencia a ese respecto, para satisfacer las necesidades de los Estados miembros</w:t>
      </w:r>
      <w:r>
        <w:rPr>
          <w:rFonts w:cs="Arial"/>
          <w:lang w:val="es-ES"/>
        </w:rPr>
        <w:t>.</w:t>
      </w:r>
      <w:r w:rsidRPr="003832F1">
        <w:rPr>
          <w:rFonts w:cs="Arial"/>
          <w:lang w:val="es-ES"/>
        </w:rPr>
        <w:t xml:space="preserve">  Seis países (Bulgaria, Eslovenia, </w:t>
      </w:r>
      <w:r w:rsidRPr="003832F1">
        <w:rPr>
          <w:lang w:val="es-ES"/>
        </w:rPr>
        <w:t>Tayikistán</w:t>
      </w:r>
      <w:r w:rsidRPr="003832F1">
        <w:rPr>
          <w:rFonts w:cs="Arial"/>
          <w:lang w:val="es-ES"/>
        </w:rPr>
        <w:t xml:space="preserve">, Turquía, </w:t>
      </w:r>
      <w:r w:rsidRPr="003832F1">
        <w:rPr>
          <w:lang w:val="es-ES"/>
        </w:rPr>
        <w:t>Turkmenistán y Ucrania</w:t>
      </w:r>
      <w:r w:rsidRPr="003832F1">
        <w:rPr>
          <w:rFonts w:cs="Arial"/>
          <w:lang w:val="es-ES"/>
        </w:rPr>
        <w:t xml:space="preserve">) </w:t>
      </w:r>
      <w:r w:rsidRPr="00526311">
        <w:rPr>
          <w:lang w:val="es-ES"/>
        </w:rPr>
        <w:t xml:space="preserve">adoptaron estrategias nacionales de P.I. y cuatro países </w:t>
      </w:r>
      <w:r w:rsidRPr="003832F1">
        <w:rPr>
          <w:rFonts w:cs="Arial"/>
          <w:lang w:val="es-ES"/>
        </w:rPr>
        <w:t xml:space="preserve">(Albania, </w:t>
      </w:r>
      <w:r w:rsidRPr="00692675">
        <w:rPr>
          <w:rFonts w:cs="Arial"/>
          <w:lang w:val="es-ES"/>
        </w:rPr>
        <w:t>Georgia</w:t>
      </w:r>
      <w:r w:rsidRPr="003832F1">
        <w:rPr>
          <w:rFonts w:cs="Arial"/>
          <w:lang w:val="es-ES"/>
        </w:rPr>
        <w:t xml:space="preserve">, </w:t>
      </w:r>
      <w:r>
        <w:rPr>
          <w:rFonts w:cs="Arial"/>
          <w:lang w:val="es-ES"/>
        </w:rPr>
        <w:t>Letonia</w:t>
      </w:r>
      <w:r w:rsidRPr="003832F1">
        <w:rPr>
          <w:rFonts w:cs="Arial"/>
          <w:lang w:val="es-ES"/>
        </w:rPr>
        <w:t xml:space="preserve"> </w:t>
      </w:r>
      <w:r>
        <w:rPr>
          <w:rFonts w:cs="Arial"/>
          <w:lang w:val="es-ES"/>
        </w:rPr>
        <w:t>y</w:t>
      </w:r>
      <w:r w:rsidRPr="003832F1">
        <w:rPr>
          <w:rFonts w:cs="Arial"/>
          <w:lang w:val="es-ES"/>
        </w:rPr>
        <w:t xml:space="preserve"> </w:t>
      </w:r>
      <w:r>
        <w:rPr>
          <w:rFonts w:cs="Arial"/>
          <w:lang w:val="es-ES"/>
        </w:rPr>
        <w:t>Polonia</w:t>
      </w:r>
      <w:r w:rsidRPr="003832F1">
        <w:rPr>
          <w:rFonts w:cs="Arial"/>
          <w:lang w:val="es-ES"/>
        </w:rPr>
        <w:t xml:space="preserve">) </w:t>
      </w:r>
      <w:r w:rsidRPr="00526311">
        <w:rPr>
          <w:lang w:val="es-ES"/>
        </w:rPr>
        <w:t xml:space="preserve">comenzaron a elaborar una </w:t>
      </w:r>
      <w:r>
        <w:rPr>
          <w:lang w:val="es-ES"/>
        </w:rPr>
        <w:t>nueva estrategia</w:t>
      </w:r>
      <w:r w:rsidRPr="003832F1">
        <w:rPr>
          <w:rFonts w:cs="Arial"/>
          <w:lang w:val="es-ES"/>
        </w:rPr>
        <w:t xml:space="preserve">.  </w:t>
      </w:r>
      <w:r w:rsidRPr="00526311">
        <w:rPr>
          <w:lang w:val="es-ES"/>
        </w:rPr>
        <w:t xml:space="preserve">Por otra parte, en </w:t>
      </w:r>
      <w:r>
        <w:rPr>
          <w:lang w:val="es-ES"/>
        </w:rPr>
        <w:t>este bienio</w:t>
      </w:r>
      <w:r w:rsidRPr="00526311">
        <w:rPr>
          <w:lang w:val="es-ES"/>
        </w:rPr>
        <w:t xml:space="preserve"> se llevaron a cabo estudios posteriores a la ejecución de proyectos en tres países (Belarús, República de Moldova y Serbia) a fin de evaluar los resultados de la aplicación de estrategias de P.I.</w:t>
      </w:r>
      <w:r>
        <w:rPr>
          <w:lang w:val="es-ES"/>
        </w:rPr>
        <w:t xml:space="preserve"> ya finalizadas,</w:t>
      </w:r>
      <w:r w:rsidRPr="00526311">
        <w:rPr>
          <w:lang w:val="es-ES"/>
        </w:rPr>
        <w:t xml:space="preserve"> y de determinar las experiencias </w:t>
      </w:r>
      <w:r>
        <w:rPr>
          <w:color w:val="000000"/>
          <w:lang w:val="es-ES"/>
        </w:rPr>
        <w:t>adquiridas</w:t>
      </w:r>
      <w:r>
        <w:rPr>
          <w:rFonts w:cs="Arial"/>
          <w:lang w:val="es-ES"/>
        </w:rPr>
        <w:t>.</w:t>
      </w:r>
    </w:p>
    <w:p w:rsidR="0095318C" w:rsidRPr="006D26AA" w:rsidRDefault="0095318C" w:rsidP="004C50F9">
      <w:pPr>
        <w:pStyle w:val="ListParagraph"/>
        <w:numPr>
          <w:ilvl w:val="0"/>
          <w:numId w:val="56"/>
        </w:numPr>
        <w:tabs>
          <w:tab w:val="left" w:pos="709"/>
        </w:tabs>
        <w:spacing w:after="200"/>
        <w:ind w:left="0" w:firstLine="0"/>
        <w:jc w:val="both"/>
        <w:rPr>
          <w:rFonts w:cs="Arial"/>
          <w:lang w:val="es-ES"/>
        </w:rPr>
      </w:pPr>
      <w:r w:rsidRPr="00526311">
        <w:rPr>
          <w:lang w:val="es-ES"/>
        </w:rPr>
        <w:t>Conforme a los planes de cooperación y las estrategias nacionales de P.I., y tras recibir asistencia de la OMPI que incluía actividades de promoción</w:t>
      </w:r>
      <w:r w:rsidRPr="006D26AA">
        <w:rPr>
          <w:rFonts w:cs="Arial"/>
          <w:lang w:val="es-ES"/>
        </w:rPr>
        <w:t xml:space="preserve">, </w:t>
      </w:r>
      <w:r>
        <w:rPr>
          <w:rFonts w:cs="Arial"/>
          <w:lang w:val="es-ES"/>
        </w:rPr>
        <w:t>nueve países</w:t>
      </w:r>
      <w:r w:rsidRPr="006D26AA">
        <w:rPr>
          <w:rFonts w:cs="Arial"/>
          <w:lang w:val="es-ES"/>
        </w:rPr>
        <w:t xml:space="preserve"> (</w:t>
      </w:r>
      <w:r w:rsidRPr="00526311">
        <w:rPr>
          <w:lang w:val="es-ES"/>
        </w:rPr>
        <w:t>Kazajstán</w:t>
      </w:r>
      <w:r w:rsidRPr="006D26AA">
        <w:rPr>
          <w:rFonts w:cs="Arial"/>
          <w:lang w:val="es-ES"/>
        </w:rPr>
        <w:t xml:space="preserve">, </w:t>
      </w:r>
      <w:r>
        <w:rPr>
          <w:rFonts w:cs="Arial"/>
          <w:lang w:val="es-ES"/>
        </w:rPr>
        <w:t>Kirguistán</w:t>
      </w:r>
      <w:r w:rsidRPr="006D26AA">
        <w:rPr>
          <w:rFonts w:cs="Arial"/>
          <w:lang w:val="es-ES"/>
        </w:rPr>
        <w:t xml:space="preserve">, </w:t>
      </w:r>
      <w:r>
        <w:rPr>
          <w:rFonts w:cs="Arial"/>
          <w:lang w:val="es-ES"/>
        </w:rPr>
        <w:t>Letonia</w:t>
      </w:r>
      <w:r w:rsidRPr="006D26AA">
        <w:rPr>
          <w:rFonts w:cs="Arial"/>
          <w:lang w:val="es-ES"/>
        </w:rPr>
        <w:t xml:space="preserve">, </w:t>
      </w:r>
      <w:r>
        <w:rPr>
          <w:rFonts w:cs="Arial"/>
          <w:lang w:val="es-ES"/>
        </w:rPr>
        <w:t>Lituania</w:t>
      </w:r>
      <w:r w:rsidRPr="006D26AA">
        <w:rPr>
          <w:rFonts w:cs="Arial"/>
          <w:lang w:val="es-ES"/>
        </w:rPr>
        <w:t xml:space="preserve">, Montenegro, </w:t>
      </w:r>
      <w:r w:rsidRPr="00526311">
        <w:rPr>
          <w:lang w:val="es-ES"/>
        </w:rPr>
        <w:t>República de Moldova</w:t>
      </w:r>
      <w:r w:rsidRPr="006D26AA">
        <w:rPr>
          <w:rFonts w:cs="Arial"/>
          <w:lang w:val="es-ES"/>
        </w:rPr>
        <w:t>, la</w:t>
      </w:r>
      <w:r>
        <w:rPr>
          <w:rFonts w:cs="Arial"/>
          <w:lang w:val="es-ES"/>
        </w:rPr>
        <w:t xml:space="preserve"> Federación de Rusia</w:t>
      </w:r>
      <w:r w:rsidRPr="006D26AA">
        <w:rPr>
          <w:rFonts w:cs="Arial"/>
          <w:lang w:val="es-ES"/>
        </w:rPr>
        <w:t xml:space="preserve">, </w:t>
      </w:r>
      <w:r w:rsidRPr="00526311">
        <w:rPr>
          <w:lang w:val="es-ES"/>
        </w:rPr>
        <w:t>Tayikistán</w:t>
      </w:r>
      <w:r w:rsidRPr="006D26AA">
        <w:rPr>
          <w:rFonts w:cs="Arial"/>
          <w:lang w:val="es-ES"/>
        </w:rPr>
        <w:t xml:space="preserve"> </w:t>
      </w:r>
      <w:r>
        <w:rPr>
          <w:rFonts w:cs="Arial"/>
          <w:lang w:val="es-ES"/>
        </w:rPr>
        <w:t>y</w:t>
      </w:r>
      <w:r w:rsidRPr="006D26AA">
        <w:rPr>
          <w:rFonts w:cs="Arial"/>
          <w:lang w:val="es-ES"/>
        </w:rPr>
        <w:t xml:space="preserve"> </w:t>
      </w:r>
      <w:r>
        <w:rPr>
          <w:rFonts w:cs="Arial"/>
          <w:lang w:val="es-ES"/>
        </w:rPr>
        <w:t>Turkmenistán</w:t>
      </w:r>
      <w:r w:rsidRPr="006D26AA">
        <w:rPr>
          <w:rFonts w:cs="Arial"/>
          <w:lang w:val="es-ES"/>
        </w:rPr>
        <w:t xml:space="preserve">) </w:t>
      </w:r>
      <w:r w:rsidRPr="00526311">
        <w:rPr>
          <w:lang w:val="es-ES"/>
        </w:rPr>
        <w:t>enmendaron sus leyes nacionales de P.I</w:t>
      </w:r>
      <w:r>
        <w:rPr>
          <w:lang w:val="es-ES"/>
        </w:rPr>
        <w:t>.</w:t>
      </w:r>
      <w:r w:rsidRPr="006D26AA">
        <w:rPr>
          <w:rFonts w:cs="Arial"/>
          <w:lang w:val="es-ES"/>
        </w:rPr>
        <w:t xml:space="preserve"> </w:t>
      </w:r>
      <w:r>
        <w:rPr>
          <w:rFonts w:cs="Arial"/>
          <w:lang w:val="es-ES"/>
        </w:rPr>
        <w:t>y/o se adhirieron a tratados administrados por la OMPI.</w:t>
      </w:r>
    </w:p>
    <w:p w:rsidR="0095318C" w:rsidRPr="007A734E" w:rsidRDefault="0095318C" w:rsidP="004C50F9">
      <w:pPr>
        <w:pStyle w:val="ListParagraph"/>
        <w:numPr>
          <w:ilvl w:val="0"/>
          <w:numId w:val="56"/>
        </w:numPr>
        <w:tabs>
          <w:tab w:val="left" w:pos="709"/>
        </w:tabs>
        <w:spacing w:after="200"/>
        <w:ind w:left="0" w:firstLine="0"/>
        <w:jc w:val="both"/>
        <w:rPr>
          <w:rFonts w:cs="Arial"/>
          <w:lang w:val="es-ES"/>
        </w:rPr>
      </w:pPr>
      <w:r w:rsidRPr="00526311">
        <w:rPr>
          <w:lang w:val="es-ES"/>
        </w:rPr>
        <w:t>En apoyo a la elaboración de políticas de P.I. en las universidades</w:t>
      </w:r>
      <w:r w:rsidRPr="008C5A33">
        <w:rPr>
          <w:rFonts w:cs="Arial"/>
          <w:lang w:val="es-ES"/>
        </w:rPr>
        <w:t xml:space="preserve">, </w:t>
      </w:r>
      <w:r>
        <w:rPr>
          <w:lang w:val="es-ES"/>
        </w:rPr>
        <w:t>se llevaron a cabo proyect</w:t>
      </w:r>
      <w:r w:rsidR="002E3193">
        <w:rPr>
          <w:lang w:val="es-ES"/>
        </w:rPr>
        <w:t>os y actividades a es</w:t>
      </w:r>
      <w:r>
        <w:rPr>
          <w:lang w:val="es-ES"/>
        </w:rPr>
        <w:t xml:space="preserve">e respecto </w:t>
      </w:r>
      <w:r>
        <w:rPr>
          <w:rFonts w:cs="Arial"/>
          <w:lang w:val="es-ES"/>
        </w:rPr>
        <w:t xml:space="preserve">en Estonia, Lituania, Polonia, la Federación de Rusia, Eslovaquia y </w:t>
      </w:r>
      <w:r>
        <w:rPr>
          <w:lang w:val="es-ES"/>
        </w:rPr>
        <w:t>Uzbekistán</w:t>
      </w:r>
      <w:r w:rsidRPr="008C5A33">
        <w:rPr>
          <w:lang w:val="es-ES"/>
        </w:rPr>
        <w:t xml:space="preserve">.  </w:t>
      </w:r>
      <w:r w:rsidRPr="002E58CF">
        <w:rPr>
          <w:lang w:val="es-ES"/>
        </w:rPr>
        <w:t>Con la asistencia de la OMPI</w:t>
      </w:r>
      <w:r>
        <w:rPr>
          <w:lang w:val="es-ES"/>
        </w:rPr>
        <w:t>,</w:t>
      </w:r>
      <w:r w:rsidRPr="00526311">
        <w:rPr>
          <w:lang w:val="es-ES"/>
        </w:rPr>
        <w:t xml:space="preserve"> una universidad de la Federación de Rusia y otra de Uzbekistán elaboraron políticas de P.I.</w:t>
      </w:r>
      <w:r>
        <w:rPr>
          <w:lang w:val="es-ES"/>
        </w:rPr>
        <w:t xml:space="preserve"> en 2014.</w:t>
      </w:r>
      <w:r w:rsidRPr="00526311">
        <w:rPr>
          <w:lang w:val="es-ES"/>
        </w:rPr>
        <w:t xml:space="preserve">  Por otra parte, el 1 de octubre de 2014 Polonia adoptó una Ley de enseñanza superior por la cual se obliga</w:t>
      </w:r>
      <w:r>
        <w:rPr>
          <w:lang w:val="es-ES"/>
        </w:rPr>
        <w:t>ba</w:t>
      </w:r>
      <w:r w:rsidRPr="00526311">
        <w:rPr>
          <w:lang w:val="es-ES"/>
        </w:rPr>
        <w:t xml:space="preserve"> a </w:t>
      </w:r>
      <w:r>
        <w:rPr>
          <w:lang w:val="es-ES"/>
        </w:rPr>
        <w:t xml:space="preserve">todas </w:t>
      </w:r>
      <w:r w:rsidRPr="00526311">
        <w:rPr>
          <w:lang w:val="es-ES"/>
        </w:rPr>
        <w:t xml:space="preserve">las instituciones de enseñanza superior </w:t>
      </w:r>
      <w:r w:rsidRPr="002E58CF">
        <w:rPr>
          <w:rFonts w:cs="Arial"/>
          <w:lang w:val="es-ES"/>
        </w:rPr>
        <w:t xml:space="preserve">(132 </w:t>
      </w:r>
      <w:r>
        <w:rPr>
          <w:rFonts w:cs="Arial"/>
          <w:lang w:val="es-ES"/>
        </w:rPr>
        <w:t>públicas</w:t>
      </w:r>
      <w:r w:rsidRPr="002E58CF">
        <w:rPr>
          <w:rFonts w:cs="Arial"/>
          <w:lang w:val="es-ES"/>
        </w:rPr>
        <w:t xml:space="preserve"> </w:t>
      </w:r>
      <w:r>
        <w:rPr>
          <w:rFonts w:cs="Arial"/>
          <w:lang w:val="es-ES"/>
        </w:rPr>
        <w:t>y</w:t>
      </w:r>
      <w:r w:rsidRPr="002E58CF">
        <w:rPr>
          <w:rFonts w:cs="Arial"/>
          <w:lang w:val="es-ES"/>
        </w:rPr>
        <w:t xml:space="preserve"> 302 </w:t>
      </w:r>
      <w:r>
        <w:rPr>
          <w:rFonts w:cs="Arial"/>
          <w:lang w:val="es-ES"/>
        </w:rPr>
        <w:t>privadas</w:t>
      </w:r>
      <w:r w:rsidRPr="002E58CF">
        <w:rPr>
          <w:rFonts w:cs="Arial"/>
          <w:lang w:val="es-ES"/>
        </w:rPr>
        <w:t xml:space="preserve">) </w:t>
      </w:r>
      <w:r w:rsidRPr="00526311">
        <w:rPr>
          <w:lang w:val="es-ES"/>
        </w:rPr>
        <w:t xml:space="preserve">a poner en marcha una política actualizada de P.I. a </w:t>
      </w:r>
      <w:r>
        <w:rPr>
          <w:lang w:val="es-ES"/>
        </w:rPr>
        <w:t>partir del 31 de marzo del 2015</w:t>
      </w:r>
      <w:r w:rsidRPr="002E58CF">
        <w:rPr>
          <w:rFonts w:cs="Arial"/>
          <w:lang w:val="es-ES"/>
        </w:rPr>
        <w:t xml:space="preserve">.  </w:t>
      </w:r>
      <w:r w:rsidRPr="007A734E">
        <w:rPr>
          <w:rFonts w:cs="Arial"/>
          <w:lang w:val="es-ES"/>
        </w:rPr>
        <w:t xml:space="preserve">A finales del bienio, 434 </w:t>
      </w:r>
      <w:r w:rsidRPr="00900D01">
        <w:rPr>
          <w:rFonts w:cs="Arial"/>
          <w:lang w:val="es-ES"/>
        </w:rPr>
        <w:t>universidades/instituciones</w:t>
      </w:r>
      <w:r>
        <w:rPr>
          <w:rFonts w:cs="Arial"/>
          <w:lang w:val="es-ES"/>
        </w:rPr>
        <w:t xml:space="preserve"> de enseñanza superior</w:t>
      </w:r>
      <w:r w:rsidRPr="007A734E">
        <w:rPr>
          <w:rFonts w:cs="Arial"/>
          <w:lang w:val="es-ES"/>
        </w:rPr>
        <w:t xml:space="preserve"> de Polonia </w:t>
      </w:r>
      <w:r w:rsidRPr="00526311">
        <w:rPr>
          <w:lang w:val="es-ES"/>
        </w:rPr>
        <w:t>ya habían elaborado políticas de P.I.</w:t>
      </w:r>
    </w:p>
    <w:p w:rsidR="0095318C" w:rsidRPr="003B1966" w:rsidRDefault="0095318C" w:rsidP="004C50F9">
      <w:pPr>
        <w:pStyle w:val="ListParagraph"/>
        <w:numPr>
          <w:ilvl w:val="0"/>
          <w:numId w:val="56"/>
        </w:numPr>
        <w:tabs>
          <w:tab w:val="left" w:pos="709"/>
        </w:tabs>
        <w:spacing w:after="200"/>
        <w:ind w:left="0" w:firstLine="0"/>
        <w:jc w:val="both"/>
        <w:rPr>
          <w:rFonts w:cs="Arial"/>
          <w:lang w:val="es-ES"/>
        </w:rPr>
      </w:pPr>
      <w:r w:rsidRPr="003B1966">
        <w:rPr>
          <w:lang w:val="es-ES"/>
        </w:rPr>
        <w:t>En el marco del programa</w:t>
      </w:r>
      <w:r>
        <w:rPr>
          <w:lang w:val="es-ES"/>
        </w:rPr>
        <w:t>,</w:t>
      </w:r>
      <w:r w:rsidRPr="003B1966">
        <w:rPr>
          <w:lang w:val="es-ES"/>
        </w:rPr>
        <w:t xml:space="preserve"> se siguió dando apoyo a los países </w:t>
      </w:r>
      <w:r w:rsidRPr="00526311">
        <w:rPr>
          <w:lang w:val="es-ES"/>
        </w:rPr>
        <w:t>para fortalecer las capacidades nacionales de recursos humanos y fomentar la sensibilización y la base de conocimientos en aras de una utilización eficaz de la P.I.</w:t>
      </w:r>
      <w:r>
        <w:rPr>
          <w:lang w:val="es-ES"/>
        </w:rPr>
        <w:t xml:space="preserve"> en favor del desarrollo económico, social y cultural.</w:t>
      </w:r>
      <w:r w:rsidRPr="003B1966">
        <w:rPr>
          <w:rFonts w:cs="Arial"/>
          <w:lang w:val="es-ES"/>
        </w:rPr>
        <w:t xml:space="preserve">  En el bienio 2014/15</w:t>
      </w:r>
      <w:r>
        <w:rPr>
          <w:rFonts w:cs="Arial"/>
          <w:lang w:val="es-ES"/>
        </w:rPr>
        <w:t>,</w:t>
      </w:r>
      <w:r w:rsidRPr="003B1966">
        <w:rPr>
          <w:lang w:val="es-ES"/>
        </w:rPr>
        <w:t xml:space="preserve"> más de </w:t>
      </w:r>
      <w:r>
        <w:rPr>
          <w:rFonts w:cs="Arial"/>
          <w:lang w:val="es-ES"/>
        </w:rPr>
        <w:t>6.</w:t>
      </w:r>
      <w:r w:rsidRPr="003B1966">
        <w:rPr>
          <w:rFonts w:cs="Arial"/>
          <w:lang w:val="es-ES"/>
        </w:rPr>
        <w:t xml:space="preserve">000 </w:t>
      </w:r>
      <w:r w:rsidRPr="00526311">
        <w:rPr>
          <w:lang w:val="es-ES"/>
        </w:rPr>
        <w:t>especialistas y expertos</w:t>
      </w:r>
      <w:r>
        <w:rPr>
          <w:lang w:val="es-ES"/>
        </w:rPr>
        <w:t xml:space="preserve"> provenientes, entre otros, de las oficinas nacionales de P.I. y otras agencias gubernamentales, pymes, universidades e instituciones públicas de investigación recibieron formación</w:t>
      </w:r>
      <w:r w:rsidRPr="00526311">
        <w:rPr>
          <w:lang w:val="es-ES"/>
        </w:rPr>
        <w:t xml:space="preserve"> </w:t>
      </w:r>
      <w:r>
        <w:rPr>
          <w:lang w:val="es-ES"/>
        </w:rPr>
        <w:t>en</w:t>
      </w:r>
      <w:r w:rsidRPr="00526311">
        <w:rPr>
          <w:lang w:val="es-ES"/>
        </w:rPr>
        <w:t xml:space="preserve"> P.I. </w:t>
      </w:r>
      <w:r>
        <w:rPr>
          <w:lang w:val="es-ES"/>
        </w:rPr>
        <w:t xml:space="preserve">a través de programas </w:t>
      </w:r>
      <w:r w:rsidRPr="00526311">
        <w:rPr>
          <w:lang w:val="es-ES"/>
        </w:rPr>
        <w:t>específicos, por ejemplo, sobre transferencia de tecnología, pymes, observancia, derecho de autor, enseñanza de P.I. y servicios de la OMPI.</w:t>
      </w:r>
      <w:r w:rsidRPr="003B1966">
        <w:rPr>
          <w:rFonts w:cs="Arial"/>
          <w:lang w:val="es-ES"/>
        </w:rPr>
        <w:t xml:space="preserve">  </w:t>
      </w:r>
      <w:r w:rsidRPr="003B1966">
        <w:rPr>
          <w:lang w:val="es-ES"/>
        </w:rPr>
        <w:t>Los participantes en estas actividades presentaron comentarios positivos;</w:t>
      </w:r>
      <w:r w:rsidRPr="003B1966">
        <w:rPr>
          <w:rFonts w:cs="Arial"/>
          <w:lang w:val="es-ES"/>
        </w:rPr>
        <w:t xml:space="preserve"> así, el </w:t>
      </w:r>
      <w:r w:rsidRPr="008C7EED">
        <w:rPr>
          <w:rFonts w:cs="Arial"/>
          <w:lang w:val="es-ES"/>
        </w:rPr>
        <w:t>95,8</w:t>
      </w:r>
      <w:r w:rsidRPr="003B1966">
        <w:rPr>
          <w:rFonts w:cs="Arial"/>
          <w:lang w:val="es-ES"/>
        </w:rPr>
        <w:t xml:space="preserve">% </w:t>
      </w:r>
      <w:r>
        <w:rPr>
          <w:rFonts w:cs="Arial"/>
          <w:lang w:val="es-ES"/>
        </w:rPr>
        <w:t>de los encuestados se mostró satisfecho con las actividades programadas</w:t>
      </w:r>
      <w:r w:rsidRPr="003B1966">
        <w:rPr>
          <w:rFonts w:cs="Arial"/>
          <w:lang w:val="es-ES"/>
        </w:rPr>
        <w:t xml:space="preserve"> </w:t>
      </w:r>
      <w:r>
        <w:rPr>
          <w:rFonts w:cs="Arial"/>
          <w:lang w:val="es-ES"/>
        </w:rPr>
        <w:t>y el 82,</w:t>
      </w:r>
      <w:r w:rsidRPr="003B1966">
        <w:rPr>
          <w:rFonts w:cs="Arial"/>
          <w:lang w:val="es-ES"/>
        </w:rPr>
        <w:t>7</w:t>
      </w:r>
      <w:r>
        <w:rPr>
          <w:rFonts w:cs="Arial"/>
          <w:lang w:val="es-ES"/>
        </w:rPr>
        <w:t>% señaló que la formación contribuyó a mejorar las competencias que aplican en su trabajo cotidiano.</w:t>
      </w:r>
    </w:p>
    <w:p w:rsidR="0095318C" w:rsidRPr="00660C1F" w:rsidRDefault="0095318C" w:rsidP="004C50F9">
      <w:pPr>
        <w:pStyle w:val="ListParagraph"/>
        <w:numPr>
          <w:ilvl w:val="0"/>
          <w:numId w:val="56"/>
        </w:numPr>
        <w:tabs>
          <w:tab w:val="left" w:pos="709"/>
        </w:tabs>
        <w:spacing w:after="200"/>
        <w:ind w:left="0" w:firstLine="0"/>
        <w:jc w:val="both"/>
        <w:rPr>
          <w:rFonts w:cs="Arial"/>
          <w:lang w:val="es-ES"/>
        </w:rPr>
      </w:pPr>
      <w:r w:rsidRPr="00660C1F">
        <w:rPr>
          <w:rFonts w:cs="Arial"/>
          <w:lang w:val="es-ES"/>
        </w:rPr>
        <w:t xml:space="preserve">Se </w:t>
      </w:r>
      <w:r w:rsidRPr="00526311">
        <w:rPr>
          <w:lang w:val="es-ES"/>
        </w:rPr>
        <w:t>organizaron cursos de verano en Croacia y la Federación de Rusia</w:t>
      </w:r>
      <w:r>
        <w:rPr>
          <w:lang w:val="es-ES"/>
        </w:rPr>
        <w:t xml:space="preserve"> durante el bienio 2014/2015</w:t>
      </w:r>
      <w:r>
        <w:rPr>
          <w:rFonts w:cs="Arial"/>
          <w:lang w:val="es-ES"/>
        </w:rPr>
        <w:t>.</w:t>
      </w:r>
    </w:p>
    <w:p w:rsidR="0095318C" w:rsidRPr="00262E44" w:rsidRDefault="0095318C" w:rsidP="004C50F9">
      <w:pPr>
        <w:pStyle w:val="ListParagraph"/>
        <w:numPr>
          <w:ilvl w:val="0"/>
          <w:numId w:val="56"/>
        </w:numPr>
        <w:tabs>
          <w:tab w:val="left" w:pos="709"/>
        </w:tabs>
        <w:spacing w:after="200"/>
        <w:ind w:left="0" w:firstLine="0"/>
        <w:jc w:val="both"/>
        <w:rPr>
          <w:rFonts w:cs="Arial"/>
          <w:lang w:val="es-ES"/>
        </w:rPr>
      </w:pPr>
      <w:r w:rsidRPr="00761186">
        <w:rPr>
          <w:rFonts w:cs="Arial"/>
          <w:lang w:val="es-ES"/>
        </w:rPr>
        <w:t>Durante este bienio, se continuó incrementando los esfuerzos p</w:t>
      </w:r>
      <w:r w:rsidR="008F7A06">
        <w:rPr>
          <w:rFonts w:cs="Arial"/>
          <w:lang w:val="es-ES"/>
        </w:rPr>
        <w:t>o</w:t>
      </w:r>
      <w:r w:rsidRPr="00761186">
        <w:rPr>
          <w:rFonts w:cs="Arial"/>
          <w:lang w:val="es-ES"/>
        </w:rPr>
        <w:t xml:space="preserve">r integrar la P.I. en los planes de estudio de los países </w:t>
      </w:r>
      <w:r>
        <w:rPr>
          <w:rFonts w:cs="Arial"/>
          <w:lang w:val="es-ES"/>
        </w:rPr>
        <w:t>con economías en</w:t>
      </w:r>
      <w:r w:rsidRPr="00761186">
        <w:rPr>
          <w:rFonts w:cs="Arial"/>
          <w:lang w:val="es-ES"/>
        </w:rPr>
        <w:t xml:space="preserve"> transición y definir programas y/o cursos anuales de formación en P.I. para los profesionales de la P.I.  </w:t>
      </w:r>
      <w:r w:rsidRPr="00262E44">
        <w:rPr>
          <w:rFonts w:cs="Arial"/>
          <w:lang w:val="es-ES"/>
        </w:rPr>
        <w:t xml:space="preserve">En concreto, se ofreció apoyo al Gobierno de Rumania para la introducción de un curso opcional </w:t>
      </w:r>
      <w:r>
        <w:rPr>
          <w:rFonts w:cs="Arial"/>
          <w:lang w:val="es-ES"/>
        </w:rPr>
        <w:t>sobre</w:t>
      </w:r>
      <w:r w:rsidRPr="00262E44">
        <w:rPr>
          <w:rFonts w:cs="Arial"/>
          <w:lang w:val="es-ES"/>
        </w:rPr>
        <w:t xml:space="preserve"> P.I. en todas las escuelas secundarias del país: el </w:t>
      </w:r>
      <w:r w:rsidRPr="00535E38">
        <w:rPr>
          <w:rFonts w:cs="Arial"/>
          <w:i/>
          <w:lang w:val="es-ES"/>
        </w:rPr>
        <w:t>School Program for the Optional Course Education for Intellectual Property Rights (Curriculum at the High-school Decision)</w:t>
      </w:r>
      <w:r w:rsidRPr="00535E38">
        <w:rPr>
          <w:rFonts w:cs="Arial"/>
          <w:lang w:val="es-ES"/>
        </w:rPr>
        <w:t>,</w:t>
      </w:r>
      <w:r w:rsidRPr="00262E44">
        <w:rPr>
          <w:rFonts w:cs="Arial"/>
          <w:lang w:val="es-ES"/>
        </w:rPr>
        <w:t xml:space="preserve"> aprobado e introducido oficialmente en los plan</w:t>
      </w:r>
      <w:r>
        <w:rPr>
          <w:rFonts w:cs="Arial"/>
          <w:lang w:val="es-ES"/>
        </w:rPr>
        <w:t>es de estudio el 27 de marzo de </w:t>
      </w:r>
      <w:r w:rsidRPr="00262E44">
        <w:rPr>
          <w:rFonts w:cs="Arial"/>
          <w:lang w:val="es-ES"/>
        </w:rPr>
        <w:t>2015.</w:t>
      </w:r>
    </w:p>
    <w:p w:rsidR="0095318C" w:rsidRPr="00660C1F" w:rsidRDefault="0095318C" w:rsidP="004C50F9">
      <w:pPr>
        <w:pStyle w:val="ListParagraph"/>
        <w:numPr>
          <w:ilvl w:val="0"/>
          <w:numId w:val="56"/>
        </w:numPr>
        <w:tabs>
          <w:tab w:val="left" w:pos="709"/>
        </w:tabs>
        <w:spacing w:after="200"/>
        <w:ind w:left="0" w:firstLine="0"/>
        <w:jc w:val="both"/>
        <w:rPr>
          <w:rFonts w:cs="Arial"/>
          <w:lang w:val="es-ES"/>
        </w:rPr>
      </w:pPr>
      <w:r w:rsidRPr="00526311">
        <w:rPr>
          <w:rFonts w:cs="Arial"/>
          <w:lang w:val="es-ES"/>
        </w:rPr>
        <w:lastRenderedPageBreak/>
        <w:t xml:space="preserve">Se continuó fortaleciendo las medidas para mejorar la coordinación, el fomento y la prestación de los servicios de la OMPI a fin de impulsar su utilización en los países </w:t>
      </w:r>
      <w:r>
        <w:rPr>
          <w:rFonts w:cs="Arial"/>
          <w:lang w:val="es-ES"/>
        </w:rPr>
        <w:t>con economías en</w:t>
      </w:r>
      <w:r w:rsidRPr="00526311">
        <w:rPr>
          <w:rFonts w:cs="Arial"/>
          <w:lang w:val="es-ES"/>
        </w:rPr>
        <w:t xml:space="preserve"> transición y los países desarrollados</w:t>
      </w:r>
      <w:r>
        <w:rPr>
          <w:rFonts w:cs="Arial"/>
          <w:lang w:val="es-ES"/>
        </w:rPr>
        <w:t>.</w:t>
      </w:r>
    </w:p>
    <w:p w:rsidR="0095318C" w:rsidRPr="00544A05" w:rsidRDefault="0095318C" w:rsidP="004C50F9">
      <w:pPr>
        <w:pStyle w:val="ListParagraph"/>
        <w:numPr>
          <w:ilvl w:val="0"/>
          <w:numId w:val="56"/>
        </w:numPr>
        <w:tabs>
          <w:tab w:val="left" w:pos="709"/>
        </w:tabs>
        <w:spacing w:after="200"/>
        <w:ind w:left="0" w:firstLine="0"/>
        <w:jc w:val="both"/>
        <w:rPr>
          <w:rFonts w:cs="Arial"/>
          <w:lang w:val="es-ES"/>
        </w:rPr>
      </w:pPr>
      <w:r w:rsidRPr="00660C1F">
        <w:rPr>
          <w:rFonts w:cs="Arial"/>
          <w:lang w:val="es-ES"/>
        </w:rPr>
        <w:t>En 2014/15, unos 3</w:t>
      </w:r>
      <w:r>
        <w:rPr>
          <w:rFonts w:cs="Arial"/>
          <w:lang w:val="es-ES"/>
        </w:rPr>
        <w:t>.</w:t>
      </w:r>
      <w:r w:rsidRPr="00660C1F">
        <w:rPr>
          <w:rFonts w:cs="Arial"/>
          <w:lang w:val="es-ES"/>
        </w:rPr>
        <w:t xml:space="preserve">000 profesionales de 18 países (Australia, Austria, Bélgica, Finlandia, Francia, Alemania, Irlanda, Israel, Italia, Japón, Luxemburgo, </w:t>
      </w:r>
      <w:r>
        <w:rPr>
          <w:rFonts w:cs="Arial"/>
          <w:lang w:val="es-ES"/>
        </w:rPr>
        <w:t>Países Bajos</w:t>
      </w:r>
      <w:r w:rsidRPr="00660C1F">
        <w:rPr>
          <w:rFonts w:cs="Arial"/>
          <w:lang w:val="es-ES"/>
        </w:rPr>
        <w:t xml:space="preserve">, </w:t>
      </w:r>
      <w:r>
        <w:rPr>
          <w:rFonts w:cs="Arial"/>
          <w:lang w:val="es-ES"/>
        </w:rPr>
        <w:t>Nueva Zelandia</w:t>
      </w:r>
      <w:r w:rsidRPr="00660C1F">
        <w:rPr>
          <w:rFonts w:cs="Arial"/>
          <w:lang w:val="es-ES"/>
        </w:rPr>
        <w:t xml:space="preserve">, Portugal, España, </w:t>
      </w:r>
      <w:r>
        <w:rPr>
          <w:rFonts w:cs="Arial"/>
          <w:lang w:val="es-ES"/>
        </w:rPr>
        <w:t>Suecia</w:t>
      </w:r>
      <w:r w:rsidRPr="00660C1F">
        <w:rPr>
          <w:rFonts w:cs="Arial"/>
          <w:lang w:val="es-ES"/>
        </w:rPr>
        <w:t xml:space="preserve">, </w:t>
      </w:r>
      <w:r w:rsidRPr="00262E44">
        <w:rPr>
          <w:rFonts w:cs="Arial"/>
          <w:lang w:val="es-ES"/>
        </w:rPr>
        <w:t xml:space="preserve">Reino Unido </w:t>
      </w:r>
      <w:r>
        <w:rPr>
          <w:rFonts w:cs="Arial"/>
          <w:lang w:val="es-ES"/>
        </w:rPr>
        <w:t>y Estados Unidos de América</w:t>
      </w:r>
      <w:r w:rsidRPr="00660C1F">
        <w:rPr>
          <w:rFonts w:cs="Arial"/>
          <w:lang w:val="es-ES"/>
        </w:rPr>
        <w:t xml:space="preserve">) </w:t>
      </w:r>
      <w:r w:rsidRPr="00526311">
        <w:rPr>
          <w:rFonts w:cs="Arial"/>
          <w:lang w:val="es-ES"/>
        </w:rPr>
        <w:t>participaron en</w:t>
      </w:r>
      <w:r w:rsidRPr="00660C1F">
        <w:rPr>
          <w:rFonts w:cs="Arial"/>
          <w:lang w:val="es-ES"/>
        </w:rPr>
        <w:t xml:space="preserve"> 36 </w:t>
      </w:r>
      <w:r w:rsidRPr="00526311">
        <w:rPr>
          <w:rFonts w:cs="Arial"/>
          <w:lang w:val="es-ES"/>
        </w:rPr>
        <w:t>seminarios itinerantes sobre los servicios y las iniciativas de la OMPI</w:t>
      </w:r>
      <w:r w:rsidRPr="00660C1F">
        <w:rPr>
          <w:rFonts w:cs="Arial"/>
          <w:lang w:val="es-ES"/>
        </w:rPr>
        <w:t xml:space="preserve">.  </w:t>
      </w:r>
      <w:r w:rsidRPr="006367FA">
        <w:rPr>
          <w:rFonts w:cs="Arial"/>
          <w:lang w:val="es-ES"/>
        </w:rPr>
        <w:t xml:space="preserve">Los </w:t>
      </w:r>
      <w:r>
        <w:rPr>
          <w:rFonts w:cs="Arial"/>
          <w:lang w:val="es-ES"/>
        </w:rPr>
        <w:t>participantes en estos seminarios presentaron comentarios positivos</w:t>
      </w:r>
      <w:r w:rsidRPr="006367FA">
        <w:rPr>
          <w:rFonts w:cs="Arial"/>
          <w:lang w:val="es-ES"/>
        </w:rPr>
        <w:t xml:space="preserve">; así, </w:t>
      </w:r>
      <w:r w:rsidRPr="000F1A1F">
        <w:rPr>
          <w:rFonts w:cs="Arial"/>
          <w:lang w:val="es-ES"/>
        </w:rPr>
        <w:t>más del 90</w:t>
      </w:r>
      <w:r w:rsidRPr="006367FA">
        <w:rPr>
          <w:rFonts w:cs="Arial"/>
          <w:lang w:val="es-ES"/>
        </w:rPr>
        <w:t>% de los encuestados estuvo de acuerdo o muy de acuerdo en que los seminarios fueron de utilidad para su labor profesional y más del 80% estuvo de acuerdo o muy de acuerdo en que gr</w:t>
      </w:r>
      <w:r>
        <w:rPr>
          <w:rFonts w:cs="Arial"/>
          <w:lang w:val="es-ES"/>
        </w:rPr>
        <w:t>acias a los seminarios es muy probable que utilicen o recomienden</w:t>
      </w:r>
      <w:r w:rsidR="008F7A06">
        <w:rPr>
          <w:rFonts w:cs="Arial"/>
          <w:lang w:val="es-ES"/>
        </w:rPr>
        <w:t xml:space="preserve"> en el futuro</w:t>
      </w:r>
      <w:r>
        <w:rPr>
          <w:rFonts w:cs="Arial"/>
          <w:lang w:val="es-ES"/>
        </w:rPr>
        <w:t xml:space="preserve"> la utilización de los servicios de P.I. </w:t>
      </w:r>
      <w:r w:rsidR="008F7A06">
        <w:rPr>
          <w:rFonts w:cs="Arial"/>
          <w:lang w:val="es-ES"/>
        </w:rPr>
        <w:t>que ofrece la OMPI</w:t>
      </w:r>
      <w:r w:rsidRPr="006367FA">
        <w:rPr>
          <w:rFonts w:cs="Arial"/>
          <w:lang w:val="es-ES"/>
        </w:rPr>
        <w:t xml:space="preserve">.  </w:t>
      </w:r>
      <w:r w:rsidRPr="00544A05">
        <w:rPr>
          <w:rFonts w:cs="Arial"/>
          <w:lang w:val="es-ES"/>
        </w:rPr>
        <w:t xml:space="preserve">Asimismo, el 98% de los encuestados estuvieron de acuerdo o muy de acuerdo en que la formación había mejorado su conocimiento sobre los servicios de la OMPI, y </w:t>
      </w:r>
      <w:r w:rsidRPr="000F1A1F">
        <w:rPr>
          <w:rFonts w:cs="Arial"/>
          <w:lang w:val="es-ES"/>
        </w:rPr>
        <w:t>un 35%</w:t>
      </w:r>
      <w:r w:rsidRPr="00544A05">
        <w:rPr>
          <w:rFonts w:cs="Arial"/>
          <w:lang w:val="es-ES"/>
        </w:rPr>
        <w:t xml:space="preserve"> estuvo de acuerdo o muy de acuerdo en</w:t>
      </w:r>
      <w:r>
        <w:rPr>
          <w:rFonts w:cs="Arial"/>
          <w:lang w:val="es-ES"/>
        </w:rPr>
        <w:t xml:space="preserve"> que</w:t>
      </w:r>
      <w:r w:rsidRPr="00544A05">
        <w:rPr>
          <w:rFonts w:cs="Arial"/>
          <w:lang w:val="es-ES"/>
        </w:rPr>
        <w:t xml:space="preserve"> la utilizaci</w:t>
      </w:r>
      <w:r>
        <w:rPr>
          <w:rFonts w:cs="Arial"/>
          <w:lang w:val="es-ES"/>
        </w:rPr>
        <w:t>ón por parte de su organización de los servicios de la OMPI había aumentado después de asistir al seminario.</w:t>
      </w:r>
    </w:p>
    <w:p w:rsidR="0095318C" w:rsidRPr="00660C1F" w:rsidRDefault="0095318C" w:rsidP="004C50F9">
      <w:pPr>
        <w:pStyle w:val="ListParagraph"/>
        <w:numPr>
          <w:ilvl w:val="0"/>
          <w:numId w:val="56"/>
        </w:numPr>
        <w:tabs>
          <w:tab w:val="left" w:pos="709"/>
        </w:tabs>
        <w:ind w:left="0" w:firstLine="0"/>
        <w:jc w:val="both"/>
        <w:rPr>
          <w:rFonts w:cs="Arial"/>
          <w:lang w:val="es-ES"/>
        </w:rPr>
      </w:pPr>
      <w:r w:rsidRPr="00526311">
        <w:rPr>
          <w:rFonts w:cs="Arial"/>
          <w:lang w:val="es-ES"/>
        </w:rPr>
        <w:t>S</w:t>
      </w:r>
      <w:r w:rsidR="008F7A06">
        <w:rPr>
          <w:rFonts w:cs="Arial"/>
          <w:lang w:val="es-ES"/>
        </w:rPr>
        <w:t>e incrementaron los esfuerzos po</w:t>
      </w:r>
      <w:r w:rsidRPr="00526311">
        <w:rPr>
          <w:rFonts w:cs="Arial"/>
          <w:lang w:val="es-ES"/>
        </w:rPr>
        <w:t xml:space="preserve">r estrechar los vínculos institucionales y fomentar alianzas con los sectores interesados de los países </w:t>
      </w:r>
      <w:r>
        <w:rPr>
          <w:rFonts w:cs="Arial"/>
          <w:lang w:val="es-ES"/>
        </w:rPr>
        <w:t xml:space="preserve">con economías </w:t>
      </w:r>
      <w:r w:rsidRPr="00526311">
        <w:rPr>
          <w:rFonts w:cs="Arial"/>
          <w:lang w:val="es-ES"/>
        </w:rPr>
        <w:t>en transición y los países desarrollados, lo que incluye organizaciones regionales, oficinas de P.I., ONG y asociaciones comerciales en representación de los usuarios de los servicios de la OMPI.  A tal fin, en el marco del programa se acogió la visita de varias partes interesadas de los países en cuestión y se facilitó la organización de sesiones de información sobre diversas cuestiones de interés</w:t>
      </w:r>
      <w:r>
        <w:rPr>
          <w:rFonts w:cs="Arial"/>
          <w:lang w:val="es-ES"/>
        </w:rPr>
        <w:t xml:space="preserve">. </w:t>
      </w:r>
      <w:r w:rsidRPr="00660C1F">
        <w:rPr>
          <w:rFonts w:cs="Arial"/>
          <w:lang w:val="es-ES"/>
        </w:rPr>
        <w:t xml:space="preserve"> </w:t>
      </w:r>
      <w:r w:rsidRPr="00526311">
        <w:rPr>
          <w:rFonts w:cs="Arial"/>
          <w:lang w:val="es-ES"/>
        </w:rPr>
        <w:t>Se organizaron varias misiones exploratorias con el fin de evaluar mejor las necesidades y peticiones de los países, y</w:t>
      </w:r>
      <w:r>
        <w:rPr>
          <w:rFonts w:cs="Arial"/>
          <w:lang w:val="es-ES"/>
        </w:rPr>
        <w:t xml:space="preserve"> se firmaron cinco</w:t>
      </w:r>
      <w:r w:rsidRPr="00526311">
        <w:rPr>
          <w:rFonts w:cs="Arial"/>
          <w:lang w:val="es-ES"/>
        </w:rPr>
        <w:t xml:space="preserve"> nuevos memorandos de entendimiento en 2014</w:t>
      </w:r>
      <w:r>
        <w:rPr>
          <w:rFonts w:cs="Arial"/>
          <w:lang w:val="es-ES"/>
        </w:rPr>
        <w:t>/15</w:t>
      </w:r>
      <w:r w:rsidRPr="00526311">
        <w:rPr>
          <w:rFonts w:cs="Arial"/>
          <w:lang w:val="es-ES"/>
        </w:rPr>
        <w:t xml:space="preserve"> con partes interesadas de Dinamarca,</w:t>
      </w:r>
      <w:r>
        <w:rPr>
          <w:rFonts w:cs="Arial"/>
          <w:lang w:val="es-ES"/>
        </w:rPr>
        <w:t xml:space="preserve"> Francia, </w:t>
      </w:r>
      <w:r w:rsidRPr="00526311">
        <w:rPr>
          <w:rFonts w:cs="Arial"/>
          <w:lang w:val="es-ES"/>
        </w:rPr>
        <w:t>Alemania</w:t>
      </w:r>
      <w:r>
        <w:rPr>
          <w:rFonts w:cs="Arial"/>
          <w:lang w:val="es-ES"/>
        </w:rPr>
        <w:t>,</w:t>
      </w:r>
      <w:r w:rsidRPr="00526311">
        <w:rPr>
          <w:rFonts w:cs="Arial"/>
          <w:lang w:val="es-ES"/>
        </w:rPr>
        <w:t xml:space="preserve"> Israel </w:t>
      </w:r>
      <w:r>
        <w:rPr>
          <w:rFonts w:cs="Arial"/>
          <w:lang w:val="es-ES"/>
        </w:rPr>
        <w:t>y España</w:t>
      </w:r>
      <w:r w:rsidRPr="00526311">
        <w:rPr>
          <w:rFonts w:cs="Arial"/>
          <w:lang w:val="es-ES"/>
        </w:rPr>
        <w:t>.</w:t>
      </w:r>
    </w:p>
    <w:p w:rsidR="0095318C" w:rsidRPr="00660C1F" w:rsidRDefault="0095318C" w:rsidP="004C50F9">
      <w:pPr>
        <w:pStyle w:val="ListParagraph"/>
        <w:tabs>
          <w:tab w:val="left" w:pos="709"/>
        </w:tabs>
        <w:ind w:left="0"/>
        <w:jc w:val="both"/>
        <w:rPr>
          <w:rFonts w:cs="Arial"/>
          <w:lang w:val="es-ES"/>
        </w:rPr>
      </w:pPr>
    </w:p>
    <w:p w:rsidR="0095318C" w:rsidRPr="00E55910" w:rsidRDefault="0095318C" w:rsidP="004C50F9">
      <w:pPr>
        <w:pStyle w:val="ListParagraph"/>
        <w:numPr>
          <w:ilvl w:val="0"/>
          <w:numId w:val="56"/>
        </w:numPr>
        <w:tabs>
          <w:tab w:val="left" w:pos="709"/>
        </w:tabs>
        <w:ind w:left="0" w:firstLine="0"/>
        <w:jc w:val="both"/>
        <w:rPr>
          <w:rFonts w:cs="Arial"/>
          <w:lang w:val="es-ES"/>
        </w:rPr>
      </w:pPr>
      <w:r w:rsidRPr="00526311">
        <w:rPr>
          <w:lang w:val="es-ES"/>
        </w:rPr>
        <w:t xml:space="preserve">A fin de integrar las perspectivas de género en la labor del programa, en </w:t>
      </w:r>
      <w:r>
        <w:rPr>
          <w:lang w:val="es-ES"/>
        </w:rPr>
        <w:t>este bienio</w:t>
      </w:r>
      <w:r w:rsidRPr="00526311">
        <w:rPr>
          <w:lang w:val="es-ES"/>
        </w:rPr>
        <w:t xml:space="preserve"> se mantuvo la excelente cooperación establecida con la asociación </w:t>
      </w:r>
      <w:r w:rsidRPr="00526311">
        <w:rPr>
          <w:i/>
          <w:lang w:val="es-ES"/>
        </w:rPr>
        <w:t>World Women Inventors and Entrepreneurs Association</w:t>
      </w:r>
      <w:r w:rsidRPr="00526311">
        <w:rPr>
          <w:lang w:val="es-ES"/>
        </w:rPr>
        <w:t xml:space="preserve"> (WWIEA), lo que dio lugar a la coorganización del </w:t>
      </w:r>
      <w:r w:rsidRPr="00526311">
        <w:rPr>
          <w:i/>
          <w:lang w:val="es-ES"/>
        </w:rPr>
        <w:t>International Educational Program on Idea, Invention, Innovation and Intellectual Property – Seed Project 2014</w:t>
      </w:r>
      <w:r w:rsidRPr="00526311">
        <w:rPr>
          <w:lang w:val="es-ES"/>
        </w:rPr>
        <w:t>, un eficaz programa de formación destinado a las mujeres de Asia Central, que tuvo lugar en noviembre.</w:t>
      </w:r>
      <w:r w:rsidRPr="00262E44">
        <w:rPr>
          <w:rFonts w:cs="Arial"/>
          <w:lang w:val="es-ES"/>
        </w:rPr>
        <w:t xml:space="preserve">  Además, se </w:t>
      </w:r>
      <w:r>
        <w:rPr>
          <w:rFonts w:cs="Arial"/>
          <w:lang w:val="es-ES"/>
        </w:rPr>
        <w:t>co</w:t>
      </w:r>
      <w:r w:rsidRPr="00262E44">
        <w:rPr>
          <w:rFonts w:cs="Arial"/>
          <w:lang w:val="es-ES"/>
        </w:rPr>
        <w:t xml:space="preserve">organizaron varios programas internacionales de formación </w:t>
      </w:r>
      <w:r>
        <w:rPr>
          <w:rFonts w:cs="Arial"/>
          <w:lang w:val="es-ES"/>
        </w:rPr>
        <w:t xml:space="preserve">destinados a las mujeres de </w:t>
      </w:r>
      <w:r w:rsidRPr="00262E44">
        <w:rPr>
          <w:rFonts w:cs="Arial"/>
          <w:lang w:val="es-ES"/>
        </w:rPr>
        <w:t xml:space="preserve">Armenia, </w:t>
      </w:r>
      <w:r w:rsidRPr="006C7B27">
        <w:rPr>
          <w:lang w:val="es-ES"/>
        </w:rPr>
        <w:t>Azerbaiyán</w:t>
      </w:r>
      <w:r>
        <w:rPr>
          <w:rFonts w:cs="Arial"/>
          <w:lang w:val="es-ES"/>
        </w:rPr>
        <w:t>, Belarús, Croac</w:t>
      </w:r>
      <w:r w:rsidRPr="00262E44">
        <w:rPr>
          <w:rFonts w:cs="Arial"/>
          <w:lang w:val="es-ES"/>
        </w:rPr>
        <w:t xml:space="preserve">ia, Georgia, </w:t>
      </w:r>
      <w:r w:rsidRPr="006C7B27">
        <w:rPr>
          <w:lang w:val="es-ES"/>
        </w:rPr>
        <w:t>Kazajstán</w:t>
      </w:r>
      <w:r w:rsidRPr="00262E44">
        <w:rPr>
          <w:rFonts w:cs="Arial"/>
          <w:lang w:val="es-ES"/>
        </w:rPr>
        <w:t xml:space="preserve">, </w:t>
      </w:r>
      <w:r>
        <w:rPr>
          <w:rFonts w:cs="Arial"/>
          <w:lang w:val="es-ES"/>
        </w:rPr>
        <w:t>la República de Moldova</w:t>
      </w:r>
      <w:r w:rsidRPr="00262E44">
        <w:rPr>
          <w:rFonts w:cs="Arial"/>
          <w:lang w:val="es-ES"/>
        </w:rPr>
        <w:t xml:space="preserve">, </w:t>
      </w:r>
      <w:r>
        <w:rPr>
          <w:rFonts w:cs="Arial"/>
          <w:lang w:val="es-ES"/>
        </w:rPr>
        <w:t>la Federación de Rusia</w:t>
      </w:r>
      <w:r w:rsidRPr="00262E44">
        <w:rPr>
          <w:rFonts w:cs="Arial"/>
          <w:lang w:val="es-ES"/>
        </w:rPr>
        <w:t xml:space="preserve">, Serbia, </w:t>
      </w:r>
      <w:r>
        <w:rPr>
          <w:rFonts w:cs="Arial"/>
          <w:lang w:val="es-ES"/>
        </w:rPr>
        <w:t>y Ucrania</w:t>
      </w:r>
      <w:r w:rsidRPr="00262E44">
        <w:rPr>
          <w:rFonts w:cs="Arial"/>
          <w:lang w:val="es-ES"/>
        </w:rPr>
        <w:t xml:space="preserve">.  </w:t>
      </w:r>
      <w:r w:rsidRPr="005F6B0B">
        <w:rPr>
          <w:rFonts w:cs="Arial"/>
          <w:lang w:val="es-ES"/>
        </w:rPr>
        <w:t xml:space="preserve">El objetivo de estos programas fue </w:t>
      </w:r>
      <w:r>
        <w:rPr>
          <w:rFonts w:cs="Arial"/>
          <w:lang w:val="es-ES"/>
        </w:rPr>
        <w:t>ampliar</w:t>
      </w:r>
      <w:r w:rsidRPr="005F6B0B">
        <w:rPr>
          <w:rFonts w:cs="Arial"/>
          <w:lang w:val="es-ES"/>
        </w:rPr>
        <w:t xml:space="preserve"> los conocimientos</w:t>
      </w:r>
      <w:r>
        <w:rPr>
          <w:rFonts w:cs="Arial"/>
          <w:lang w:val="es-ES"/>
        </w:rPr>
        <w:t xml:space="preserve"> de la</w:t>
      </w:r>
      <w:r w:rsidRPr="005F6B0B">
        <w:rPr>
          <w:rFonts w:cs="Arial"/>
          <w:lang w:val="es-ES"/>
        </w:rPr>
        <w:t xml:space="preserve">s participantes en cuestiones como la creatividad, innovación, protección de invenciones y gestión de los derechos de P.I., así como </w:t>
      </w:r>
      <w:r>
        <w:rPr>
          <w:rFonts w:cs="Arial"/>
          <w:lang w:val="es-ES"/>
        </w:rPr>
        <w:t>dotar a las participantes</w:t>
      </w:r>
      <w:r w:rsidRPr="005F6B0B">
        <w:rPr>
          <w:rFonts w:cs="Arial"/>
          <w:lang w:val="es-ES"/>
        </w:rPr>
        <w:t xml:space="preserve"> </w:t>
      </w:r>
      <w:r>
        <w:rPr>
          <w:rFonts w:cs="Arial"/>
          <w:lang w:val="es-ES"/>
        </w:rPr>
        <w:t xml:space="preserve">de </w:t>
      </w:r>
      <w:r w:rsidRPr="005F6B0B">
        <w:rPr>
          <w:rFonts w:cs="Arial"/>
          <w:lang w:val="es-ES"/>
        </w:rPr>
        <w:t xml:space="preserve">métodos de </w:t>
      </w:r>
      <w:r>
        <w:rPr>
          <w:rFonts w:cs="Arial"/>
          <w:lang w:val="es-ES"/>
        </w:rPr>
        <w:t>enseñanza válidos para divulgar sus conocimientos y habilidades en el ámbito nacional</w:t>
      </w:r>
      <w:r w:rsidRPr="000E1AEC">
        <w:rPr>
          <w:rFonts w:cs="Arial"/>
          <w:lang w:val="es-ES"/>
        </w:rPr>
        <w:t xml:space="preserve">.  </w:t>
      </w:r>
      <w:r w:rsidRPr="00E55910">
        <w:rPr>
          <w:rFonts w:cs="Arial"/>
          <w:lang w:val="es-ES"/>
        </w:rPr>
        <w:t>Asimismo, en marzo de 2014 y 2015, se celebraron con éxito la séptima y octava conferencia internacional sobre la innovación y la creatividad de las mujeres, que reunieron en total a unos 300 participantes de más de 20 países, en Varsovia (Polonia).</w:t>
      </w:r>
    </w:p>
    <w:p w:rsidR="0095318C" w:rsidRPr="00E55910" w:rsidRDefault="0095318C" w:rsidP="00DC1333">
      <w:pPr>
        <w:pStyle w:val="ListParagraph"/>
        <w:tabs>
          <w:tab w:val="left" w:pos="709"/>
        </w:tabs>
        <w:ind w:left="0"/>
        <w:jc w:val="both"/>
        <w:rPr>
          <w:rFonts w:cs="Arial"/>
          <w:lang w:val="es-ES"/>
        </w:rPr>
      </w:pPr>
    </w:p>
    <w:p w:rsidR="0095318C" w:rsidRPr="000C438F" w:rsidRDefault="0095318C" w:rsidP="008F7A06">
      <w:pPr>
        <w:pStyle w:val="ListParagraph"/>
        <w:numPr>
          <w:ilvl w:val="0"/>
          <w:numId w:val="56"/>
        </w:numPr>
        <w:tabs>
          <w:tab w:val="left" w:pos="709"/>
        </w:tabs>
        <w:ind w:left="0" w:firstLine="0"/>
        <w:jc w:val="both"/>
        <w:rPr>
          <w:bCs/>
          <w:sz w:val="22"/>
          <w:szCs w:val="22"/>
          <w:lang w:val="es-ES"/>
        </w:rPr>
      </w:pPr>
      <w:r w:rsidRPr="007B0B0F">
        <w:rPr>
          <w:lang w:val="es-ES"/>
        </w:rPr>
        <w:t>El programa 10 siguió desempeñando un papel fundamental en la aplicación de la Agenda de la OMPI para el Desarrollo en la cooperación con determinados países de Europa y Asia.</w:t>
      </w:r>
      <w:r w:rsidR="008F7A06">
        <w:rPr>
          <w:lang w:val="es-ES"/>
        </w:rPr>
        <w:t xml:space="preserve"> </w:t>
      </w:r>
      <w:r w:rsidRPr="007B0B0F">
        <w:rPr>
          <w:lang w:val="es-ES"/>
        </w:rPr>
        <w:t xml:space="preserve"> Concretamente, con respecto a las recomendaciones 1, 6, 12</w:t>
      </w:r>
      <w:r w:rsidR="008F7A06">
        <w:rPr>
          <w:lang w:val="es-ES"/>
        </w:rPr>
        <w:t>, 13</w:t>
      </w:r>
      <w:r w:rsidRPr="007B0B0F">
        <w:rPr>
          <w:lang w:val="es-ES"/>
        </w:rPr>
        <w:t xml:space="preserve"> y 14 de la Agenda para el Desarrollo, esto es, las relacionadas con las actividades de la OMPI en materia de asistencia técnica y fortalecimiento de capacidad, que siguieron </w:t>
      </w:r>
      <w:r>
        <w:rPr>
          <w:lang w:val="es-ES"/>
        </w:rPr>
        <w:t>guiando</w:t>
      </w:r>
      <w:r w:rsidRPr="007B0B0F">
        <w:rPr>
          <w:lang w:val="es-ES"/>
        </w:rPr>
        <w:t xml:space="preserve"> </w:t>
      </w:r>
      <w:r>
        <w:rPr>
          <w:lang w:val="es-ES"/>
        </w:rPr>
        <w:t>la labor del programa 10.</w:t>
      </w:r>
    </w:p>
    <w:p w:rsidR="0095318C" w:rsidRDefault="0095318C" w:rsidP="00DC1333">
      <w:pPr>
        <w:pStyle w:val="ListParagraph"/>
        <w:tabs>
          <w:tab w:val="left" w:pos="709"/>
        </w:tabs>
        <w:ind w:left="0"/>
        <w:jc w:val="both"/>
        <w:rPr>
          <w:rFonts w:cs="Arial"/>
          <w:lang w:val="es-ES"/>
        </w:rPr>
      </w:pPr>
    </w:p>
    <w:p w:rsidR="0095318C" w:rsidRPr="000C438F" w:rsidRDefault="0095318C" w:rsidP="00DC1333">
      <w:pPr>
        <w:pStyle w:val="ListParagraph"/>
        <w:tabs>
          <w:tab w:val="left" w:pos="709"/>
        </w:tabs>
        <w:ind w:left="0"/>
        <w:jc w:val="both"/>
        <w:rPr>
          <w:rFonts w:cs="Arial"/>
          <w:lang w:val="es-ES"/>
        </w:rPr>
      </w:pPr>
    </w:p>
    <w:p w:rsidR="0095318C" w:rsidRPr="00FE358A" w:rsidRDefault="008F7CBE" w:rsidP="00DC1333">
      <w:pPr>
        <w:keepNext/>
        <w:rPr>
          <w:szCs w:val="22"/>
        </w:rPr>
      </w:pPr>
      <w:r w:rsidRPr="008F7CBE">
        <w:rPr>
          <w:sz w:val="20"/>
          <w:szCs w:val="22"/>
        </w:rPr>
        <w:lastRenderedPageBreak/>
        <w:t>DATOS SOBRE EL RENDIMIENTO</w:t>
      </w:r>
    </w:p>
    <w:p w:rsidR="0095318C" w:rsidRDefault="0095318C" w:rsidP="00DC1333">
      <w:pPr>
        <w:keepNext/>
        <w:rPr>
          <w:b/>
        </w:rPr>
      </w:pP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7"/>
        <w:gridCol w:w="2420"/>
        <w:gridCol w:w="1570"/>
        <w:gridCol w:w="2411"/>
        <w:gridCol w:w="12"/>
        <w:gridCol w:w="1197"/>
      </w:tblGrid>
      <w:tr w:rsidR="0095318C" w:rsidRPr="00267E8F" w:rsidTr="00DC1333">
        <w:trPr>
          <w:cantSplit/>
          <w:trHeight w:val="441"/>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6451DF" w:rsidRDefault="0095318C" w:rsidP="00DC1333">
            <w:pPr>
              <w:keepNext/>
              <w:keepLines/>
              <w:ind w:left="1985" w:hanging="1985"/>
              <w:rPr>
                <w:b/>
                <w:bCs/>
                <w:sz w:val="16"/>
                <w:szCs w:val="16"/>
              </w:rPr>
            </w:pPr>
            <w:r w:rsidRPr="006451DF">
              <w:rPr>
                <w:b/>
                <w:bCs/>
                <w:sz w:val="16"/>
                <w:szCs w:val="16"/>
              </w:rPr>
              <w:t>Resultado previsto:</w:t>
            </w:r>
            <w:r w:rsidRPr="006451DF">
              <w:rPr>
                <w:b/>
                <w:bCs/>
                <w:sz w:val="16"/>
                <w:szCs w:val="16"/>
              </w:rPr>
              <w:tab/>
            </w:r>
            <w:r w:rsidRPr="006451DF">
              <w:rPr>
                <w:sz w:val="16"/>
                <w:szCs w:val="16"/>
                <w:lang w:bidi="th-TH"/>
              </w:rPr>
              <w:t xml:space="preserve">I.2 </w:t>
            </w:r>
            <w:r w:rsidRPr="006451DF">
              <w:rPr>
                <w:sz w:val="16"/>
                <w:szCs w:val="16"/>
              </w:rPr>
              <w:t>Marcos de P.I. adaptados y equilibrados en el ámbito legislativo, reglamentario y de política</w:t>
            </w:r>
          </w:p>
        </w:tc>
      </w:tr>
      <w:tr w:rsidR="0095318C" w:rsidRPr="001656CD" w:rsidTr="00DC1333">
        <w:trPr>
          <w:cantSplit/>
        </w:trPr>
        <w:tc>
          <w:tcPr>
            <w:tcW w:w="2137" w:type="dxa"/>
            <w:tcBorders>
              <w:top w:val="single" w:sz="4" w:space="0" w:color="auto"/>
            </w:tcBorders>
            <w:shd w:val="clear" w:color="auto" w:fill="auto"/>
            <w:vAlign w:val="center"/>
          </w:tcPr>
          <w:p w:rsidR="0095318C" w:rsidRPr="001656CD" w:rsidRDefault="0095318C" w:rsidP="00DC1333">
            <w:pPr>
              <w:keepNext/>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1656CD" w:rsidRDefault="0095318C" w:rsidP="00DC1333">
            <w:pPr>
              <w:keepNext/>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083772" w:rsidRDefault="0095318C" w:rsidP="00DC1333">
            <w:pPr>
              <w:keepNext/>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1656CD" w:rsidRDefault="0095318C" w:rsidP="00DC1333">
            <w:pPr>
              <w:keepNext/>
              <w:rPr>
                <w:sz w:val="16"/>
                <w:szCs w:val="16"/>
              </w:rPr>
            </w:pPr>
            <w:r w:rsidRPr="001656CD">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083772" w:rsidRDefault="0095318C" w:rsidP="00DC1333">
            <w:pPr>
              <w:keepNext/>
              <w:keepLines/>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bottom w:val="single" w:sz="4" w:space="0" w:color="auto"/>
            </w:tcBorders>
            <w:shd w:val="clear" w:color="auto" w:fill="auto"/>
          </w:tcPr>
          <w:p w:rsidR="0095318C" w:rsidRPr="006451DF" w:rsidRDefault="0095318C" w:rsidP="00DC1333">
            <w:pPr>
              <w:keepNext/>
              <w:rPr>
                <w:sz w:val="16"/>
                <w:szCs w:val="16"/>
                <w:lang w:bidi="th-TH"/>
              </w:rPr>
            </w:pPr>
            <w:r w:rsidRPr="006451DF">
              <w:rPr>
                <w:sz w:val="16"/>
                <w:szCs w:val="16"/>
              </w:rPr>
              <w:t>Número de países que han actualizado s</w:t>
            </w:r>
            <w:r>
              <w:rPr>
                <w:sz w:val="16"/>
                <w:szCs w:val="16"/>
              </w:rPr>
              <w:t>u legislación o sus reglamentos.</w:t>
            </w:r>
          </w:p>
        </w:tc>
        <w:tc>
          <w:tcPr>
            <w:tcW w:w="2420" w:type="dxa"/>
            <w:tcBorders>
              <w:bottom w:val="single" w:sz="4" w:space="0" w:color="auto"/>
            </w:tcBorders>
            <w:shd w:val="clear" w:color="auto" w:fill="auto"/>
          </w:tcPr>
          <w:p w:rsidR="0095318C" w:rsidRPr="006451DF" w:rsidRDefault="0095318C" w:rsidP="00DC1333">
            <w:pPr>
              <w:keepNext/>
              <w:rPr>
                <w:color w:val="002060"/>
                <w:sz w:val="16"/>
                <w:szCs w:val="16"/>
              </w:rPr>
            </w:pPr>
            <w:r w:rsidRPr="006451DF">
              <w:rPr>
                <w:i/>
                <w:color w:val="002060"/>
                <w:sz w:val="16"/>
                <w:szCs w:val="16"/>
              </w:rPr>
              <w:t>Referencia actualizada a fines de 2013</w:t>
            </w:r>
            <w:proofErr w:type="gramStart"/>
            <w:r w:rsidRPr="006451DF">
              <w:rPr>
                <w:i/>
                <w:color w:val="002060"/>
                <w:sz w:val="16"/>
                <w:szCs w:val="16"/>
              </w:rPr>
              <w:t xml:space="preserve">: </w:t>
            </w:r>
            <w:r>
              <w:rPr>
                <w:i/>
                <w:color w:val="002060"/>
                <w:sz w:val="16"/>
                <w:szCs w:val="16"/>
              </w:rPr>
              <w:t xml:space="preserve"> </w:t>
            </w:r>
            <w:r w:rsidRPr="006451DF">
              <w:rPr>
                <w:color w:val="002060"/>
                <w:sz w:val="16"/>
                <w:szCs w:val="16"/>
              </w:rPr>
              <w:t>18</w:t>
            </w:r>
            <w:proofErr w:type="gramEnd"/>
            <w:r w:rsidRPr="006451DF">
              <w:rPr>
                <w:color w:val="002060"/>
                <w:sz w:val="16"/>
                <w:szCs w:val="16"/>
              </w:rPr>
              <w:t xml:space="preserve"> en total: Albania, Armenia, Belarús, Bosnia y Herzegovina, Polonia, Rumania, Eslovenia y Tayikistán actualizaron su legislación nacional de P.I. en 2012/13.</w:t>
            </w:r>
          </w:p>
          <w:p w:rsidR="0095318C" w:rsidRPr="006451DF" w:rsidRDefault="0095318C" w:rsidP="00DC1333">
            <w:pPr>
              <w:keepNext/>
              <w:rPr>
                <w:color w:val="002060"/>
                <w:sz w:val="16"/>
                <w:szCs w:val="16"/>
              </w:rPr>
            </w:pPr>
          </w:p>
          <w:p w:rsidR="0095318C" w:rsidRPr="006451DF" w:rsidRDefault="0095318C" w:rsidP="00DC1333">
            <w:pPr>
              <w:keepNext/>
              <w:rPr>
                <w:color w:val="002060"/>
                <w:sz w:val="16"/>
                <w:szCs w:val="16"/>
              </w:rPr>
            </w:pPr>
            <w:r w:rsidRPr="006451DF">
              <w:rPr>
                <w:color w:val="002060"/>
                <w:sz w:val="16"/>
                <w:szCs w:val="16"/>
              </w:rPr>
              <w:t>Kazajstán y la Federación de Rusia han iniciado el proceso para modificar su legislación.</w:t>
            </w:r>
          </w:p>
          <w:p w:rsidR="0095318C" w:rsidRPr="006451DF" w:rsidRDefault="0095318C" w:rsidP="00DC1333">
            <w:pPr>
              <w:keepNext/>
              <w:rPr>
                <w:i/>
                <w:sz w:val="8"/>
                <w:szCs w:val="8"/>
              </w:rPr>
            </w:pPr>
          </w:p>
          <w:p w:rsidR="0095318C" w:rsidRPr="006451DF" w:rsidRDefault="0095318C" w:rsidP="00DC1333">
            <w:pPr>
              <w:keepNext/>
              <w:rPr>
                <w:sz w:val="16"/>
                <w:szCs w:val="16"/>
              </w:rPr>
            </w:pPr>
            <w:r w:rsidRPr="006451DF">
              <w:rPr>
                <w:i/>
                <w:sz w:val="16"/>
                <w:szCs w:val="16"/>
              </w:rPr>
              <w:t xml:space="preserve">Referencia original en el presupuesto de 2014/15: </w:t>
            </w:r>
            <w:r w:rsidR="008F7A06">
              <w:rPr>
                <w:sz w:val="16"/>
                <w:szCs w:val="16"/>
              </w:rPr>
              <w:t>18 a finales de 2013</w:t>
            </w:r>
          </w:p>
          <w:p w:rsidR="0095318C" w:rsidRPr="006451DF" w:rsidRDefault="0095318C" w:rsidP="00DC1333">
            <w:pPr>
              <w:keepNext/>
              <w:rPr>
                <w:sz w:val="16"/>
                <w:szCs w:val="16"/>
              </w:rPr>
            </w:pPr>
          </w:p>
        </w:tc>
        <w:tc>
          <w:tcPr>
            <w:tcW w:w="1570" w:type="dxa"/>
            <w:tcBorders>
              <w:bottom w:val="single" w:sz="4" w:space="0" w:color="auto"/>
            </w:tcBorders>
            <w:shd w:val="clear" w:color="auto" w:fill="auto"/>
            <w:tcMar>
              <w:top w:w="110" w:type="dxa"/>
            </w:tcMar>
          </w:tcPr>
          <w:p w:rsidR="0095318C" w:rsidRPr="00083772" w:rsidRDefault="008F7A06" w:rsidP="00DC1333">
            <w:pPr>
              <w:keepNext/>
              <w:rPr>
                <w:sz w:val="16"/>
                <w:szCs w:val="16"/>
              </w:rPr>
            </w:pPr>
            <w:r>
              <w:rPr>
                <w:sz w:val="16"/>
                <w:szCs w:val="16"/>
              </w:rPr>
              <w:t>4 países adicionales</w:t>
            </w:r>
          </w:p>
        </w:tc>
        <w:tc>
          <w:tcPr>
            <w:tcW w:w="2423" w:type="dxa"/>
            <w:gridSpan w:val="2"/>
            <w:tcBorders>
              <w:bottom w:val="single" w:sz="4" w:space="0" w:color="auto"/>
            </w:tcBorders>
            <w:shd w:val="clear" w:color="auto" w:fill="FFFFFF"/>
            <w:tcMar>
              <w:top w:w="110" w:type="dxa"/>
            </w:tcMar>
          </w:tcPr>
          <w:p w:rsidR="0095318C" w:rsidRPr="006451DF" w:rsidRDefault="0095318C" w:rsidP="00DC1333">
            <w:pPr>
              <w:keepNext/>
              <w:rPr>
                <w:sz w:val="16"/>
                <w:szCs w:val="16"/>
              </w:rPr>
            </w:pPr>
            <w:r w:rsidRPr="006451DF">
              <w:rPr>
                <w:sz w:val="16"/>
                <w:szCs w:val="16"/>
              </w:rPr>
              <w:t>9 (Kazajstán, Kirguistán, Letonia, Lituania, Montenegro, República de Moldova, Federación de Rusia, Tayikistán, Turkmenistán)</w:t>
            </w:r>
            <w:r>
              <w:rPr>
                <w:sz w:val="16"/>
                <w:szCs w:val="16"/>
              </w:rPr>
              <w:t>.</w:t>
            </w:r>
          </w:p>
        </w:tc>
        <w:tc>
          <w:tcPr>
            <w:tcW w:w="1197" w:type="dxa"/>
            <w:tcBorders>
              <w:bottom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369"/>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5C1235" w:rsidRDefault="0095318C" w:rsidP="00DC1333">
            <w:pPr>
              <w:keepNext/>
              <w:keepLines/>
              <w:ind w:left="1985" w:hanging="1985"/>
              <w:rPr>
                <w:b/>
                <w:bCs/>
                <w:sz w:val="16"/>
                <w:szCs w:val="16"/>
              </w:rPr>
            </w:pPr>
            <w:r w:rsidRPr="005C1235">
              <w:rPr>
                <w:b/>
                <w:bCs/>
                <w:sz w:val="16"/>
                <w:szCs w:val="16"/>
              </w:rPr>
              <w:t>Resultado previsto:</w:t>
            </w:r>
            <w:r w:rsidRPr="005C1235">
              <w:rPr>
                <w:b/>
                <w:bCs/>
                <w:sz w:val="16"/>
                <w:szCs w:val="16"/>
              </w:rPr>
              <w:tab/>
            </w:r>
            <w:r w:rsidRPr="005C1235">
              <w:rPr>
                <w:sz w:val="16"/>
                <w:szCs w:val="16"/>
                <w:lang w:bidi="th-TH"/>
              </w:rPr>
              <w:t xml:space="preserve">II.1 </w:t>
            </w:r>
            <w:r w:rsidRPr="007C38D0">
              <w:rPr>
                <w:sz w:val="16"/>
                <w:szCs w:val="16"/>
              </w:rPr>
              <w:t>Fomento del uso</w:t>
            </w:r>
            <w:r w:rsidRPr="005C1235">
              <w:rPr>
                <w:sz w:val="16"/>
                <w:szCs w:val="16"/>
              </w:rPr>
              <w:t xml:space="preserve"> de la vía del PCT para la presentación de solicitudes internacionales de patente</w:t>
            </w:r>
          </w:p>
        </w:tc>
      </w:tr>
      <w:tr w:rsidR="0095318C" w:rsidRPr="001656CD" w:rsidTr="00DC1333">
        <w:trPr>
          <w:cantSplit/>
        </w:trPr>
        <w:tc>
          <w:tcPr>
            <w:tcW w:w="2137" w:type="dxa"/>
            <w:tcBorders>
              <w:top w:val="single" w:sz="4" w:space="0" w:color="auto"/>
            </w:tcBorders>
            <w:shd w:val="clear" w:color="auto" w:fill="auto"/>
            <w:vAlign w:val="center"/>
          </w:tcPr>
          <w:p w:rsidR="0095318C" w:rsidRPr="001656CD" w:rsidRDefault="0095318C" w:rsidP="00DC1333">
            <w:pPr>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1656CD" w:rsidRDefault="0095318C" w:rsidP="00DC1333">
            <w:pPr>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083772" w:rsidRDefault="0095318C" w:rsidP="00DC1333">
            <w:pPr>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1656CD" w:rsidRDefault="0095318C" w:rsidP="00DC1333">
            <w:pPr>
              <w:rPr>
                <w:sz w:val="16"/>
                <w:szCs w:val="16"/>
              </w:rPr>
            </w:pPr>
            <w:r w:rsidRPr="001656CD">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083772" w:rsidRDefault="0095318C" w:rsidP="00DC1333">
            <w:pPr>
              <w:keepNext/>
              <w:keepLines/>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bottom w:val="single" w:sz="4" w:space="0" w:color="auto"/>
            </w:tcBorders>
            <w:shd w:val="clear" w:color="auto" w:fill="auto"/>
          </w:tcPr>
          <w:p w:rsidR="0095318C" w:rsidRPr="005C1235" w:rsidRDefault="0095318C" w:rsidP="00DC1333">
            <w:pPr>
              <w:rPr>
                <w:sz w:val="16"/>
                <w:szCs w:val="16"/>
              </w:rPr>
            </w:pPr>
            <w:r w:rsidRPr="005C1235">
              <w:rPr>
                <w:sz w:val="16"/>
                <w:szCs w:val="16"/>
              </w:rPr>
              <w:t>Número de solicitudes PCT procedentes de países con economías en transición y países desarrollados.</w:t>
            </w:r>
          </w:p>
        </w:tc>
        <w:tc>
          <w:tcPr>
            <w:tcW w:w="2420" w:type="dxa"/>
            <w:tcBorders>
              <w:bottom w:val="single" w:sz="4" w:space="0" w:color="auto"/>
            </w:tcBorders>
            <w:shd w:val="clear" w:color="auto" w:fill="auto"/>
          </w:tcPr>
          <w:p w:rsidR="0095318C" w:rsidRPr="00A30FA0" w:rsidRDefault="0095318C" w:rsidP="00DC1333">
            <w:pPr>
              <w:rPr>
                <w:i/>
                <w:color w:val="002060"/>
                <w:sz w:val="16"/>
                <w:szCs w:val="16"/>
              </w:rPr>
            </w:pPr>
            <w:r w:rsidRPr="00A30FA0">
              <w:rPr>
                <w:i/>
                <w:color w:val="002060"/>
                <w:sz w:val="16"/>
                <w:szCs w:val="16"/>
              </w:rPr>
              <w:t xml:space="preserve">Referencia actualizada a fines de 2013: </w:t>
            </w:r>
          </w:p>
          <w:p w:rsidR="0095318C" w:rsidRPr="00BD70D1" w:rsidRDefault="0095318C" w:rsidP="00DC1333">
            <w:pPr>
              <w:rPr>
                <w:color w:val="002060"/>
                <w:sz w:val="16"/>
                <w:szCs w:val="16"/>
              </w:rPr>
            </w:pPr>
            <w:r w:rsidRPr="00BD70D1">
              <w:rPr>
                <w:color w:val="002060"/>
                <w:sz w:val="16"/>
                <w:szCs w:val="16"/>
              </w:rPr>
              <w:t xml:space="preserve">166.517 (2013) </w:t>
            </w:r>
          </w:p>
          <w:p w:rsidR="0095318C" w:rsidRPr="00BD70D1" w:rsidRDefault="0095318C" w:rsidP="00DC1333">
            <w:pPr>
              <w:rPr>
                <w:color w:val="002060"/>
                <w:sz w:val="16"/>
                <w:szCs w:val="16"/>
              </w:rPr>
            </w:pPr>
            <w:r w:rsidRPr="00BD70D1">
              <w:rPr>
                <w:color w:val="002060"/>
                <w:sz w:val="16"/>
                <w:szCs w:val="16"/>
              </w:rPr>
              <w:t xml:space="preserve">160.309 (2012) </w:t>
            </w:r>
          </w:p>
          <w:p w:rsidR="0095318C" w:rsidRPr="00BD70D1" w:rsidRDefault="0095318C" w:rsidP="00DC1333">
            <w:pPr>
              <w:pStyle w:val="ListParagraph"/>
              <w:ind w:left="360"/>
              <w:rPr>
                <w:rFonts w:cs="Arial"/>
                <w:i/>
                <w:sz w:val="8"/>
                <w:szCs w:val="8"/>
                <w:lang w:val="es-ES"/>
              </w:rPr>
            </w:pPr>
          </w:p>
          <w:p w:rsidR="0095318C" w:rsidRDefault="0095318C" w:rsidP="00DC1333">
            <w:pPr>
              <w:rPr>
                <w:sz w:val="16"/>
                <w:szCs w:val="16"/>
              </w:rPr>
            </w:pPr>
            <w:r w:rsidRPr="00A30FA0">
              <w:rPr>
                <w:i/>
                <w:sz w:val="16"/>
                <w:szCs w:val="16"/>
              </w:rPr>
              <w:t>Referencia original</w:t>
            </w:r>
            <w:r w:rsidR="001F7360">
              <w:rPr>
                <w:i/>
                <w:sz w:val="16"/>
                <w:szCs w:val="16"/>
              </w:rPr>
              <w:t xml:space="preserve"> en el presupuesto de</w:t>
            </w:r>
            <w:r w:rsidRPr="00A30FA0">
              <w:rPr>
                <w:i/>
                <w:sz w:val="16"/>
                <w:szCs w:val="16"/>
              </w:rPr>
              <w:t xml:space="preserve"> </w:t>
            </w:r>
            <w:r w:rsidRPr="00083772">
              <w:rPr>
                <w:i/>
                <w:sz w:val="16"/>
                <w:szCs w:val="16"/>
              </w:rPr>
              <w:t xml:space="preserve">2014/15: </w:t>
            </w:r>
            <w:r w:rsidRPr="008F7A06">
              <w:rPr>
                <w:sz w:val="16"/>
                <w:szCs w:val="16"/>
              </w:rPr>
              <w:t>Por determin</w:t>
            </w:r>
            <w:r w:rsidR="001F7360" w:rsidRPr="008F7A06">
              <w:rPr>
                <w:sz w:val="16"/>
                <w:szCs w:val="16"/>
              </w:rPr>
              <w:t>a</w:t>
            </w:r>
            <w:r w:rsidR="008F7A06">
              <w:rPr>
                <w:sz w:val="16"/>
                <w:szCs w:val="16"/>
              </w:rPr>
              <w:t>r</w:t>
            </w:r>
          </w:p>
          <w:p w:rsidR="0095318C" w:rsidRPr="001656CD" w:rsidRDefault="0095318C" w:rsidP="00DC1333">
            <w:pPr>
              <w:rPr>
                <w:sz w:val="16"/>
                <w:szCs w:val="16"/>
                <w:lang w:bidi="th-TH"/>
              </w:rPr>
            </w:pPr>
          </w:p>
        </w:tc>
        <w:tc>
          <w:tcPr>
            <w:tcW w:w="1570" w:type="dxa"/>
            <w:tcBorders>
              <w:bottom w:val="single" w:sz="4" w:space="0" w:color="auto"/>
            </w:tcBorders>
            <w:shd w:val="clear" w:color="auto" w:fill="auto"/>
            <w:tcMar>
              <w:top w:w="110" w:type="dxa"/>
            </w:tcMar>
          </w:tcPr>
          <w:p w:rsidR="0095318C" w:rsidRPr="00083772" w:rsidRDefault="0095318C" w:rsidP="00DC1333">
            <w:pPr>
              <w:rPr>
                <w:sz w:val="16"/>
                <w:szCs w:val="16"/>
              </w:rPr>
            </w:pPr>
            <w:r>
              <w:rPr>
                <w:sz w:val="16"/>
                <w:szCs w:val="16"/>
              </w:rPr>
              <w:t>Aumento del 2%</w:t>
            </w:r>
          </w:p>
        </w:tc>
        <w:tc>
          <w:tcPr>
            <w:tcW w:w="2423" w:type="dxa"/>
            <w:gridSpan w:val="2"/>
            <w:tcBorders>
              <w:bottom w:val="single" w:sz="4" w:space="0" w:color="auto"/>
            </w:tcBorders>
            <w:shd w:val="clear" w:color="auto" w:fill="FFFFFF"/>
            <w:tcMar>
              <w:top w:w="110" w:type="dxa"/>
            </w:tcMar>
          </w:tcPr>
          <w:p w:rsidR="0095318C" w:rsidRPr="00D34FB8" w:rsidRDefault="0095318C" w:rsidP="00DC1333">
            <w:pPr>
              <w:rPr>
                <w:sz w:val="16"/>
                <w:szCs w:val="16"/>
              </w:rPr>
            </w:pPr>
            <w:r>
              <w:rPr>
                <w:sz w:val="16"/>
                <w:szCs w:val="16"/>
              </w:rPr>
              <w:t>170.</w:t>
            </w:r>
            <w:r w:rsidRPr="00D34FB8">
              <w:rPr>
                <w:sz w:val="16"/>
                <w:szCs w:val="16"/>
              </w:rPr>
              <w:t>177 (2014)</w:t>
            </w:r>
          </w:p>
          <w:p w:rsidR="0095318C" w:rsidRPr="00D34FB8" w:rsidRDefault="0095318C" w:rsidP="00DC1333">
            <w:pPr>
              <w:rPr>
                <w:sz w:val="16"/>
                <w:szCs w:val="16"/>
              </w:rPr>
            </w:pPr>
            <w:r>
              <w:rPr>
                <w:sz w:val="16"/>
                <w:szCs w:val="16"/>
              </w:rPr>
              <w:t>168.</w:t>
            </w:r>
            <w:r w:rsidRPr="00D34FB8">
              <w:rPr>
                <w:sz w:val="16"/>
                <w:szCs w:val="16"/>
              </w:rPr>
              <w:t>207 (2015)</w:t>
            </w:r>
          </w:p>
          <w:p w:rsidR="0095318C" w:rsidRPr="00303855" w:rsidRDefault="0095318C" w:rsidP="00DC1333">
            <w:pPr>
              <w:rPr>
                <w:b/>
                <w:sz w:val="16"/>
                <w:szCs w:val="16"/>
              </w:rPr>
            </w:pPr>
            <w:r>
              <w:rPr>
                <w:sz w:val="16"/>
                <w:szCs w:val="16"/>
              </w:rPr>
              <w:t>+3,</w:t>
            </w:r>
            <w:r w:rsidRPr="00D34FB8">
              <w:rPr>
                <w:sz w:val="16"/>
                <w:szCs w:val="16"/>
              </w:rPr>
              <w:t>5%</w:t>
            </w:r>
          </w:p>
        </w:tc>
        <w:tc>
          <w:tcPr>
            <w:tcW w:w="1197" w:type="dxa"/>
            <w:tcBorders>
              <w:bottom w:val="single" w:sz="4" w:space="0" w:color="auto"/>
            </w:tcBorders>
            <w:shd w:val="clear" w:color="auto" w:fill="auto"/>
            <w:tcMar>
              <w:top w:w="110" w:type="dxa"/>
            </w:tcMar>
          </w:tcPr>
          <w:p w:rsidR="0095318C" w:rsidRPr="00D34FB8" w:rsidRDefault="0095318C" w:rsidP="00DC1333">
            <w:pPr>
              <w:keepNext/>
              <w:keepLines/>
              <w:jc w:val="center"/>
              <w:rPr>
                <w:b/>
                <w:bCs/>
                <w:color w:val="808080"/>
                <w:sz w:val="16"/>
                <w:szCs w:val="16"/>
              </w:rPr>
            </w:pPr>
            <w:r>
              <w:rPr>
                <w:b/>
                <w:bCs/>
                <w:color w:val="00B050"/>
                <w:sz w:val="16"/>
                <w:szCs w:val="16"/>
              </w:rPr>
              <w:t>Plenamente logrado</w:t>
            </w:r>
          </w:p>
        </w:tc>
      </w:tr>
      <w:tr w:rsidR="0095318C" w:rsidRPr="00267E8F" w:rsidTr="00DC1333">
        <w:trPr>
          <w:cantSplit/>
          <w:trHeight w:val="544"/>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5C1235" w:rsidRDefault="0095318C" w:rsidP="00DC1333">
            <w:pPr>
              <w:keepNext/>
              <w:keepLines/>
              <w:ind w:left="1985" w:hanging="1985"/>
              <w:rPr>
                <w:b/>
                <w:bCs/>
                <w:sz w:val="16"/>
                <w:szCs w:val="16"/>
              </w:rPr>
            </w:pPr>
            <w:r>
              <w:rPr>
                <w:b/>
                <w:bCs/>
                <w:sz w:val="16"/>
                <w:szCs w:val="16"/>
              </w:rPr>
              <w:t>Resultado previsto</w:t>
            </w:r>
            <w:r w:rsidRPr="005C1235">
              <w:rPr>
                <w:b/>
                <w:bCs/>
                <w:sz w:val="16"/>
                <w:szCs w:val="16"/>
              </w:rPr>
              <w:t>:</w:t>
            </w:r>
            <w:r w:rsidRPr="005C1235">
              <w:rPr>
                <w:b/>
                <w:bCs/>
                <w:sz w:val="16"/>
                <w:szCs w:val="16"/>
              </w:rPr>
              <w:tab/>
            </w:r>
            <w:r w:rsidRPr="005C1235">
              <w:rPr>
                <w:sz w:val="16"/>
                <w:szCs w:val="16"/>
                <w:lang w:bidi="th-TH"/>
              </w:rPr>
              <w:t xml:space="preserve">II.4 </w:t>
            </w:r>
            <w:r w:rsidRPr="005C1235">
              <w:rPr>
                <w:sz w:val="16"/>
                <w:szCs w:val="16"/>
              </w:rPr>
              <w:t>Ampliación y mejora del uso del Sistema de La Haya por los países en desarrollo y los PMA, entre otros</w:t>
            </w:r>
          </w:p>
        </w:tc>
      </w:tr>
      <w:tr w:rsidR="0095318C" w:rsidRPr="00BC6547" w:rsidTr="00DC1333">
        <w:trPr>
          <w:cantSplit/>
        </w:trPr>
        <w:tc>
          <w:tcPr>
            <w:tcW w:w="2137" w:type="dxa"/>
            <w:tcBorders>
              <w:top w:val="single" w:sz="4" w:space="0" w:color="auto"/>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BC6547" w:rsidRDefault="0095318C" w:rsidP="00DC1333">
            <w:pPr>
              <w:keepNext/>
              <w:keepLines/>
              <w:rPr>
                <w:sz w:val="16"/>
                <w:szCs w:val="16"/>
              </w:rPr>
            </w:pPr>
            <w:r w:rsidRPr="00BC6547">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CD26D6" w:rsidRDefault="0095318C" w:rsidP="00DC1333">
            <w:pPr>
              <w:keepNext/>
              <w:keepLines/>
              <w:jc w:val="center"/>
              <w:rPr>
                <w:b/>
                <w:bCs/>
                <w:sz w:val="16"/>
                <w:szCs w:val="16"/>
              </w:rPr>
            </w:pPr>
            <w:r w:rsidRPr="001656CD">
              <w:rPr>
                <w:b/>
                <w:bCs/>
                <w:sz w:val="16"/>
                <w:szCs w:val="16"/>
              </w:rPr>
              <w:t>Clave de los colores</w:t>
            </w:r>
          </w:p>
        </w:tc>
      </w:tr>
      <w:tr w:rsidR="0095318C" w:rsidRPr="001656CD" w:rsidTr="00DC1333">
        <w:trPr>
          <w:cantSplit/>
        </w:trPr>
        <w:tc>
          <w:tcPr>
            <w:tcW w:w="2137" w:type="dxa"/>
            <w:tcBorders>
              <w:bottom w:val="single" w:sz="4" w:space="0" w:color="auto"/>
            </w:tcBorders>
            <w:shd w:val="clear" w:color="auto" w:fill="auto"/>
          </w:tcPr>
          <w:p w:rsidR="0095318C" w:rsidRPr="005C1235" w:rsidRDefault="0095318C" w:rsidP="00DC1333">
            <w:pPr>
              <w:rPr>
                <w:sz w:val="16"/>
                <w:szCs w:val="16"/>
                <w:lang w:bidi="th-TH"/>
              </w:rPr>
            </w:pPr>
            <w:r w:rsidRPr="005C1235">
              <w:rPr>
                <w:sz w:val="16"/>
                <w:szCs w:val="16"/>
              </w:rPr>
              <w:t>Número de solicitudes del Sistema de La Haya procedentes de países con economías en transición y países desarrollados</w:t>
            </w:r>
            <w:r>
              <w:rPr>
                <w:sz w:val="16"/>
                <w:szCs w:val="16"/>
              </w:rPr>
              <w:t>.</w:t>
            </w:r>
          </w:p>
        </w:tc>
        <w:tc>
          <w:tcPr>
            <w:tcW w:w="2420" w:type="dxa"/>
            <w:tcBorders>
              <w:bottom w:val="single" w:sz="4" w:space="0" w:color="auto"/>
            </w:tcBorders>
            <w:shd w:val="clear" w:color="auto" w:fill="auto"/>
          </w:tcPr>
          <w:p w:rsidR="0095318C" w:rsidRPr="00A30FA0" w:rsidRDefault="0095318C" w:rsidP="00DC1333">
            <w:pPr>
              <w:rPr>
                <w:i/>
                <w:color w:val="002060"/>
                <w:sz w:val="16"/>
                <w:szCs w:val="16"/>
              </w:rPr>
            </w:pPr>
            <w:r w:rsidRPr="00A30FA0">
              <w:rPr>
                <w:i/>
                <w:color w:val="002060"/>
                <w:sz w:val="16"/>
                <w:szCs w:val="16"/>
              </w:rPr>
              <w:t xml:space="preserve">Referencia actualizada a fines de 2013:  </w:t>
            </w:r>
          </w:p>
          <w:p w:rsidR="0095318C" w:rsidRPr="00BD70D1" w:rsidRDefault="0095318C" w:rsidP="00DC1333">
            <w:pPr>
              <w:rPr>
                <w:color w:val="002060"/>
                <w:sz w:val="16"/>
                <w:szCs w:val="16"/>
              </w:rPr>
            </w:pPr>
            <w:r w:rsidRPr="00BD70D1">
              <w:rPr>
                <w:color w:val="002060"/>
                <w:sz w:val="16"/>
                <w:szCs w:val="16"/>
              </w:rPr>
              <w:t>2.927 (2013)</w:t>
            </w:r>
          </w:p>
          <w:p w:rsidR="0095318C" w:rsidRPr="00BD70D1" w:rsidRDefault="0095318C" w:rsidP="00DC1333">
            <w:pPr>
              <w:rPr>
                <w:color w:val="002060"/>
                <w:sz w:val="16"/>
                <w:szCs w:val="16"/>
              </w:rPr>
            </w:pPr>
            <w:r w:rsidRPr="00BD70D1">
              <w:rPr>
                <w:color w:val="002060"/>
                <w:sz w:val="16"/>
                <w:szCs w:val="16"/>
              </w:rPr>
              <w:t>2.553 (2012)</w:t>
            </w:r>
          </w:p>
          <w:p w:rsidR="0095318C" w:rsidRPr="00BD70D1" w:rsidRDefault="0095318C" w:rsidP="00DC1333">
            <w:pPr>
              <w:rPr>
                <w:color w:val="002060"/>
                <w:sz w:val="16"/>
                <w:szCs w:val="16"/>
              </w:rPr>
            </w:pPr>
          </w:p>
          <w:p w:rsidR="0095318C" w:rsidRPr="00BD70D1" w:rsidRDefault="0095318C" w:rsidP="00DC1333">
            <w:pPr>
              <w:rPr>
                <w:i/>
                <w:sz w:val="8"/>
                <w:szCs w:val="8"/>
              </w:rPr>
            </w:pPr>
          </w:p>
          <w:p w:rsidR="0095318C" w:rsidRDefault="0095318C" w:rsidP="00DC1333">
            <w:pPr>
              <w:rPr>
                <w:sz w:val="16"/>
                <w:szCs w:val="16"/>
                <w:lang w:bidi="th-TH"/>
              </w:rPr>
            </w:pPr>
            <w:r w:rsidRPr="00A30FA0">
              <w:rPr>
                <w:i/>
                <w:sz w:val="16"/>
                <w:szCs w:val="16"/>
              </w:rPr>
              <w:t xml:space="preserve">Referencia original </w:t>
            </w:r>
            <w:r w:rsidR="00A556A6">
              <w:rPr>
                <w:i/>
                <w:sz w:val="16"/>
                <w:szCs w:val="16"/>
              </w:rPr>
              <w:t>en el presupuesto de</w:t>
            </w:r>
            <w:r w:rsidR="00A556A6" w:rsidRPr="00A30FA0">
              <w:rPr>
                <w:i/>
                <w:sz w:val="16"/>
                <w:szCs w:val="16"/>
              </w:rPr>
              <w:t xml:space="preserve"> </w:t>
            </w:r>
            <w:r w:rsidR="00A556A6" w:rsidRPr="00083772">
              <w:rPr>
                <w:i/>
                <w:sz w:val="16"/>
                <w:szCs w:val="16"/>
              </w:rPr>
              <w:t>2014/15</w:t>
            </w:r>
            <w:r w:rsidRPr="00083772">
              <w:rPr>
                <w:i/>
                <w:sz w:val="16"/>
                <w:szCs w:val="16"/>
              </w:rPr>
              <w:t xml:space="preserve">: </w:t>
            </w:r>
            <w:r w:rsidR="008F7A06">
              <w:rPr>
                <w:sz w:val="16"/>
                <w:szCs w:val="16"/>
              </w:rPr>
              <w:t>Por determinar</w:t>
            </w:r>
          </w:p>
          <w:p w:rsidR="0095318C" w:rsidRPr="00083772" w:rsidRDefault="0095318C" w:rsidP="00DC1333">
            <w:pPr>
              <w:rPr>
                <w:sz w:val="16"/>
                <w:szCs w:val="16"/>
                <w:lang w:bidi="th-TH"/>
              </w:rPr>
            </w:pPr>
          </w:p>
        </w:tc>
        <w:tc>
          <w:tcPr>
            <w:tcW w:w="1570" w:type="dxa"/>
            <w:tcBorders>
              <w:bottom w:val="single" w:sz="4" w:space="0" w:color="auto"/>
            </w:tcBorders>
            <w:shd w:val="clear" w:color="auto" w:fill="auto"/>
            <w:tcMar>
              <w:top w:w="110" w:type="dxa"/>
            </w:tcMar>
          </w:tcPr>
          <w:p w:rsidR="0095318C" w:rsidRPr="00083772" w:rsidRDefault="0095318C" w:rsidP="00DC1333">
            <w:pPr>
              <w:rPr>
                <w:sz w:val="16"/>
                <w:szCs w:val="16"/>
                <w:lang w:bidi="th-TH"/>
              </w:rPr>
            </w:pPr>
            <w:r>
              <w:rPr>
                <w:sz w:val="16"/>
                <w:szCs w:val="16"/>
              </w:rPr>
              <w:t>Aumento del 2%</w:t>
            </w:r>
          </w:p>
        </w:tc>
        <w:tc>
          <w:tcPr>
            <w:tcW w:w="2423" w:type="dxa"/>
            <w:gridSpan w:val="2"/>
            <w:tcBorders>
              <w:bottom w:val="single" w:sz="4" w:space="0" w:color="auto"/>
            </w:tcBorders>
            <w:shd w:val="clear" w:color="auto" w:fill="FFFFFF"/>
            <w:tcMar>
              <w:top w:w="110" w:type="dxa"/>
            </w:tcMar>
          </w:tcPr>
          <w:p w:rsidR="0095318C" w:rsidRPr="00D34FB8" w:rsidRDefault="0095318C" w:rsidP="00DC1333">
            <w:pPr>
              <w:rPr>
                <w:sz w:val="16"/>
                <w:szCs w:val="16"/>
              </w:rPr>
            </w:pPr>
            <w:r>
              <w:rPr>
                <w:sz w:val="16"/>
                <w:szCs w:val="16"/>
              </w:rPr>
              <w:t>2.</w:t>
            </w:r>
            <w:r w:rsidRPr="00D34FB8">
              <w:rPr>
                <w:sz w:val="16"/>
                <w:szCs w:val="16"/>
              </w:rPr>
              <w:t>776 (2014)</w:t>
            </w:r>
          </w:p>
          <w:p w:rsidR="0095318C" w:rsidRDefault="0095318C" w:rsidP="00DC1333">
            <w:pPr>
              <w:rPr>
                <w:sz w:val="16"/>
                <w:szCs w:val="16"/>
              </w:rPr>
            </w:pPr>
            <w:r>
              <w:rPr>
                <w:sz w:val="16"/>
                <w:szCs w:val="16"/>
              </w:rPr>
              <w:t>3.</w:t>
            </w:r>
            <w:r w:rsidRPr="00D34FB8">
              <w:rPr>
                <w:sz w:val="16"/>
                <w:szCs w:val="16"/>
              </w:rPr>
              <w:t>448 (2015)</w:t>
            </w:r>
          </w:p>
          <w:p w:rsidR="0095318C" w:rsidRPr="00303855" w:rsidRDefault="0095318C" w:rsidP="00DC1333">
            <w:pPr>
              <w:rPr>
                <w:b/>
                <w:sz w:val="16"/>
                <w:szCs w:val="16"/>
              </w:rPr>
            </w:pPr>
            <w:r>
              <w:rPr>
                <w:sz w:val="16"/>
                <w:szCs w:val="16"/>
              </w:rPr>
              <w:t>+13,6%</w:t>
            </w:r>
          </w:p>
        </w:tc>
        <w:tc>
          <w:tcPr>
            <w:tcW w:w="1197" w:type="dxa"/>
            <w:tcBorders>
              <w:bottom w:val="single" w:sz="4" w:space="0" w:color="auto"/>
            </w:tcBorders>
            <w:shd w:val="clear" w:color="auto" w:fill="auto"/>
            <w:tcMar>
              <w:top w:w="110" w:type="dxa"/>
            </w:tcMar>
          </w:tcPr>
          <w:p w:rsidR="0095318C" w:rsidRPr="00303855"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471"/>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5C1235" w:rsidRDefault="0095318C" w:rsidP="00DC1333">
            <w:pPr>
              <w:keepNext/>
              <w:keepLines/>
              <w:ind w:left="1985" w:hanging="1985"/>
              <w:rPr>
                <w:b/>
                <w:bCs/>
                <w:sz w:val="16"/>
                <w:szCs w:val="16"/>
              </w:rPr>
            </w:pPr>
            <w:r>
              <w:rPr>
                <w:b/>
                <w:bCs/>
                <w:sz w:val="16"/>
                <w:szCs w:val="16"/>
              </w:rPr>
              <w:t>Resultado previsto</w:t>
            </w:r>
            <w:r w:rsidRPr="005C1235">
              <w:rPr>
                <w:b/>
                <w:bCs/>
                <w:sz w:val="16"/>
                <w:szCs w:val="16"/>
              </w:rPr>
              <w:t>:</w:t>
            </w:r>
            <w:r w:rsidRPr="005C1235">
              <w:rPr>
                <w:b/>
                <w:bCs/>
                <w:sz w:val="16"/>
                <w:szCs w:val="16"/>
              </w:rPr>
              <w:tab/>
            </w:r>
            <w:r w:rsidRPr="005C1235">
              <w:rPr>
                <w:color w:val="000000"/>
                <w:sz w:val="16"/>
                <w:szCs w:val="16"/>
                <w:lang w:bidi="th-TH"/>
              </w:rPr>
              <w:t>II.</w:t>
            </w:r>
            <w:r w:rsidRPr="005C1235">
              <w:rPr>
                <w:color w:val="000000"/>
                <w:sz w:val="16"/>
                <w:szCs w:val="16"/>
              </w:rPr>
              <w:t xml:space="preserve"> 6 Mayor y más eficaz utilización de los Sistemas de Madrid y de Lisboa</w:t>
            </w:r>
            <w:r>
              <w:rPr>
                <w:color w:val="000000"/>
                <w:sz w:val="16"/>
                <w:szCs w:val="16"/>
              </w:rPr>
              <w:t xml:space="preserve"> por los países en desarrollo y </w:t>
            </w:r>
            <w:r w:rsidRPr="005C1235">
              <w:rPr>
                <w:color w:val="000000"/>
                <w:sz w:val="16"/>
                <w:szCs w:val="16"/>
              </w:rPr>
              <w:t>los PMA, entre otros</w:t>
            </w:r>
          </w:p>
        </w:tc>
      </w:tr>
      <w:tr w:rsidR="0095318C" w:rsidRPr="00BC6547" w:rsidTr="00DC1333">
        <w:trPr>
          <w:cantSplit/>
        </w:trPr>
        <w:tc>
          <w:tcPr>
            <w:tcW w:w="2137" w:type="dxa"/>
            <w:tcBorders>
              <w:top w:val="single" w:sz="4" w:space="0" w:color="auto"/>
            </w:tcBorders>
            <w:shd w:val="clear" w:color="auto" w:fill="auto"/>
            <w:vAlign w:val="center"/>
          </w:tcPr>
          <w:p w:rsidR="0095318C" w:rsidRPr="00BC6547" w:rsidRDefault="0095318C" w:rsidP="00DC1333">
            <w:pPr>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BC6547" w:rsidRDefault="0095318C" w:rsidP="00DC1333">
            <w:pPr>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CD26D6" w:rsidRDefault="0095318C" w:rsidP="00DC1333">
            <w:pPr>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BC6547" w:rsidRDefault="0095318C" w:rsidP="00DC1333">
            <w:pPr>
              <w:rPr>
                <w:sz w:val="16"/>
                <w:szCs w:val="16"/>
              </w:rPr>
            </w:pPr>
            <w:r w:rsidRPr="00BC6547">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CD26D6" w:rsidRDefault="0095318C" w:rsidP="00DC1333">
            <w:pPr>
              <w:keepNext/>
              <w:keepLines/>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shd w:val="clear" w:color="auto" w:fill="auto"/>
          </w:tcPr>
          <w:p w:rsidR="0095318C" w:rsidRPr="005C1235" w:rsidRDefault="0095318C" w:rsidP="00DC1333">
            <w:pPr>
              <w:rPr>
                <w:sz w:val="16"/>
                <w:szCs w:val="16"/>
                <w:lang w:bidi="th-TH"/>
              </w:rPr>
            </w:pPr>
            <w:r w:rsidRPr="005C1235">
              <w:rPr>
                <w:sz w:val="16"/>
                <w:szCs w:val="16"/>
              </w:rPr>
              <w:t>Número de solicitudes de los Sistemas de Madrid y de Lisboa procedentes de países con economías en transición y países desarrollados</w:t>
            </w:r>
            <w:r>
              <w:rPr>
                <w:sz w:val="16"/>
                <w:szCs w:val="16"/>
              </w:rPr>
              <w:t>.</w:t>
            </w:r>
          </w:p>
        </w:tc>
        <w:tc>
          <w:tcPr>
            <w:tcW w:w="2420" w:type="dxa"/>
            <w:shd w:val="clear" w:color="auto" w:fill="auto"/>
          </w:tcPr>
          <w:p w:rsidR="0095318C" w:rsidRPr="00A30FA0" w:rsidRDefault="0095318C" w:rsidP="00DC1333">
            <w:pPr>
              <w:rPr>
                <w:i/>
                <w:color w:val="002060"/>
                <w:sz w:val="16"/>
                <w:szCs w:val="16"/>
              </w:rPr>
            </w:pPr>
            <w:r w:rsidRPr="00A30FA0">
              <w:rPr>
                <w:i/>
                <w:color w:val="002060"/>
                <w:sz w:val="16"/>
                <w:szCs w:val="16"/>
              </w:rPr>
              <w:t xml:space="preserve">Referencia actualizada a fines de 2013:  </w:t>
            </w:r>
          </w:p>
          <w:p w:rsidR="0095318C" w:rsidRPr="00A30FA0" w:rsidRDefault="0095318C" w:rsidP="00DC1333">
            <w:pPr>
              <w:rPr>
                <w:color w:val="002060"/>
                <w:sz w:val="16"/>
                <w:szCs w:val="16"/>
              </w:rPr>
            </w:pPr>
            <w:r w:rsidRPr="00A30FA0">
              <w:rPr>
                <w:color w:val="002060"/>
                <w:sz w:val="16"/>
                <w:szCs w:val="16"/>
              </w:rPr>
              <w:t>Madrid</w:t>
            </w:r>
          </w:p>
          <w:p w:rsidR="0095318C" w:rsidRPr="00A30FA0" w:rsidRDefault="0095318C" w:rsidP="00DC1333">
            <w:pPr>
              <w:rPr>
                <w:color w:val="002060"/>
                <w:sz w:val="16"/>
                <w:szCs w:val="16"/>
              </w:rPr>
            </w:pPr>
            <w:r w:rsidRPr="00A30FA0">
              <w:rPr>
                <w:color w:val="002060"/>
                <w:sz w:val="16"/>
                <w:szCs w:val="16"/>
              </w:rPr>
              <w:t>43.149 (2013)</w:t>
            </w:r>
          </w:p>
          <w:p w:rsidR="0095318C" w:rsidRPr="00A30FA0" w:rsidRDefault="0095318C" w:rsidP="00DC1333">
            <w:pPr>
              <w:rPr>
                <w:color w:val="002060"/>
                <w:sz w:val="16"/>
                <w:szCs w:val="16"/>
              </w:rPr>
            </w:pPr>
            <w:r w:rsidRPr="00A30FA0">
              <w:rPr>
                <w:color w:val="002060"/>
                <w:sz w:val="16"/>
                <w:szCs w:val="16"/>
              </w:rPr>
              <w:t>40.640 (2012)</w:t>
            </w:r>
          </w:p>
          <w:p w:rsidR="0095318C" w:rsidRPr="00A30FA0" w:rsidRDefault="0095318C" w:rsidP="00DC1333">
            <w:pPr>
              <w:rPr>
                <w:color w:val="002060"/>
                <w:sz w:val="16"/>
                <w:szCs w:val="16"/>
              </w:rPr>
            </w:pPr>
          </w:p>
          <w:p w:rsidR="0095318C" w:rsidRPr="00A30FA0" w:rsidRDefault="0095318C" w:rsidP="00DC1333">
            <w:pPr>
              <w:rPr>
                <w:color w:val="002060"/>
                <w:sz w:val="16"/>
                <w:szCs w:val="16"/>
              </w:rPr>
            </w:pPr>
            <w:r w:rsidRPr="00A30FA0">
              <w:rPr>
                <w:color w:val="002060"/>
                <w:sz w:val="16"/>
                <w:szCs w:val="16"/>
              </w:rPr>
              <w:t>Lisboa:</w:t>
            </w:r>
          </w:p>
          <w:p w:rsidR="0095318C" w:rsidRPr="00A30FA0" w:rsidRDefault="0095318C" w:rsidP="00DC1333">
            <w:pPr>
              <w:rPr>
                <w:color w:val="002060"/>
                <w:sz w:val="16"/>
                <w:szCs w:val="16"/>
              </w:rPr>
            </w:pPr>
            <w:r w:rsidRPr="00A30FA0">
              <w:rPr>
                <w:color w:val="002060"/>
                <w:sz w:val="16"/>
                <w:szCs w:val="16"/>
              </w:rPr>
              <w:t xml:space="preserve">749 de 816 registros en vigor. </w:t>
            </w:r>
          </w:p>
          <w:p w:rsidR="0095318C" w:rsidRPr="00A30FA0" w:rsidRDefault="0095318C" w:rsidP="00DC1333">
            <w:pPr>
              <w:rPr>
                <w:i/>
                <w:sz w:val="8"/>
                <w:szCs w:val="8"/>
              </w:rPr>
            </w:pPr>
          </w:p>
          <w:p w:rsidR="0095318C" w:rsidRPr="00083772" w:rsidRDefault="0095318C" w:rsidP="00DC1333">
            <w:pPr>
              <w:rPr>
                <w:sz w:val="16"/>
                <w:szCs w:val="16"/>
                <w:lang w:bidi="th-TH"/>
              </w:rPr>
            </w:pPr>
            <w:r w:rsidRPr="00A30FA0">
              <w:rPr>
                <w:i/>
                <w:sz w:val="16"/>
                <w:szCs w:val="16"/>
              </w:rPr>
              <w:t>Referencia original</w:t>
            </w:r>
            <w:r w:rsidR="00A556A6">
              <w:rPr>
                <w:i/>
                <w:sz w:val="16"/>
                <w:szCs w:val="16"/>
              </w:rPr>
              <w:t xml:space="preserve"> en el presupuesto de</w:t>
            </w:r>
            <w:r w:rsidR="00A556A6" w:rsidRPr="00A30FA0">
              <w:rPr>
                <w:i/>
                <w:sz w:val="16"/>
                <w:szCs w:val="16"/>
              </w:rPr>
              <w:t xml:space="preserve"> </w:t>
            </w:r>
            <w:r w:rsidR="00A556A6" w:rsidRPr="00083772">
              <w:rPr>
                <w:i/>
                <w:sz w:val="16"/>
                <w:szCs w:val="16"/>
              </w:rPr>
              <w:t>2014/15</w:t>
            </w:r>
            <w:r w:rsidRPr="00083772">
              <w:rPr>
                <w:i/>
                <w:sz w:val="16"/>
                <w:szCs w:val="16"/>
              </w:rPr>
              <w:t xml:space="preserve">: </w:t>
            </w:r>
            <w:r w:rsidRPr="008F7A06">
              <w:rPr>
                <w:sz w:val="16"/>
                <w:szCs w:val="16"/>
              </w:rPr>
              <w:t xml:space="preserve">Por </w:t>
            </w:r>
            <w:r w:rsidR="00A556A6" w:rsidRPr="008F7A06">
              <w:rPr>
                <w:sz w:val="16"/>
                <w:szCs w:val="16"/>
              </w:rPr>
              <w:t>determina</w:t>
            </w:r>
            <w:r w:rsidR="008F7A06">
              <w:rPr>
                <w:sz w:val="16"/>
                <w:szCs w:val="16"/>
              </w:rPr>
              <w:t>r</w:t>
            </w:r>
          </w:p>
        </w:tc>
        <w:tc>
          <w:tcPr>
            <w:tcW w:w="1570" w:type="dxa"/>
            <w:shd w:val="clear" w:color="auto" w:fill="auto"/>
            <w:tcMar>
              <w:top w:w="110" w:type="dxa"/>
            </w:tcMar>
          </w:tcPr>
          <w:p w:rsidR="0095318C" w:rsidRPr="00083772" w:rsidRDefault="0095318C" w:rsidP="00DC1333">
            <w:pPr>
              <w:rPr>
                <w:sz w:val="16"/>
                <w:szCs w:val="16"/>
              </w:rPr>
            </w:pPr>
            <w:r>
              <w:rPr>
                <w:sz w:val="16"/>
                <w:szCs w:val="16"/>
              </w:rPr>
              <w:t>Aumento del 2%</w:t>
            </w:r>
          </w:p>
        </w:tc>
        <w:tc>
          <w:tcPr>
            <w:tcW w:w="2423" w:type="dxa"/>
            <w:gridSpan w:val="2"/>
            <w:shd w:val="clear" w:color="auto" w:fill="FFFFFF"/>
            <w:tcMar>
              <w:top w:w="110" w:type="dxa"/>
            </w:tcMar>
          </w:tcPr>
          <w:p w:rsidR="0095318C" w:rsidRPr="00A30FA0" w:rsidRDefault="0095318C" w:rsidP="00DC1333">
            <w:pPr>
              <w:rPr>
                <w:sz w:val="16"/>
                <w:szCs w:val="16"/>
              </w:rPr>
            </w:pPr>
            <w:r w:rsidRPr="00A30FA0">
              <w:rPr>
                <w:sz w:val="16"/>
                <w:szCs w:val="16"/>
              </w:rPr>
              <w:t>43.748 (2014)</w:t>
            </w:r>
          </w:p>
          <w:p w:rsidR="0095318C" w:rsidRPr="00A30FA0" w:rsidRDefault="0095318C" w:rsidP="00DC1333">
            <w:pPr>
              <w:rPr>
                <w:sz w:val="16"/>
                <w:szCs w:val="16"/>
              </w:rPr>
            </w:pPr>
            <w:r w:rsidRPr="00A30FA0">
              <w:rPr>
                <w:sz w:val="16"/>
                <w:szCs w:val="16"/>
              </w:rPr>
              <w:t>44.570 (2015)</w:t>
            </w:r>
          </w:p>
          <w:p w:rsidR="0095318C" w:rsidRPr="00A30FA0" w:rsidRDefault="0095318C" w:rsidP="00DC1333">
            <w:pPr>
              <w:rPr>
                <w:sz w:val="16"/>
                <w:szCs w:val="16"/>
              </w:rPr>
            </w:pPr>
            <w:r w:rsidRPr="00A30FA0">
              <w:rPr>
                <w:sz w:val="16"/>
                <w:szCs w:val="16"/>
              </w:rPr>
              <w:t>+5,4%</w:t>
            </w:r>
          </w:p>
          <w:p w:rsidR="0095318C" w:rsidRPr="00A30FA0" w:rsidRDefault="0095318C" w:rsidP="00DC1333">
            <w:pPr>
              <w:rPr>
                <w:sz w:val="16"/>
                <w:szCs w:val="16"/>
              </w:rPr>
            </w:pPr>
          </w:p>
          <w:p w:rsidR="0095318C" w:rsidRPr="00A30FA0" w:rsidRDefault="0095318C" w:rsidP="00DC1333">
            <w:pPr>
              <w:rPr>
                <w:sz w:val="16"/>
                <w:szCs w:val="16"/>
              </w:rPr>
            </w:pPr>
          </w:p>
          <w:p w:rsidR="0095318C" w:rsidRPr="00A30FA0" w:rsidRDefault="0095318C" w:rsidP="00DC1333">
            <w:pPr>
              <w:rPr>
                <w:sz w:val="16"/>
                <w:szCs w:val="16"/>
              </w:rPr>
            </w:pPr>
          </w:p>
          <w:p w:rsidR="0095318C" w:rsidRPr="00A30FA0" w:rsidRDefault="0095318C" w:rsidP="00DC1333">
            <w:pPr>
              <w:rPr>
                <w:sz w:val="16"/>
                <w:szCs w:val="16"/>
              </w:rPr>
            </w:pPr>
            <w:r w:rsidRPr="00A30FA0">
              <w:rPr>
                <w:sz w:val="16"/>
                <w:szCs w:val="16"/>
              </w:rPr>
              <w:t>Lisboa:</w:t>
            </w:r>
          </w:p>
          <w:p w:rsidR="0095318C" w:rsidRPr="00336AA6" w:rsidRDefault="0095318C" w:rsidP="00DC1333">
            <w:pPr>
              <w:rPr>
                <w:sz w:val="16"/>
                <w:szCs w:val="16"/>
              </w:rPr>
            </w:pPr>
            <w:r w:rsidRPr="00336AA6">
              <w:rPr>
                <w:sz w:val="16"/>
                <w:szCs w:val="16"/>
              </w:rPr>
              <w:t>836 de 931 registros en vigor procedentes de países con economías en transición y países desarrollados.</w:t>
            </w:r>
          </w:p>
          <w:p w:rsidR="0095318C" w:rsidRPr="00336AA6" w:rsidRDefault="0095318C" w:rsidP="00DC1333">
            <w:pPr>
              <w:rPr>
                <w:sz w:val="16"/>
                <w:szCs w:val="16"/>
              </w:rPr>
            </w:pPr>
            <w:r w:rsidRPr="00336AA6">
              <w:rPr>
                <w:sz w:val="16"/>
                <w:szCs w:val="16"/>
              </w:rPr>
              <w:t>+11</w:t>
            </w:r>
            <w:r>
              <w:rPr>
                <w:sz w:val="16"/>
                <w:szCs w:val="16"/>
              </w:rPr>
              <w:t>,</w:t>
            </w:r>
            <w:r w:rsidRPr="00336AA6">
              <w:rPr>
                <w:sz w:val="16"/>
                <w:szCs w:val="16"/>
              </w:rPr>
              <w:t>6%</w:t>
            </w:r>
          </w:p>
          <w:p w:rsidR="0095318C" w:rsidRPr="00336AA6" w:rsidRDefault="0095318C" w:rsidP="00DC1333">
            <w:pPr>
              <w:rPr>
                <w:sz w:val="16"/>
                <w:szCs w:val="16"/>
              </w:rPr>
            </w:pPr>
          </w:p>
        </w:tc>
        <w:tc>
          <w:tcPr>
            <w:tcW w:w="1197" w:type="dxa"/>
            <w:shd w:val="clear" w:color="auto" w:fill="auto"/>
            <w:tcMar>
              <w:top w:w="110" w:type="dxa"/>
            </w:tcMar>
          </w:tcPr>
          <w:p w:rsidR="0095318C" w:rsidRDefault="0095318C" w:rsidP="00DC1333">
            <w:pPr>
              <w:keepNext/>
              <w:keepLines/>
              <w:jc w:val="center"/>
              <w:rPr>
                <w:bCs/>
                <w:color w:val="808080"/>
                <w:sz w:val="16"/>
                <w:szCs w:val="16"/>
              </w:rPr>
            </w:pPr>
            <w:r>
              <w:rPr>
                <w:b/>
                <w:bCs/>
                <w:color w:val="00B050"/>
                <w:sz w:val="16"/>
                <w:szCs w:val="16"/>
              </w:rPr>
              <w:t>Plenamente logrado</w:t>
            </w:r>
            <w:r>
              <w:rPr>
                <w:bCs/>
                <w:color w:val="808080"/>
                <w:sz w:val="16"/>
                <w:szCs w:val="16"/>
              </w:rPr>
              <w:t xml:space="preserve"> </w:t>
            </w:r>
          </w:p>
          <w:p w:rsidR="0095318C" w:rsidRDefault="0095318C" w:rsidP="00DC1333">
            <w:pPr>
              <w:keepNext/>
              <w:keepLines/>
              <w:jc w:val="center"/>
              <w:rPr>
                <w:bCs/>
                <w:color w:val="808080"/>
                <w:sz w:val="16"/>
                <w:szCs w:val="16"/>
              </w:rPr>
            </w:pPr>
          </w:p>
          <w:p w:rsidR="0095318C" w:rsidRDefault="0095318C" w:rsidP="00DC1333">
            <w:pPr>
              <w:keepNext/>
              <w:keepLines/>
              <w:jc w:val="center"/>
              <w:rPr>
                <w:bCs/>
                <w:color w:val="808080"/>
                <w:sz w:val="16"/>
                <w:szCs w:val="16"/>
              </w:rPr>
            </w:pPr>
          </w:p>
          <w:p w:rsidR="0095318C" w:rsidRDefault="0095318C" w:rsidP="00DC1333">
            <w:pPr>
              <w:keepNext/>
              <w:keepLines/>
              <w:jc w:val="center"/>
              <w:rPr>
                <w:b/>
                <w:bCs/>
                <w:color w:val="00B050"/>
                <w:sz w:val="16"/>
                <w:szCs w:val="16"/>
              </w:rPr>
            </w:pPr>
          </w:p>
          <w:p w:rsidR="0095318C" w:rsidRPr="001656CD" w:rsidRDefault="0095318C" w:rsidP="00DC1333">
            <w:pPr>
              <w:keepNext/>
              <w:keepLines/>
              <w:jc w:val="center"/>
              <w:rPr>
                <w:bCs/>
                <w:color w:val="808080"/>
                <w:sz w:val="16"/>
                <w:szCs w:val="16"/>
              </w:rPr>
            </w:pPr>
            <w:r>
              <w:rPr>
                <w:b/>
                <w:bCs/>
                <w:color w:val="00B050"/>
                <w:sz w:val="16"/>
                <w:szCs w:val="16"/>
              </w:rPr>
              <w:t>Plenamente logrado</w:t>
            </w:r>
          </w:p>
        </w:tc>
      </w:tr>
      <w:tr w:rsidR="0095318C" w:rsidRPr="00267E8F" w:rsidTr="00DC1333">
        <w:trPr>
          <w:cantSplit/>
          <w:trHeight w:val="683"/>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F978AA" w:rsidRDefault="0095318C" w:rsidP="00DC1333">
            <w:pPr>
              <w:keepNext/>
              <w:keepLines/>
              <w:ind w:left="1985" w:hanging="1985"/>
              <w:rPr>
                <w:b/>
                <w:bCs/>
                <w:sz w:val="16"/>
                <w:szCs w:val="16"/>
              </w:rPr>
            </w:pPr>
            <w:r>
              <w:rPr>
                <w:b/>
                <w:bCs/>
                <w:sz w:val="16"/>
                <w:szCs w:val="16"/>
              </w:rPr>
              <w:lastRenderedPageBreak/>
              <w:t>Resultado previsto</w:t>
            </w:r>
            <w:r w:rsidRPr="00F978AA">
              <w:rPr>
                <w:b/>
                <w:bCs/>
                <w:sz w:val="16"/>
                <w:szCs w:val="16"/>
              </w:rPr>
              <w:t>:</w:t>
            </w:r>
            <w:r w:rsidRPr="00F978AA">
              <w:rPr>
                <w:b/>
                <w:bCs/>
                <w:sz w:val="16"/>
                <w:szCs w:val="16"/>
              </w:rPr>
              <w:tab/>
            </w:r>
            <w:r w:rsidRPr="00F978AA">
              <w:rPr>
                <w:sz w:val="16"/>
                <w:szCs w:val="16"/>
                <w:lang w:bidi="th-TH"/>
              </w:rPr>
              <w:t xml:space="preserve">II.8 </w:t>
            </w:r>
            <w:r w:rsidRPr="00F978AA">
              <w:rPr>
                <w:sz w:val="16"/>
                <w:szCs w:val="16"/>
              </w:rPr>
              <w:t>Las controversias nacionales e internacionales en materia de P.I. se evitan o resuelven cada vez con más frecuencia mediante procedimientos de mediación, arbitraje y demás métodos de solución extrajudicial de controversias</w:t>
            </w:r>
          </w:p>
        </w:tc>
      </w:tr>
      <w:tr w:rsidR="0095318C" w:rsidRPr="00BC6547" w:rsidTr="00DC1333">
        <w:trPr>
          <w:cantSplit/>
        </w:trPr>
        <w:tc>
          <w:tcPr>
            <w:tcW w:w="2137" w:type="dxa"/>
            <w:tcBorders>
              <w:top w:val="single" w:sz="4" w:space="0" w:color="auto"/>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tcBorders>
            <w:shd w:val="clear" w:color="auto" w:fill="auto"/>
            <w:tcMar>
              <w:top w:w="110" w:type="dxa"/>
            </w:tcMar>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tcBorders>
            <w:shd w:val="clear" w:color="auto" w:fill="FFFFFF"/>
            <w:tcMar>
              <w:top w:w="110" w:type="dxa"/>
            </w:tcMar>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tcBorders>
            <w:shd w:val="clear" w:color="auto" w:fill="auto"/>
            <w:tcMar>
              <w:top w:w="110" w:type="dxa"/>
            </w:tcMar>
            <w:vAlign w:val="center"/>
          </w:tcPr>
          <w:p w:rsidR="0095318C" w:rsidRPr="00CD26D6" w:rsidRDefault="0095318C" w:rsidP="00DC1333">
            <w:pPr>
              <w:keepNext/>
              <w:keepLines/>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bottom w:val="single" w:sz="4" w:space="0" w:color="auto"/>
            </w:tcBorders>
            <w:shd w:val="clear" w:color="auto" w:fill="auto"/>
          </w:tcPr>
          <w:p w:rsidR="0095318C" w:rsidRPr="005C1235" w:rsidRDefault="0095318C" w:rsidP="00DC1333">
            <w:pPr>
              <w:rPr>
                <w:sz w:val="16"/>
                <w:szCs w:val="16"/>
                <w:lang w:bidi="th-TH"/>
              </w:rPr>
            </w:pPr>
            <w:r w:rsidRPr="005C1235">
              <w:rPr>
                <w:sz w:val="16"/>
                <w:szCs w:val="16"/>
              </w:rPr>
              <w:t>Número de usuarios de países con economías en transición y países desarrollados que utilizan los servicios del Centro de Arbitraje y Mediación.</w:t>
            </w:r>
          </w:p>
        </w:tc>
        <w:tc>
          <w:tcPr>
            <w:tcW w:w="2420" w:type="dxa"/>
            <w:tcBorders>
              <w:bottom w:val="single" w:sz="4" w:space="0" w:color="auto"/>
            </w:tcBorders>
            <w:shd w:val="clear" w:color="auto" w:fill="auto"/>
          </w:tcPr>
          <w:p w:rsidR="0095318C" w:rsidRPr="003C2712" w:rsidRDefault="0095318C" w:rsidP="00DC1333">
            <w:pPr>
              <w:rPr>
                <w:color w:val="002060"/>
                <w:sz w:val="16"/>
                <w:szCs w:val="16"/>
                <w:lang w:bidi="th-TH"/>
              </w:rPr>
            </w:pPr>
            <w:r w:rsidRPr="003C2712">
              <w:rPr>
                <w:i/>
                <w:color w:val="002060"/>
                <w:sz w:val="16"/>
                <w:szCs w:val="16"/>
              </w:rPr>
              <w:t>Referencia actualizada a fines de 2013</w:t>
            </w:r>
            <w:proofErr w:type="gramStart"/>
            <w:r w:rsidRPr="003C2712">
              <w:rPr>
                <w:i/>
                <w:color w:val="002060"/>
                <w:sz w:val="16"/>
                <w:szCs w:val="16"/>
              </w:rPr>
              <w:t xml:space="preserve">: </w:t>
            </w:r>
            <w:r>
              <w:rPr>
                <w:i/>
                <w:color w:val="002060"/>
                <w:sz w:val="16"/>
                <w:szCs w:val="16"/>
              </w:rPr>
              <w:t xml:space="preserve"> </w:t>
            </w:r>
            <w:r w:rsidRPr="003C2712">
              <w:rPr>
                <w:color w:val="002060"/>
                <w:sz w:val="16"/>
                <w:szCs w:val="16"/>
              </w:rPr>
              <w:t>359</w:t>
            </w:r>
            <w:proofErr w:type="gramEnd"/>
            <w:r w:rsidRPr="003C2712">
              <w:rPr>
                <w:color w:val="002060"/>
                <w:sz w:val="16"/>
                <w:szCs w:val="16"/>
              </w:rPr>
              <w:t xml:space="preserve"> controversias y 51 buenos oficios en relación con partes de países con economías en transición y desarrollados (en total al final de 2013).</w:t>
            </w:r>
            <w:r w:rsidRPr="003C2712">
              <w:rPr>
                <w:i/>
                <w:color w:val="002060"/>
                <w:sz w:val="16"/>
                <w:szCs w:val="16"/>
              </w:rPr>
              <w:t xml:space="preserve"> </w:t>
            </w:r>
          </w:p>
          <w:p w:rsidR="0095318C" w:rsidRPr="003C2712" w:rsidRDefault="0095318C" w:rsidP="00DC1333">
            <w:pPr>
              <w:rPr>
                <w:i/>
                <w:color w:val="002060"/>
                <w:sz w:val="8"/>
                <w:szCs w:val="8"/>
              </w:rPr>
            </w:pPr>
          </w:p>
          <w:p w:rsidR="0095318C" w:rsidRPr="009D6119" w:rsidRDefault="0095318C" w:rsidP="00A556A6">
            <w:pPr>
              <w:rPr>
                <w:color w:val="000000"/>
                <w:sz w:val="16"/>
                <w:szCs w:val="16"/>
                <w:lang w:bidi="th-TH"/>
              </w:rPr>
            </w:pPr>
            <w:r w:rsidRPr="00A30FA0">
              <w:rPr>
                <w:i/>
                <w:sz w:val="16"/>
                <w:szCs w:val="16"/>
              </w:rPr>
              <w:t>Referencia original</w:t>
            </w:r>
            <w:r w:rsidR="00A556A6">
              <w:rPr>
                <w:i/>
                <w:sz w:val="16"/>
                <w:szCs w:val="16"/>
              </w:rPr>
              <w:t xml:space="preserve"> en el presupuesto de</w:t>
            </w:r>
            <w:r w:rsidR="00A556A6" w:rsidRPr="00A30FA0">
              <w:rPr>
                <w:i/>
                <w:sz w:val="16"/>
                <w:szCs w:val="16"/>
              </w:rPr>
              <w:t xml:space="preserve"> </w:t>
            </w:r>
            <w:r w:rsidR="00A556A6" w:rsidRPr="00083772">
              <w:rPr>
                <w:i/>
                <w:sz w:val="16"/>
                <w:szCs w:val="16"/>
              </w:rPr>
              <w:t>2014/15</w:t>
            </w:r>
            <w:r w:rsidRPr="001656CD">
              <w:rPr>
                <w:i/>
                <w:sz w:val="16"/>
                <w:szCs w:val="16"/>
              </w:rPr>
              <w:t xml:space="preserve">: </w:t>
            </w:r>
            <w:r w:rsidRPr="008F7A06">
              <w:rPr>
                <w:sz w:val="16"/>
                <w:szCs w:val="16"/>
              </w:rPr>
              <w:t>Por determinar</w:t>
            </w:r>
          </w:p>
        </w:tc>
        <w:tc>
          <w:tcPr>
            <w:tcW w:w="1570" w:type="dxa"/>
            <w:tcBorders>
              <w:bottom w:val="single" w:sz="4" w:space="0" w:color="auto"/>
            </w:tcBorders>
            <w:shd w:val="clear" w:color="auto" w:fill="auto"/>
            <w:tcMar>
              <w:top w:w="110" w:type="dxa"/>
            </w:tcMar>
          </w:tcPr>
          <w:p w:rsidR="0095318C" w:rsidRPr="00486A19" w:rsidRDefault="00A556A6" w:rsidP="00DC1333">
            <w:pPr>
              <w:rPr>
                <w:sz w:val="16"/>
                <w:szCs w:val="16"/>
                <w:lang w:bidi="th-TH"/>
              </w:rPr>
            </w:pPr>
            <w:r>
              <w:rPr>
                <w:sz w:val="16"/>
                <w:szCs w:val="16"/>
              </w:rPr>
              <w:t>Aumento del 2%</w:t>
            </w:r>
          </w:p>
        </w:tc>
        <w:tc>
          <w:tcPr>
            <w:tcW w:w="2423" w:type="dxa"/>
            <w:gridSpan w:val="2"/>
            <w:tcBorders>
              <w:bottom w:val="single" w:sz="4" w:space="0" w:color="auto"/>
            </w:tcBorders>
            <w:shd w:val="clear" w:color="auto" w:fill="FFFFFF"/>
            <w:tcMar>
              <w:top w:w="110" w:type="dxa"/>
            </w:tcMar>
          </w:tcPr>
          <w:p w:rsidR="0095318C" w:rsidRPr="003C2712" w:rsidRDefault="0095318C" w:rsidP="00DC1333">
            <w:pPr>
              <w:rPr>
                <w:sz w:val="16"/>
                <w:szCs w:val="16"/>
                <w:lang w:bidi="th-TH"/>
              </w:rPr>
            </w:pPr>
            <w:r w:rsidRPr="003C2712">
              <w:rPr>
                <w:sz w:val="16"/>
                <w:szCs w:val="16"/>
                <w:lang w:bidi="th-TH"/>
              </w:rPr>
              <w:t>En 2014/15,</w:t>
            </w:r>
            <w:r w:rsidRPr="003C2712">
              <w:rPr>
                <w:sz w:val="16"/>
                <w:szCs w:val="16"/>
              </w:rPr>
              <w:t xml:space="preserve"> 102 controversias y mediaciones adicionales que incumben a partes de países en transición y desarrollados</w:t>
            </w:r>
            <w:r>
              <w:rPr>
                <w:sz w:val="16"/>
                <w:szCs w:val="16"/>
              </w:rPr>
              <w:t>.</w:t>
            </w:r>
          </w:p>
          <w:p w:rsidR="0095318C" w:rsidRPr="00A30FA0" w:rsidRDefault="0095318C" w:rsidP="00DC1333">
            <w:pPr>
              <w:rPr>
                <w:sz w:val="16"/>
                <w:szCs w:val="16"/>
                <w:lang w:bidi="th-TH"/>
              </w:rPr>
            </w:pPr>
            <w:r w:rsidRPr="00A30FA0">
              <w:rPr>
                <w:sz w:val="16"/>
                <w:szCs w:val="16"/>
                <w:lang w:bidi="th-TH"/>
              </w:rPr>
              <w:t>+24,8%</w:t>
            </w:r>
          </w:p>
          <w:p w:rsidR="0095318C" w:rsidRPr="00A30FA0" w:rsidRDefault="0095318C" w:rsidP="00DC1333">
            <w:pPr>
              <w:rPr>
                <w:sz w:val="16"/>
                <w:szCs w:val="16"/>
                <w:lang w:bidi="th-TH"/>
              </w:rPr>
            </w:pPr>
          </w:p>
          <w:p w:rsidR="0095318C" w:rsidRPr="00E402FC" w:rsidRDefault="0095318C" w:rsidP="00DC1333">
            <w:pPr>
              <w:rPr>
                <w:sz w:val="16"/>
                <w:szCs w:val="16"/>
              </w:rPr>
            </w:pPr>
            <w:r w:rsidRPr="00E402FC">
              <w:rPr>
                <w:sz w:val="16"/>
                <w:szCs w:val="16"/>
              </w:rPr>
              <w:t>461 controversias y Buenos oficios en relación con partes de países en transición y desarrollados (en total a final de 2015).</w:t>
            </w:r>
          </w:p>
          <w:p w:rsidR="0095318C" w:rsidRPr="00E402FC" w:rsidRDefault="0095318C" w:rsidP="00DC1333">
            <w:pPr>
              <w:rPr>
                <w:sz w:val="16"/>
                <w:szCs w:val="16"/>
              </w:rPr>
            </w:pPr>
          </w:p>
          <w:p w:rsidR="0095318C" w:rsidRPr="00E402FC" w:rsidRDefault="0095318C" w:rsidP="00DC1333">
            <w:pPr>
              <w:rPr>
                <w:sz w:val="16"/>
                <w:szCs w:val="16"/>
                <w:lang w:bidi="th-TH"/>
              </w:rPr>
            </w:pPr>
          </w:p>
        </w:tc>
        <w:tc>
          <w:tcPr>
            <w:tcW w:w="1197" w:type="dxa"/>
            <w:tcBorders>
              <w:bottom w:val="single" w:sz="4" w:space="0" w:color="auto"/>
            </w:tcBorders>
            <w:shd w:val="clear" w:color="auto" w:fill="auto"/>
            <w:tcMar>
              <w:top w:w="110" w:type="dxa"/>
            </w:tcMar>
          </w:tcPr>
          <w:p w:rsidR="0095318C" w:rsidRPr="001656CD" w:rsidRDefault="0095318C" w:rsidP="00DC1333">
            <w:pPr>
              <w:keepNext/>
              <w:keepLines/>
              <w:jc w:val="center"/>
              <w:rPr>
                <w:bCs/>
                <w:color w:val="808080"/>
                <w:sz w:val="16"/>
                <w:szCs w:val="16"/>
              </w:rPr>
            </w:pPr>
            <w:r>
              <w:rPr>
                <w:b/>
                <w:bCs/>
                <w:color w:val="00B050"/>
                <w:sz w:val="16"/>
                <w:szCs w:val="16"/>
              </w:rPr>
              <w:t>Plenamente logrado</w:t>
            </w:r>
          </w:p>
        </w:tc>
      </w:tr>
      <w:tr w:rsidR="0095318C" w:rsidRPr="00267E8F" w:rsidTr="00DC1333">
        <w:trPr>
          <w:cantSplit/>
          <w:trHeight w:val="550"/>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3C2712" w:rsidRDefault="0095318C" w:rsidP="00DC1333">
            <w:pPr>
              <w:keepNext/>
              <w:keepLines/>
              <w:ind w:left="1985" w:hanging="1985"/>
              <w:rPr>
                <w:b/>
                <w:bCs/>
                <w:sz w:val="16"/>
                <w:szCs w:val="16"/>
              </w:rPr>
            </w:pPr>
            <w:r w:rsidRPr="003C2712">
              <w:rPr>
                <w:b/>
                <w:bCs/>
                <w:sz w:val="16"/>
                <w:szCs w:val="16"/>
              </w:rPr>
              <w:t>Resultado previsto:</w:t>
            </w:r>
            <w:r w:rsidRPr="003C2712">
              <w:rPr>
                <w:b/>
                <w:bCs/>
                <w:sz w:val="16"/>
                <w:szCs w:val="16"/>
              </w:rPr>
              <w:tab/>
            </w:r>
            <w:r w:rsidRPr="003C2712">
              <w:rPr>
                <w:sz w:val="16"/>
                <w:szCs w:val="16"/>
                <w:lang w:bidi="th-TH"/>
              </w:rPr>
              <w:t xml:space="preserve">III.1 </w:t>
            </w:r>
            <w:r w:rsidRPr="003C2712">
              <w:rPr>
                <w:sz w:val="16"/>
                <w:szCs w:val="16"/>
              </w:rPr>
              <w:t>Estrategias y planes nacionales de innovación y de P.I. que estén en sintonía con los objetivos nacionales de desarrollo</w:t>
            </w:r>
          </w:p>
        </w:tc>
      </w:tr>
      <w:tr w:rsidR="0095318C" w:rsidRPr="001656CD" w:rsidTr="00DC1333">
        <w:trPr>
          <w:cantSplit/>
          <w:trHeight w:val="274"/>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left w:val="nil"/>
              <w:bottom w:val="nil"/>
              <w:right w:val="single" w:sz="4" w:space="0" w:color="auto"/>
            </w:tcBorders>
            <w:shd w:val="clear" w:color="auto" w:fill="auto"/>
            <w:vAlign w:val="center"/>
          </w:tcPr>
          <w:p w:rsidR="0095318C" w:rsidRPr="00CD26D6" w:rsidRDefault="0095318C" w:rsidP="00447371">
            <w:pPr>
              <w:keepNext/>
              <w:keepLines/>
              <w:spacing w:before="120"/>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top w:val="nil"/>
              <w:left w:val="single" w:sz="4" w:space="0" w:color="auto"/>
              <w:bottom w:val="nil"/>
              <w:right w:val="nil"/>
            </w:tcBorders>
            <w:shd w:val="clear" w:color="auto" w:fill="auto"/>
          </w:tcPr>
          <w:p w:rsidR="0095318C" w:rsidRPr="00A30FA0" w:rsidRDefault="0095318C" w:rsidP="00DC1333">
            <w:pPr>
              <w:rPr>
                <w:sz w:val="16"/>
                <w:szCs w:val="16"/>
                <w:lang w:bidi="th-TH"/>
              </w:rPr>
            </w:pPr>
            <w:r w:rsidRPr="00A30FA0">
              <w:rPr>
                <w:sz w:val="16"/>
                <w:szCs w:val="16"/>
              </w:rPr>
              <w:t>Número de universidades que han elaborado políticas de P.I.</w:t>
            </w:r>
          </w:p>
        </w:tc>
        <w:tc>
          <w:tcPr>
            <w:tcW w:w="2420" w:type="dxa"/>
            <w:tcBorders>
              <w:top w:val="nil"/>
              <w:left w:val="nil"/>
              <w:bottom w:val="nil"/>
              <w:right w:val="nil"/>
            </w:tcBorders>
            <w:shd w:val="clear" w:color="auto" w:fill="auto"/>
          </w:tcPr>
          <w:p w:rsidR="0095318C" w:rsidRPr="001656CD" w:rsidRDefault="00A556A6" w:rsidP="00DC1333">
            <w:pPr>
              <w:rPr>
                <w:i/>
                <w:color w:val="002060"/>
                <w:sz w:val="16"/>
                <w:szCs w:val="16"/>
              </w:rPr>
            </w:pPr>
            <w:r>
              <w:rPr>
                <w:sz w:val="16"/>
                <w:szCs w:val="16"/>
              </w:rPr>
              <w:t>Por determinar</w:t>
            </w:r>
          </w:p>
        </w:tc>
        <w:tc>
          <w:tcPr>
            <w:tcW w:w="1570" w:type="dxa"/>
            <w:tcBorders>
              <w:top w:val="nil"/>
              <w:left w:val="nil"/>
              <w:bottom w:val="nil"/>
              <w:right w:val="nil"/>
            </w:tcBorders>
            <w:shd w:val="clear" w:color="auto" w:fill="auto"/>
            <w:tcMar>
              <w:top w:w="110" w:type="dxa"/>
            </w:tcMar>
          </w:tcPr>
          <w:p w:rsidR="0095318C" w:rsidRPr="008E6313" w:rsidRDefault="0095318C" w:rsidP="00DC1333">
            <w:pPr>
              <w:rPr>
                <w:sz w:val="16"/>
                <w:szCs w:val="16"/>
                <w:lang w:bidi="th-TH"/>
              </w:rPr>
            </w:pPr>
            <w:r w:rsidRPr="008012E3">
              <w:rPr>
                <w:sz w:val="16"/>
                <w:szCs w:val="16"/>
              </w:rPr>
              <w:t>Otras 30 universidades</w:t>
            </w:r>
          </w:p>
        </w:tc>
        <w:tc>
          <w:tcPr>
            <w:tcW w:w="2423" w:type="dxa"/>
            <w:gridSpan w:val="2"/>
            <w:tcBorders>
              <w:top w:val="nil"/>
              <w:left w:val="nil"/>
              <w:bottom w:val="nil"/>
              <w:right w:val="nil"/>
            </w:tcBorders>
            <w:shd w:val="clear" w:color="auto" w:fill="FFFFFF"/>
            <w:tcMar>
              <w:top w:w="110" w:type="dxa"/>
            </w:tcMar>
          </w:tcPr>
          <w:p w:rsidR="0095318C" w:rsidRDefault="0095318C" w:rsidP="00DC1333">
            <w:pPr>
              <w:rPr>
                <w:sz w:val="16"/>
                <w:szCs w:val="16"/>
              </w:rPr>
            </w:pPr>
            <w:r w:rsidRPr="003C2712">
              <w:rPr>
                <w:sz w:val="16"/>
                <w:szCs w:val="16"/>
              </w:rPr>
              <w:t>436 (Polonia 434; Federación de Rusia 1; Uzbekistán 1)</w:t>
            </w:r>
            <w:r>
              <w:rPr>
                <w:sz w:val="16"/>
                <w:szCs w:val="16"/>
              </w:rPr>
              <w:t>.</w:t>
            </w:r>
          </w:p>
          <w:p w:rsidR="0095318C" w:rsidRPr="003C2712" w:rsidRDefault="0095318C" w:rsidP="00DC1333">
            <w:pPr>
              <w:rPr>
                <w:sz w:val="16"/>
                <w:szCs w:val="16"/>
              </w:rPr>
            </w:pPr>
          </w:p>
          <w:p w:rsidR="0095318C" w:rsidRPr="003C2712" w:rsidRDefault="0095318C" w:rsidP="00DC1333">
            <w:pPr>
              <w:rPr>
                <w:sz w:val="16"/>
                <w:szCs w:val="16"/>
              </w:rPr>
            </w:pPr>
            <w:r w:rsidRPr="00065488">
              <w:rPr>
                <w:sz w:val="16"/>
                <w:szCs w:val="16"/>
              </w:rPr>
              <w:t>El 1 de octubre de 2014 Polonia adoptó una Ley de enseñanza superior por la cual se obliga a las instituciones de enseñanza superior a poner en marcha una política actualizada de P.I. a partir del 31 de marzo de 2015</w:t>
            </w:r>
            <w:r>
              <w:rPr>
                <w:sz w:val="16"/>
                <w:szCs w:val="16"/>
              </w:rPr>
              <w:t>.</w:t>
            </w:r>
          </w:p>
          <w:p w:rsidR="0095318C" w:rsidRPr="007C38D0" w:rsidRDefault="0095318C" w:rsidP="00DC1333">
            <w:pPr>
              <w:rPr>
                <w:sz w:val="16"/>
                <w:szCs w:val="16"/>
              </w:rPr>
            </w:pPr>
          </w:p>
          <w:p w:rsidR="0095318C" w:rsidRPr="00A30FA0" w:rsidRDefault="0095318C" w:rsidP="00DC1333">
            <w:pPr>
              <w:rPr>
                <w:sz w:val="16"/>
                <w:szCs w:val="16"/>
              </w:rPr>
            </w:pPr>
            <w:r w:rsidRPr="00A30FA0">
              <w:rPr>
                <w:sz w:val="16"/>
                <w:szCs w:val="16"/>
              </w:rPr>
              <w:t xml:space="preserve">Distintas universidades de Estonia, Lituania y Eslovaquia estaban elaborando políticas de P.I. en </w:t>
            </w:r>
            <w:r w:rsidRPr="00A30FA0">
              <w:rPr>
                <w:sz w:val="16"/>
                <w:szCs w:val="16"/>
                <w:lang w:bidi="th-TH"/>
              </w:rPr>
              <w:t>2014/15.</w:t>
            </w:r>
          </w:p>
          <w:p w:rsidR="0095318C" w:rsidRPr="00A30FA0" w:rsidRDefault="0095318C" w:rsidP="00DC1333">
            <w:pPr>
              <w:rPr>
                <w:sz w:val="16"/>
                <w:szCs w:val="16"/>
                <w:lang w:bidi="th-TH"/>
              </w:rPr>
            </w:pPr>
          </w:p>
        </w:tc>
        <w:tc>
          <w:tcPr>
            <w:tcW w:w="1197" w:type="dxa"/>
            <w:tcBorders>
              <w:top w:val="nil"/>
              <w:left w:val="nil"/>
              <w:bottom w:val="nil"/>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Pr>
        <w:tc>
          <w:tcPr>
            <w:tcW w:w="2137" w:type="dxa"/>
            <w:tcBorders>
              <w:top w:val="nil"/>
              <w:left w:val="single" w:sz="4" w:space="0" w:color="auto"/>
              <w:bottom w:val="single" w:sz="4" w:space="0" w:color="auto"/>
            </w:tcBorders>
            <w:shd w:val="clear" w:color="auto" w:fill="auto"/>
          </w:tcPr>
          <w:p w:rsidR="0095318C" w:rsidRPr="00A30FA0" w:rsidRDefault="0095318C" w:rsidP="00DC1333">
            <w:pPr>
              <w:rPr>
                <w:sz w:val="16"/>
                <w:szCs w:val="16"/>
                <w:lang w:bidi="th-TH"/>
              </w:rPr>
            </w:pPr>
            <w:r w:rsidRPr="00A30FA0">
              <w:rPr>
                <w:sz w:val="16"/>
                <w:szCs w:val="16"/>
              </w:rPr>
              <w:t>Número de países que han elaborado estrategias/planes nacionales de P.I.</w:t>
            </w:r>
          </w:p>
        </w:tc>
        <w:tc>
          <w:tcPr>
            <w:tcW w:w="2420" w:type="dxa"/>
            <w:tcBorders>
              <w:top w:val="nil"/>
              <w:bottom w:val="single" w:sz="4" w:space="0" w:color="auto"/>
            </w:tcBorders>
            <w:shd w:val="clear" w:color="auto" w:fill="auto"/>
          </w:tcPr>
          <w:p w:rsidR="0095318C" w:rsidRPr="003C2712" w:rsidRDefault="0095318C" w:rsidP="00DC1333">
            <w:pPr>
              <w:rPr>
                <w:i/>
                <w:color w:val="002060"/>
                <w:sz w:val="16"/>
                <w:szCs w:val="16"/>
              </w:rPr>
            </w:pPr>
            <w:r w:rsidRPr="003C2712">
              <w:rPr>
                <w:sz w:val="16"/>
                <w:szCs w:val="16"/>
              </w:rPr>
              <w:t>14 (en total al final d</w:t>
            </w:r>
            <w:r w:rsidR="00A556A6">
              <w:rPr>
                <w:sz w:val="16"/>
                <w:szCs w:val="16"/>
              </w:rPr>
              <w:t>e 2013)</w:t>
            </w:r>
          </w:p>
        </w:tc>
        <w:tc>
          <w:tcPr>
            <w:tcW w:w="1570" w:type="dxa"/>
            <w:tcBorders>
              <w:top w:val="nil"/>
              <w:bottom w:val="single" w:sz="4" w:space="0" w:color="auto"/>
            </w:tcBorders>
            <w:shd w:val="clear" w:color="auto" w:fill="auto"/>
            <w:tcMar>
              <w:top w:w="110" w:type="dxa"/>
            </w:tcMar>
          </w:tcPr>
          <w:p w:rsidR="0095318C" w:rsidRPr="008012E3" w:rsidRDefault="00A556A6" w:rsidP="00DC1333">
            <w:pPr>
              <w:rPr>
                <w:sz w:val="16"/>
                <w:szCs w:val="16"/>
                <w:lang w:bidi="th-TH"/>
              </w:rPr>
            </w:pPr>
            <w:r>
              <w:rPr>
                <w:sz w:val="16"/>
                <w:szCs w:val="16"/>
              </w:rPr>
              <w:t>6 países adicionales</w:t>
            </w:r>
          </w:p>
        </w:tc>
        <w:tc>
          <w:tcPr>
            <w:tcW w:w="2423" w:type="dxa"/>
            <w:gridSpan w:val="2"/>
            <w:tcBorders>
              <w:top w:val="nil"/>
              <w:bottom w:val="single" w:sz="4" w:space="0" w:color="auto"/>
            </w:tcBorders>
            <w:shd w:val="clear" w:color="auto" w:fill="FFFFFF"/>
            <w:tcMar>
              <w:top w:w="110" w:type="dxa"/>
            </w:tcMar>
          </w:tcPr>
          <w:p w:rsidR="0095318C" w:rsidRPr="003C2712" w:rsidRDefault="0095318C" w:rsidP="00DC1333">
            <w:pPr>
              <w:rPr>
                <w:sz w:val="16"/>
                <w:szCs w:val="16"/>
                <w:lang w:bidi="th-TH"/>
              </w:rPr>
            </w:pPr>
            <w:r w:rsidRPr="003C2712">
              <w:rPr>
                <w:sz w:val="16"/>
                <w:szCs w:val="16"/>
              </w:rPr>
              <w:t xml:space="preserve">6 </w:t>
            </w:r>
            <w:r>
              <w:rPr>
                <w:sz w:val="16"/>
                <w:szCs w:val="16"/>
              </w:rPr>
              <w:t xml:space="preserve">países </w:t>
            </w:r>
            <w:r w:rsidRPr="003C2712">
              <w:rPr>
                <w:sz w:val="16"/>
                <w:szCs w:val="16"/>
              </w:rPr>
              <w:t>(Bulgaria, Eslovenia, Tayikistán, Turquía, Turkmenistán, Ucrania)</w:t>
            </w:r>
          </w:p>
          <w:p w:rsidR="0095318C" w:rsidRPr="003C2712" w:rsidRDefault="0095318C" w:rsidP="00DC1333">
            <w:pPr>
              <w:rPr>
                <w:sz w:val="16"/>
                <w:szCs w:val="16"/>
                <w:lang w:bidi="th-TH"/>
              </w:rPr>
            </w:pPr>
          </w:p>
          <w:p w:rsidR="0095318C" w:rsidRDefault="0095318C" w:rsidP="00DC1333">
            <w:pPr>
              <w:rPr>
                <w:sz w:val="16"/>
                <w:szCs w:val="16"/>
                <w:lang w:bidi="th-TH"/>
              </w:rPr>
            </w:pPr>
            <w:r w:rsidRPr="00E402FC">
              <w:rPr>
                <w:sz w:val="16"/>
                <w:szCs w:val="16"/>
                <w:lang w:bidi="th-TH"/>
              </w:rPr>
              <w:t>4 países (Albania, Georgia, Polonia</w:t>
            </w:r>
            <w:r w:rsidR="00A556A6">
              <w:rPr>
                <w:sz w:val="16"/>
                <w:szCs w:val="16"/>
                <w:lang w:bidi="th-TH"/>
              </w:rPr>
              <w:t xml:space="preserve">, Letonia) </w:t>
            </w:r>
            <w:r w:rsidR="008F7A06">
              <w:rPr>
                <w:sz w:val="16"/>
                <w:szCs w:val="16"/>
                <w:lang w:bidi="th-TH"/>
              </w:rPr>
              <w:t>comenzaron a elaborar estrategias nacionales de P.I.</w:t>
            </w:r>
          </w:p>
          <w:p w:rsidR="0095318C" w:rsidRPr="00E402FC" w:rsidRDefault="0095318C" w:rsidP="00DC1333">
            <w:pPr>
              <w:rPr>
                <w:sz w:val="16"/>
                <w:szCs w:val="16"/>
                <w:lang w:bidi="th-TH"/>
              </w:rPr>
            </w:pPr>
          </w:p>
        </w:tc>
        <w:tc>
          <w:tcPr>
            <w:tcW w:w="1197" w:type="dxa"/>
            <w:tcBorders>
              <w:top w:val="nil"/>
              <w:bottom w:val="single" w:sz="4" w:space="0" w:color="auto"/>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746"/>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BB781D" w:rsidRDefault="0095318C" w:rsidP="00DC1333">
            <w:pPr>
              <w:keepNext/>
              <w:keepLines/>
              <w:ind w:left="1985" w:hanging="1985"/>
              <w:rPr>
                <w:b/>
                <w:bCs/>
                <w:sz w:val="16"/>
                <w:szCs w:val="16"/>
              </w:rPr>
            </w:pPr>
            <w:r>
              <w:rPr>
                <w:b/>
                <w:bCs/>
                <w:sz w:val="16"/>
                <w:szCs w:val="16"/>
              </w:rPr>
              <w:t>Resultado previsto</w:t>
            </w:r>
            <w:r w:rsidRPr="00BB781D">
              <w:rPr>
                <w:b/>
                <w:bCs/>
                <w:sz w:val="16"/>
                <w:szCs w:val="16"/>
              </w:rPr>
              <w:t>:</w:t>
            </w:r>
            <w:r w:rsidRPr="00BB781D">
              <w:rPr>
                <w:b/>
                <w:bCs/>
                <w:sz w:val="16"/>
                <w:szCs w:val="16"/>
              </w:rPr>
              <w:tab/>
            </w:r>
            <w:r w:rsidRPr="00BB781D">
              <w:rPr>
                <w:sz w:val="16"/>
                <w:szCs w:val="16"/>
                <w:lang w:bidi="th-TH"/>
              </w:rPr>
              <w:t xml:space="preserve">III.2 </w:t>
            </w:r>
            <w:r w:rsidRPr="00BB781D">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r>
      <w:tr w:rsidR="0095318C" w:rsidRPr="001656CD" w:rsidTr="00DC1333">
        <w:trPr>
          <w:cantSplit/>
          <w:trHeight w:val="281"/>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left w:val="nil"/>
              <w:bottom w:val="nil"/>
              <w:right w:val="single" w:sz="4" w:space="0" w:color="auto"/>
            </w:tcBorders>
            <w:shd w:val="clear" w:color="auto" w:fill="auto"/>
            <w:vAlign w:val="center"/>
          </w:tcPr>
          <w:p w:rsidR="0095318C" w:rsidRPr="00CD26D6" w:rsidRDefault="0095318C" w:rsidP="00447371">
            <w:pPr>
              <w:keepNext/>
              <w:keepLines/>
              <w:spacing w:before="120"/>
              <w:jc w:val="center"/>
              <w:rPr>
                <w:b/>
                <w:bCs/>
                <w:sz w:val="16"/>
                <w:szCs w:val="16"/>
              </w:rPr>
            </w:pPr>
            <w:r>
              <w:rPr>
                <w:b/>
                <w:bCs/>
                <w:sz w:val="16"/>
                <w:szCs w:val="16"/>
              </w:rPr>
              <w:t>C</w:t>
            </w:r>
            <w:r w:rsidRPr="001656CD">
              <w:rPr>
                <w:b/>
                <w:bCs/>
                <w:sz w:val="16"/>
                <w:szCs w:val="16"/>
              </w:rPr>
              <w:t>lave de los colores</w:t>
            </w:r>
          </w:p>
        </w:tc>
      </w:tr>
      <w:tr w:rsidR="0095318C" w:rsidRPr="001656CD" w:rsidTr="00DC1333">
        <w:trPr>
          <w:cantSplit/>
        </w:trPr>
        <w:tc>
          <w:tcPr>
            <w:tcW w:w="2137" w:type="dxa"/>
            <w:tcBorders>
              <w:top w:val="nil"/>
              <w:left w:val="single" w:sz="4" w:space="0" w:color="auto"/>
              <w:bottom w:val="single" w:sz="4" w:space="0" w:color="auto"/>
              <w:right w:val="nil"/>
            </w:tcBorders>
            <w:shd w:val="clear" w:color="auto" w:fill="auto"/>
          </w:tcPr>
          <w:p w:rsidR="0095318C" w:rsidRPr="005C1235" w:rsidRDefault="0095318C" w:rsidP="00DC1333">
            <w:pPr>
              <w:rPr>
                <w:sz w:val="16"/>
                <w:szCs w:val="16"/>
                <w:lang w:bidi="th-TH"/>
              </w:rPr>
            </w:pPr>
            <w:r w:rsidRPr="005C1235">
              <w:rPr>
                <w:sz w:val="16"/>
                <w:szCs w:val="16"/>
              </w:rPr>
              <w:t>Número de países con economías en transición que han establecido programas o cursos anuales de formación en P.I. para los profesionales de la P.I.</w:t>
            </w:r>
          </w:p>
        </w:tc>
        <w:tc>
          <w:tcPr>
            <w:tcW w:w="2420" w:type="dxa"/>
            <w:tcBorders>
              <w:top w:val="nil"/>
              <w:left w:val="nil"/>
              <w:bottom w:val="single" w:sz="4" w:space="0" w:color="auto"/>
              <w:right w:val="nil"/>
            </w:tcBorders>
            <w:shd w:val="clear" w:color="auto" w:fill="auto"/>
          </w:tcPr>
          <w:p w:rsidR="0095318C" w:rsidRPr="001656CD" w:rsidRDefault="00A556A6" w:rsidP="00DC1333">
            <w:pPr>
              <w:rPr>
                <w:i/>
                <w:color w:val="002060"/>
                <w:sz w:val="16"/>
                <w:szCs w:val="16"/>
              </w:rPr>
            </w:pPr>
            <w:r>
              <w:rPr>
                <w:sz w:val="16"/>
                <w:szCs w:val="16"/>
              </w:rPr>
              <w:t>Por determinar</w:t>
            </w:r>
          </w:p>
        </w:tc>
        <w:tc>
          <w:tcPr>
            <w:tcW w:w="1570" w:type="dxa"/>
            <w:tcBorders>
              <w:top w:val="nil"/>
              <w:left w:val="nil"/>
              <w:bottom w:val="single" w:sz="4" w:space="0" w:color="auto"/>
              <w:right w:val="nil"/>
            </w:tcBorders>
            <w:shd w:val="clear" w:color="auto" w:fill="auto"/>
            <w:tcMar>
              <w:top w:w="110" w:type="dxa"/>
            </w:tcMar>
          </w:tcPr>
          <w:p w:rsidR="0095318C" w:rsidRDefault="0095318C" w:rsidP="00DC1333">
            <w:pPr>
              <w:rPr>
                <w:sz w:val="16"/>
                <w:szCs w:val="16"/>
                <w:lang w:bidi="th-TH"/>
              </w:rPr>
            </w:pPr>
            <w:r>
              <w:rPr>
                <w:sz w:val="16"/>
                <w:szCs w:val="16"/>
                <w:lang w:bidi="th-TH"/>
              </w:rPr>
              <w:t>10</w:t>
            </w:r>
          </w:p>
          <w:p w:rsidR="0095318C" w:rsidRPr="00F01083" w:rsidRDefault="0095318C" w:rsidP="00DC1333">
            <w:pPr>
              <w:rPr>
                <w:sz w:val="16"/>
                <w:szCs w:val="16"/>
                <w:lang w:bidi="th-TH"/>
              </w:rPr>
            </w:pPr>
          </w:p>
        </w:tc>
        <w:tc>
          <w:tcPr>
            <w:tcW w:w="2423" w:type="dxa"/>
            <w:gridSpan w:val="2"/>
            <w:tcBorders>
              <w:top w:val="nil"/>
              <w:left w:val="nil"/>
              <w:bottom w:val="single" w:sz="4" w:space="0" w:color="auto"/>
              <w:right w:val="nil"/>
            </w:tcBorders>
            <w:shd w:val="clear" w:color="auto" w:fill="FFFFFF"/>
            <w:tcMar>
              <w:top w:w="110" w:type="dxa"/>
            </w:tcMar>
          </w:tcPr>
          <w:p w:rsidR="0095318C" w:rsidRPr="00A30FA0" w:rsidRDefault="0095318C" w:rsidP="00DC1333">
            <w:pPr>
              <w:rPr>
                <w:sz w:val="16"/>
                <w:szCs w:val="16"/>
              </w:rPr>
            </w:pPr>
            <w:r w:rsidRPr="00A30FA0">
              <w:rPr>
                <w:sz w:val="16"/>
                <w:szCs w:val="16"/>
              </w:rPr>
              <w:t>9 (Bulgaria, Croacia, República Checa, Georgia, Kazajstán, Polonia</w:t>
            </w:r>
            <w:r w:rsidR="00447371">
              <w:rPr>
                <w:sz w:val="16"/>
                <w:szCs w:val="16"/>
              </w:rPr>
              <w:t>, Rumania, Eslovaquia, Turquía)</w:t>
            </w:r>
          </w:p>
          <w:p w:rsidR="0095318C" w:rsidRPr="00A30FA0" w:rsidRDefault="0095318C" w:rsidP="00DC1333">
            <w:pPr>
              <w:rPr>
                <w:sz w:val="16"/>
                <w:szCs w:val="16"/>
                <w:lang w:bidi="th-TH"/>
              </w:rPr>
            </w:pPr>
          </w:p>
          <w:p w:rsidR="0095318C" w:rsidRPr="0095318C" w:rsidRDefault="0095318C" w:rsidP="00DC1333">
            <w:pPr>
              <w:rPr>
                <w:sz w:val="16"/>
                <w:szCs w:val="16"/>
                <w:lang w:val="en-US" w:bidi="th-TH"/>
              </w:rPr>
            </w:pPr>
            <w:r w:rsidRPr="0095318C">
              <w:rPr>
                <w:sz w:val="16"/>
                <w:szCs w:val="16"/>
                <w:lang w:val="en-US" w:bidi="th-TH"/>
              </w:rPr>
              <w:t xml:space="preserve">El 27 de marzo de 2015, el Gobierno de Rumania aprobó el </w:t>
            </w:r>
            <w:r w:rsidRPr="0095318C">
              <w:rPr>
                <w:i/>
                <w:sz w:val="16"/>
                <w:szCs w:val="16"/>
                <w:lang w:val="en-US" w:bidi="th-TH"/>
              </w:rPr>
              <w:t>School Program for the Optional Course Education for Intellectual Property Rights (Curriculum at the High-school Decision).</w:t>
            </w:r>
          </w:p>
          <w:p w:rsidR="0095318C" w:rsidRPr="0095318C" w:rsidRDefault="0095318C" w:rsidP="00DC1333">
            <w:pPr>
              <w:rPr>
                <w:sz w:val="16"/>
                <w:szCs w:val="16"/>
                <w:lang w:val="en-US" w:bidi="th-TH"/>
              </w:rPr>
            </w:pPr>
          </w:p>
        </w:tc>
        <w:tc>
          <w:tcPr>
            <w:tcW w:w="1197" w:type="dxa"/>
            <w:tcBorders>
              <w:top w:val="nil"/>
              <w:left w:val="nil"/>
              <w:bottom w:val="single" w:sz="4" w:space="0" w:color="auto"/>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Pr>
        <w:tc>
          <w:tcPr>
            <w:tcW w:w="2137" w:type="dxa"/>
            <w:tcBorders>
              <w:top w:val="single" w:sz="4" w:space="0" w:color="auto"/>
              <w:left w:val="single" w:sz="4" w:space="0" w:color="auto"/>
              <w:bottom w:val="single" w:sz="4" w:space="0" w:color="auto"/>
            </w:tcBorders>
            <w:shd w:val="clear" w:color="auto" w:fill="auto"/>
          </w:tcPr>
          <w:p w:rsidR="0095318C" w:rsidRDefault="0095318C" w:rsidP="00DC1333">
            <w:pPr>
              <w:rPr>
                <w:sz w:val="16"/>
                <w:szCs w:val="16"/>
              </w:rPr>
            </w:pPr>
            <w:r w:rsidRPr="005C1235">
              <w:rPr>
                <w:sz w:val="16"/>
                <w:szCs w:val="16"/>
              </w:rPr>
              <w:lastRenderedPageBreak/>
              <w:t xml:space="preserve">Porcentaje de profesionales de P.I. y funcionarios de oficinas de P.I. que </w:t>
            </w:r>
            <w:r>
              <w:rPr>
                <w:sz w:val="16"/>
                <w:szCs w:val="16"/>
              </w:rPr>
              <w:t xml:space="preserve">han recibido formación y </w:t>
            </w:r>
            <w:r w:rsidRPr="005C1235">
              <w:rPr>
                <w:sz w:val="16"/>
                <w:szCs w:val="16"/>
              </w:rPr>
              <w:t>utilizan en su trabajo las nuevas aptitudes adquiridas.</w:t>
            </w:r>
          </w:p>
          <w:p w:rsidR="0095318C" w:rsidRPr="005C1235" w:rsidRDefault="0095318C" w:rsidP="00DC1333">
            <w:pPr>
              <w:rPr>
                <w:sz w:val="16"/>
                <w:szCs w:val="16"/>
                <w:lang w:bidi="th-TH"/>
              </w:rPr>
            </w:pPr>
          </w:p>
        </w:tc>
        <w:tc>
          <w:tcPr>
            <w:tcW w:w="2420" w:type="dxa"/>
            <w:tcBorders>
              <w:top w:val="single" w:sz="4" w:space="0" w:color="auto"/>
              <w:bottom w:val="single" w:sz="4" w:space="0" w:color="auto"/>
            </w:tcBorders>
            <w:shd w:val="clear" w:color="auto" w:fill="auto"/>
          </w:tcPr>
          <w:p w:rsidR="0095318C" w:rsidRPr="00BB781D" w:rsidRDefault="0095318C" w:rsidP="00DC1333">
            <w:pPr>
              <w:rPr>
                <w:color w:val="002060"/>
                <w:sz w:val="16"/>
                <w:szCs w:val="16"/>
                <w:lang w:bidi="th-TH"/>
              </w:rPr>
            </w:pPr>
            <w:r w:rsidRPr="00BB781D">
              <w:rPr>
                <w:i/>
                <w:color w:val="002060"/>
                <w:sz w:val="16"/>
                <w:szCs w:val="16"/>
              </w:rPr>
              <w:t xml:space="preserve">Referencia actualizada a fines de 2013: </w:t>
            </w:r>
            <w:r w:rsidRPr="00BB781D">
              <w:rPr>
                <w:color w:val="002060"/>
                <w:sz w:val="16"/>
                <w:szCs w:val="16"/>
              </w:rPr>
              <w:t>el 69% de funcionarios de oficinas de P.I. han recibido formación y utilizan en su trabajo las nuevas aptitudes adquiridas.</w:t>
            </w:r>
          </w:p>
          <w:p w:rsidR="0095318C" w:rsidRPr="00BB781D" w:rsidRDefault="0095318C" w:rsidP="00DC1333">
            <w:pPr>
              <w:rPr>
                <w:i/>
                <w:color w:val="002060"/>
                <w:sz w:val="8"/>
                <w:szCs w:val="8"/>
              </w:rPr>
            </w:pPr>
          </w:p>
          <w:p w:rsidR="0095318C" w:rsidRDefault="0095318C" w:rsidP="00DC1333">
            <w:pPr>
              <w:rPr>
                <w:sz w:val="16"/>
                <w:szCs w:val="16"/>
              </w:rPr>
            </w:pPr>
            <w:r w:rsidRPr="00BB781D">
              <w:rPr>
                <w:i/>
                <w:sz w:val="16"/>
                <w:szCs w:val="16"/>
              </w:rPr>
              <w:t>Referencia original en el presupuesto de 2014/15:</w:t>
            </w:r>
            <w:r w:rsidR="00447371">
              <w:rPr>
                <w:sz w:val="16"/>
                <w:szCs w:val="16"/>
              </w:rPr>
              <w:t xml:space="preserve"> 40%</w:t>
            </w:r>
          </w:p>
          <w:p w:rsidR="0095318C" w:rsidRPr="00BB781D" w:rsidRDefault="0095318C" w:rsidP="00DC1333">
            <w:pPr>
              <w:rPr>
                <w:i/>
                <w:color w:val="002060"/>
                <w:sz w:val="16"/>
                <w:szCs w:val="16"/>
              </w:rPr>
            </w:pPr>
          </w:p>
        </w:tc>
        <w:tc>
          <w:tcPr>
            <w:tcW w:w="1570" w:type="dxa"/>
            <w:tcBorders>
              <w:top w:val="single" w:sz="4" w:space="0" w:color="auto"/>
              <w:bottom w:val="single" w:sz="4" w:space="0" w:color="auto"/>
            </w:tcBorders>
            <w:shd w:val="clear" w:color="auto" w:fill="auto"/>
            <w:tcMar>
              <w:top w:w="110" w:type="dxa"/>
            </w:tcMar>
          </w:tcPr>
          <w:p w:rsidR="0095318C" w:rsidRPr="00F01083" w:rsidRDefault="0095318C" w:rsidP="00DC1333">
            <w:pPr>
              <w:rPr>
                <w:sz w:val="16"/>
                <w:szCs w:val="16"/>
                <w:lang w:bidi="th-TH"/>
              </w:rPr>
            </w:pPr>
            <w:r w:rsidRPr="00F01083">
              <w:rPr>
                <w:sz w:val="16"/>
                <w:szCs w:val="16"/>
                <w:lang w:bidi="th-TH"/>
              </w:rPr>
              <w:t>50%</w:t>
            </w:r>
          </w:p>
        </w:tc>
        <w:tc>
          <w:tcPr>
            <w:tcW w:w="2423" w:type="dxa"/>
            <w:gridSpan w:val="2"/>
            <w:tcBorders>
              <w:top w:val="single" w:sz="4" w:space="0" w:color="auto"/>
              <w:bottom w:val="single" w:sz="4" w:space="0" w:color="auto"/>
            </w:tcBorders>
            <w:shd w:val="clear" w:color="auto" w:fill="FFFFFF"/>
            <w:tcMar>
              <w:top w:w="110" w:type="dxa"/>
            </w:tcMar>
          </w:tcPr>
          <w:p w:rsidR="0095318C" w:rsidRPr="00BB781D" w:rsidRDefault="0095318C" w:rsidP="00DC1333">
            <w:pPr>
              <w:rPr>
                <w:sz w:val="16"/>
                <w:szCs w:val="16"/>
                <w:lang w:bidi="th-TH"/>
              </w:rPr>
            </w:pPr>
            <w:r w:rsidRPr="00BB781D">
              <w:rPr>
                <w:sz w:val="16"/>
                <w:szCs w:val="16"/>
                <w:lang w:bidi="th-TH"/>
              </w:rPr>
              <w:t xml:space="preserve">En 2014/15, </w:t>
            </w:r>
            <w:r>
              <w:rPr>
                <w:sz w:val="16"/>
                <w:szCs w:val="16"/>
              </w:rPr>
              <w:t>el 82,</w:t>
            </w:r>
            <w:r w:rsidRPr="00BB781D">
              <w:rPr>
                <w:sz w:val="16"/>
                <w:szCs w:val="16"/>
              </w:rPr>
              <w:t>7% de funcionarios de oficinas de P.I. han recibido formación y utilizan en su trabajo las nuevas aptitudes adquiridas.</w:t>
            </w:r>
          </w:p>
        </w:tc>
        <w:tc>
          <w:tcPr>
            <w:tcW w:w="1197" w:type="dxa"/>
            <w:tcBorders>
              <w:top w:val="single" w:sz="4" w:space="0" w:color="auto"/>
              <w:bottom w:val="single" w:sz="4" w:space="0" w:color="auto"/>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626"/>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B02627" w:rsidRDefault="0095318C" w:rsidP="00DC1333">
            <w:pPr>
              <w:keepNext/>
              <w:keepLines/>
              <w:ind w:left="1985" w:hanging="1985"/>
              <w:rPr>
                <w:b/>
                <w:bCs/>
                <w:sz w:val="16"/>
                <w:szCs w:val="16"/>
              </w:rPr>
            </w:pPr>
            <w:r w:rsidRPr="00B02627">
              <w:rPr>
                <w:b/>
                <w:bCs/>
                <w:sz w:val="16"/>
                <w:szCs w:val="16"/>
              </w:rPr>
              <w:t>Resultado previsto:</w:t>
            </w:r>
            <w:r w:rsidRPr="00B02627">
              <w:rPr>
                <w:b/>
                <w:bCs/>
                <w:sz w:val="16"/>
                <w:szCs w:val="16"/>
              </w:rPr>
              <w:tab/>
            </w:r>
            <w:r w:rsidRPr="00B02627">
              <w:rPr>
                <w:sz w:val="16"/>
                <w:szCs w:val="16"/>
                <w:lang w:bidi="th-TH"/>
              </w:rPr>
              <w:t xml:space="preserve">III.4 </w:t>
            </w:r>
            <w:r w:rsidRPr="00B02627">
              <w:rPr>
                <w:sz w:val="16"/>
                <w:szCs w:val="16"/>
              </w:rPr>
              <w:t>Fortalecimiento de los mecanismos y de los programas de cooperación conforme a las necesidades de los países en desarrollo y los PMA</w:t>
            </w:r>
          </w:p>
        </w:tc>
      </w:tr>
      <w:tr w:rsidR="0095318C" w:rsidRPr="001656CD" w:rsidTr="00DC1333">
        <w:trPr>
          <w:cantSplit/>
          <w:trHeight w:val="371"/>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left w:val="nil"/>
              <w:bottom w:val="nil"/>
              <w:right w:val="single" w:sz="4" w:space="0" w:color="auto"/>
            </w:tcBorders>
            <w:shd w:val="clear" w:color="auto" w:fill="auto"/>
            <w:vAlign w:val="center"/>
          </w:tcPr>
          <w:p w:rsidR="0095318C" w:rsidRPr="00CD26D6" w:rsidRDefault="00447371" w:rsidP="00447371">
            <w:pPr>
              <w:keepNext/>
              <w:keepLines/>
              <w:spacing w:before="120"/>
              <w:jc w:val="center"/>
              <w:rPr>
                <w:b/>
                <w:bCs/>
                <w:sz w:val="16"/>
                <w:szCs w:val="16"/>
              </w:rPr>
            </w:pPr>
            <w:r w:rsidRPr="001656CD">
              <w:rPr>
                <w:b/>
                <w:bCs/>
                <w:sz w:val="16"/>
                <w:szCs w:val="16"/>
              </w:rPr>
              <w:t xml:space="preserve">Clave </w:t>
            </w:r>
            <w:r w:rsidR="0095318C" w:rsidRPr="001656CD">
              <w:rPr>
                <w:b/>
                <w:bCs/>
                <w:sz w:val="16"/>
                <w:szCs w:val="16"/>
              </w:rPr>
              <w:t>de los colores</w:t>
            </w:r>
          </w:p>
        </w:tc>
      </w:tr>
      <w:tr w:rsidR="0095318C" w:rsidRPr="001656CD" w:rsidTr="00DC1333">
        <w:trPr>
          <w:cantSplit/>
          <w:trHeight w:val="1852"/>
        </w:trPr>
        <w:tc>
          <w:tcPr>
            <w:tcW w:w="2137" w:type="dxa"/>
            <w:tcBorders>
              <w:top w:val="nil"/>
              <w:left w:val="single" w:sz="4" w:space="0" w:color="auto"/>
              <w:bottom w:val="single" w:sz="4" w:space="0" w:color="auto"/>
              <w:right w:val="nil"/>
            </w:tcBorders>
            <w:shd w:val="clear" w:color="auto" w:fill="auto"/>
          </w:tcPr>
          <w:p w:rsidR="0095318C" w:rsidRPr="00B02627" w:rsidRDefault="0095318C" w:rsidP="00DC1333">
            <w:pPr>
              <w:tabs>
                <w:tab w:val="left" w:pos="347"/>
              </w:tabs>
              <w:rPr>
                <w:sz w:val="16"/>
                <w:szCs w:val="16"/>
                <w:lang w:bidi="th-TH"/>
              </w:rPr>
            </w:pPr>
            <w:r w:rsidRPr="00B02627">
              <w:rPr>
                <w:sz w:val="16"/>
                <w:szCs w:val="16"/>
              </w:rPr>
              <w:t>Número de asociaciones establecidas en las que la parte que ofrece asistencia procede de un país desarrollado.</w:t>
            </w:r>
          </w:p>
        </w:tc>
        <w:tc>
          <w:tcPr>
            <w:tcW w:w="2420" w:type="dxa"/>
            <w:tcBorders>
              <w:top w:val="nil"/>
              <w:left w:val="nil"/>
              <w:bottom w:val="single" w:sz="4" w:space="0" w:color="auto"/>
              <w:right w:val="nil"/>
            </w:tcBorders>
            <w:shd w:val="clear" w:color="auto" w:fill="auto"/>
          </w:tcPr>
          <w:p w:rsidR="0095318C" w:rsidRPr="001656CD" w:rsidRDefault="00447371" w:rsidP="00447371">
            <w:pPr>
              <w:rPr>
                <w:i/>
                <w:color w:val="002060"/>
                <w:sz w:val="16"/>
                <w:szCs w:val="16"/>
              </w:rPr>
            </w:pPr>
            <w:r>
              <w:rPr>
                <w:sz w:val="16"/>
                <w:szCs w:val="16"/>
              </w:rPr>
              <w:t>Por determinar</w:t>
            </w:r>
          </w:p>
        </w:tc>
        <w:tc>
          <w:tcPr>
            <w:tcW w:w="1570" w:type="dxa"/>
            <w:tcBorders>
              <w:top w:val="nil"/>
              <w:left w:val="nil"/>
              <w:bottom w:val="single" w:sz="4" w:space="0" w:color="auto"/>
              <w:right w:val="nil"/>
            </w:tcBorders>
            <w:shd w:val="clear" w:color="auto" w:fill="auto"/>
            <w:tcMar>
              <w:top w:w="110" w:type="dxa"/>
            </w:tcMar>
          </w:tcPr>
          <w:p w:rsidR="0095318C" w:rsidRPr="00B02627" w:rsidRDefault="0095318C" w:rsidP="00DC1333">
            <w:pPr>
              <w:rPr>
                <w:sz w:val="16"/>
                <w:szCs w:val="16"/>
                <w:lang w:bidi="th-TH"/>
              </w:rPr>
            </w:pPr>
            <w:r w:rsidRPr="00B02627">
              <w:rPr>
                <w:sz w:val="16"/>
                <w:szCs w:val="16"/>
              </w:rPr>
              <w:t>Otros 4 memorandos de entendimiento; otras 10 correspondencias en la Base de datos de vinculación.</w:t>
            </w:r>
          </w:p>
          <w:p w:rsidR="0095318C" w:rsidRPr="00B02627" w:rsidRDefault="0095318C" w:rsidP="00DC1333">
            <w:pPr>
              <w:rPr>
                <w:sz w:val="16"/>
                <w:szCs w:val="16"/>
                <w:lang w:bidi="th-TH"/>
              </w:rPr>
            </w:pPr>
          </w:p>
        </w:tc>
        <w:tc>
          <w:tcPr>
            <w:tcW w:w="2423" w:type="dxa"/>
            <w:gridSpan w:val="2"/>
            <w:tcBorders>
              <w:top w:val="nil"/>
              <w:left w:val="nil"/>
              <w:bottom w:val="single" w:sz="4" w:space="0" w:color="auto"/>
              <w:right w:val="nil"/>
            </w:tcBorders>
            <w:shd w:val="clear" w:color="auto" w:fill="FFFFFF"/>
            <w:tcMar>
              <w:top w:w="110" w:type="dxa"/>
            </w:tcMar>
          </w:tcPr>
          <w:p w:rsidR="0095318C" w:rsidRPr="00B02627" w:rsidRDefault="0095318C" w:rsidP="00DC1333">
            <w:pPr>
              <w:rPr>
                <w:sz w:val="16"/>
                <w:szCs w:val="16"/>
                <w:lang w:bidi="th-TH"/>
              </w:rPr>
            </w:pPr>
            <w:r w:rsidRPr="00B02627">
              <w:rPr>
                <w:sz w:val="16"/>
                <w:szCs w:val="16"/>
              </w:rPr>
              <w:t xml:space="preserve">5 nuevos memorandos de entendimiento (Alemania, Dinamarca, </w:t>
            </w:r>
            <w:r>
              <w:rPr>
                <w:sz w:val="16"/>
                <w:szCs w:val="16"/>
              </w:rPr>
              <w:t>Israel</w:t>
            </w:r>
            <w:r w:rsidRPr="00B02627">
              <w:rPr>
                <w:sz w:val="16"/>
                <w:szCs w:val="16"/>
              </w:rPr>
              <w:t xml:space="preserve">, </w:t>
            </w:r>
            <w:r>
              <w:rPr>
                <w:sz w:val="16"/>
                <w:szCs w:val="16"/>
              </w:rPr>
              <w:t>España</w:t>
            </w:r>
            <w:r w:rsidRPr="00B02627">
              <w:rPr>
                <w:sz w:val="16"/>
                <w:szCs w:val="16"/>
              </w:rPr>
              <w:t>)</w:t>
            </w:r>
          </w:p>
          <w:p w:rsidR="0095318C" w:rsidRPr="00B02627" w:rsidRDefault="0095318C" w:rsidP="00DC1333">
            <w:pPr>
              <w:rPr>
                <w:sz w:val="16"/>
                <w:szCs w:val="16"/>
                <w:lang w:bidi="th-TH"/>
              </w:rPr>
            </w:pPr>
          </w:p>
          <w:p w:rsidR="0095318C" w:rsidRPr="00873365" w:rsidRDefault="00447371" w:rsidP="00DC1333">
            <w:pPr>
              <w:rPr>
                <w:sz w:val="16"/>
                <w:szCs w:val="16"/>
                <w:lang w:bidi="th-TH"/>
              </w:rPr>
            </w:pPr>
            <w:r>
              <w:rPr>
                <w:sz w:val="16"/>
                <w:szCs w:val="16"/>
                <w:lang w:bidi="th-TH"/>
              </w:rPr>
              <w:t>Se está ejecutando</w:t>
            </w:r>
            <w:r w:rsidR="0095318C" w:rsidRPr="00873365">
              <w:rPr>
                <w:sz w:val="16"/>
                <w:szCs w:val="16"/>
                <w:lang w:bidi="th-TH"/>
              </w:rPr>
              <w:t xml:space="preserve"> un plan de divulgación </w:t>
            </w:r>
            <w:r>
              <w:rPr>
                <w:sz w:val="16"/>
                <w:szCs w:val="16"/>
                <w:lang w:bidi="th-TH"/>
              </w:rPr>
              <w:t xml:space="preserve">específica </w:t>
            </w:r>
            <w:r w:rsidR="0095318C" w:rsidRPr="00873365">
              <w:rPr>
                <w:sz w:val="16"/>
                <w:szCs w:val="16"/>
                <w:lang w:bidi="th-TH"/>
              </w:rPr>
              <w:t xml:space="preserve">para impulsar </w:t>
            </w:r>
            <w:r>
              <w:rPr>
                <w:sz w:val="16"/>
                <w:szCs w:val="16"/>
                <w:lang w:bidi="th-TH"/>
              </w:rPr>
              <w:t>la carga de datos</w:t>
            </w:r>
            <w:r w:rsidR="0095318C" w:rsidRPr="00873365">
              <w:rPr>
                <w:sz w:val="16"/>
                <w:szCs w:val="16"/>
                <w:lang w:bidi="th-TH"/>
              </w:rPr>
              <w:t xml:space="preserve"> y favorecer las correspondencias; sin embargo, a finales del bienio, no se han visto aún los resultados.</w:t>
            </w:r>
          </w:p>
          <w:p w:rsidR="0095318C" w:rsidRPr="00873365" w:rsidRDefault="0095318C" w:rsidP="00DC1333">
            <w:pPr>
              <w:rPr>
                <w:sz w:val="16"/>
                <w:szCs w:val="16"/>
                <w:lang w:bidi="th-TH"/>
              </w:rPr>
            </w:pPr>
          </w:p>
        </w:tc>
        <w:tc>
          <w:tcPr>
            <w:tcW w:w="1197" w:type="dxa"/>
            <w:tcBorders>
              <w:top w:val="nil"/>
              <w:left w:val="nil"/>
              <w:bottom w:val="single" w:sz="4" w:space="0" w:color="auto"/>
              <w:right w:val="single" w:sz="4" w:space="0" w:color="auto"/>
            </w:tcBorders>
            <w:shd w:val="clear" w:color="auto" w:fill="auto"/>
            <w:tcMar>
              <w:top w:w="110" w:type="dxa"/>
            </w:tcMar>
          </w:tcPr>
          <w:p w:rsidR="0095318C" w:rsidRDefault="0095318C" w:rsidP="00DC1333">
            <w:pPr>
              <w:keepNext/>
              <w:keepLines/>
              <w:jc w:val="center"/>
              <w:rPr>
                <w:b/>
                <w:bCs/>
                <w:color w:val="00B050"/>
                <w:sz w:val="16"/>
                <w:szCs w:val="16"/>
              </w:rPr>
            </w:pPr>
            <w:r>
              <w:rPr>
                <w:b/>
                <w:bCs/>
                <w:color w:val="00B050"/>
                <w:sz w:val="16"/>
                <w:szCs w:val="16"/>
              </w:rPr>
              <w:t xml:space="preserve">Plenamente logrado </w:t>
            </w:r>
          </w:p>
          <w:p w:rsidR="0095318C" w:rsidRDefault="0095318C" w:rsidP="00DC1333">
            <w:pPr>
              <w:keepNext/>
              <w:keepLines/>
              <w:jc w:val="center"/>
              <w:rPr>
                <w:b/>
                <w:bCs/>
                <w:color w:val="00B050"/>
                <w:sz w:val="16"/>
                <w:szCs w:val="16"/>
              </w:rPr>
            </w:pPr>
          </w:p>
          <w:p w:rsidR="0095318C" w:rsidRDefault="0095318C" w:rsidP="00DC1333">
            <w:pPr>
              <w:keepNext/>
              <w:keepLines/>
              <w:rPr>
                <w:b/>
                <w:bCs/>
                <w:color w:val="00B050"/>
                <w:sz w:val="16"/>
                <w:szCs w:val="16"/>
              </w:rPr>
            </w:pPr>
          </w:p>
          <w:p w:rsidR="0095318C" w:rsidRPr="00830D0A" w:rsidRDefault="0095318C" w:rsidP="00DC1333">
            <w:pPr>
              <w:keepNext/>
              <w:keepLines/>
              <w:jc w:val="center"/>
              <w:rPr>
                <w:b/>
                <w:bCs/>
                <w:color w:val="FF0000"/>
                <w:sz w:val="16"/>
                <w:szCs w:val="16"/>
              </w:rPr>
            </w:pPr>
            <w:r>
              <w:rPr>
                <w:b/>
                <w:bCs/>
                <w:color w:val="FF0000"/>
                <w:sz w:val="16"/>
                <w:szCs w:val="16"/>
              </w:rPr>
              <w:t>No logrado</w:t>
            </w:r>
          </w:p>
          <w:p w:rsidR="0095318C" w:rsidRPr="00C5428C" w:rsidRDefault="0095318C" w:rsidP="00DC1333">
            <w:pPr>
              <w:keepNext/>
              <w:keepLines/>
              <w:jc w:val="center"/>
              <w:rPr>
                <w:b/>
                <w:bCs/>
                <w:color w:val="00B050"/>
                <w:sz w:val="16"/>
                <w:szCs w:val="16"/>
              </w:rPr>
            </w:pPr>
          </w:p>
        </w:tc>
      </w:tr>
      <w:tr w:rsidR="0095318C" w:rsidRPr="00267E8F" w:rsidTr="00DC1333">
        <w:trPr>
          <w:cantSplit/>
          <w:trHeight w:val="451"/>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B02627" w:rsidRDefault="0095318C" w:rsidP="00DC1333">
            <w:pPr>
              <w:keepNext/>
              <w:keepLines/>
              <w:ind w:left="1985" w:hanging="1985"/>
              <w:rPr>
                <w:b/>
                <w:bCs/>
                <w:sz w:val="16"/>
                <w:szCs w:val="16"/>
              </w:rPr>
            </w:pPr>
            <w:r>
              <w:rPr>
                <w:b/>
                <w:bCs/>
                <w:sz w:val="16"/>
                <w:szCs w:val="16"/>
              </w:rPr>
              <w:t>Resultado previsto</w:t>
            </w:r>
            <w:r w:rsidRPr="00B02627">
              <w:rPr>
                <w:b/>
                <w:bCs/>
                <w:sz w:val="16"/>
                <w:szCs w:val="16"/>
              </w:rPr>
              <w:t>:</w:t>
            </w:r>
            <w:r w:rsidRPr="00B02627">
              <w:rPr>
                <w:b/>
                <w:bCs/>
                <w:sz w:val="16"/>
                <w:szCs w:val="16"/>
              </w:rPr>
              <w:tab/>
            </w:r>
            <w:r w:rsidRPr="00B02627">
              <w:rPr>
                <w:sz w:val="16"/>
                <w:szCs w:val="16"/>
                <w:lang w:bidi="th-TH"/>
              </w:rPr>
              <w:t xml:space="preserve">III.6 </w:t>
            </w:r>
            <w:r w:rsidRPr="00B02627">
              <w:rPr>
                <w:sz w:val="16"/>
                <w:szCs w:val="16"/>
              </w:rPr>
              <w:t>Mayor capacidad de las pymes para utilizar con éxito la P.I. con el fin de apoyar la innovación</w:t>
            </w:r>
          </w:p>
        </w:tc>
      </w:tr>
      <w:tr w:rsidR="0095318C" w:rsidRPr="001656CD" w:rsidTr="00DC1333">
        <w:trPr>
          <w:cantSplit/>
          <w:trHeight w:val="274"/>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447371">
            <w:pPr>
              <w:keepNext/>
              <w:keepLines/>
              <w:spacing w:before="120"/>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23" w:type="dxa"/>
            <w:gridSpan w:val="2"/>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197" w:type="dxa"/>
            <w:tcBorders>
              <w:top w:val="single" w:sz="4" w:space="0" w:color="auto"/>
              <w:left w:val="nil"/>
              <w:bottom w:val="nil"/>
              <w:right w:val="single" w:sz="4" w:space="0" w:color="auto"/>
            </w:tcBorders>
            <w:shd w:val="clear" w:color="auto" w:fill="auto"/>
            <w:vAlign w:val="center"/>
          </w:tcPr>
          <w:p w:rsidR="0095318C" w:rsidRPr="00CD26D6" w:rsidRDefault="00447371" w:rsidP="00447371">
            <w:pPr>
              <w:keepNext/>
              <w:keepLines/>
              <w:spacing w:before="120"/>
              <w:jc w:val="center"/>
              <w:rPr>
                <w:b/>
                <w:bCs/>
                <w:sz w:val="16"/>
                <w:szCs w:val="16"/>
              </w:rPr>
            </w:pPr>
            <w:r w:rsidRPr="001656CD">
              <w:rPr>
                <w:b/>
                <w:bCs/>
                <w:sz w:val="16"/>
                <w:szCs w:val="16"/>
              </w:rPr>
              <w:t xml:space="preserve">Clave </w:t>
            </w:r>
            <w:r w:rsidR="0095318C" w:rsidRPr="001656CD">
              <w:rPr>
                <w:b/>
                <w:bCs/>
                <w:sz w:val="16"/>
                <w:szCs w:val="16"/>
              </w:rPr>
              <w:t>de los colores</w:t>
            </w:r>
          </w:p>
        </w:tc>
      </w:tr>
      <w:tr w:rsidR="0095318C" w:rsidRPr="001656CD" w:rsidTr="00DC1333">
        <w:trPr>
          <w:cantSplit/>
          <w:trHeight w:val="673"/>
        </w:trPr>
        <w:tc>
          <w:tcPr>
            <w:tcW w:w="2137" w:type="dxa"/>
            <w:tcBorders>
              <w:top w:val="nil"/>
              <w:left w:val="single" w:sz="4" w:space="0" w:color="auto"/>
              <w:bottom w:val="nil"/>
              <w:right w:val="nil"/>
            </w:tcBorders>
            <w:shd w:val="clear" w:color="auto" w:fill="auto"/>
          </w:tcPr>
          <w:p w:rsidR="0095318C" w:rsidRPr="009C7FE8" w:rsidRDefault="0095318C" w:rsidP="00DC1333">
            <w:pPr>
              <w:tabs>
                <w:tab w:val="left" w:pos="347"/>
              </w:tabs>
              <w:rPr>
                <w:sz w:val="16"/>
                <w:szCs w:val="16"/>
                <w:lang w:bidi="th-TH"/>
              </w:rPr>
            </w:pPr>
            <w:r w:rsidRPr="009C7FE8">
              <w:rPr>
                <w:sz w:val="16"/>
                <w:szCs w:val="16"/>
              </w:rPr>
              <w:t>Porcentaje de participantes en los programas de formación destinados a las instituciones de apoyo a las pymes que están satisfechos con el contenido y la organización de las reuniones de formación</w:t>
            </w:r>
            <w:r>
              <w:rPr>
                <w:sz w:val="16"/>
                <w:szCs w:val="16"/>
              </w:rPr>
              <w:t>.</w:t>
            </w:r>
          </w:p>
        </w:tc>
        <w:tc>
          <w:tcPr>
            <w:tcW w:w="2420" w:type="dxa"/>
            <w:tcBorders>
              <w:top w:val="nil"/>
              <w:left w:val="nil"/>
              <w:bottom w:val="nil"/>
              <w:right w:val="nil"/>
            </w:tcBorders>
            <w:shd w:val="clear" w:color="auto" w:fill="auto"/>
          </w:tcPr>
          <w:p w:rsidR="0095318C" w:rsidRPr="001656CD" w:rsidRDefault="00447371" w:rsidP="00447371">
            <w:pPr>
              <w:rPr>
                <w:i/>
                <w:color w:val="002060"/>
                <w:sz w:val="16"/>
                <w:szCs w:val="16"/>
              </w:rPr>
            </w:pPr>
            <w:r>
              <w:rPr>
                <w:sz w:val="16"/>
                <w:szCs w:val="16"/>
              </w:rPr>
              <w:t>Por determinar</w:t>
            </w:r>
          </w:p>
        </w:tc>
        <w:tc>
          <w:tcPr>
            <w:tcW w:w="1570" w:type="dxa"/>
            <w:tcBorders>
              <w:top w:val="nil"/>
              <w:left w:val="nil"/>
              <w:bottom w:val="nil"/>
              <w:right w:val="nil"/>
            </w:tcBorders>
            <w:shd w:val="clear" w:color="auto" w:fill="auto"/>
            <w:tcMar>
              <w:top w:w="110" w:type="dxa"/>
            </w:tcMar>
          </w:tcPr>
          <w:p w:rsidR="0095318C" w:rsidRPr="000C6DCA" w:rsidRDefault="0095318C" w:rsidP="00DC1333">
            <w:pPr>
              <w:rPr>
                <w:color w:val="002060"/>
                <w:sz w:val="16"/>
                <w:szCs w:val="16"/>
                <w:lang w:bidi="th-TH"/>
              </w:rPr>
            </w:pPr>
            <w:r w:rsidRPr="000C6DCA">
              <w:rPr>
                <w:i/>
                <w:color w:val="002060"/>
                <w:sz w:val="16"/>
                <w:szCs w:val="16"/>
              </w:rPr>
              <w:t xml:space="preserve">Objetivo definido: </w:t>
            </w:r>
            <w:r w:rsidRPr="000C6DCA">
              <w:rPr>
                <w:color w:val="002060"/>
                <w:sz w:val="16"/>
                <w:szCs w:val="16"/>
              </w:rPr>
              <w:t>75%</w:t>
            </w:r>
          </w:p>
          <w:p w:rsidR="0095318C" w:rsidRPr="000C6DCA" w:rsidRDefault="0095318C" w:rsidP="00DC1333">
            <w:pPr>
              <w:rPr>
                <w:i/>
                <w:color w:val="002060"/>
                <w:sz w:val="8"/>
                <w:szCs w:val="8"/>
              </w:rPr>
            </w:pPr>
          </w:p>
          <w:p w:rsidR="0095318C" w:rsidRPr="000C6DCA" w:rsidRDefault="0095318C" w:rsidP="00DC1333">
            <w:pPr>
              <w:rPr>
                <w:sz w:val="16"/>
                <w:szCs w:val="16"/>
                <w:lang w:bidi="th-TH"/>
              </w:rPr>
            </w:pPr>
            <w:r w:rsidRPr="000C6DCA">
              <w:rPr>
                <w:i/>
                <w:sz w:val="16"/>
                <w:szCs w:val="16"/>
              </w:rPr>
              <w:t>Objetivo original en el presupuesto de 2014/15:</w:t>
            </w:r>
            <w:r w:rsidR="00447371">
              <w:rPr>
                <w:sz w:val="16"/>
                <w:szCs w:val="16"/>
              </w:rPr>
              <w:t xml:space="preserve"> por determinar</w:t>
            </w:r>
          </w:p>
        </w:tc>
        <w:tc>
          <w:tcPr>
            <w:tcW w:w="2423" w:type="dxa"/>
            <w:gridSpan w:val="2"/>
            <w:tcBorders>
              <w:top w:val="nil"/>
              <w:left w:val="nil"/>
              <w:bottom w:val="nil"/>
              <w:right w:val="nil"/>
            </w:tcBorders>
            <w:shd w:val="clear" w:color="auto" w:fill="FFFFFF"/>
            <w:tcMar>
              <w:top w:w="110" w:type="dxa"/>
            </w:tcMar>
          </w:tcPr>
          <w:p w:rsidR="0095318C" w:rsidRPr="002D2494" w:rsidRDefault="0095318C" w:rsidP="00DC1333">
            <w:pPr>
              <w:rPr>
                <w:sz w:val="16"/>
                <w:szCs w:val="16"/>
                <w:lang w:bidi="th-TH"/>
              </w:rPr>
            </w:pPr>
            <w:r>
              <w:rPr>
                <w:sz w:val="16"/>
                <w:szCs w:val="16"/>
                <w:lang w:bidi="th-TH"/>
              </w:rPr>
              <w:t xml:space="preserve">97,2% </w:t>
            </w:r>
          </w:p>
        </w:tc>
        <w:tc>
          <w:tcPr>
            <w:tcW w:w="1197" w:type="dxa"/>
            <w:tcBorders>
              <w:top w:val="nil"/>
              <w:left w:val="nil"/>
              <w:bottom w:val="nil"/>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Height w:val="700"/>
        </w:trPr>
        <w:tc>
          <w:tcPr>
            <w:tcW w:w="2137" w:type="dxa"/>
            <w:tcBorders>
              <w:top w:val="nil"/>
              <w:left w:val="single" w:sz="4" w:space="0" w:color="auto"/>
              <w:bottom w:val="nil"/>
            </w:tcBorders>
            <w:shd w:val="clear" w:color="auto" w:fill="auto"/>
          </w:tcPr>
          <w:p w:rsidR="0095318C" w:rsidRPr="009C7FE8" w:rsidRDefault="0095318C" w:rsidP="00DC1333">
            <w:pPr>
              <w:tabs>
                <w:tab w:val="left" w:pos="347"/>
              </w:tabs>
              <w:rPr>
                <w:sz w:val="16"/>
                <w:szCs w:val="16"/>
                <w:lang w:bidi="th-TH"/>
              </w:rPr>
            </w:pPr>
            <w:r w:rsidRPr="009C7FE8">
              <w:rPr>
                <w:sz w:val="16"/>
                <w:szCs w:val="16"/>
              </w:rPr>
              <w:t>Porcentaje de instituciones de apoyo a las pymes que han recibido formación, que a su vez brindan información, apoyo y servicios de consultoría/asesoramiento en gestión de activos de P.I.</w:t>
            </w:r>
          </w:p>
        </w:tc>
        <w:tc>
          <w:tcPr>
            <w:tcW w:w="2420" w:type="dxa"/>
            <w:tcBorders>
              <w:top w:val="nil"/>
              <w:bottom w:val="nil"/>
            </w:tcBorders>
            <w:shd w:val="clear" w:color="auto" w:fill="auto"/>
          </w:tcPr>
          <w:p w:rsidR="0095318C" w:rsidRPr="001656CD" w:rsidRDefault="00447371" w:rsidP="00DC1333">
            <w:pPr>
              <w:rPr>
                <w:i/>
                <w:color w:val="002060"/>
                <w:sz w:val="16"/>
                <w:szCs w:val="16"/>
              </w:rPr>
            </w:pPr>
            <w:r>
              <w:rPr>
                <w:sz w:val="16"/>
                <w:szCs w:val="16"/>
              </w:rPr>
              <w:t>Por determinar</w:t>
            </w:r>
          </w:p>
        </w:tc>
        <w:tc>
          <w:tcPr>
            <w:tcW w:w="1570" w:type="dxa"/>
            <w:tcBorders>
              <w:top w:val="nil"/>
              <w:bottom w:val="nil"/>
            </w:tcBorders>
            <w:shd w:val="clear" w:color="auto" w:fill="auto"/>
            <w:tcMar>
              <w:top w:w="110" w:type="dxa"/>
            </w:tcMar>
          </w:tcPr>
          <w:p w:rsidR="0095318C" w:rsidRPr="000C6DCA" w:rsidRDefault="0095318C" w:rsidP="00DC1333">
            <w:pPr>
              <w:rPr>
                <w:color w:val="002060"/>
                <w:sz w:val="16"/>
                <w:szCs w:val="16"/>
                <w:lang w:bidi="th-TH"/>
              </w:rPr>
            </w:pPr>
            <w:r w:rsidRPr="000C6DCA">
              <w:rPr>
                <w:i/>
                <w:color w:val="002060"/>
                <w:sz w:val="16"/>
                <w:szCs w:val="16"/>
              </w:rPr>
              <w:t xml:space="preserve">Objetivo definido: </w:t>
            </w:r>
            <w:r w:rsidRPr="000C6DCA">
              <w:rPr>
                <w:sz w:val="16"/>
                <w:szCs w:val="16"/>
              </w:rPr>
              <w:t>90% (18 instituciones de apoyo).</w:t>
            </w:r>
          </w:p>
          <w:p w:rsidR="0095318C" w:rsidRPr="000C6DCA" w:rsidRDefault="0095318C" w:rsidP="00DC1333">
            <w:pPr>
              <w:rPr>
                <w:i/>
                <w:color w:val="002060"/>
                <w:sz w:val="8"/>
                <w:szCs w:val="8"/>
              </w:rPr>
            </w:pPr>
          </w:p>
          <w:p w:rsidR="0095318C" w:rsidRPr="000C6DCA" w:rsidRDefault="0095318C" w:rsidP="00447371">
            <w:pPr>
              <w:rPr>
                <w:sz w:val="16"/>
                <w:szCs w:val="16"/>
                <w:lang w:bidi="th-TH"/>
              </w:rPr>
            </w:pPr>
            <w:r w:rsidRPr="000C6DCA">
              <w:rPr>
                <w:i/>
                <w:sz w:val="16"/>
                <w:szCs w:val="16"/>
              </w:rPr>
              <w:t>Objetivo original en el presup. de 2014/15:</w:t>
            </w:r>
            <w:r w:rsidRPr="000C6DCA">
              <w:rPr>
                <w:sz w:val="16"/>
                <w:szCs w:val="16"/>
              </w:rPr>
              <w:t xml:space="preserve"> </w:t>
            </w:r>
            <w:r>
              <w:rPr>
                <w:sz w:val="16"/>
                <w:szCs w:val="16"/>
              </w:rPr>
              <w:t xml:space="preserve"> </w:t>
            </w:r>
            <w:r w:rsidRPr="000C6DCA">
              <w:rPr>
                <w:sz w:val="16"/>
                <w:szCs w:val="16"/>
              </w:rPr>
              <w:t>por determinar</w:t>
            </w:r>
          </w:p>
        </w:tc>
        <w:tc>
          <w:tcPr>
            <w:tcW w:w="2423" w:type="dxa"/>
            <w:gridSpan w:val="2"/>
            <w:tcBorders>
              <w:top w:val="nil"/>
              <w:bottom w:val="nil"/>
            </w:tcBorders>
            <w:shd w:val="clear" w:color="auto" w:fill="FFFFFF"/>
            <w:tcMar>
              <w:top w:w="110" w:type="dxa"/>
            </w:tcMar>
          </w:tcPr>
          <w:p w:rsidR="0095318C" w:rsidRPr="00D95C1C" w:rsidRDefault="0095318C" w:rsidP="0095318C">
            <w:pPr>
              <w:pStyle w:val="ListParagraph"/>
              <w:numPr>
                <w:ilvl w:val="0"/>
                <w:numId w:val="57"/>
              </w:numPr>
              <w:rPr>
                <w:rFonts w:cs="Arial"/>
                <w:sz w:val="16"/>
                <w:szCs w:val="16"/>
                <w:lang w:bidi="th-TH"/>
              </w:rPr>
            </w:pPr>
            <w:r w:rsidRPr="00D95C1C">
              <w:rPr>
                <w:rFonts w:cs="Arial"/>
                <w:sz w:val="16"/>
                <w:szCs w:val="16"/>
                <w:lang w:bidi="th-TH"/>
              </w:rPr>
              <w:t>90% (2014)</w:t>
            </w:r>
          </w:p>
          <w:p w:rsidR="0095318C" w:rsidRPr="00D95C1C" w:rsidRDefault="0095318C" w:rsidP="0095318C">
            <w:pPr>
              <w:pStyle w:val="ListParagraph"/>
              <w:numPr>
                <w:ilvl w:val="0"/>
                <w:numId w:val="57"/>
              </w:numPr>
              <w:rPr>
                <w:rFonts w:cs="Arial"/>
                <w:b/>
                <w:sz w:val="16"/>
                <w:szCs w:val="16"/>
                <w:lang w:bidi="th-TH"/>
              </w:rPr>
            </w:pPr>
            <w:r>
              <w:rPr>
                <w:rFonts w:cs="Arial"/>
                <w:sz w:val="16"/>
                <w:szCs w:val="16"/>
                <w:lang w:bidi="th-TH"/>
              </w:rPr>
              <w:t>100</w:t>
            </w:r>
            <w:r w:rsidRPr="00FD284A">
              <w:rPr>
                <w:rFonts w:cs="Arial"/>
                <w:sz w:val="16"/>
                <w:szCs w:val="16"/>
                <w:lang w:bidi="th-TH"/>
              </w:rPr>
              <w:t>% (2015)</w:t>
            </w:r>
          </w:p>
        </w:tc>
        <w:tc>
          <w:tcPr>
            <w:tcW w:w="1197" w:type="dxa"/>
            <w:tcBorders>
              <w:top w:val="nil"/>
              <w:bottom w:val="nil"/>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Pr>
        <w:tc>
          <w:tcPr>
            <w:tcW w:w="2137" w:type="dxa"/>
            <w:tcBorders>
              <w:top w:val="nil"/>
              <w:left w:val="single" w:sz="4" w:space="0" w:color="auto"/>
              <w:bottom w:val="single" w:sz="4" w:space="0" w:color="auto"/>
            </w:tcBorders>
            <w:shd w:val="clear" w:color="auto" w:fill="auto"/>
          </w:tcPr>
          <w:p w:rsidR="0095318C" w:rsidRPr="009C7FE8" w:rsidRDefault="0095318C" w:rsidP="00DC1333">
            <w:pPr>
              <w:tabs>
                <w:tab w:val="left" w:pos="347"/>
              </w:tabs>
              <w:rPr>
                <w:sz w:val="16"/>
                <w:szCs w:val="16"/>
                <w:lang w:bidi="th-TH"/>
              </w:rPr>
            </w:pPr>
            <w:r w:rsidRPr="009C7FE8">
              <w:rPr>
                <w:sz w:val="16"/>
                <w:szCs w:val="16"/>
              </w:rPr>
              <w:t>Número de países que han establecido programas de formación en P.I. destinados a las pymes</w:t>
            </w:r>
          </w:p>
          <w:p w:rsidR="0095318C" w:rsidRPr="009C7FE8" w:rsidRDefault="0095318C" w:rsidP="00DC1333">
            <w:pPr>
              <w:tabs>
                <w:tab w:val="left" w:pos="347"/>
              </w:tabs>
              <w:rPr>
                <w:sz w:val="16"/>
                <w:szCs w:val="16"/>
                <w:lang w:bidi="th-TH"/>
              </w:rPr>
            </w:pPr>
          </w:p>
        </w:tc>
        <w:tc>
          <w:tcPr>
            <w:tcW w:w="2420" w:type="dxa"/>
            <w:tcBorders>
              <w:top w:val="nil"/>
              <w:bottom w:val="single" w:sz="4" w:space="0" w:color="auto"/>
            </w:tcBorders>
            <w:shd w:val="clear" w:color="auto" w:fill="auto"/>
          </w:tcPr>
          <w:p w:rsidR="0095318C" w:rsidRPr="001656CD" w:rsidRDefault="00447371" w:rsidP="00DC1333">
            <w:pPr>
              <w:rPr>
                <w:i/>
                <w:color w:val="002060"/>
                <w:sz w:val="16"/>
                <w:szCs w:val="16"/>
              </w:rPr>
            </w:pPr>
            <w:r>
              <w:rPr>
                <w:sz w:val="16"/>
                <w:szCs w:val="16"/>
              </w:rPr>
              <w:t>Por determinar</w:t>
            </w:r>
          </w:p>
        </w:tc>
        <w:tc>
          <w:tcPr>
            <w:tcW w:w="1570" w:type="dxa"/>
            <w:tcBorders>
              <w:top w:val="nil"/>
              <w:bottom w:val="single" w:sz="4" w:space="0" w:color="auto"/>
            </w:tcBorders>
            <w:shd w:val="clear" w:color="auto" w:fill="auto"/>
            <w:tcMar>
              <w:top w:w="110" w:type="dxa"/>
            </w:tcMar>
          </w:tcPr>
          <w:p w:rsidR="0095318C" w:rsidRPr="003E0A9C" w:rsidRDefault="00447371" w:rsidP="00DC1333">
            <w:pPr>
              <w:rPr>
                <w:sz w:val="16"/>
                <w:szCs w:val="16"/>
                <w:lang w:bidi="th-TH"/>
              </w:rPr>
            </w:pPr>
            <w:r>
              <w:rPr>
                <w:sz w:val="16"/>
                <w:szCs w:val="16"/>
              </w:rPr>
              <w:t>Por determinar</w:t>
            </w:r>
          </w:p>
        </w:tc>
        <w:tc>
          <w:tcPr>
            <w:tcW w:w="2423" w:type="dxa"/>
            <w:gridSpan w:val="2"/>
            <w:tcBorders>
              <w:top w:val="nil"/>
              <w:bottom w:val="single" w:sz="4" w:space="0" w:color="auto"/>
            </w:tcBorders>
            <w:shd w:val="clear" w:color="auto" w:fill="FFFFFF"/>
            <w:tcMar>
              <w:top w:w="110" w:type="dxa"/>
            </w:tcMar>
          </w:tcPr>
          <w:p w:rsidR="0095318C" w:rsidRPr="003E0A9C" w:rsidRDefault="0095318C" w:rsidP="00DC1333">
            <w:pPr>
              <w:rPr>
                <w:sz w:val="16"/>
                <w:szCs w:val="16"/>
                <w:lang w:bidi="th-TH"/>
              </w:rPr>
            </w:pPr>
            <w:r>
              <w:rPr>
                <w:sz w:val="16"/>
                <w:szCs w:val="16"/>
              </w:rPr>
              <w:t>4 (Armenia, Belarús, Georgia, Kazajstán).</w:t>
            </w:r>
          </w:p>
        </w:tc>
        <w:tc>
          <w:tcPr>
            <w:tcW w:w="1197" w:type="dxa"/>
            <w:tcBorders>
              <w:top w:val="nil"/>
              <w:bottom w:val="single" w:sz="4" w:space="0" w:color="auto"/>
              <w:right w:val="single" w:sz="4" w:space="0" w:color="auto"/>
            </w:tcBorders>
            <w:shd w:val="clear" w:color="auto" w:fill="auto"/>
            <w:tcMar>
              <w:top w:w="110" w:type="dxa"/>
            </w:tcMar>
          </w:tcPr>
          <w:p w:rsidR="0095318C" w:rsidRPr="00447371" w:rsidRDefault="0095318C" w:rsidP="00DC1333">
            <w:pPr>
              <w:keepNext/>
              <w:keepLines/>
              <w:jc w:val="center"/>
              <w:rPr>
                <w:b/>
                <w:bCs/>
                <w:color w:val="00B050"/>
                <w:sz w:val="16"/>
                <w:szCs w:val="16"/>
              </w:rPr>
            </w:pPr>
            <w:r w:rsidRPr="00447371">
              <w:rPr>
                <w:b/>
                <w:bCs/>
                <w:color w:val="A6A6A6" w:themeColor="background1" w:themeShade="A6"/>
                <w:sz w:val="16"/>
                <w:szCs w:val="16"/>
              </w:rPr>
              <w:t>No mensurable</w:t>
            </w:r>
          </w:p>
        </w:tc>
      </w:tr>
      <w:tr w:rsidR="0095318C" w:rsidRPr="00267E8F" w:rsidTr="00DC1333">
        <w:trPr>
          <w:cantSplit/>
          <w:trHeight w:val="502"/>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824A11" w:rsidRDefault="0095318C" w:rsidP="00DC1333">
            <w:pPr>
              <w:keepNext/>
              <w:keepLines/>
              <w:ind w:left="1985" w:hanging="1985"/>
              <w:rPr>
                <w:b/>
                <w:bCs/>
                <w:sz w:val="16"/>
                <w:szCs w:val="16"/>
              </w:rPr>
            </w:pPr>
            <w:r w:rsidRPr="00824A11">
              <w:lastRenderedPageBreak/>
              <w:br w:type="page"/>
            </w:r>
            <w:r w:rsidRPr="00824A11">
              <w:rPr>
                <w:b/>
                <w:bCs/>
                <w:sz w:val="16"/>
                <w:szCs w:val="16"/>
              </w:rPr>
              <w:t>Resultado previsto:</w:t>
            </w:r>
            <w:r w:rsidRPr="00824A11">
              <w:rPr>
                <w:b/>
                <w:bCs/>
                <w:sz w:val="16"/>
                <w:szCs w:val="16"/>
              </w:rPr>
              <w:tab/>
            </w:r>
            <w:r w:rsidRPr="00824A11">
              <w:rPr>
                <w:sz w:val="16"/>
                <w:szCs w:val="16"/>
                <w:lang w:bidi="th-TH"/>
              </w:rPr>
              <w:t xml:space="preserve">IV.2 </w:t>
            </w:r>
            <w:r w:rsidRPr="00824A11">
              <w:rPr>
                <w:sz w:val="16"/>
                <w:szCs w:val="16"/>
              </w:rPr>
              <w:t>Mejora del acceso y uso de información de P.I. por parte de instituciones de P.I. y el público para fomentar la innovación y la creatividad</w:t>
            </w:r>
          </w:p>
        </w:tc>
      </w:tr>
      <w:tr w:rsidR="0095318C" w:rsidRPr="001656CD" w:rsidTr="00DC1333">
        <w:trPr>
          <w:cantSplit/>
          <w:trHeight w:val="319"/>
        </w:trPr>
        <w:tc>
          <w:tcPr>
            <w:tcW w:w="2137" w:type="dxa"/>
            <w:tcBorders>
              <w:top w:val="single" w:sz="4" w:space="0" w:color="auto"/>
              <w:left w:val="single" w:sz="4" w:space="0" w:color="auto"/>
              <w:bottom w:val="nil"/>
              <w:right w:val="nil"/>
            </w:tcBorders>
            <w:shd w:val="clear" w:color="auto" w:fill="auto"/>
            <w:vAlign w:val="center"/>
          </w:tcPr>
          <w:p w:rsidR="0095318C" w:rsidRPr="00BC6547" w:rsidRDefault="0095318C" w:rsidP="00DC1333">
            <w:pPr>
              <w:keepNext/>
              <w:keepLines/>
              <w:rPr>
                <w:sz w:val="16"/>
                <w:szCs w:val="16"/>
              </w:rPr>
            </w:pPr>
            <w:r>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bCs/>
                <w:sz w:val="16"/>
                <w:szCs w:val="16"/>
              </w:rPr>
            </w:pPr>
            <w:r>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b/>
                <w:sz w:val="16"/>
                <w:szCs w:val="16"/>
              </w:rPr>
            </w:pPr>
            <w:r>
              <w:rPr>
                <w:b/>
                <w:sz w:val="16"/>
                <w:szCs w:val="16"/>
              </w:rPr>
              <w:t>Objetivos</w:t>
            </w:r>
          </w:p>
        </w:tc>
        <w:tc>
          <w:tcPr>
            <w:tcW w:w="2411" w:type="dxa"/>
            <w:tcBorders>
              <w:top w:val="single" w:sz="4" w:space="0" w:color="auto"/>
              <w:left w:val="nil"/>
              <w:bottom w:val="nil"/>
              <w:right w:val="nil"/>
            </w:tcBorders>
            <w:shd w:val="clear" w:color="auto" w:fill="auto"/>
            <w:vAlign w:val="center"/>
          </w:tcPr>
          <w:p w:rsidR="0095318C" w:rsidRPr="00BC6547" w:rsidRDefault="0095318C" w:rsidP="00DC1333">
            <w:pPr>
              <w:keepNext/>
              <w:keepLines/>
              <w:rPr>
                <w:sz w:val="16"/>
                <w:szCs w:val="16"/>
              </w:rPr>
            </w:pPr>
            <w:r w:rsidRPr="001656CD">
              <w:rPr>
                <w:b/>
                <w:bCs/>
                <w:sz w:val="16"/>
                <w:szCs w:val="16"/>
              </w:rPr>
              <w:t>Datos sobre el rendimiento</w:t>
            </w:r>
          </w:p>
        </w:tc>
        <w:tc>
          <w:tcPr>
            <w:tcW w:w="1209" w:type="dxa"/>
            <w:gridSpan w:val="2"/>
            <w:tcBorders>
              <w:top w:val="single" w:sz="4" w:space="0" w:color="auto"/>
              <w:left w:val="nil"/>
              <w:bottom w:val="nil"/>
              <w:right w:val="single" w:sz="4" w:space="0" w:color="auto"/>
            </w:tcBorders>
            <w:shd w:val="clear" w:color="auto" w:fill="auto"/>
            <w:vAlign w:val="center"/>
          </w:tcPr>
          <w:p w:rsidR="0095318C" w:rsidRPr="00CD26D6" w:rsidRDefault="00447371" w:rsidP="00447371">
            <w:pPr>
              <w:keepNext/>
              <w:keepLines/>
              <w:spacing w:before="120"/>
              <w:jc w:val="center"/>
              <w:rPr>
                <w:b/>
                <w:bCs/>
                <w:sz w:val="16"/>
                <w:szCs w:val="16"/>
              </w:rPr>
            </w:pPr>
            <w:r>
              <w:rPr>
                <w:b/>
                <w:bCs/>
                <w:sz w:val="16"/>
                <w:szCs w:val="16"/>
              </w:rPr>
              <w:t>C</w:t>
            </w:r>
            <w:r w:rsidR="0095318C" w:rsidRPr="001656CD">
              <w:rPr>
                <w:b/>
                <w:bCs/>
                <w:sz w:val="16"/>
                <w:szCs w:val="16"/>
              </w:rPr>
              <w:t>lave de los colores</w:t>
            </w:r>
          </w:p>
        </w:tc>
      </w:tr>
      <w:tr w:rsidR="0095318C" w:rsidRPr="001656CD" w:rsidTr="00DC1333">
        <w:trPr>
          <w:cantSplit/>
        </w:trPr>
        <w:tc>
          <w:tcPr>
            <w:tcW w:w="2137" w:type="dxa"/>
            <w:tcBorders>
              <w:top w:val="nil"/>
              <w:left w:val="single" w:sz="4" w:space="0" w:color="auto"/>
              <w:bottom w:val="nil"/>
              <w:right w:val="nil"/>
            </w:tcBorders>
            <w:shd w:val="clear" w:color="auto" w:fill="auto"/>
          </w:tcPr>
          <w:p w:rsidR="0095318C" w:rsidRPr="00026237" w:rsidRDefault="0095318C" w:rsidP="00DC1333">
            <w:pPr>
              <w:tabs>
                <w:tab w:val="left" w:pos="347"/>
              </w:tabs>
              <w:rPr>
                <w:sz w:val="16"/>
                <w:szCs w:val="16"/>
                <w:lang w:bidi="th-TH"/>
              </w:rPr>
            </w:pPr>
            <w:r w:rsidRPr="00026237">
              <w:rPr>
                <w:sz w:val="16"/>
                <w:szCs w:val="16"/>
              </w:rPr>
              <w:t>Número de OTT o de centros de información establecidos</w:t>
            </w:r>
            <w:r>
              <w:rPr>
                <w:sz w:val="16"/>
                <w:szCs w:val="16"/>
              </w:rPr>
              <w:t>.</w:t>
            </w:r>
          </w:p>
        </w:tc>
        <w:tc>
          <w:tcPr>
            <w:tcW w:w="2420" w:type="dxa"/>
            <w:tcBorders>
              <w:top w:val="nil"/>
              <w:left w:val="nil"/>
              <w:bottom w:val="nil"/>
              <w:right w:val="nil"/>
            </w:tcBorders>
            <w:shd w:val="clear" w:color="auto" w:fill="auto"/>
          </w:tcPr>
          <w:p w:rsidR="0095318C" w:rsidRPr="00026237" w:rsidRDefault="0095318C" w:rsidP="00DC1333">
            <w:pPr>
              <w:rPr>
                <w:color w:val="002060"/>
                <w:sz w:val="16"/>
                <w:szCs w:val="16"/>
                <w:lang w:bidi="th-TH"/>
              </w:rPr>
            </w:pPr>
            <w:r w:rsidRPr="00026237">
              <w:rPr>
                <w:i/>
                <w:color w:val="002060"/>
                <w:sz w:val="16"/>
                <w:szCs w:val="16"/>
              </w:rPr>
              <w:t xml:space="preserve">Referencia actualizada a fines de 2013: </w:t>
            </w:r>
            <w:r w:rsidRPr="00026237">
              <w:rPr>
                <w:color w:val="002060"/>
                <w:sz w:val="16"/>
                <w:szCs w:val="16"/>
              </w:rPr>
              <w:t>Dos universidades/instituciones de Georgia recibieron asistencia directa en el desarrollo de su ecosistema de transferencia de conocimientos, política e infraestructura en determinados países de Europa y Asia: Universidad Estatal Ivane Javakhishvili de Tbilisi y Centro de Transferencia de Tecnología de Georgia, con la posterior elaboración de un plan de acción.</w:t>
            </w:r>
          </w:p>
          <w:p w:rsidR="0095318C" w:rsidRPr="00026237" w:rsidRDefault="0095318C" w:rsidP="00DC1333">
            <w:pPr>
              <w:rPr>
                <w:i/>
                <w:color w:val="002060"/>
                <w:sz w:val="8"/>
                <w:szCs w:val="8"/>
              </w:rPr>
            </w:pPr>
          </w:p>
          <w:p w:rsidR="0095318C" w:rsidRPr="00026237" w:rsidRDefault="0095318C" w:rsidP="00DC1333">
            <w:pPr>
              <w:rPr>
                <w:i/>
                <w:color w:val="002060"/>
                <w:sz w:val="16"/>
                <w:szCs w:val="16"/>
              </w:rPr>
            </w:pPr>
            <w:r w:rsidRPr="00026237">
              <w:rPr>
                <w:i/>
                <w:sz w:val="16"/>
                <w:szCs w:val="16"/>
              </w:rPr>
              <w:t>Referencia original en el presupuesto de 2014/15:</w:t>
            </w:r>
            <w:r w:rsidRPr="00026237">
              <w:rPr>
                <w:sz w:val="16"/>
                <w:szCs w:val="16"/>
              </w:rPr>
              <w:t xml:space="preserve"> por determinar.</w:t>
            </w:r>
          </w:p>
        </w:tc>
        <w:tc>
          <w:tcPr>
            <w:tcW w:w="1570" w:type="dxa"/>
            <w:tcBorders>
              <w:top w:val="nil"/>
              <w:left w:val="nil"/>
              <w:bottom w:val="nil"/>
              <w:right w:val="nil"/>
            </w:tcBorders>
            <w:shd w:val="clear" w:color="auto" w:fill="auto"/>
            <w:tcMar>
              <w:top w:w="110" w:type="dxa"/>
            </w:tcMar>
          </w:tcPr>
          <w:p w:rsidR="0095318C" w:rsidRPr="00026237" w:rsidRDefault="0095318C" w:rsidP="00DC1333">
            <w:pPr>
              <w:rPr>
                <w:sz w:val="16"/>
                <w:szCs w:val="16"/>
                <w:lang w:bidi="th-TH"/>
              </w:rPr>
            </w:pPr>
            <w:r w:rsidRPr="00026237">
              <w:rPr>
                <w:sz w:val="16"/>
                <w:szCs w:val="16"/>
              </w:rPr>
              <w:t>6 OTT adicionales/cen-tros de información en materia de P.I.</w:t>
            </w:r>
          </w:p>
        </w:tc>
        <w:tc>
          <w:tcPr>
            <w:tcW w:w="2411" w:type="dxa"/>
            <w:tcBorders>
              <w:top w:val="nil"/>
              <w:left w:val="nil"/>
              <w:bottom w:val="nil"/>
              <w:right w:val="nil"/>
            </w:tcBorders>
            <w:shd w:val="clear" w:color="auto" w:fill="FFFFFF"/>
            <w:tcMar>
              <w:top w:w="110" w:type="dxa"/>
            </w:tcMar>
          </w:tcPr>
          <w:p w:rsidR="0095318C" w:rsidRPr="00026237" w:rsidRDefault="0095318C" w:rsidP="00DC1333">
            <w:pPr>
              <w:rPr>
                <w:sz w:val="16"/>
                <w:szCs w:val="16"/>
                <w:lang w:bidi="th-TH"/>
              </w:rPr>
            </w:pPr>
            <w:r w:rsidRPr="002F5D2F">
              <w:rPr>
                <w:sz w:val="16"/>
                <w:szCs w:val="16"/>
              </w:rPr>
              <w:t>51 nuevos CATI creados en la Federación de Rusia.</w:t>
            </w:r>
          </w:p>
        </w:tc>
        <w:tc>
          <w:tcPr>
            <w:tcW w:w="1209" w:type="dxa"/>
            <w:gridSpan w:val="2"/>
            <w:tcBorders>
              <w:top w:val="nil"/>
              <w:left w:val="nil"/>
              <w:bottom w:val="nil"/>
              <w:right w:val="single" w:sz="4" w:space="0" w:color="auto"/>
            </w:tcBorders>
            <w:shd w:val="clear" w:color="auto" w:fill="auto"/>
            <w:tcMar>
              <w:top w:w="110" w:type="dxa"/>
            </w:tcMar>
          </w:tcPr>
          <w:p w:rsidR="0095318C" w:rsidRPr="00C5428C" w:rsidRDefault="0095318C" w:rsidP="00DC1333">
            <w:pPr>
              <w:keepNext/>
              <w:keepLines/>
              <w:jc w:val="center"/>
              <w:rPr>
                <w:b/>
                <w:bCs/>
                <w:color w:val="00B050"/>
                <w:sz w:val="16"/>
                <w:szCs w:val="16"/>
              </w:rPr>
            </w:pPr>
            <w:r>
              <w:rPr>
                <w:b/>
                <w:bCs/>
                <w:color w:val="00B050"/>
                <w:sz w:val="16"/>
                <w:szCs w:val="16"/>
              </w:rPr>
              <w:t>Plenamente logrado</w:t>
            </w:r>
          </w:p>
        </w:tc>
      </w:tr>
      <w:tr w:rsidR="0095318C" w:rsidRPr="001656CD" w:rsidTr="00DC1333">
        <w:trPr>
          <w:cantSplit/>
        </w:trPr>
        <w:tc>
          <w:tcPr>
            <w:tcW w:w="2137" w:type="dxa"/>
            <w:tcBorders>
              <w:top w:val="nil"/>
              <w:left w:val="single" w:sz="4" w:space="0" w:color="auto"/>
              <w:bottom w:val="nil"/>
            </w:tcBorders>
            <w:shd w:val="clear" w:color="auto" w:fill="auto"/>
          </w:tcPr>
          <w:p w:rsidR="0095318C" w:rsidRPr="00843BC7" w:rsidRDefault="0095318C" w:rsidP="00DC1333">
            <w:pPr>
              <w:tabs>
                <w:tab w:val="left" w:pos="347"/>
              </w:tabs>
              <w:rPr>
                <w:sz w:val="16"/>
                <w:szCs w:val="16"/>
                <w:lang w:bidi="th-TH"/>
              </w:rPr>
            </w:pPr>
            <w:r w:rsidRPr="00843BC7">
              <w:rPr>
                <w:sz w:val="16"/>
                <w:szCs w:val="16"/>
              </w:rPr>
              <w:t>Número de redes nacionales sostenibles de CATI.</w:t>
            </w:r>
          </w:p>
        </w:tc>
        <w:tc>
          <w:tcPr>
            <w:tcW w:w="2420" w:type="dxa"/>
            <w:tcBorders>
              <w:top w:val="nil"/>
              <w:bottom w:val="nil"/>
            </w:tcBorders>
            <w:shd w:val="clear" w:color="auto" w:fill="auto"/>
          </w:tcPr>
          <w:p w:rsidR="0095318C" w:rsidRPr="00843BC7" w:rsidRDefault="0095318C" w:rsidP="00DC1333">
            <w:pPr>
              <w:rPr>
                <w:color w:val="002060"/>
                <w:sz w:val="16"/>
                <w:szCs w:val="16"/>
                <w:lang w:bidi="th-TH"/>
              </w:rPr>
            </w:pPr>
            <w:r w:rsidRPr="00843BC7">
              <w:rPr>
                <w:i/>
                <w:color w:val="002060"/>
                <w:sz w:val="16"/>
                <w:szCs w:val="16"/>
              </w:rPr>
              <w:t>Referencia actualizada a fines de 2013</w:t>
            </w:r>
            <w:proofErr w:type="gramStart"/>
            <w:r w:rsidRPr="00843BC7">
              <w:rPr>
                <w:i/>
                <w:color w:val="002060"/>
                <w:sz w:val="16"/>
                <w:szCs w:val="16"/>
              </w:rPr>
              <w:t xml:space="preserve">: </w:t>
            </w:r>
            <w:r>
              <w:rPr>
                <w:i/>
                <w:color w:val="002060"/>
                <w:sz w:val="16"/>
                <w:szCs w:val="16"/>
              </w:rPr>
              <w:t xml:space="preserve"> </w:t>
            </w:r>
            <w:r w:rsidRPr="00843BC7">
              <w:rPr>
                <w:color w:val="002060"/>
                <w:sz w:val="16"/>
                <w:szCs w:val="16"/>
              </w:rPr>
              <w:t>1</w:t>
            </w:r>
            <w:proofErr w:type="gramEnd"/>
            <w:r w:rsidRPr="00843BC7">
              <w:rPr>
                <w:color w:val="002060"/>
                <w:sz w:val="16"/>
                <w:szCs w:val="16"/>
              </w:rPr>
              <w:t xml:space="preserve"> red de CATI sostenible (de 3 creadas)</w:t>
            </w:r>
            <w:r>
              <w:rPr>
                <w:color w:val="002060"/>
                <w:sz w:val="16"/>
                <w:szCs w:val="16"/>
              </w:rPr>
              <w:t>.</w:t>
            </w:r>
          </w:p>
          <w:p w:rsidR="0095318C" w:rsidRPr="00843BC7" w:rsidRDefault="0095318C" w:rsidP="00DC1333">
            <w:pPr>
              <w:rPr>
                <w:i/>
                <w:color w:val="002060"/>
                <w:sz w:val="8"/>
                <w:szCs w:val="8"/>
              </w:rPr>
            </w:pPr>
          </w:p>
          <w:p w:rsidR="0095318C" w:rsidRPr="00843BC7" w:rsidRDefault="0095318C" w:rsidP="00DC1333">
            <w:pPr>
              <w:rPr>
                <w:sz w:val="16"/>
                <w:szCs w:val="16"/>
              </w:rPr>
            </w:pPr>
            <w:r w:rsidRPr="00843BC7">
              <w:rPr>
                <w:i/>
                <w:sz w:val="16"/>
                <w:szCs w:val="16"/>
              </w:rPr>
              <w:t>Referencia original en el presupuesto de 2014/15:</w:t>
            </w:r>
            <w:r w:rsidRPr="00843BC7">
              <w:rPr>
                <w:sz w:val="16"/>
                <w:szCs w:val="16"/>
              </w:rPr>
              <w:t xml:space="preserve"> 1 red nacional de CATI: (en total al final del primer trimestre de 2013:</w:t>
            </w:r>
          </w:p>
          <w:p w:rsidR="0095318C" w:rsidRPr="00843BC7" w:rsidRDefault="0095318C" w:rsidP="00DC1333">
            <w:pPr>
              <w:rPr>
                <w:i/>
                <w:color w:val="002060"/>
                <w:sz w:val="16"/>
                <w:szCs w:val="16"/>
              </w:rPr>
            </w:pPr>
            <w:r w:rsidRPr="00843BC7">
              <w:rPr>
                <w:sz w:val="16"/>
                <w:szCs w:val="16"/>
              </w:rPr>
              <w:t>Determinados países de Europa y Asia: 1</w:t>
            </w:r>
            <w:r>
              <w:rPr>
                <w:sz w:val="16"/>
                <w:szCs w:val="16"/>
              </w:rPr>
              <w:t>.</w:t>
            </w:r>
          </w:p>
        </w:tc>
        <w:tc>
          <w:tcPr>
            <w:tcW w:w="1570" w:type="dxa"/>
            <w:tcBorders>
              <w:top w:val="nil"/>
              <w:bottom w:val="nil"/>
            </w:tcBorders>
            <w:shd w:val="clear" w:color="auto" w:fill="auto"/>
            <w:tcMar>
              <w:top w:w="110" w:type="dxa"/>
            </w:tcMar>
          </w:tcPr>
          <w:p w:rsidR="0095318C" w:rsidRPr="0001287F" w:rsidRDefault="0095318C" w:rsidP="00DC1333">
            <w:pPr>
              <w:rPr>
                <w:sz w:val="16"/>
                <w:szCs w:val="16"/>
                <w:lang w:bidi="th-TH"/>
              </w:rPr>
            </w:pPr>
            <w:r w:rsidRPr="0001287F">
              <w:rPr>
                <w:sz w:val="16"/>
                <w:szCs w:val="16"/>
              </w:rPr>
              <w:t>2 redes nacionales de CATI (en total):</w:t>
            </w:r>
          </w:p>
          <w:p w:rsidR="0095318C" w:rsidRPr="0001287F" w:rsidRDefault="0095318C" w:rsidP="00DC1333">
            <w:pPr>
              <w:rPr>
                <w:sz w:val="16"/>
                <w:szCs w:val="16"/>
                <w:lang w:bidi="th-TH"/>
              </w:rPr>
            </w:pPr>
            <w:proofErr w:type="gramStart"/>
            <w:r>
              <w:rPr>
                <w:sz w:val="16"/>
                <w:szCs w:val="16"/>
              </w:rPr>
              <w:t>d</w:t>
            </w:r>
            <w:r w:rsidRPr="0001287F">
              <w:rPr>
                <w:sz w:val="16"/>
                <w:szCs w:val="16"/>
              </w:rPr>
              <w:t>eterm</w:t>
            </w:r>
            <w:r>
              <w:rPr>
                <w:sz w:val="16"/>
                <w:szCs w:val="16"/>
              </w:rPr>
              <w:t>inados</w:t>
            </w:r>
            <w:proofErr w:type="gramEnd"/>
            <w:r>
              <w:rPr>
                <w:sz w:val="16"/>
                <w:szCs w:val="16"/>
              </w:rPr>
              <w:t xml:space="preserve"> países de Europa y Asia (</w:t>
            </w:r>
            <w:r w:rsidRPr="0001287F">
              <w:rPr>
                <w:sz w:val="16"/>
                <w:szCs w:val="16"/>
              </w:rPr>
              <w:t>2</w:t>
            </w:r>
            <w:r>
              <w:rPr>
                <w:sz w:val="16"/>
                <w:szCs w:val="16"/>
              </w:rPr>
              <w:t>).</w:t>
            </w:r>
          </w:p>
        </w:tc>
        <w:tc>
          <w:tcPr>
            <w:tcW w:w="2411" w:type="dxa"/>
            <w:tcBorders>
              <w:top w:val="nil"/>
              <w:bottom w:val="nil"/>
            </w:tcBorders>
            <w:shd w:val="clear" w:color="auto" w:fill="FFFFFF"/>
            <w:tcMar>
              <w:top w:w="110" w:type="dxa"/>
            </w:tcMar>
          </w:tcPr>
          <w:p w:rsidR="0095318C" w:rsidRPr="0001287F" w:rsidRDefault="0095318C" w:rsidP="00DC1333">
            <w:pPr>
              <w:rPr>
                <w:b/>
                <w:color w:val="00B050"/>
                <w:sz w:val="16"/>
                <w:szCs w:val="16"/>
                <w:lang w:bidi="th-TH"/>
              </w:rPr>
            </w:pPr>
            <w:r w:rsidRPr="0001287F">
              <w:rPr>
                <w:sz w:val="16"/>
                <w:szCs w:val="16"/>
              </w:rPr>
              <w:t xml:space="preserve">Determinados países de Europa y Asia: </w:t>
            </w:r>
            <w:r>
              <w:rPr>
                <w:sz w:val="16"/>
                <w:szCs w:val="16"/>
              </w:rPr>
              <w:t xml:space="preserve"> </w:t>
            </w:r>
            <w:r w:rsidRPr="0001287F">
              <w:rPr>
                <w:sz w:val="16"/>
                <w:szCs w:val="16"/>
              </w:rPr>
              <w:t>1</w:t>
            </w:r>
            <w:r>
              <w:rPr>
                <w:sz w:val="16"/>
                <w:szCs w:val="16"/>
              </w:rPr>
              <w:t>.</w:t>
            </w:r>
          </w:p>
        </w:tc>
        <w:tc>
          <w:tcPr>
            <w:tcW w:w="1209" w:type="dxa"/>
            <w:gridSpan w:val="2"/>
            <w:tcBorders>
              <w:top w:val="nil"/>
              <w:bottom w:val="nil"/>
              <w:right w:val="single" w:sz="4" w:space="0" w:color="auto"/>
            </w:tcBorders>
            <w:shd w:val="clear" w:color="auto" w:fill="auto"/>
            <w:tcMar>
              <w:top w:w="110" w:type="dxa"/>
            </w:tcMar>
          </w:tcPr>
          <w:p w:rsidR="0095318C" w:rsidRPr="0023121A" w:rsidRDefault="0095318C" w:rsidP="00DC1333">
            <w:pPr>
              <w:keepNext/>
              <w:keepLines/>
              <w:jc w:val="center"/>
              <w:outlineLvl w:val="7"/>
              <w:rPr>
                <w:b/>
                <w:bCs/>
                <w:color w:val="E36C0A" w:themeColor="accent6" w:themeShade="BF"/>
                <w:sz w:val="16"/>
                <w:szCs w:val="16"/>
              </w:rPr>
            </w:pPr>
            <w:r>
              <w:rPr>
                <w:b/>
                <w:bCs/>
                <w:color w:val="E36C0A" w:themeColor="accent6" w:themeShade="BF"/>
                <w:sz w:val="16"/>
                <w:szCs w:val="16"/>
              </w:rPr>
              <w:t>Parcialmen-te logrado</w:t>
            </w:r>
          </w:p>
        </w:tc>
      </w:tr>
      <w:tr w:rsidR="0095318C" w:rsidRPr="001656CD" w:rsidTr="00DC1333">
        <w:trPr>
          <w:cantSplit/>
        </w:trPr>
        <w:tc>
          <w:tcPr>
            <w:tcW w:w="2137" w:type="dxa"/>
            <w:tcBorders>
              <w:top w:val="nil"/>
              <w:left w:val="single" w:sz="4" w:space="0" w:color="auto"/>
              <w:bottom w:val="single" w:sz="4" w:space="0" w:color="auto"/>
            </w:tcBorders>
            <w:shd w:val="clear" w:color="auto" w:fill="auto"/>
          </w:tcPr>
          <w:p w:rsidR="0095318C" w:rsidRPr="0001287F" w:rsidRDefault="0095318C" w:rsidP="00DC1333">
            <w:pPr>
              <w:tabs>
                <w:tab w:val="left" w:pos="347"/>
              </w:tabs>
              <w:rPr>
                <w:sz w:val="16"/>
                <w:szCs w:val="16"/>
                <w:lang w:bidi="th-TH"/>
              </w:rPr>
            </w:pPr>
            <w:r w:rsidRPr="0001287F">
              <w:rPr>
                <w:sz w:val="16"/>
                <w:szCs w:val="16"/>
              </w:rPr>
              <w:t>Promedio de usuarios que utilizan los servicios de los CATI por trimestre y por país</w:t>
            </w:r>
            <w:r>
              <w:rPr>
                <w:sz w:val="16"/>
                <w:szCs w:val="16"/>
              </w:rPr>
              <w:t>.</w:t>
            </w:r>
          </w:p>
        </w:tc>
        <w:tc>
          <w:tcPr>
            <w:tcW w:w="2420" w:type="dxa"/>
            <w:tcBorders>
              <w:top w:val="nil"/>
              <w:bottom w:val="single" w:sz="4" w:space="0" w:color="auto"/>
            </w:tcBorders>
            <w:shd w:val="clear" w:color="auto" w:fill="auto"/>
          </w:tcPr>
          <w:p w:rsidR="0095318C" w:rsidRPr="0001287F" w:rsidRDefault="0095318C" w:rsidP="00DC1333">
            <w:pPr>
              <w:rPr>
                <w:color w:val="002060"/>
                <w:sz w:val="16"/>
                <w:szCs w:val="16"/>
                <w:lang w:bidi="th-TH"/>
              </w:rPr>
            </w:pPr>
            <w:r w:rsidRPr="0001287F">
              <w:rPr>
                <w:i/>
                <w:color w:val="002060"/>
                <w:sz w:val="16"/>
                <w:szCs w:val="16"/>
              </w:rPr>
              <w:t>Referencia actualizada a fines de 2013</w:t>
            </w:r>
            <w:proofErr w:type="gramStart"/>
            <w:r w:rsidRPr="0001287F">
              <w:rPr>
                <w:i/>
                <w:color w:val="002060"/>
                <w:sz w:val="16"/>
                <w:szCs w:val="16"/>
              </w:rPr>
              <w:t xml:space="preserve">: </w:t>
            </w:r>
            <w:r>
              <w:rPr>
                <w:i/>
                <w:color w:val="002060"/>
                <w:sz w:val="16"/>
                <w:szCs w:val="16"/>
              </w:rPr>
              <w:t xml:space="preserve"> </w:t>
            </w:r>
            <w:r w:rsidRPr="0001287F">
              <w:rPr>
                <w:color w:val="002060"/>
                <w:sz w:val="16"/>
                <w:szCs w:val="16"/>
              </w:rPr>
              <w:t>532</w:t>
            </w:r>
            <w:proofErr w:type="gramEnd"/>
            <w:r w:rsidRPr="0001287F">
              <w:rPr>
                <w:color w:val="002060"/>
                <w:sz w:val="16"/>
                <w:szCs w:val="16"/>
              </w:rPr>
              <w:t xml:space="preserve"> (min.) a 1</w:t>
            </w:r>
            <w:r>
              <w:rPr>
                <w:color w:val="002060"/>
                <w:sz w:val="16"/>
                <w:szCs w:val="16"/>
              </w:rPr>
              <w:t>.</w:t>
            </w:r>
            <w:r w:rsidRPr="0001287F">
              <w:rPr>
                <w:color w:val="002060"/>
                <w:sz w:val="16"/>
                <w:szCs w:val="16"/>
              </w:rPr>
              <w:t>370 (máx.) promedio del número de usuarios atendidos por los CATI al día en 2013.</w:t>
            </w:r>
          </w:p>
          <w:p w:rsidR="0095318C" w:rsidRPr="0001287F" w:rsidRDefault="0095318C" w:rsidP="00DC1333">
            <w:pPr>
              <w:rPr>
                <w:i/>
                <w:color w:val="002060"/>
                <w:sz w:val="8"/>
                <w:szCs w:val="8"/>
              </w:rPr>
            </w:pPr>
          </w:p>
          <w:p w:rsidR="0095318C" w:rsidRPr="0001287F" w:rsidRDefault="0095318C" w:rsidP="00DC1333">
            <w:pPr>
              <w:rPr>
                <w:sz w:val="16"/>
                <w:szCs w:val="16"/>
              </w:rPr>
            </w:pPr>
            <w:r w:rsidRPr="0001287F">
              <w:rPr>
                <w:i/>
                <w:sz w:val="16"/>
                <w:szCs w:val="16"/>
              </w:rPr>
              <w:t>Referencia original en el presupuesto de 2014/15</w:t>
            </w:r>
            <w:proofErr w:type="gramStart"/>
            <w:r w:rsidRPr="0001287F">
              <w:rPr>
                <w:i/>
                <w:sz w:val="16"/>
                <w:szCs w:val="16"/>
              </w:rPr>
              <w:t>:</w:t>
            </w:r>
            <w:r w:rsidRPr="0001287F">
              <w:rPr>
                <w:sz w:val="16"/>
                <w:szCs w:val="16"/>
              </w:rPr>
              <w:t xml:space="preserve"> </w:t>
            </w:r>
            <w:r>
              <w:rPr>
                <w:sz w:val="16"/>
                <w:szCs w:val="16"/>
              </w:rPr>
              <w:t xml:space="preserve"> </w:t>
            </w:r>
            <w:r w:rsidRPr="0001287F">
              <w:rPr>
                <w:sz w:val="16"/>
                <w:szCs w:val="16"/>
              </w:rPr>
              <w:t>200</w:t>
            </w:r>
            <w:proofErr w:type="gramEnd"/>
            <w:r w:rsidRPr="0001287F">
              <w:rPr>
                <w:sz w:val="16"/>
                <w:szCs w:val="16"/>
              </w:rPr>
              <w:t xml:space="preserve"> (min.) – 630 (máx.)</w:t>
            </w:r>
            <w:r>
              <w:rPr>
                <w:sz w:val="16"/>
                <w:szCs w:val="16"/>
              </w:rPr>
              <w:t>.</w:t>
            </w:r>
          </w:p>
          <w:p w:rsidR="0095318C" w:rsidRPr="0001287F" w:rsidRDefault="0095318C" w:rsidP="00DC1333">
            <w:pPr>
              <w:rPr>
                <w:i/>
                <w:color w:val="002060"/>
                <w:sz w:val="16"/>
                <w:szCs w:val="16"/>
              </w:rPr>
            </w:pPr>
          </w:p>
        </w:tc>
        <w:tc>
          <w:tcPr>
            <w:tcW w:w="1570" w:type="dxa"/>
            <w:tcBorders>
              <w:top w:val="nil"/>
              <w:bottom w:val="single" w:sz="4" w:space="0" w:color="auto"/>
            </w:tcBorders>
            <w:shd w:val="clear" w:color="auto" w:fill="auto"/>
            <w:tcMar>
              <w:top w:w="110" w:type="dxa"/>
            </w:tcMar>
          </w:tcPr>
          <w:p w:rsidR="0095318C" w:rsidRPr="00F14ABB" w:rsidRDefault="0095318C" w:rsidP="00DC1333">
            <w:pPr>
              <w:rPr>
                <w:sz w:val="16"/>
                <w:szCs w:val="16"/>
                <w:lang w:bidi="th-TH"/>
              </w:rPr>
            </w:pPr>
            <w:r w:rsidRPr="0099235C">
              <w:rPr>
                <w:sz w:val="16"/>
                <w:szCs w:val="16"/>
              </w:rPr>
              <w:t>Entre 300 (min.) y 750 (máx.).</w:t>
            </w:r>
          </w:p>
        </w:tc>
        <w:tc>
          <w:tcPr>
            <w:tcW w:w="2411" w:type="dxa"/>
            <w:tcBorders>
              <w:top w:val="nil"/>
              <w:bottom w:val="single" w:sz="4" w:space="0" w:color="auto"/>
            </w:tcBorders>
            <w:shd w:val="clear" w:color="auto" w:fill="FFFFFF"/>
            <w:tcMar>
              <w:top w:w="110" w:type="dxa"/>
            </w:tcMar>
          </w:tcPr>
          <w:p w:rsidR="0095318C" w:rsidRPr="00303855" w:rsidRDefault="0095318C" w:rsidP="00DC1333">
            <w:pPr>
              <w:rPr>
                <w:b/>
                <w:color w:val="00B050"/>
                <w:sz w:val="16"/>
                <w:szCs w:val="16"/>
                <w:lang w:bidi="th-TH"/>
              </w:rPr>
            </w:pPr>
            <w:r>
              <w:rPr>
                <w:sz w:val="16"/>
                <w:szCs w:val="16"/>
              </w:rPr>
              <w:t>874 (mín.) –2.631 (máx.).</w:t>
            </w:r>
          </w:p>
        </w:tc>
        <w:tc>
          <w:tcPr>
            <w:tcW w:w="1209" w:type="dxa"/>
            <w:gridSpan w:val="2"/>
            <w:tcBorders>
              <w:top w:val="nil"/>
              <w:bottom w:val="single" w:sz="4" w:space="0" w:color="auto"/>
              <w:right w:val="single" w:sz="4" w:space="0" w:color="auto"/>
            </w:tcBorders>
            <w:shd w:val="clear" w:color="auto" w:fill="auto"/>
            <w:tcMar>
              <w:top w:w="110" w:type="dxa"/>
            </w:tcMar>
          </w:tcPr>
          <w:p w:rsidR="0095318C" w:rsidRPr="002A4544" w:rsidRDefault="0095318C" w:rsidP="00DC1333">
            <w:pPr>
              <w:keepNext/>
              <w:keepLines/>
              <w:jc w:val="center"/>
              <w:rPr>
                <w:b/>
                <w:bCs/>
                <w:color w:val="00B050"/>
                <w:sz w:val="16"/>
                <w:szCs w:val="16"/>
              </w:rPr>
            </w:pPr>
            <w:r>
              <w:rPr>
                <w:b/>
                <w:bCs/>
                <w:color w:val="00B050"/>
                <w:sz w:val="16"/>
                <w:szCs w:val="16"/>
              </w:rPr>
              <w:t>Plenamente logrado</w:t>
            </w:r>
          </w:p>
        </w:tc>
      </w:tr>
      <w:tr w:rsidR="0095318C" w:rsidRPr="00267E8F" w:rsidTr="00DC1333">
        <w:trPr>
          <w:cantSplit/>
          <w:trHeight w:val="667"/>
        </w:trPr>
        <w:tc>
          <w:tcPr>
            <w:tcW w:w="9747" w:type="dxa"/>
            <w:gridSpan w:val="6"/>
            <w:tcBorders>
              <w:top w:val="single" w:sz="4" w:space="0" w:color="auto"/>
              <w:bottom w:val="single" w:sz="4" w:space="0" w:color="auto"/>
            </w:tcBorders>
            <w:shd w:val="clear" w:color="auto" w:fill="C6D9F1" w:themeFill="text2" w:themeFillTint="33"/>
            <w:vAlign w:val="center"/>
          </w:tcPr>
          <w:p w:rsidR="0095318C" w:rsidRPr="002A51F5" w:rsidRDefault="0095318C" w:rsidP="00DC1333">
            <w:pPr>
              <w:keepNext/>
              <w:keepLines/>
              <w:ind w:left="1985" w:hanging="1985"/>
              <w:rPr>
                <w:b/>
                <w:bCs/>
                <w:sz w:val="16"/>
                <w:szCs w:val="16"/>
              </w:rPr>
            </w:pPr>
            <w:r w:rsidRPr="002A51F5">
              <w:rPr>
                <w:b/>
                <w:bCs/>
                <w:sz w:val="16"/>
                <w:szCs w:val="16"/>
              </w:rPr>
              <w:t>Resultado previsto:</w:t>
            </w:r>
            <w:r w:rsidRPr="002A51F5">
              <w:rPr>
                <w:b/>
                <w:bCs/>
                <w:sz w:val="16"/>
                <w:szCs w:val="16"/>
              </w:rPr>
              <w:tab/>
            </w:r>
            <w:r w:rsidRPr="002A51F5">
              <w:rPr>
                <w:sz w:val="16"/>
                <w:szCs w:val="16"/>
              </w:rPr>
              <w:t>IV.4 Mejora en la infraestructura téc</w:t>
            </w:r>
            <w:r>
              <w:rPr>
                <w:sz w:val="16"/>
                <w:szCs w:val="16"/>
              </w:rPr>
              <w:t>nica y de conocimientos de las O</w:t>
            </w:r>
            <w:r w:rsidRPr="002A51F5">
              <w:rPr>
                <w:sz w:val="16"/>
                <w:szCs w:val="16"/>
              </w:rPr>
              <w:t>ficinas y demás instituciones de P.I. que les permita prestar mejores servicios (más económicos, más rápidos y de mejor calidad) a sus partes interesadas</w:t>
            </w:r>
          </w:p>
        </w:tc>
      </w:tr>
      <w:tr w:rsidR="0095318C" w:rsidRPr="00250D44" w:rsidTr="00DC1333">
        <w:trPr>
          <w:cantSplit/>
          <w:trHeight w:val="382"/>
        </w:trPr>
        <w:tc>
          <w:tcPr>
            <w:tcW w:w="2137" w:type="dxa"/>
            <w:tcBorders>
              <w:top w:val="single" w:sz="4" w:space="0" w:color="auto"/>
              <w:left w:val="single" w:sz="4" w:space="0" w:color="auto"/>
              <w:bottom w:val="nil"/>
              <w:right w:val="nil"/>
            </w:tcBorders>
            <w:shd w:val="clear" w:color="auto" w:fill="auto"/>
            <w:vAlign w:val="center"/>
          </w:tcPr>
          <w:p w:rsidR="0095318C" w:rsidRPr="00250D44" w:rsidRDefault="0095318C" w:rsidP="00DC1333">
            <w:pPr>
              <w:keepNext/>
              <w:keepLines/>
              <w:rPr>
                <w:sz w:val="16"/>
                <w:szCs w:val="16"/>
              </w:rPr>
            </w:pPr>
            <w:r w:rsidRPr="00250D44">
              <w:rPr>
                <w:b/>
                <w:bCs/>
                <w:sz w:val="16"/>
                <w:szCs w:val="16"/>
              </w:rPr>
              <w:t>Indicadores de rendimiento</w:t>
            </w:r>
          </w:p>
        </w:tc>
        <w:tc>
          <w:tcPr>
            <w:tcW w:w="2420" w:type="dxa"/>
            <w:tcBorders>
              <w:top w:val="single" w:sz="4" w:space="0" w:color="auto"/>
              <w:left w:val="nil"/>
              <w:bottom w:val="nil"/>
              <w:right w:val="nil"/>
            </w:tcBorders>
            <w:shd w:val="clear" w:color="auto" w:fill="auto"/>
            <w:vAlign w:val="center"/>
          </w:tcPr>
          <w:p w:rsidR="0095318C" w:rsidRPr="00250D44" w:rsidRDefault="0095318C" w:rsidP="00DC1333">
            <w:pPr>
              <w:keepNext/>
              <w:keepLines/>
              <w:rPr>
                <w:b/>
                <w:bCs/>
                <w:sz w:val="16"/>
                <w:szCs w:val="16"/>
              </w:rPr>
            </w:pPr>
            <w:r w:rsidRPr="00250D44">
              <w:rPr>
                <w:b/>
                <w:bCs/>
                <w:sz w:val="16"/>
                <w:szCs w:val="16"/>
              </w:rPr>
              <w:t>Referencia</w:t>
            </w:r>
          </w:p>
        </w:tc>
        <w:tc>
          <w:tcPr>
            <w:tcW w:w="1570" w:type="dxa"/>
            <w:tcBorders>
              <w:top w:val="single" w:sz="4" w:space="0" w:color="auto"/>
              <w:left w:val="nil"/>
              <w:bottom w:val="nil"/>
              <w:right w:val="nil"/>
            </w:tcBorders>
            <w:shd w:val="clear" w:color="auto" w:fill="auto"/>
            <w:vAlign w:val="center"/>
          </w:tcPr>
          <w:p w:rsidR="0095318C" w:rsidRPr="00250D44" w:rsidRDefault="0095318C" w:rsidP="00DC1333">
            <w:pPr>
              <w:keepNext/>
              <w:keepLines/>
              <w:rPr>
                <w:b/>
                <w:sz w:val="16"/>
                <w:szCs w:val="16"/>
              </w:rPr>
            </w:pPr>
            <w:r w:rsidRPr="00250D44">
              <w:rPr>
                <w:b/>
                <w:sz w:val="16"/>
                <w:szCs w:val="16"/>
              </w:rPr>
              <w:t>Objetivos</w:t>
            </w:r>
          </w:p>
        </w:tc>
        <w:tc>
          <w:tcPr>
            <w:tcW w:w="2411" w:type="dxa"/>
            <w:tcBorders>
              <w:top w:val="single" w:sz="4" w:space="0" w:color="auto"/>
              <w:left w:val="nil"/>
              <w:bottom w:val="nil"/>
              <w:right w:val="nil"/>
            </w:tcBorders>
            <w:shd w:val="clear" w:color="auto" w:fill="auto"/>
            <w:vAlign w:val="center"/>
          </w:tcPr>
          <w:p w:rsidR="0095318C" w:rsidRPr="00250D44" w:rsidRDefault="0095318C" w:rsidP="00DC1333">
            <w:pPr>
              <w:keepNext/>
              <w:keepLines/>
              <w:rPr>
                <w:sz w:val="16"/>
                <w:szCs w:val="16"/>
              </w:rPr>
            </w:pPr>
            <w:r w:rsidRPr="00250D44">
              <w:rPr>
                <w:b/>
                <w:bCs/>
                <w:sz w:val="16"/>
                <w:szCs w:val="16"/>
              </w:rPr>
              <w:t>Datos sobre el rendimiento</w:t>
            </w:r>
          </w:p>
        </w:tc>
        <w:tc>
          <w:tcPr>
            <w:tcW w:w="1209" w:type="dxa"/>
            <w:gridSpan w:val="2"/>
            <w:tcBorders>
              <w:top w:val="single" w:sz="4" w:space="0" w:color="auto"/>
              <w:left w:val="nil"/>
              <w:bottom w:val="nil"/>
              <w:right w:val="single" w:sz="4" w:space="0" w:color="auto"/>
            </w:tcBorders>
            <w:shd w:val="clear" w:color="auto" w:fill="auto"/>
            <w:vAlign w:val="center"/>
          </w:tcPr>
          <w:p w:rsidR="0095318C" w:rsidRPr="00250D44" w:rsidRDefault="0095318C" w:rsidP="00447371">
            <w:pPr>
              <w:keepNext/>
              <w:keepLines/>
              <w:spacing w:before="120"/>
              <w:jc w:val="center"/>
              <w:rPr>
                <w:b/>
                <w:bCs/>
                <w:sz w:val="16"/>
                <w:szCs w:val="16"/>
              </w:rPr>
            </w:pPr>
            <w:r w:rsidRPr="00250D44">
              <w:rPr>
                <w:b/>
                <w:bCs/>
                <w:sz w:val="16"/>
                <w:szCs w:val="16"/>
              </w:rPr>
              <w:t xml:space="preserve">Clave </w:t>
            </w:r>
            <w:r w:rsidR="00447371">
              <w:rPr>
                <w:b/>
                <w:bCs/>
                <w:sz w:val="16"/>
                <w:szCs w:val="16"/>
              </w:rPr>
              <w:t>d</w:t>
            </w:r>
            <w:r w:rsidRPr="00250D44">
              <w:rPr>
                <w:b/>
                <w:bCs/>
                <w:sz w:val="16"/>
                <w:szCs w:val="16"/>
              </w:rPr>
              <w:t>e los colores</w:t>
            </w:r>
          </w:p>
        </w:tc>
      </w:tr>
      <w:tr w:rsidR="0095318C" w:rsidRPr="001656CD" w:rsidTr="00DC1333">
        <w:trPr>
          <w:cantSplit/>
        </w:trPr>
        <w:tc>
          <w:tcPr>
            <w:tcW w:w="2137" w:type="dxa"/>
            <w:tcBorders>
              <w:top w:val="nil"/>
              <w:left w:val="single" w:sz="4" w:space="0" w:color="auto"/>
              <w:bottom w:val="single" w:sz="4" w:space="0" w:color="auto"/>
              <w:right w:val="nil"/>
            </w:tcBorders>
            <w:shd w:val="clear" w:color="auto" w:fill="auto"/>
          </w:tcPr>
          <w:p w:rsidR="0095318C" w:rsidRPr="002A51F5" w:rsidRDefault="0095318C" w:rsidP="00DC1333">
            <w:pPr>
              <w:tabs>
                <w:tab w:val="left" w:pos="347"/>
              </w:tabs>
              <w:rPr>
                <w:sz w:val="16"/>
                <w:szCs w:val="16"/>
                <w:lang w:bidi="th-TH"/>
              </w:rPr>
            </w:pPr>
            <w:r w:rsidRPr="002A51F5">
              <w:rPr>
                <w:sz w:val="16"/>
                <w:szCs w:val="16"/>
              </w:rPr>
              <w:t>Media del nivel de l</w:t>
            </w:r>
            <w:r>
              <w:rPr>
                <w:sz w:val="16"/>
                <w:szCs w:val="16"/>
              </w:rPr>
              <w:t>os servicios prestados por las o</w:t>
            </w:r>
            <w:r w:rsidRPr="002A51F5">
              <w:rPr>
                <w:sz w:val="16"/>
                <w:szCs w:val="16"/>
              </w:rPr>
              <w:t>ficinas de P.I. que reciben asistencia (en una escala del 1 al 5).</w:t>
            </w:r>
          </w:p>
        </w:tc>
        <w:tc>
          <w:tcPr>
            <w:tcW w:w="2420" w:type="dxa"/>
            <w:tcBorders>
              <w:top w:val="nil"/>
              <w:left w:val="nil"/>
              <w:bottom w:val="single" w:sz="4" w:space="0" w:color="auto"/>
              <w:right w:val="nil"/>
            </w:tcBorders>
            <w:shd w:val="clear" w:color="auto" w:fill="auto"/>
          </w:tcPr>
          <w:p w:rsidR="0095318C" w:rsidRPr="00C00D8D" w:rsidRDefault="0095318C" w:rsidP="00DC1333">
            <w:pPr>
              <w:rPr>
                <w:color w:val="002060"/>
                <w:sz w:val="16"/>
                <w:szCs w:val="16"/>
                <w:lang w:bidi="th-TH"/>
              </w:rPr>
            </w:pPr>
            <w:r w:rsidRPr="00C00D8D">
              <w:rPr>
                <w:i/>
                <w:color w:val="002060"/>
                <w:sz w:val="16"/>
                <w:szCs w:val="16"/>
              </w:rPr>
              <w:t xml:space="preserve">Referencia actualizada a fines de 2013: </w:t>
            </w:r>
            <w:r>
              <w:rPr>
                <w:i/>
                <w:color w:val="002060"/>
                <w:sz w:val="16"/>
                <w:szCs w:val="16"/>
              </w:rPr>
              <w:t xml:space="preserve"> </w:t>
            </w:r>
            <w:r w:rsidRPr="00447371">
              <w:rPr>
                <w:color w:val="002060"/>
                <w:sz w:val="16"/>
                <w:szCs w:val="16"/>
              </w:rPr>
              <w:t>3</w:t>
            </w:r>
          </w:p>
          <w:p w:rsidR="0095318C" w:rsidRPr="00C00D8D" w:rsidRDefault="0095318C" w:rsidP="00DC1333">
            <w:pPr>
              <w:rPr>
                <w:i/>
                <w:color w:val="002060"/>
                <w:sz w:val="8"/>
                <w:szCs w:val="8"/>
              </w:rPr>
            </w:pPr>
          </w:p>
          <w:p w:rsidR="0095318C" w:rsidRPr="002A51F5" w:rsidRDefault="0095318C" w:rsidP="00DC1333">
            <w:pPr>
              <w:rPr>
                <w:i/>
                <w:color w:val="002060"/>
                <w:sz w:val="16"/>
                <w:szCs w:val="16"/>
              </w:rPr>
            </w:pPr>
            <w:r w:rsidRPr="002A51F5">
              <w:rPr>
                <w:i/>
                <w:sz w:val="16"/>
                <w:szCs w:val="16"/>
              </w:rPr>
              <w:t>Referencia original en el presupuesto de 2014/15:</w:t>
            </w:r>
            <w:r w:rsidRPr="002A51F5">
              <w:rPr>
                <w:sz w:val="16"/>
                <w:szCs w:val="16"/>
              </w:rPr>
              <w:t xml:space="preserve"> </w:t>
            </w:r>
            <w:r>
              <w:rPr>
                <w:sz w:val="16"/>
                <w:szCs w:val="16"/>
              </w:rPr>
              <w:t xml:space="preserve"> </w:t>
            </w:r>
            <w:r w:rsidR="00447371">
              <w:rPr>
                <w:sz w:val="16"/>
                <w:szCs w:val="16"/>
              </w:rPr>
              <w:t>por determinar</w:t>
            </w:r>
          </w:p>
        </w:tc>
        <w:tc>
          <w:tcPr>
            <w:tcW w:w="1570" w:type="dxa"/>
            <w:tcBorders>
              <w:top w:val="nil"/>
              <w:left w:val="nil"/>
              <w:bottom w:val="single" w:sz="4" w:space="0" w:color="auto"/>
              <w:right w:val="nil"/>
            </w:tcBorders>
            <w:shd w:val="clear" w:color="auto" w:fill="auto"/>
            <w:tcMar>
              <w:top w:w="110" w:type="dxa"/>
            </w:tcMar>
          </w:tcPr>
          <w:p w:rsidR="0095318C" w:rsidRPr="002A51F5" w:rsidRDefault="0095318C" w:rsidP="00DC1333">
            <w:pPr>
              <w:pStyle w:val="Default"/>
              <w:rPr>
                <w:rFonts w:eastAsia="Times New Roman"/>
                <w:i/>
                <w:color w:val="002060"/>
                <w:sz w:val="16"/>
                <w:szCs w:val="16"/>
                <w:lang w:val="es-ES" w:eastAsia="en-US"/>
              </w:rPr>
            </w:pPr>
            <w:r w:rsidRPr="002A51F5">
              <w:rPr>
                <w:rFonts w:eastAsia="Times New Roman"/>
                <w:i/>
                <w:color w:val="002060"/>
                <w:sz w:val="16"/>
                <w:szCs w:val="16"/>
                <w:lang w:val="es-ES"/>
              </w:rPr>
              <w:t xml:space="preserve">Objetivo definido: </w:t>
            </w:r>
            <w:r w:rsidRPr="002A51F5">
              <w:rPr>
                <w:rFonts w:eastAsia="Times New Roman"/>
                <w:color w:val="002060"/>
                <w:sz w:val="16"/>
                <w:szCs w:val="16"/>
                <w:lang w:val="es-ES"/>
              </w:rPr>
              <w:t>3.</w:t>
            </w:r>
          </w:p>
          <w:p w:rsidR="0095318C" w:rsidRPr="002A51F5" w:rsidRDefault="0095318C" w:rsidP="00DC1333">
            <w:pPr>
              <w:rPr>
                <w:i/>
                <w:color w:val="002060"/>
                <w:sz w:val="8"/>
                <w:szCs w:val="8"/>
              </w:rPr>
            </w:pPr>
          </w:p>
          <w:p w:rsidR="0095318C" w:rsidRPr="002A51F5" w:rsidRDefault="0095318C" w:rsidP="00DC1333">
            <w:pPr>
              <w:rPr>
                <w:sz w:val="16"/>
                <w:szCs w:val="16"/>
              </w:rPr>
            </w:pPr>
            <w:r w:rsidRPr="002A51F5">
              <w:rPr>
                <w:i/>
                <w:sz w:val="16"/>
                <w:szCs w:val="16"/>
              </w:rPr>
              <w:t>Objetivo original en el presupuesto de 2014/15:</w:t>
            </w:r>
            <w:r w:rsidR="00447371">
              <w:rPr>
                <w:sz w:val="16"/>
                <w:szCs w:val="16"/>
              </w:rPr>
              <w:t xml:space="preserve"> por determinar</w:t>
            </w:r>
          </w:p>
          <w:p w:rsidR="0095318C" w:rsidRPr="002A51F5" w:rsidRDefault="0095318C" w:rsidP="00DC1333">
            <w:pPr>
              <w:rPr>
                <w:sz w:val="16"/>
                <w:szCs w:val="16"/>
                <w:lang w:bidi="th-TH"/>
              </w:rPr>
            </w:pPr>
          </w:p>
        </w:tc>
        <w:tc>
          <w:tcPr>
            <w:tcW w:w="2411" w:type="dxa"/>
            <w:tcBorders>
              <w:top w:val="nil"/>
              <w:left w:val="nil"/>
              <w:bottom w:val="single" w:sz="4" w:space="0" w:color="auto"/>
              <w:right w:val="nil"/>
            </w:tcBorders>
            <w:shd w:val="clear" w:color="auto" w:fill="FFFFFF"/>
            <w:tcMar>
              <w:top w:w="110" w:type="dxa"/>
            </w:tcMar>
          </w:tcPr>
          <w:p w:rsidR="0095318C" w:rsidRPr="002D525D" w:rsidRDefault="0095318C" w:rsidP="00DC1333">
            <w:pPr>
              <w:rPr>
                <w:color w:val="000000" w:themeColor="text1"/>
                <w:sz w:val="16"/>
                <w:szCs w:val="16"/>
              </w:rPr>
            </w:pPr>
            <w:r w:rsidRPr="002D525D">
              <w:rPr>
                <w:color w:val="000000" w:themeColor="text1"/>
                <w:sz w:val="16"/>
                <w:szCs w:val="16"/>
              </w:rPr>
              <w:t>Determinados países de Europa y Asia</w:t>
            </w:r>
            <w:proofErr w:type="gramStart"/>
            <w:r>
              <w:rPr>
                <w:color w:val="000000" w:themeColor="text1"/>
                <w:sz w:val="16"/>
                <w:szCs w:val="16"/>
              </w:rPr>
              <w:t>:  3,</w:t>
            </w:r>
            <w:r w:rsidRPr="002D525D">
              <w:rPr>
                <w:color w:val="000000" w:themeColor="text1"/>
                <w:sz w:val="16"/>
                <w:szCs w:val="16"/>
              </w:rPr>
              <w:t>3</w:t>
            </w:r>
            <w:proofErr w:type="gramEnd"/>
            <w:r>
              <w:rPr>
                <w:color w:val="000000" w:themeColor="text1"/>
                <w:sz w:val="16"/>
                <w:szCs w:val="16"/>
              </w:rPr>
              <w:t>.</w:t>
            </w:r>
          </w:p>
          <w:p w:rsidR="0095318C" w:rsidRPr="002D525D" w:rsidRDefault="0095318C" w:rsidP="00DC1333">
            <w:pPr>
              <w:rPr>
                <w:b/>
                <w:sz w:val="16"/>
                <w:szCs w:val="16"/>
                <w:lang w:bidi="th-TH"/>
              </w:rPr>
            </w:pPr>
          </w:p>
        </w:tc>
        <w:tc>
          <w:tcPr>
            <w:tcW w:w="1209" w:type="dxa"/>
            <w:gridSpan w:val="2"/>
            <w:tcBorders>
              <w:top w:val="nil"/>
              <w:left w:val="nil"/>
              <w:bottom w:val="single" w:sz="4" w:space="0" w:color="auto"/>
              <w:right w:val="single" w:sz="4" w:space="0" w:color="auto"/>
            </w:tcBorders>
            <w:shd w:val="clear" w:color="auto" w:fill="auto"/>
            <w:tcMar>
              <w:top w:w="110" w:type="dxa"/>
            </w:tcMar>
          </w:tcPr>
          <w:p w:rsidR="0095318C" w:rsidRPr="002A4544" w:rsidRDefault="0095318C" w:rsidP="00DC1333">
            <w:pPr>
              <w:keepNext/>
              <w:keepLines/>
              <w:jc w:val="center"/>
              <w:rPr>
                <w:b/>
                <w:bCs/>
                <w:color w:val="00B050"/>
                <w:sz w:val="16"/>
                <w:szCs w:val="16"/>
              </w:rPr>
            </w:pPr>
            <w:r>
              <w:rPr>
                <w:b/>
                <w:bCs/>
                <w:color w:val="00B050"/>
                <w:sz w:val="16"/>
                <w:szCs w:val="16"/>
              </w:rPr>
              <w:t>Plenamente logrado</w:t>
            </w:r>
          </w:p>
        </w:tc>
      </w:tr>
    </w:tbl>
    <w:p w:rsidR="0095318C" w:rsidRDefault="0095318C" w:rsidP="00DC1333">
      <w:pPr>
        <w:rPr>
          <w:color w:val="000000"/>
          <w:szCs w:val="22"/>
        </w:rPr>
      </w:pPr>
    </w:p>
    <w:p w:rsidR="0095318C" w:rsidRDefault="0095318C" w:rsidP="00DC1333">
      <w:pPr>
        <w:rPr>
          <w:color w:val="000000"/>
          <w:szCs w:val="22"/>
        </w:rPr>
      </w:pPr>
    </w:p>
    <w:p w:rsidR="0095318C" w:rsidRPr="00BA5D8D" w:rsidRDefault="008F7CBE" w:rsidP="00DC1333">
      <w:pPr>
        <w:keepNext/>
        <w:rPr>
          <w:color w:val="000000"/>
          <w:szCs w:val="22"/>
        </w:rPr>
      </w:pPr>
      <w:r w:rsidRPr="008F7CBE">
        <w:rPr>
          <w:color w:val="000000"/>
          <w:sz w:val="20"/>
          <w:szCs w:val="22"/>
        </w:rPr>
        <w:lastRenderedPageBreak/>
        <w:t>INFORMACIÓN SOBRE LOS RIESGOS PLANTEADOS EN EL BIENIO</w:t>
      </w:r>
    </w:p>
    <w:p w:rsidR="0095318C" w:rsidRPr="00BA5D8D" w:rsidRDefault="0095318C" w:rsidP="00DC1333">
      <w:pPr>
        <w:keepNext/>
        <w:keepLines/>
        <w:rPr>
          <w:color w:val="000000"/>
          <w:szCs w:val="22"/>
        </w:rPr>
      </w:pP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20"/>
        <w:gridCol w:w="2200"/>
        <w:gridCol w:w="2310"/>
        <w:gridCol w:w="2739"/>
      </w:tblGrid>
      <w:tr w:rsidR="0095318C" w:rsidRPr="00267E8F" w:rsidTr="00DC1333">
        <w:trPr>
          <w:cantSplit/>
          <w:trHeight w:val="440"/>
        </w:trPr>
        <w:tc>
          <w:tcPr>
            <w:tcW w:w="2420" w:type="dxa"/>
            <w:shd w:val="clear" w:color="auto" w:fill="C6D9F1" w:themeFill="text2" w:themeFillTint="33"/>
            <w:tcMar>
              <w:top w:w="113" w:type="dxa"/>
            </w:tcMar>
            <w:vAlign w:val="center"/>
          </w:tcPr>
          <w:p w:rsidR="0095318C" w:rsidRPr="002D525D" w:rsidRDefault="0095318C" w:rsidP="00DC1333">
            <w:pPr>
              <w:keepNext/>
              <w:keepLines/>
              <w:autoSpaceDE w:val="0"/>
              <w:autoSpaceDN w:val="0"/>
              <w:adjustRightInd w:val="0"/>
              <w:ind w:right="-59"/>
              <w:jc w:val="center"/>
              <w:rPr>
                <w:b/>
                <w:bCs/>
                <w:iCs/>
                <w:sz w:val="18"/>
                <w:szCs w:val="18"/>
              </w:rPr>
            </w:pPr>
            <w:r w:rsidRPr="002D525D">
              <w:rPr>
                <w:b/>
                <w:bCs/>
                <w:iCs/>
                <w:sz w:val="18"/>
                <w:szCs w:val="18"/>
              </w:rPr>
              <w:t>Riesgos en el logro de los resultados del programa</w:t>
            </w:r>
          </w:p>
        </w:tc>
        <w:tc>
          <w:tcPr>
            <w:tcW w:w="2200" w:type="dxa"/>
            <w:shd w:val="clear" w:color="auto" w:fill="C6D9F1" w:themeFill="text2" w:themeFillTint="33"/>
            <w:tcMar>
              <w:top w:w="113" w:type="dxa"/>
            </w:tcMar>
            <w:vAlign w:val="center"/>
          </w:tcPr>
          <w:p w:rsidR="0095318C" w:rsidRPr="002D525D" w:rsidRDefault="0095318C" w:rsidP="00DC1333">
            <w:pPr>
              <w:keepNext/>
              <w:keepLines/>
              <w:autoSpaceDE w:val="0"/>
              <w:autoSpaceDN w:val="0"/>
              <w:adjustRightInd w:val="0"/>
              <w:ind w:right="-59"/>
              <w:jc w:val="center"/>
              <w:rPr>
                <w:b/>
                <w:bCs/>
                <w:iCs/>
                <w:sz w:val="18"/>
                <w:szCs w:val="18"/>
              </w:rPr>
            </w:pPr>
            <w:r w:rsidRPr="002D525D">
              <w:rPr>
                <w:b/>
                <w:bCs/>
                <w:iCs/>
                <w:sz w:val="18"/>
                <w:szCs w:val="18"/>
              </w:rPr>
              <w:t xml:space="preserve">Planes de mitigación ejecutados o en ejecución </w:t>
            </w:r>
          </w:p>
        </w:tc>
        <w:tc>
          <w:tcPr>
            <w:tcW w:w="2310" w:type="dxa"/>
            <w:shd w:val="clear" w:color="auto" w:fill="C6D9F1" w:themeFill="text2" w:themeFillTint="33"/>
          </w:tcPr>
          <w:p w:rsidR="0095318C" w:rsidRPr="00BA5D8D" w:rsidRDefault="0095318C" w:rsidP="00DC1333">
            <w:pPr>
              <w:keepNext/>
              <w:jc w:val="center"/>
              <w:rPr>
                <w:b/>
                <w:bCs/>
                <w:sz w:val="18"/>
                <w:szCs w:val="18"/>
                <w:highlight w:val="yellow"/>
              </w:rPr>
            </w:pPr>
            <w:r w:rsidRPr="00140207">
              <w:rPr>
                <w:b/>
                <w:bCs/>
                <w:sz w:val="18"/>
                <w:szCs w:val="18"/>
              </w:rPr>
              <w:t>Evolución de los riesgos y estrategias de mitigación durante el bienio</w:t>
            </w:r>
          </w:p>
        </w:tc>
        <w:tc>
          <w:tcPr>
            <w:tcW w:w="2739" w:type="dxa"/>
            <w:shd w:val="clear" w:color="auto" w:fill="C6D9F1" w:themeFill="text2" w:themeFillTint="33"/>
          </w:tcPr>
          <w:p w:rsidR="0095318C" w:rsidRPr="00140207" w:rsidRDefault="0095318C" w:rsidP="00DC1333">
            <w:pPr>
              <w:keepNext/>
              <w:jc w:val="center"/>
              <w:rPr>
                <w:b/>
                <w:bCs/>
                <w:sz w:val="18"/>
                <w:szCs w:val="18"/>
                <w:highlight w:val="yellow"/>
              </w:rPr>
            </w:pPr>
            <w:r w:rsidRPr="006F07A8">
              <w:rPr>
                <w:b/>
                <w:bCs/>
                <w:sz w:val="18"/>
                <w:szCs w:val="18"/>
              </w:rPr>
              <w:t>Repercusiones en el rendimiento del programa</w:t>
            </w:r>
          </w:p>
        </w:tc>
      </w:tr>
      <w:tr w:rsidR="0095318C" w:rsidRPr="00267E8F" w:rsidTr="00DC1333">
        <w:trPr>
          <w:cantSplit/>
          <w:trHeight w:val="785"/>
        </w:trPr>
        <w:tc>
          <w:tcPr>
            <w:tcW w:w="2420" w:type="dxa"/>
            <w:shd w:val="clear" w:color="auto" w:fill="auto"/>
            <w:tcMar>
              <w:top w:w="113" w:type="dxa"/>
            </w:tcMar>
          </w:tcPr>
          <w:p w:rsidR="0095318C" w:rsidRPr="002D525D" w:rsidRDefault="0095318C" w:rsidP="00DC1333">
            <w:pPr>
              <w:keepNext/>
              <w:keepLines/>
              <w:autoSpaceDE w:val="0"/>
              <w:autoSpaceDN w:val="0"/>
              <w:adjustRightInd w:val="0"/>
              <w:ind w:right="-59"/>
              <w:rPr>
                <w:sz w:val="16"/>
                <w:szCs w:val="16"/>
              </w:rPr>
            </w:pPr>
            <w:r w:rsidRPr="002D525D">
              <w:rPr>
                <w:sz w:val="16"/>
                <w:szCs w:val="16"/>
              </w:rPr>
              <w:t>Los cambios económicos y políticos podrían obstaculizar o ralentizar la aplicación de estrategias nacionales en materia de P.I.</w:t>
            </w:r>
          </w:p>
        </w:tc>
        <w:tc>
          <w:tcPr>
            <w:tcW w:w="2200" w:type="dxa"/>
            <w:shd w:val="clear" w:color="auto" w:fill="auto"/>
            <w:tcMar>
              <w:top w:w="113" w:type="dxa"/>
            </w:tcMar>
          </w:tcPr>
          <w:p w:rsidR="0095318C" w:rsidRPr="003C527B" w:rsidRDefault="0095318C" w:rsidP="00DC1333">
            <w:pPr>
              <w:keepNext/>
              <w:keepLines/>
              <w:autoSpaceDE w:val="0"/>
              <w:autoSpaceDN w:val="0"/>
              <w:adjustRightInd w:val="0"/>
              <w:ind w:right="-59"/>
              <w:rPr>
                <w:sz w:val="16"/>
                <w:szCs w:val="16"/>
              </w:rPr>
            </w:pPr>
            <w:r w:rsidRPr="002D525D">
              <w:rPr>
                <w:sz w:val="16"/>
                <w:szCs w:val="16"/>
              </w:rPr>
              <w:t xml:space="preserve">Mantenimiento de relaciones con todas las partes interesadas en los países y planificación anticipada en todos los niveles.  </w:t>
            </w:r>
            <w:r w:rsidRPr="003C527B">
              <w:rPr>
                <w:sz w:val="16"/>
                <w:szCs w:val="16"/>
              </w:rPr>
              <w:t xml:space="preserve">Los planes de cooperación ofrecerán flexibilidad. </w:t>
            </w:r>
          </w:p>
        </w:tc>
        <w:tc>
          <w:tcPr>
            <w:tcW w:w="2310" w:type="dxa"/>
          </w:tcPr>
          <w:p w:rsidR="0095318C" w:rsidRPr="00140207" w:rsidRDefault="0095318C" w:rsidP="00DC1333">
            <w:pPr>
              <w:rPr>
                <w:sz w:val="16"/>
                <w:szCs w:val="16"/>
              </w:rPr>
            </w:pPr>
            <w:r w:rsidRPr="006B6A49">
              <w:rPr>
                <w:sz w:val="16"/>
                <w:szCs w:val="16"/>
              </w:rPr>
              <w:t xml:space="preserve">Se trata de un riesgo permanente y </w:t>
            </w:r>
            <w:r>
              <w:rPr>
                <w:sz w:val="16"/>
                <w:szCs w:val="16"/>
              </w:rPr>
              <w:t>afectó</w:t>
            </w:r>
            <w:r w:rsidRPr="006B6A49">
              <w:rPr>
                <w:sz w:val="16"/>
                <w:szCs w:val="16"/>
              </w:rPr>
              <w:t xml:space="preserve"> a la planificación de determinadas actividades. </w:t>
            </w:r>
            <w:r w:rsidRPr="00140207">
              <w:rPr>
                <w:sz w:val="16"/>
                <w:szCs w:val="16"/>
              </w:rPr>
              <w:t xml:space="preserve">Sin embargo, se mantuvo una estrecha cooperación con las partes interesadas relevantes </w:t>
            </w:r>
            <w:r>
              <w:rPr>
                <w:sz w:val="16"/>
                <w:szCs w:val="16"/>
              </w:rPr>
              <w:t>conforme al</w:t>
            </w:r>
            <w:r w:rsidRPr="00140207">
              <w:rPr>
                <w:sz w:val="16"/>
                <w:szCs w:val="16"/>
              </w:rPr>
              <w:t xml:space="preserve"> plan de mitigación de riesgos. Además, la flexibilidad con la que se elaboraron y ejecutaron los planes de cooperación y la rigurosidad con la que se supervisó la situación ayudaron a reducir los efectos adversos.</w:t>
            </w:r>
          </w:p>
          <w:p w:rsidR="0095318C" w:rsidRPr="00140207" w:rsidRDefault="0095318C" w:rsidP="00DC1333">
            <w:pPr>
              <w:rPr>
                <w:sz w:val="16"/>
                <w:szCs w:val="16"/>
                <w:highlight w:val="yellow"/>
              </w:rPr>
            </w:pPr>
          </w:p>
        </w:tc>
        <w:tc>
          <w:tcPr>
            <w:tcW w:w="2739" w:type="dxa"/>
          </w:tcPr>
          <w:p w:rsidR="0095318C" w:rsidRPr="006F07A8" w:rsidRDefault="0095318C" w:rsidP="00DC1333">
            <w:pPr>
              <w:autoSpaceDE w:val="0"/>
              <w:autoSpaceDN w:val="0"/>
              <w:adjustRightInd w:val="0"/>
              <w:ind w:right="-59"/>
              <w:rPr>
                <w:sz w:val="16"/>
                <w:szCs w:val="16"/>
                <w:highlight w:val="yellow"/>
              </w:rPr>
            </w:pPr>
            <w:r w:rsidRPr="006F07A8">
              <w:rPr>
                <w:sz w:val="16"/>
                <w:szCs w:val="16"/>
              </w:rPr>
              <w:t xml:space="preserve">Este riesgo y su evolución no </w:t>
            </w:r>
            <w:r>
              <w:rPr>
                <w:sz w:val="16"/>
                <w:szCs w:val="16"/>
              </w:rPr>
              <w:t>tuvieron</w:t>
            </w:r>
            <w:r w:rsidRPr="006F07A8">
              <w:rPr>
                <w:sz w:val="16"/>
                <w:szCs w:val="16"/>
              </w:rPr>
              <w:t xml:space="preserve"> una repercusión concreta </w:t>
            </w:r>
            <w:r>
              <w:rPr>
                <w:sz w:val="16"/>
                <w:szCs w:val="16"/>
              </w:rPr>
              <w:t>sobre</w:t>
            </w:r>
            <w:r w:rsidRPr="006F07A8">
              <w:rPr>
                <w:sz w:val="16"/>
                <w:szCs w:val="16"/>
              </w:rPr>
              <w:t xml:space="preserve"> el rendimiento del programa en 2014/2015 gracias a la efectividad de las acciones de mitigación efectuadas.</w:t>
            </w:r>
          </w:p>
        </w:tc>
      </w:tr>
    </w:tbl>
    <w:p w:rsidR="0095318C" w:rsidRPr="006F07A8" w:rsidRDefault="0095318C" w:rsidP="00DC1333">
      <w:pPr>
        <w:rPr>
          <w:color w:val="000000"/>
          <w:szCs w:val="22"/>
        </w:rPr>
      </w:pPr>
    </w:p>
    <w:p w:rsidR="0095318C" w:rsidRPr="006F07A8" w:rsidRDefault="0095318C" w:rsidP="00DC1333">
      <w:pPr>
        <w:rPr>
          <w:color w:val="000000"/>
          <w:szCs w:val="22"/>
        </w:rPr>
      </w:pPr>
    </w:p>
    <w:p w:rsidR="0095318C" w:rsidRPr="00FE358A" w:rsidRDefault="00403D2C" w:rsidP="00DC1333">
      <w:pPr>
        <w:keepNext/>
        <w:rPr>
          <w:b/>
          <w:szCs w:val="22"/>
        </w:rPr>
      </w:pPr>
      <w:r w:rsidRPr="00403D2C">
        <w:rPr>
          <w:color w:val="000000"/>
          <w:sz w:val="20"/>
          <w:szCs w:val="22"/>
        </w:rPr>
        <w:lastRenderedPageBreak/>
        <w:t>UTILIZACIÓN DE LOS RECURSOS</w:t>
      </w:r>
    </w:p>
    <w:p w:rsidR="0095318C" w:rsidRPr="002D525D" w:rsidRDefault="0095318C" w:rsidP="00DC1333">
      <w:pPr>
        <w:pStyle w:val="NormalWeb"/>
        <w:keepNext/>
        <w:spacing w:before="0" w:beforeAutospacing="0" w:after="0" w:afterAutospacing="0"/>
        <w:jc w:val="center"/>
        <w:rPr>
          <w:color w:val="000000"/>
          <w:sz w:val="20"/>
          <w:szCs w:val="20"/>
          <w:lang w:val="es-ES"/>
        </w:rPr>
      </w:pPr>
    </w:p>
    <w:p w:rsidR="0095318C" w:rsidRPr="002D525D" w:rsidRDefault="0095318C" w:rsidP="00DC1333">
      <w:pPr>
        <w:pStyle w:val="NormalWeb"/>
        <w:keepNext/>
        <w:spacing w:before="0" w:beforeAutospacing="0" w:after="0" w:afterAutospacing="0"/>
        <w:jc w:val="center"/>
        <w:rPr>
          <w:sz w:val="20"/>
          <w:szCs w:val="20"/>
          <w:lang w:val="es-ES"/>
        </w:rPr>
      </w:pPr>
      <w:r w:rsidRPr="002D525D">
        <w:rPr>
          <w:color w:val="000000"/>
          <w:sz w:val="20"/>
          <w:szCs w:val="20"/>
          <w:lang w:val="es-ES"/>
        </w:rPr>
        <w:t xml:space="preserve">Presupuesto y gastos reales (por resultado) </w:t>
      </w:r>
    </w:p>
    <w:p w:rsidR="0095318C" w:rsidRPr="002D525D" w:rsidRDefault="0095318C" w:rsidP="00DC1333">
      <w:pPr>
        <w:pStyle w:val="NormalWeb"/>
        <w:keepNext/>
        <w:spacing w:before="0" w:beforeAutospacing="0" w:after="0" w:afterAutospacing="0"/>
        <w:jc w:val="center"/>
        <w:rPr>
          <w:i/>
          <w:iCs/>
          <w:color w:val="000000"/>
          <w:sz w:val="20"/>
          <w:szCs w:val="20"/>
          <w:lang w:val="es-ES"/>
        </w:rPr>
      </w:pPr>
      <w:r w:rsidRPr="002D525D">
        <w:rPr>
          <w:i/>
          <w:iCs/>
          <w:color w:val="000000"/>
          <w:sz w:val="20"/>
          <w:szCs w:val="20"/>
          <w:lang w:val="es-ES"/>
        </w:rPr>
        <w:t>(</w:t>
      </w:r>
      <w:proofErr w:type="gramStart"/>
      <w:r w:rsidRPr="002D525D">
        <w:rPr>
          <w:i/>
          <w:iCs/>
          <w:color w:val="000000"/>
          <w:sz w:val="20"/>
          <w:szCs w:val="20"/>
          <w:lang w:val="es-ES"/>
        </w:rPr>
        <w:t>en</w:t>
      </w:r>
      <w:proofErr w:type="gramEnd"/>
      <w:r w:rsidRPr="002D525D">
        <w:rPr>
          <w:i/>
          <w:iCs/>
          <w:color w:val="000000"/>
          <w:sz w:val="20"/>
          <w:szCs w:val="20"/>
          <w:lang w:val="es-ES"/>
        </w:rPr>
        <w:t xml:space="preserve"> miles de francos suizos)</w:t>
      </w:r>
    </w:p>
    <w:p w:rsidR="0095318C" w:rsidRPr="002D525D" w:rsidRDefault="0095318C" w:rsidP="00DC1333">
      <w:pPr>
        <w:pStyle w:val="NormalWeb"/>
        <w:keepNext/>
        <w:spacing w:before="0" w:beforeAutospacing="0" w:after="0" w:afterAutospacing="0"/>
        <w:jc w:val="center"/>
        <w:rPr>
          <w:i/>
          <w:iCs/>
          <w:color w:val="000000"/>
          <w:sz w:val="20"/>
          <w:szCs w:val="20"/>
          <w:lang w:val="es-ES"/>
        </w:rPr>
      </w:pPr>
    </w:p>
    <w:p w:rsidR="0095318C" w:rsidRDefault="0095318C" w:rsidP="00DC1333">
      <w:pPr>
        <w:keepNext/>
        <w:jc w:val="center"/>
      </w:pPr>
      <w:bookmarkStart w:id="109" w:name="Bm10"/>
      <w:bookmarkStart w:id="110" w:name="Punto10"/>
      <w:r>
        <w:rPr>
          <w:noProof/>
          <w:lang w:val="en-US" w:eastAsia="en-US"/>
        </w:rPr>
        <w:drawing>
          <wp:inline distT="0" distB="0" distL="0" distR="0" wp14:anchorId="7CC2DEBD" wp14:editId="5AE7E3E2">
            <wp:extent cx="5403720" cy="6156251"/>
            <wp:effectExtent l="0" t="0" r="698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06127" cy="6158994"/>
                    </a:xfrm>
                    <a:prstGeom prst="rect">
                      <a:avLst/>
                    </a:prstGeom>
                    <a:noFill/>
                    <a:ln>
                      <a:noFill/>
                    </a:ln>
                  </pic:spPr>
                </pic:pic>
              </a:graphicData>
            </a:graphic>
          </wp:inline>
        </w:drawing>
      </w:r>
      <w:bookmarkEnd w:id="109"/>
      <w:bookmarkEnd w:id="110"/>
    </w:p>
    <w:p w:rsidR="0095318C" w:rsidRDefault="0095318C" w:rsidP="00DC1333">
      <w:pPr>
        <w:pStyle w:val="NormalWeb"/>
        <w:keepNext/>
        <w:spacing w:before="0" w:beforeAutospacing="0" w:after="0" w:afterAutospacing="0"/>
        <w:jc w:val="center"/>
        <w:rPr>
          <w:color w:val="000000"/>
          <w:sz w:val="20"/>
          <w:szCs w:val="20"/>
        </w:rPr>
      </w:pPr>
    </w:p>
    <w:p w:rsidR="0095318C" w:rsidRDefault="0095318C" w:rsidP="00DC1333">
      <w:pPr>
        <w:pStyle w:val="NormalWeb"/>
        <w:spacing w:before="0" w:beforeAutospacing="0" w:after="0" w:afterAutospacing="0"/>
        <w:jc w:val="center"/>
        <w:rPr>
          <w:color w:val="000000"/>
          <w:sz w:val="20"/>
          <w:szCs w:val="20"/>
        </w:rPr>
      </w:pPr>
    </w:p>
    <w:p w:rsidR="0095318C" w:rsidRPr="002D525D" w:rsidRDefault="0095318C" w:rsidP="00DC1333">
      <w:pPr>
        <w:pStyle w:val="NormalWeb"/>
        <w:keepNext/>
        <w:keepLines/>
        <w:spacing w:before="0" w:beforeAutospacing="0" w:after="0" w:afterAutospacing="0"/>
        <w:jc w:val="center"/>
        <w:rPr>
          <w:sz w:val="20"/>
          <w:szCs w:val="20"/>
          <w:lang w:val="es-ES"/>
        </w:rPr>
      </w:pPr>
      <w:r w:rsidRPr="002D525D">
        <w:rPr>
          <w:color w:val="000000"/>
          <w:sz w:val="20"/>
          <w:szCs w:val="20"/>
          <w:lang w:val="es-ES"/>
        </w:rPr>
        <w:t xml:space="preserve">Presupuesto y gastos reales (de personal y no relativos a personal) </w:t>
      </w:r>
    </w:p>
    <w:p w:rsidR="0095318C" w:rsidRPr="002D525D" w:rsidRDefault="0095318C" w:rsidP="00DC1333">
      <w:pPr>
        <w:pStyle w:val="NormalWeb"/>
        <w:keepNext/>
        <w:keepLines/>
        <w:spacing w:before="0" w:beforeAutospacing="0" w:after="0" w:afterAutospacing="0"/>
        <w:jc w:val="center"/>
        <w:rPr>
          <w:i/>
          <w:iCs/>
          <w:color w:val="000000"/>
          <w:sz w:val="20"/>
          <w:szCs w:val="20"/>
          <w:lang w:val="es-ES"/>
        </w:rPr>
      </w:pPr>
      <w:r w:rsidRPr="002D525D">
        <w:rPr>
          <w:i/>
          <w:iCs/>
          <w:color w:val="000000"/>
          <w:sz w:val="20"/>
          <w:szCs w:val="20"/>
          <w:lang w:val="es-ES"/>
        </w:rPr>
        <w:t>(</w:t>
      </w:r>
      <w:proofErr w:type="gramStart"/>
      <w:r w:rsidRPr="002D525D">
        <w:rPr>
          <w:i/>
          <w:iCs/>
          <w:color w:val="000000"/>
          <w:sz w:val="20"/>
          <w:szCs w:val="20"/>
          <w:lang w:val="es-ES"/>
        </w:rPr>
        <w:t>en</w:t>
      </w:r>
      <w:proofErr w:type="gramEnd"/>
      <w:r w:rsidRPr="002D525D">
        <w:rPr>
          <w:i/>
          <w:iCs/>
          <w:color w:val="000000"/>
          <w:sz w:val="20"/>
          <w:szCs w:val="20"/>
          <w:lang w:val="es-ES"/>
        </w:rPr>
        <w:t xml:space="preserve"> miles de francos suizos)</w:t>
      </w:r>
    </w:p>
    <w:p w:rsidR="0095318C" w:rsidRPr="002D525D" w:rsidRDefault="0095318C" w:rsidP="00DC1333">
      <w:pPr>
        <w:pStyle w:val="NormalWeb"/>
        <w:keepNext/>
        <w:keepLines/>
        <w:spacing w:before="0" w:beforeAutospacing="0" w:after="0" w:afterAutospacing="0"/>
        <w:jc w:val="center"/>
        <w:rPr>
          <w:lang w:val="es-ES"/>
        </w:rPr>
      </w:pPr>
    </w:p>
    <w:p w:rsidR="0095318C" w:rsidRDefault="0095318C" w:rsidP="00DC1333">
      <w:pPr>
        <w:widowControl w:val="0"/>
        <w:autoSpaceDE w:val="0"/>
        <w:autoSpaceDN w:val="0"/>
        <w:adjustRightInd w:val="0"/>
        <w:jc w:val="center"/>
      </w:pPr>
      <w:bookmarkStart w:id="111" w:name="Point10"/>
      <w:r>
        <w:rPr>
          <w:noProof/>
          <w:lang w:val="en-US" w:eastAsia="en-US"/>
        </w:rPr>
        <w:drawing>
          <wp:inline distT="0" distB="0" distL="0" distR="0" wp14:anchorId="0D1E2C3F" wp14:editId="599429E1">
            <wp:extent cx="5654510" cy="1015516"/>
            <wp:effectExtent l="0" t="0" r="381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73708" cy="1018964"/>
                    </a:xfrm>
                    <a:prstGeom prst="rect">
                      <a:avLst/>
                    </a:prstGeom>
                    <a:noFill/>
                    <a:ln>
                      <a:noFill/>
                    </a:ln>
                  </pic:spPr>
                </pic:pic>
              </a:graphicData>
            </a:graphic>
          </wp:inline>
        </w:drawing>
      </w:r>
      <w:bookmarkEnd w:id="111"/>
    </w:p>
    <w:p w:rsidR="0095318C" w:rsidRDefault="0095318C" w:rsidP="00DC1333">
      <w:pPr>
        <w:widowControl w:val="0"/>
        <w:autoSpaceDE w:val="0"/>
        <w:autoSpaceDN w:val="0"/>
        <w:adjustRightInd w:val="0"/>
        <w:jc w:val="center"/>
      </w:pPr>
    </w:p>
    <w:p w:rsidR="0095318C" w:rsidRPr="008F4A6D" w:rsidRDefault="0095318C" w:rsidP="00DC1333">
      <w:pPr>
        <w:widowControl w:val="0"/>
        <w:autoSpaceDE w:val="0"/>
        <w:autoSpaceDN w:val="0"/>
        <w:adjustRightInd w:val="0"/>
        <w:jc w:val="center"/>
      </w:pPr>
    </w:p>
    <w:p w:rsidR="0095318C" w:rsidRPr="004C50F9" w:rsidRDefault="00403D2C" w:rsidP="004C50F9">
      <w:pPr>
        <w:keepNext/>
        <w:tabs>
          <w:tab w:val="left" w:pos="709"/>
        </w:tabs>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95318C" w:rsidRPr="004C50F9" w:rsidRDefault="0095318C" w:rsidP="004C50F9">
      <w:pPr>
        <w:keepNext/>
        <w:tabs>
          <w:tab w:val="left" w:pos="709"/>
        </w:tabs>
        <w:rPr>
          <w:sz w:val="20"/>
          <w:u w:val="single"/>
        </w:rPr>
      </w:pPr>
    </w:p>
    <w:p w:rsidR="0095318C" w:rsidRPr="004C50F9" w:rsidRDefault="0095318C" w:rsidP="004C50F9">
      <w:pPr>
        <w:pStyle w:val="ListParagraph"/>
        <w:keepNext/>
        <w:numPr>
          <w:ilvl w:val="0"/>
          <w:numId w:val="56"/>
        </w:numPr>
        <w:tabs>
          <w:tab w:val="left" w:pos="709"/>
        </w:tabs>
        <w:ind w:left="0" w:firstLine="0"/>
        <w:jc w:val="both"/>
        <w:rPr>
          <w:rFonts w:cs="Arial"/>
          <w:lang w:val="es-ES"/>
        </w:rPr>
      </w:pPr>
      <w:r w:rsidRPr="004C50F9">
        <w:rPr>
          <w:rFonts w:cs="Arial"/>
          <w:lang w:val="es-ES" w:eastAsia="ko-KR"/>
        </w:rPr>
        <w:t>Los ajustes efectuados respecto de los distintos resultados en el presupuesto final de 2014/15 tras las transferencias son consecuencia de la metodología nueva y más precisa para la consignación de los recursos de personal tras las mejoras introducidas en el sistema de planificación de la gestión del rendimiento institucional con respecto a los ejercicios de planificación anual del trabajo.</w:t>
      </w:r>
    </w:p>
    <w:p w:rsidR="0095318C" w:rsidRPr="004C50F9" w:rsidRDefault="0095318C" w:rsidP="004C50F9">
      <w:pPr>
        <w:pStyle w:val="ListParagraph"/>
        <w:tabs>
          <w:tab w:val="left" w:pos="709"/>
        </w:tabs>
        <w:ind w:left="0"/>
        <w:jc w:val="both"/>
        <w:rPr>
          <w:rFonts w:cs="Arial"/>
          <w:lang w:val="es-ES"/>
        </w:rPr>
      </w:pPr>
    </w:p>
    <w:p w:rsidR="0095318C" w:rsidRPr="004C50F9" w:rsidRDefault="0095318C" w:rsidP="004C50F9">
      <w:pPr>
        <w:pStyle w:val="ListParagraph"/>
        <w:numPr>
          <w:ilvl w:val="0"/>
          <w:numId w:val="56"/>
        </w:numPr>
        <w:tabs>
          <w:tab w:val="left" w:pos="709"/>
        </w:tabs>
        <w:ind w:left="0" w:firstLine="0"/>
        <w:jc w:val="both"/>
        <w:rPr>
          <w:rFonts w:cs="Arial"/>
          <w:lang w:val="es-ES"/>
        </w:rPr>
      </w:pPr>
      <w:r w:rsidRPr="004C50F9">
        <w:rPr>
          <w:rFonts w:cs="Arial"/>
          <w:lang w:val="es-ES"/>
        </w:rPr>
        <w:t xml:space="preserve">La disminución neta de los recursos de personal observada </w:t>
      </w:r>
      <w:r w:rsidRPr="004C50F9">
        <w:rPr>
          <w:rFonts w:cs="Arial"/>
          <w:lang w:val="es-ES" w:eastAsia="ko-KR"/>
        </w:rPr>
        <w:t>en el presupuesto final de 2014/15 tras las transferencias, se debe fundamentalmente a la reubicación temporal de una persona en el marco del programa 31 (Sistema de La Haya), para asistir</w:t>
      </w:r>
      <w:r w:rsidRPr="004C50F9">
        <w:rPr>
          <w:rFonts w:cs="Arial"/>
          <w:lang w:val="es-ES"/>
        </w:rPr>
        <w:t xml:space="preserve"> con las nuevas adhesiones.</w:t>
      </w:r>
    </w:p>
    <w:p w:rsidR="0095318C" w:rsidRPr="004C50F9" w:rsidRDefault="0095318C" w:rsidP="004C50F9">
      <w:pPr>
        <w:pStyle w:val="ListParagraph"/>
        <w:tabs>
          <w:tab w:val="left" w:pos="709"/>
        </w:tabs>
        <w:ind w:left="0"/>
        <w:jc w:val="both"/>
        <w:rPr>
          <w:rFonts w:cs="Arial"/>
          <w:lang w:val="es-ES"/>
        </w:rPr>
      </w:pPr>
    </w:p>
    <w:p w:rsidR="0095318C" w:rsidRPr="004C50F9" w:rsidRDefault="00403D2C" w:rsidP="004C50F9">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 xml:space="preserve">Utilización del presupuesto en </w:t>
      </w:r>
      <w:r w:rsidRPr="00403D2C">
        <w:rPr>
          <w:sz w:val="20"/>
          <w:u w:val="single"/>
        </w:rPr>
        <w:t>2014/15</w:t>
      </w:r>
    </w:p>
    <w:p w:rsidR="0095318C" w:rsidRPr="004C50F9" w:rsidRDefault="0095318C" w:rsidP="004C50F9">
      <w:pPr>
        <w:pStyle w:val="ListParagraph"/>
        <w:tabs>
          <w:tab w:val="left" w:pos="709"/>
        </w:tabs>
        <w:ind w:left="0"/>
        <w:jc w:val="both"/>
        <w:rPr>
          <w:rFonts w:cs="Arial"/>
          <w:lang w:val="es-ES"/>
        </w:rPr>
      </w:pPr>
    </w:p>
    <w:p w:rsidR="0095318C" w:rsidRPr="007F7E51" w:rsidRDefault="0095318C" w:rsidP="004C50F9">
      <w:pPr>
        <w:pStyle w:val="ListParagraph"/>
        <w:numPr>
          <w:ilvl w:val="0"/>
          <w:numId w:val="56"/>
        </w:numPr>
        <w:tabs>
          <w:tab w:val="left" w:pos="709"/>
        </w:tabs>
        <w:ind w:left="0" w:firstLine="0"/>
        <w:jc w:val="both"/>
        <w:rPr>
          <w:rFonts w:cs="Arial"/>
          <w:lang w:val="es-ES"/>
        </w:rPr>
      </w:pPr>
      <w:r w:rsidRPr="003E2662">
        <w:rPr>
          <w:rFonts w:cs="Arial"/>
          <w:lang w:val="es-ES"/>
        </w:rPr>
        <w:t xml:space="preserve">En general, la utilización del presupuesto </w:t>
      </w:r>
      <w:r>
        <w:rPr>
          <w:rFonts w:cs="Arial"/>
          <w:lang w:val="es-ES"/>
        </w:rPr>
        <w:t>se ha mantenido</w:t>
      </w:r>
      <w:r w:rsidRPr="003E2662">
        <w:rPr>
          <w:rFonts w:cs="Arial"/>
          <w:lang w:val="es-ES"/>
        </w:rPr>
        <w:t xml:space="preserve"> dentro </w:t>
      </w:r>
      <w:r>
        <w:rPr>
          <w:rFonts w:cs="Arial"/>
          <w:lang w:val="es-ES"/>
        </w:rPr>
        <w:t>de los límites</w:t>
      </w:r>
      <w:r w:rsidRPr="003E2662">
        <w:rPr>
          <w:rFonts w:cs="Arial"/>
          <w:lang w:val="es-ES"/>
        </w:rPr>
        <w:t xml:space="preserve"> previsto</w:t>
      </w:r>
      <w:r>
        <w:rPr>
          <w:rFonts w:cs="Arial"/>
          <w:lang w:val="es-ES"/>
        </w:rPr>
        <w:t>s para el bienio</w:t>
      </w:r>
      <w:r w:rsidRPr="00D17117">
        <w:rPr>
          <w:rFonts w:cs="Arial"/>
          <w:lang w:val="es-ES"/>
        </w:rPr>
        <w:t xml:space="preserve">.  </w:t>
      </w:r>
      <w:r w:rsidRPr="00526311">
        <w:rPr>
          <w:lang w:val="es-ES"/>
        </w:rPr>
        <w:t>La ligera infrautilización de los recursos no relativos a personal se debe principalmente a la</w:t>
      </w:r>
      <w:r>
        <w:rPr>
          <w:lang w:val="es-ES"/>
        </w:rPr>
        <w:t>s medidas de eficacia en función de los costos aplicadas en las misiones del personal y eventos.</w:t>
      </w:r>
    </w:p>
    <w:p w:rsidR="0095318C" w:rsidRDefault="0095318C" w:rsidP="004C50F9">
      <w:pPr>
        <w:tabs>
          <w:tab w:val="left" w:pos="709"/>
        </w:tabs>
        <w:jc w:val="both"/>
      </w:pPr>
    </w:p>
    <w:p w:rsidR="0095318C" w:rsidRDefault="0095318C" w:rsidP="00DC1333">
      <w:pPr>
        <w:jc w:val="both"/>
      </w:pPr>
    </w:p>
    <w:p w:rsidR="0095318C" w:rsidRPr="007F7E51" w:rsidRDefault="0095318C" w:rsidP="00DC1333">
      <w:pPr>
        <w:jc w:val="both"/>
      </w:pPr>
    </w:p>
    <w:p w:rsidR="0095318C" w:rsidRDefault="0095318C">
      <w:pPr>
        <w:rPr>
          <w:bCs/>
          <w:iCs/>
          <w:caps/>
        </w:rPr>
      </w:pPr>
      <w:bookmarkStart w:id="112" w:name="_Toc422210493"/>
      <w:r>
        <w:br w:type="page"/>
      </w:r>
    </w:p>
    <w:p w:rsidR="0095318C" w:rsidRPr="0095318C" w:rsidRDefault="0095318C" w:rsidP="00DC1333">
      <w:pPr>
        <w:pStyle w:val="Heading2"/>
        <w:ind w:left="2410" w:hanging="2410"/>
        <w:rPr>
          <w:b/>
          <w:szCs w:val="20"/>
        </w:rPr>
      </w:pPr>
      <w:bookmarkStart w:id="113" w:name="_Toc455159086"/>
      <w:r w:rsidRPr="0095318C">
        <w:rPr>
          <w:b/>
          <w:szCs w:val="20"/>
        </w:rPr>
        <w:lastRenderedPageBreak/>
        <w:t>PROGRAMA 11</w:t>
      </w:r>
      <w:r w:rsidRPr="0095318C">
        <w:rPr>
          <w:b/>
          <w:szCs w:val="20"/>
        </w:rPr>
        <w:tab/>
      </w:r>
      <w:bookmarkEnd w:id="112"/>
      <w:r w:rsidRPr="0095318C">
        <w:rPr>
          <w:b/>
          <w:szCs w:val="20"/>
        </w:rPr>
        <w:t>ACADEMIA DE LA OMPI</w:t>
      </w:r>
      <w:bookmarkEnd w:id="113"/>
    </w:p>
    <w:p w:rsidR="0095318C" w:rsidRPr="008A6189" w:rsidRDefault="0095318C" w:rsidP="00DC1333">
      <w:pPr>
        <w:ind w:left="1985" w:hanging="1985"/>
      </w:pPr>
    </w:p>
    <w:p w:rsidR="0095318C" w:rsidRPr="00013B5C" w:rsidRDefault="0095318C" w:rsidP="00DC1333">
      <w:pPr>
        <w:ind w:left="2410" w:hanging="2410"/>
        <w:rPr>
          <w:b/>
          <w:sz w:val="20"/>
        </w:rPr>
      </w:pPr>
      <w:r w:rsidRPr="00013B5C">
        <w:rPr>
          <w:b/>
          <w:sz w:val="20"/>
        </w:rPr>
        <w:t>Director del Programa</w:t>
      </w:r>
      <w:r w:rsidRPr="00013B5C">
        <w:rPr>
          <w:b/>
          <w:sz w:val="20"/>
        </w:rPr>
        <w:tab/>
        <w:t>Sr. M. Matus</w:t>
      </w:r>
    </w:p>
    <w:p w:rsidR="0095318C" w:rsidRPr="008A6189" w:rsidRDefault="0095318C" w:rsidP="00DC1333"/>
    <w:p w:rsidR="0095318C" w:rsidRPr="008A6189" w:rsidRDefault="0095318C" w:rsidP="00DC1333">
      <w:pPr>
        <w:rPr>
          <w:bCs/>
        </w:rPr>
      </w:pPr>
    </w:p>
    <w:p w:rsidR="0095318C" w:rsidRPr="008A6189" w:rsidRDefault="008F7CBE" w:rsidP="00DC1333">
      <w:pPr>
        <w:rPr>
          <w:bCs/>
          <w:szCs w:val="22"/>
        </w:rPr>
      </w:pPr>
      <w:r w:rsidRPr="008F7CBE">
        <w:rPr>
          <w:bCs/>
          <w:sz w:val="20"/>
          <w:szCs w:val="22"/>
        </w:rPr>
        <w:t>LOGROS ALCANZADOS EN EL BIENIO 2014/15</w:t>
      </w:r>
    </w:p>
    <w:p w:rsidR="0095318C" w:rsidRPr="008A6189" w:rsidRDefault="0095318C" w:rsidP="00DC1333">
      <w:pPr>
        <w:spacing w:line="276" w:lineRule="auto"/>
        <w:rPr>
          <w:rFonts w:eastAsiaTheme="minorHAnsi"/>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En el bienio 2014/15, la Academia de la OMPI dio inicio a un proceso de reforma con miras a volver a posicionarse como la principal entidad de la Organización en materia de formación y fortalecimiento de capacidades en P.I. para funcionarios gubernamentales y otras partes interesadas.  Durante el proceso, la Academia se esforzó por mantener la cantidad, calidad y frecuencia de los programas de formación propuestos regularmente para cumplir con las obligaciones ya asumidas con los asociados, responder a nuevas peticiones urgentes de formación por parte de los Estados miembros y otros sectores interesados y preservar la continuidad de la formación impartida.  A lo largo del bienio, más de 80.000 personas se beneficiaron de los programas y actividades de la Academia.</w:t>
      </w:r>
    </w:p>
    <w:p w:rsidR="0095318C" w:rsidRPr="008A6189" w:rsidRDefault="0095318C" w:rsidP="00DC1333">
      <w:pPr>
        <w:autoSpaceDE w:val="0"/>
        <w:autoSpaceDN w:val="0"/>
        <w:adjustRightInd w:val="0"/>
        <w:spacing w:line="240" w:lineRule="exact"/>
        <w:contextualSpacing/>
        <w:jc w:val="both"/>
        <w:rPr>
          <w:rFonts w:eastAsiaTheme="minorHAnsi"/>
          <w:color w:val="000000"/>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En el bienio 2014/15, el diseño, la planificación y la ejecución de las actividades del Programa 11 siguieron basándose en las recomendaciones pertinentes de la Agenda para el Desarrollo.  Los programas de la Academia se orientaron al desarrollo y atendieron las exigencias de las partes interesadas (recomendación 1) y procuraron presentar la P.I. a diferentes niveles académicos en vistas a generar un mayor nivel de sensibilización pública hacia la P.I.  (recomendación 3).</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Con respecto al Programa de perfeccionamiento profesional, en el período 2014/15 la Academia organizó 35 cursos de formación junto con 22 instituciones asociadas en Alemania, Argelia, Austria, Brasil, Camerún, Canadá, Costa Rica, España, Finlandia, Francia, Indonesia, Israel, Malasia, Marruecos, Noruega, Paraguay, Perú, Reino Unido y Suiza, así como con la OMC y el CEIPI de Estrasburgo (Francia).  En los cursos se abarcaron, entre otros, los siguientes temas</w:t>
      </w:r>
      <w:proofErr w:type="gramStart"/>
      <w:r w:rsidRPr="008A6189">
        <w:rPr>
          <w:rFonts w:eastAsiaTheme="minorHAnsi" w:cs="Arial"/>
          <w:color w:val="000000"/>
          <w:lang w:val="es-ES_tradnl"/>
        </w:rPr>
        <w:t>:  patentes</w:t>
      </w:r>
      <w:proofErr w:type="gramEnd"/>
      <w:r w:rsidRPr="008A6189">
        <w:rPr>
          <w:rFonts w:eastAsiaTheme="minorHAnsi" w:cs="Arial"/>
          <w:color w:val="000000"/>
          <w:lang w:val="es-ES_tradnl"/>
        </w:rPr>
        <w:t>, marcas, derecho de autor y derechos conexos, gestión colectiva del derecho de autor y los derechos conexos, P.I. para los encargados de la adopción de políticas, así como transferencia de tecnología y licencias.  Desde 2012 y a solicitud de los Estados miembros, se han realizado esfuerzos dirigidos a ofrecer formación en temas más específicos, como el examen de patentes en el sector de la biotecnología y en el farmacéutico.</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Un total de 462</w:t>
      </w:r>
      <w:r w:rsidRPr="008A6189">
        <w:rPr>
          <w:rStyle w:val="FootnoteReference"/>
          <w:rFonts w:eastAsiaTheme="minorHAnsi" w:cs="Arial"/>
          <w:color w:val="000000"/>
          <w:lang w:val="es-ES_tradnl"/>
        </w:rPr>
        <w:footnoteReference w:id="71"/>
      </w:r>
      <w:r w:rsidRPr="008A6189">
        <w:rPr>
          <w:rFonts w:eastAsiaTheme="minorHAnsi" w:cs="Arial"/>
          <w:color w:val="000000"/>
          <w:lang w:val="es-ES_tradnl"/>
        </w:rPr>
        <w:t xml:space="preserve"> funcionarios gubernamentales procedentes de países en desarrollo, PMA y países con economías en transición se beneficiaron de estas actividades, de los cuales un 52% fueron mujeres y un 48% hombres.</w:t>
      </w:r>
    </w:p>
    <w:p w:rsidR="0095318C" w:rsidRPr="008A6189" w:rsidRDefault="0095318C" w:rsidP="00DC1333">
      <w:pPr>
        <w:pStyle w:val="ListParagraph"/>
        <w:autoSpaceDE w:val="0"/>
        <w:autoSpaceDN w:val="0"/>
        <w:adjustRightInd w:val="0"/>
        <w:ind w:left="0"/>
        <w:jc w:val="both"/>
        <w:rPr>
          <w:rFonts w:eastAsiaTheme="minorHAnsi" w:cs="Arial"/>
          <w:color w:val="000000"/>
          <w:lang w:val="es-ES"/>
        </w:rPr>
      </w:pPr>
    </w:p>
    <w:tbl>
      <w:tblPr>
        <w:tblStyle w:val="TableGrid"/>
        <w:tblW w:w="9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364"/>
      </w:tblGrid>
      <w:tr w:rsidR="0095318C" w:rsidRPr="008A6189" w:rsidTr="00DC1333">
        <w:tc>
          <w:tcPr>
            <w:tcW w:w="4968" w:type="dxa"/>
          </w:tcPr>
          <w:p w:rsidR="0095318C" w:rsidRPr="008A6189" w:rsidRDefault="0095318C" w:rsidP="00DC1333">
            <w:pPr>
              <w:pStyle w:val="ListParagraph"/>
              <w:tabs>
                <w:tab w:val="left" w:pos="709"/>
              </w:tabs>
              <w:autoSpaceDE w:val="0"/>
              <w:autoSpaceDN w:val="0"/>
              <w:adjustRightInd w:val="0"/>
              <w:ind w:left="0"/>
              <w:jc w:val="center"/>
              <w:rPr>
                <w:rFonts w:eastAsiaTheme="minorHAnsi" w:cs="Arial"/>
                <w:i/>
                <w:color w:val="000000"/>
                <w:sz w:val="18"/>
                <w:szCs w:val="18"/>
                <w:lang w:val="es-ES_tradnl"/>
              </w:rPr>
            </w:pPr>
            <w:r w:rsidRPr="008A6189">
              <w:rPr>
                <w:rFonts w:eastAsiaTheme="minorHAnsi" w:cs="Arial"/>
                <w:i/>
                <w:color w:val="000000"/>
                <w:sz w:val="18"/>
                <w:szCs w:val="18"/>
                <w:lang w:val="es-ES_tradnl"/>
              </w:rPr>
              <w:t>Distribución geográfica de los participantes en el Programa de perfeccionamiento profesional (2012/2015)</w:t>
            </w:r>
          </w:p>
          <w:p w:rsidR="0095318C" w:rsidRPr="008A6189" w:rsidRDefault="0095318C" w:rsidP="00DC1333">
            <w:pPr>
              <w:pStyle w:val="ListParagraph"/>
              <w:tabs>
                <w:tab w:val="left" w:pos="709"/>
              </w:tabs>
              <w:autoSpaceDE w:val="0"/>
              <w:autoSpaceDN w:val="0"/>
              <w:adjustRightInd w:val="0"/>
              <w:ind w:left="0"/>
              <w:jc w:val="center"/>
              <w:rPr>
                <w:rFonts w:eastAsiaTheme="minorHAnsi" w:cs="Arial"/>
                <w:i/>
                <w:color w:val="000000"/>
                <w:sz w:val="18"/>
                <w:szCs w:val="18"/>
                <w:lang w:val="es-ES_tradnl"/>
              </w:rPr>
            </w:pPr>
          </w:p>
          <w:p w:rsidR="0095318C" w:rsidRPr="008A6189" w:rsidRDefault="0095318C" w:rsidP="00DC1333">
            <w:pPr>
              <w:pStyle w:val="ListParagraph"/>
              <w:tabs>
                <w:tab w:val="left" w:pos="709"/>
              </w:tabs>
              <w:autoSpaceDE w:val="0"/>
              <w:autoSpaceDN w:val="0"/>
              <w:adjustRightInd w:val="0"/>
              <w:ind w:left="0"/>
              <w:jc w:val="center"/>
              <w:rPr>
                <w:rFonts w:eastAsiaTheme="minorHAnsi" w:cs="Arial"/>
                <w:i/>
                <w:color w:val="000000"/>
                <w:sz w:val="18"/>
                <w:szCs w:val="18"/>
                <w:lang w:val="es-ES_tradnl"/>
              </w:rPr>
            </w:pPr>
          </w:p>
          <w:p w:rsidR="0095318C" w:rsidRPr="008A6189" w:rsidRDefault="0095318C" w:rsidP="00DC1333">
            <w:pPr>
              <w:pStyle w:val="ListParagraph"/>
              <w:tabs>
                <w:tab w:val="left" w:pos="709"/>
              </w:tabs>
              <w:autoSpaceDE w:val="0"/>
              <w:autoSpaceDN w:val="0"/>
              <w:adjustRightInd w:val="0"/>
              <w:ind w:left="0"/>
              <w:jc w:val="center"/>
              <w:rPr>
                <w:rFonts w:eastAsiaTheme="minorHAnsi" w:cs="Arial"/>
                <w:color w:val="000000"/>
              </w:rPr>
            </w:pPr>
            <w:r w:rsidRPr="008A6189">
              <w:rPr>
                <w:rFonts w:eastAsiaTheme="minorHAnsi" w:cs="Arial"/>
                <w:noProof/>
                <w:color w:val="000000"/>
              </w:rPr>
              <w:drawing>
                <wp:inline distT="0" distB="0" distL="0" distR="0" wp14:anchorId="24177109" wp14:editId="32582702">
                  <wp:extent cx="3177536" cy="1860550"/>
                  <wp:effectExtent l="0" t="0" r="4445"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183633" cy="1864120"/>
                          </a:xfrm>
                          <a:prstGeom prst="rect">
                            <a:avLst/>
                          </a:prstGeom>
                          <a:noFill/>
                          <a:ln>
                            <a:noFill/>
                          </a:ln>
                        </pic:spPr>
                      </pic:pic>
                    </a:graphicData>
                  </a:graphic>
                </wp:inline>
              </w:drawing>
            </w:r>
          </w:p>
        </w:tc>
        <w:tc>
          <w:tcPr>
            <w:tcW w:w="4622" w:type="dxa"/>
          </w:tcPr>
          <w:p w:rsidR="0095318C" w:rsidRPr="008A6189" w:rsidRDefault="0095318C" w:rsidP="00DC1333">
            <w:pPr>
              <w:pStyle w:val="ListParagraph"/>
              <w:tabs>
                <w:tab w:val="left" w:pos="709"/>
              </w:tabs>
              <w:autoSpaceDE w:val="0"/>
              <w:autoSpaceDN w:val="0"/>
              <w:adjustRightInd w:val="0"/>
              <w:ind w:left="0"/>
              <w:jc w:val="center"/>
              <w:rPr>
                <w:rFonts w:eastAsiaTheme="minorHAnsi" w:cs="Arial"/>
                <w:i/>
                <w:color w:val="000000"/>
                <w:sz w:val="18"/>
                <w:szCs w:val="18"/>
                <w:lang w:val="es-ES_tradnl"/>
              </w:rPr>
            </w:pPr>
            <w:r w:rsidRPr="008A6189">
              <w:rPr>
                <w:rFonts w:eastAsiaTheme="minorHAnsi" w:cs="Arial"/>
                <w:i/>
                <w:color w:val="000000"/>
                <w:sz w:val="18"/>
                <w:szCs w:val="18"/>
                <w:lang w:val="es-ES_tradnl"/>
              </w:rPr>
              <w:t>Distribución por género de los participantes en el Programa de perfeccionamiento profesional (2014/15)</w:t>
            </w:r>
          </w:p>
          <w:p w:rsidR="0095318C" w:rsidRPr="008A6189" w:rsidRDefault="0095318C" w:rsidP="00DC1333">
            <w:pPr>
              <w:pStyle w:val="ListParagraph"/>
              <w:tabs>
                <w:tab w:val="left" w:pos="709"/>
              </w:tabs>
              <w:autoSpaceDE w:val="0"/>
              <w:autoSpaceDN w:val="0"/>
              <w:adjustRightInd w:val="0"/>
              <w:ind w:left="0"/>
              <w:rPr>
                <w:rFonts w:eastAsiaTheme="minorHAnsi" w:cs="Arial"/>
                <w:color w:val="000000"/>
              </w:rPr>
            </w:pPr>
            <w:r w:rsidRPr="008A6189">
              <w:rPr>
                <w:rFonts w:eastAsiaTheme="minorHAnsi" w:cs="Arial"/>
                <w:noProof/>
                <w:color w:val="000000"/>
              </w:rPr>
              <w:drawing>
                <wp:inline distT="0" distB="0" distL="0" distR="0" wp14:anchorId="7ADD4F2A" wp14:editId="1732FD7D">
                  <wp:extent cx="2514600" cy="2229388"/>
                  <wp:effectExtent l="0" t="0" r="0" b="0"/>
                  <wp:docPr id="10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520981" cy="2235045"/>
                          </a:xfrm>
                          <a:prstGeom prst="rect">
                            <a:avLst/>
                          </a:prstGeom>
                          <a:noFill/>
                        </pic:spPr>
                      </pic:pic>
                    </a:graphicData>
                  </a:graphic>
                </wp:inline>
              </w:drawing>
            </w:r>
          </w:p>
        </w:tc>
      </w:tr>
    </w:tbl>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rPr>
      </w:pPr>
    </w:p>
    <w:p w:rsidR="0095318C" w:rsidRPr="008A6189" w:rsidRDefault="0095318C" w:rsidP="00436644">
      <w:pPr>
        <w:pStyle w:val="ListParagraph"/>
        <w:numPr>
          <w:ilvl w:val="0"/>
          <w:numId w:val="59"/>
        </w:numPr>
        <w:tabs>
          <w:tab w:val="left" w:pos="0"/>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 xml:space="preserve">En 2015, la Academia de la OMPI realizó una encuesta para evaluar las necesidades en materia de formación.  Se recibieron un total de 329 respuestas de entidades públicas y privadas, así como de </w:t>
      </w:r>
      <w:r w:rsidRPr="008A6189">
        <w:rPr>
          <w:rFonts w:eastAsiaTheme="minorHAnsi" w:cs="Arial"/>
          <w:color w:val="000000"/>
          <w:lang w:val="es-ES_tradnl"/>
        </w:rPr>
        <w:lastRenderedPageBreak/>
        <w:t>otras partes interesadas, procedentes de 100 Estados miembros.  Uno de los hallazgos más significativos reveló que un 74,8% de los encuestados consideraba que no existían estructuras capaces de ofrecer formación en materia de P.I. en sus respectivos países, motivo por el cual confiaban en la OMPI para la organización e impartición de programas profesionales de formación y de mejora de las capacidades en el ámbito de la P.I.  Teniendo esto en cuenta, la Academia desempeña un papel cada vez más y más importante para identificar y responder a las necesidades y solicitudes de formación de los Estados miembros.</w:t>
      </w:r>
    </w:p>
    <w:p w:rsidR="0095318C" w:rsidRPr="008A6189" w:rsidRDefault="0095318C" w:rsidP="00436644">
      <w:pPr>
        <w:tabs>
          <w:tab w:val="left" w:pos="709"/>
        </w:tabs>
        <w:rPr>
          <w:rFonts w:eastAsiaTheme="minorHAnsi"/>
          <w:color w:val="000000"/>
        </w:rPr>
      </w:pPr>
    </w:p>
    <w:p w:rsidR="0095318C" w:rsidRPr="008A6189" w:rsidRDefault="0095318C" w:rsidP="00436644">
      <w:pPr>
        <w:pStyle w:val="ListParagraph"/>
        <w:numPr>
          <w:ilvl w:val="0"/>
          <w:numId w:val="59"/>
        </w:numPr>
        <w:tabs>
          <w:tab w:val="left" w:pos="0"/>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Con el fin de reflejar las necesidades y prioridades de los Estados miembros y tomando como base los resultados de dicha encuesta, se procedió a revisar el catálogo de cursos y se incluyeron los siguientes nuevos temas</w:t>
      </w:r>
      <w:proofErr w:type="gramStart"/>
      <w:r w:rsidRPr="008A6189">
        <w:rPr>
          <w:rFonts w:eastAsiaTheme="minorHAnsi" w:cs="Arial"/>
          <w:color w:val="000000"/>
          <w:lang w:val="es-ES"/>
        </w:rPr>
        <w:t>:  gestión</w:t>
      </w:r>
      <w:proofErr w:type="gramEnd"/>
      <w:r w:rsidRPr="008A6189">
        <w:rPr>
          <w:rFonts w:eastAsiaTheme="minorHAnsi" w:cs="Arial"/>
          <w:color w:val="000000"/>
          <w:lang w:val="es-ES"/>
        </w:rPr>
        <w:t xml:space="preserve"> de oficinas de P.I., gestión y comercialización de la P.I., desarrollo de marcas y P.I. y transferencia de tecnología y licencias.  Además, se incorporaron dos nuevos cursos, uno para los PMA y otro para los países del Caribe.</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Como parte del proceso de reforma y según consta en el catálogo de cursos, la realización de un número determinado de cursos de enseñanza a distancia de nivel avanzado será a partir de ahora un requisito previo necesario para participar en todos los cursos especializados del Programa de perfeccionamiento profesional por primera vez.</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El Programa de enseñanza a distancia siguió atrayendo a participantes de un amplio grupo de partes interesadas.  En 2014/15, 78.551 participantes de 193 países (67.809 para cursos generales y 10.742 para cursos de nivel avanzado), un 3,6% menos que en el período 2012-13, se beneficiaron de la plataforma de la OMPI de enseñanza a distancia (WeLC).  El 60% de los participantes realizó cursos de propiedad industrial sobre patentes, marcas, propiedad industrial e indicaciones geográficas;  un 25% siguió cursos relacionados con áreas multidisciplinares de la P.I. como la gestión de la P.I. y conocimientos tradicionales.  Finalmente, un 15% realizó cursos sobre derecho de autor.  El 92% de los cursos ofrecidos durante el período 2014-2015</w:t>
      </w:r>
      <w:r w:rsidRPr="008A6189">
        <w:rPr>
          <w:rStyle w:val="FootnoteReference"/>
          <w:rFonts w:eastAsiaTheme="minorHAnsi" w:cs="Arial"/>
          <w:color w:val="000000"/>
        </w:rPr>
        <w:footnoteReference w:id="72"/>
      </w:r>
      <w:r w:rsidRPr="008A6189">
        <w:rPr>
          <w:rFonts w:eastAsiaTheme="minorHAnsi" w:cs="Arial"/>
          <w:color w:val="000000"/>
          <w:lang w:val="es-ES"/>
        </w:rPr>
        <w:t xml:space="preserve"> estaban disponibles en los seis idiomas de las NN.UU. y en portugués.  El 50% de los beneficiarios de los cursos fueron mujeres.  Cabe destacar que la demanda de cursos de nivel avanzado por parte de oficinas de P.I., otros órganos gubernamentales, academias nacionales y CATI creció un 138%,</w:t>
      </w:r>
      <w:r w:rsidRPr="008A6189">
        <w:rPr>
          <w:rFonts w:eastAsiaTheme="minorHAnsi" w:cs="Arial"/>
          <w:color w:val="000000"/>
          <w:vertAlign w:val="superscript"/>
        </w:rPr>
        <w:footnoteReference w:id="73"/>
      </w:r>
      <w:r w:rsidRPr="008A6189">
        <w:rPr>
          <w:rFonts w:eastAsiaTheme="minorHAnsi" w:cs="Arial"/>
          <w:color w:val="000000"/>
          <w:vertAlign w:val="superscript"/>
          <w:lang w:val="es-ES"/>
        </w:rPr>
        <w:t xml:space="preserve"> </w:t>
      </w:r>
      <w:r w:rsidRPr="008A6189">
        <w:rPr>
          <w:rFonts w:eastAsiaTheme="minorHAnsi" w:cs="Arial"/>
          <w:color w:val="000000"/>
          <w:lang w:val="es-ES"/>
        </w:rPr>
        <w:t xml:space="preserve"> hasta alcanzar un máximo histórico de 6.926 (2.907 en el anterior bienio).  En el cuadro inferior se muestra la distribución geográfica de los participantes en todos los programas de enseñanza a distancia de 2012 a 2015.</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sz w:val="16"/>
          <w:szCs w:val="16"/>
          <w:lang w:val="es-ES"/>
        </w:rPr>
      </w:pPr>
    </w:p>
    <w:p w:rsidR="0095318C" w:rsidRPr="008A6189" w:rsidRDefault="0095318C" w:rsidP="00DC1333">
      <w:pPr>
        <w:pStyle w:val="ListParagraph"/>
        <w:spacing w:line="240" w:lineRule="atLeast"/>
        <w:ind w:left="0"/>
        <w:contextualSpacing/>
        <w:jc w:val="center"/>
        <w:rPr>
          <w:rFonts w:eastAsiaTheme="minorHAnsi" w:cs="Arial"/>
          <w:i/>
          <w:sz w:val="16"/>
          <w:szCs w:val="16"/>
          <w:lang w:val="es-ES"/>
        </w:rPr>
      </w:pPr>
      <w:r w:rsidRPr="008A6189">
        <w:rPr>
          <w:rFonts w:eastAsiaTheme="minorHAnsi" w:cs="Arial"/>
          <w:i/>
          <w:sz w:val="16"/>
          <w:szCs w:val="16"/>
          <w:lang w:val="es-ES"/>
        </w:rPr>
        <w:t>Distribución geográfica de los participantes en todos los programas de enseñanza a distancia, 2012/2015</w:t>
      </w:r>
      <w:r w:rsidRPr="008A6189">
        <w:rPr>
          <w:rFonts w:eastAsiaTheme="minorHAnsi" w:cs="Arial"/>
          <w:i/>
          <w:sz w:val="16"/>
          <w:szCs w:val="16"/>
          <w:vertAlign w:val="superscript"/>
        </w:rPr>
        <w:footnoteReference w:id="74"/>
      </w:r>
    </w:p>
    <w:p w:rsidR="0095318C" w:rsidRPr="008A6189" w:rsidRDefault="0095318C" w:rsidP="00DC1333">
      <w:pPr>
        <w:pStyle w:val="ListParagraph"/>
        <w:spacing w:line="240" w:lineRule="atLeast"/>
        <w:ind w:left="0"/>
        <w:contextualSpacing/>
        <w:jc w:val="center"/>
        <w:rPr>
          <w:rFonts w:eastAsiaTheme="minorHAnsi" w:cs="Arial"/>
          <w:i/>
        </w:rPr>
      </w:pPr>
      <w:r w:rsidRPr="008A6189">
        <w:rPr>
          <w:rFonts w:eastAsiaTheme="minorHAnsi" w:cs="Arial"/>
          <w:i/>
          <w:noProof/>
        </w:rPr>
        <w:drawing>
          <wp:inline distT="0" distB="0" distL="0" distR="0" wp14:anchorId="1A336839" wp14:editId="413214F2">
            <wp:extent cx="4693853" cy="2581275"/>
            <wp:effectExtent l="0" t="0" r="0" b="0"/>
            <wp:docPr id="10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87907" cy="2632998"/>
                    </a:xfrm>
                    <a:prstGeom prst="rect">
                      <a:avLst/>
                    </a:prstGeom>
                    <a:noFill/>
                  </pic:spPr>
                </pic:pic>
              </a:graphicData>
            </a:graphic>
          </wp:inline>
        </w:drawing>
      </w:r>
    </w:p>
    <w:p w:rsidR="0095318C" w:rsidRPr="008A6189" w:rsidRDefault="0095318C" w:rsidP="00436644">
      <w:pPr>
        <w:pStyle w:val="ListParagraph"/>
        <w:numPr>
          <w:ilvl w:val="0"/>
          <w:numId w:val="59"/>
        </w:numPr>
        <w:tabs>
          <w:tab w:val="left" w:pos="0"/>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Además, se iniciaron dos procesos de adaptación con las oficinas de P.I. de Camboya y Vietnam, aumentando el número de idiomas de los cursos generales, que pasaron de 13</w:t>
      </w:r>
      <w:r w:rsidRPr="008A6189">
        <w:rPr>
          <w:rStyle w:val="FootnoteReference"/>
          <w:rFonts w:eastAsiaTheme="minorHAnsi" w:cs="Arial"/>
          <w:color w:val="000000"/>
        </w:rPr>
        <w:footnoteReference w:id="75"/>
      </w:r>
      <w:r w:rsidRPr="008A6189">
        <w:rPr>
          <w:rFonts w:eastAsiaTheme="minorHAnsi" w:cs="Arial"/>
          <w:color w:val="000000"/>
          <w:lang w:val="es-ES"/>
        </w:rPr>
        <w:t xml:space="preserve">, en 2013, a 15 </w:t>
      </w:r>
      <w:r w:rsidRPr="008A6189">
        <w:rPr>
          <w:rFonts w:eastAsiaTheme="minorHAnsi" w:cs="Arial"/>
          <w:color w:val="000000"/>
          <w:lang w:val="es-ES"/>
        </w:rPr>
        <w:lastRenderedPageBreak/>
        <w:t>en 2014/15 (</w:t>
      </w:r>
      <w:r w:rsidRPr="008A6189">
        <w:rPr>
          <w:lang w:val="es-ES"/>
        </w:rPr>
        <w:t>español, alemán, árabe, camboyano, chino, coreano, croata, francés, inglés, japonés, portugués, ruso, tailandés, ucraniano y vietnamita).  Dos nuevos cursos piloto de enseñanza a distancia se inauguraron en 2014</w:t>
      </w:r>
      <w:proofErr w:type="gramStart"/>
      <w:r w:rsidRPr="008A6189">
        <w:rPr>
          <w:lang w:val="es-ES"/>
        </w:rPr>
        <w:t xml:space="preserve">:  </w:t>
      </w:r>
      <w:r w:rsidRPr="008A6189">
        <w:rPr>
          <w:rFonts w:eastAsiaTheme="minorHAnsi" w:cs="Arial"/>
          <w:color w:val="000000"/>
          <w:lang w:val="es-ES"/>
        </w:rPr>
        <w:t>i</w:t>
      </w:r>
      <w:proofErr w:type="gramEnd"/>
      <w:r w:rsidRPr="008A6189">
        <w:rPr>
          <w:rFonts w:eastAsiaTheme="minorHAnsi" w:cs="Arial"/>
          <w:color w:val="000000"/>
          <w:lang w:val="es-ES"/>
        </w:rPr>
        <w:t xml:space="preserve">) </w:t>
      </w:r>
      <w:r w:rsidRPr="008A6189">
        <w:rPr>
          <w:rFonts w:eastAsiaTheme="minorHAnsi" w:cs="Arial"/>
          <w:i/>
          <w:color w:val="000000"/>
          <w:lang w:val="es-ES"/>
        </w:rPr>
        <w:t xml:space="preserve">Propiedad intelectual, conocimientos tradicionales y expresiones culturales tradicionales (DL-203) </w:t>
      </w:r>
      <w:r w:rsidRPr="008A6189">
        <w:rPr>
          <w:rFonts w:eastAsiaTheme="minorHAnsi" w:cs="Arial"/>
          <w:color w:val="000000"/>
          <w:lang w:val="es-ES"/>
        </w:rPr>
        <w:t xml:space="preserve">y ii) </w:t>
      </w:r>
      <w:r w:rsidRPr="008A6189">
        <w:rPr>
          <w:rFonts w:eastAsiaTheme="minorHAnsi" w:cs="Arial"/>
          <w:i/>
          <w:color w:val="000000"/>
          <w:lang w:val="es-ES"/>
        </w:rPr>
        <w:t>Gestión colectiva del derecho de autor y los derechos conexos (DL-501)</w:t>
      </w:r>
      <w:r w:rsidRPr="008A6189">
        <w:rPr>
          <w:rFonts w:eastAsiaTheme="minorHAnsi" w:cs="Arial"/>
          <w:color w:val="000000"/>
          <w:lang w:val="es-ES"/>
        </w:rPr>
        <w:t>.  La elaboración del curso de enseñanza a distancia sobre P.I. y acceso a las tecnologías médicas continuó en 2015 y en 2016/17 se prevé realizar la prueba piloto.  Del mismo modo, se empezaron a desarrollar nuevos módulos, que incluyen</w:t>
      </w:r>
      <w:proofErr w:type="gramStart"/>
      <w:r w:rsidRPr="008A6189">
        <w:rPr>
          <w:rFonts w:eastAsiaTheme="minorHAnsi" w:cs="Arial"/>
          <w:color w:val="000000"/>
          <w:lang w:val="es-ES"/>
        </w:rPr>
        <w:t>:  i</w:t>
      </w:r>
      <w:proofErr w:type="gramEnd"/>
      <w:r w:rsidRPr="008A6189">
        <w:rPr>
          <w:rFonts w:eastAsiaTheme="minorHAnsi" w:cs="Arial"/>
          <w:color w:val="000000"/>
          <w:lang w:val="es-ES"/>
        </w:rPr>
        <w:t xml:space="preserve">) </w:t>
      </w:r>
      <w:r w:rsidRPr="008A6189">
        <w:rPr>
          <w:rFonts w:eastAsiaTheme="minorHAnsi" w:cs="Arial"/>
          <w:i/>
          <w:color w:val="000000"/>
          <w:lang w:val="es-ES"/>
        </w:rPr>
        <w:t>Concesión de licencias de derecho de autor, incluyendo las de código abierto</w:t>
      </w:r>
      <w:r w:rsidRPr="008A6189">
        <w:rPr>
          <w:rFonts w:eastAsiaTheme="minorHAnsi" w:cs="Arial"/>
          <w:color w:val="000000"/>
          <w:lang w:val="es-ES"/>
        </w:rPr>
        <w:t xml:space="preserve"> y ii) </w:t>
      </w:r>
      <w:r w:rsidRPr="008A6189">
        <w:rPr>
          <w:rFonts w:eastAsiaTheme="minorHAnsi" w:cs="Arial"/>
          <w:i/>
          <w:color w:val="000000"/>
          <w:lang w:val="es-ES"/>
        </w:rPr>
        <w:t>Gestión del derecho de autor en la industria cinematográfica en África</w:t>
      </w:r>
      <w:r w:rsidRPr="008A6189">
        <w:rPr>
          <w:rFonts w:eastAsiaTheme="minorHAnsi" w:cs="Arial"/>
          <w:color w:val="000000"/>
          <w:lang w:val="es-ES"/>
        </w:rPr>
        <w:t>.  Se organizaron también cursos de formación en P.I. a medida en colaboración con oficinas de P.I. y universidades asociadas de Argentina, Bulgaria, Brasil, Camboya, China, Croacia, Egipto, Jordania, la República de Corea, México, la Federación de Rusia, Túnez, Turquía, Uruguay, Vietnam, Zambia, Zimbabwe, la Organización Regional Africana de la Propiedad Intelectual (ARIPO) y la Organización Africana de la Propiedad Intelectual (OAPI).  Otras mejoras introducidas en el Programa de enseñanza a distancia en el período 2014/15 fueron:  i) la continua aplicación de las recomendaciones de la Agenda para el Desarrollo a través de la inclusión de módulos de formación sobre flexibilidades y dominio público en los cursos de nivel avanzado y ii) la aplicación de un enfoque más sistemático en el proceso anual de revisión de cursos, con una minuciosa revisión iniciada en el período 2014/15 (fase 1) y cuyos resultados serán aplicados en cursos específicos durante el período 2016/17 (fase 2).</w:t>
      </w:r>
    </w:p>
    <w:p w:rsidR="0095318C" w:rsidRPr="008A6189" w:rsidRDefault="0095318C" w:rsidP="00DC1333">
      <w:pPr>
        <w:rPr>
          <w:szCs w:val="22"/>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El Programa de instituciones académicas de la OMPI siguió ofreciendo cursos de máster conjuntos en derecho de P.I. a los nacionales de países en desarrollo y países con economías en transición, en cooperación con distintas universidades y con la asistencia financiera del Gobierno de Japón y del Gobierno de la República de Corea en relación con cuatro programas.  En el bienio 2014/15, un total de 340 estudiantes se graduaron en el marco de los siete programas de máster conjuntos en derecho de P.I., de quienes 178, procedentes de 75 países, recibieron beca.  Durante el mismo período, 364</w:t>
      </w:r>
      <w:r w:rsidRPr="008A6189">
        <w:rPr>
          <w:rFonts w:eastAsiaTheme="minorHAnsi"/>
          <w:color w:val="000000"/>
          <w:vertAlign w:val="superscript"/>
        </w:rPr>
        <w:footnoteReference w:id="76"/>
      </w:r>
      <w:r w:rsidRPr="008A6189">
        <w:rPr>
          <w:rFonts w:eastAsiaTheme="minorHAnsi" w:cs="Arial"/>
          <w:color w:val="000000"/>
          <w:lang w:val="es-ES"/>
        </w:rPr>
        <w:t xml:space="preserve"> nuevos estudiantes empezaron alguno de los programas</w:t>
      </w:r>
      <w:r w:rsidRPr="001039BC">
        <w:rPr>
          <w:rFonts w:eastAsiaTheme="minorHAnsi"/>
          <w:color w:val="000000"/>
          <w:vertAlign w:val="superscript"/>
        </w:rPr>
        <w:footnoteReference w:id="77"/>
      </w:r>
      <w:r w:rsidRPr="008A6189">
        <w:rPr>
          <w:rFonts w:eastAsiaTheme="minorHAnsi" w:cs="Arial"/>
          <w:color w:val="000000"/>
          <w:lang w:val="es-ES"/>
        </w:rPr>
        <w:t>.  La media de aprobados para el año académico 2014/15 fue del 85%.</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 xml:space="preserve">Los programas de máster fueron ofrecidos de manera conjunta por la Academia de la OMPI e instituciones y universidades asociadas:  i) </w:t>
      </w:r>
      <w:r w:rsidRPr="008A6189">
        <w:rPr>
          <w:rFonts w:cs="Arial"/>
          <w:lang w:val="es-ES"/>
        </w:rPr>
        <w:t xml:space="preserve">la </w:t>
      </w:r>
      <w:r w:rsidRPr="008A6189">
        <w:rPr>
          <w:rFonts w:cs="Arial"/>
          <w:i/>
          <w:lang w:val="es-ES"/>
        </w:rPr>
        <w:t>Africa University</w:t>
      </w:r>
      <w:r w:rsidRPr="008A6189">
        <w:rPr>
          <w:rFonts w:cs="Arial"/>
          <w:lang w:val="es-ES"/>
        </w:rPr>
        <w:t xml:space="preserve"> (AU) y la Organización Regional Africana de la Propiedad</w:t>
      </w:r>
      <w:r w:rsidR="00A556A6">
        <w:rPr>
          <w:rFonts w:cs="Arial"/>
          <w:lang w:val="es-ES"/>
        </w:rPr>
        <w:t xml:space="preserve"> Intelectual (ARIPO) (Zimbabwe); </w:t>
      </w:r>
      <w:r w:rsidRPr="008A6189">
        <w:rPr>
          <w:rFonts w:cs="Arial"/>
          <w:lang w:val="es-ES"/>
        </w:rPr>
        <w:t xml:space="preserve"> </w:t>
      </w:r>
      <w:r w:rsidR="00A556A6">
        <w:rPr>
          <w:rFonts w:cs="Arial"/>
          <w:lang w:val="es-ES"/>
        </w:rPr>
        <w:t>i</w:t>
      </w:r>
      <w:r w:rsidRPr="008A6189">
        <w:rPr>
          <w:rFonts w:cs="Arial"/>
          <w:lang w:val="es-ES"/>
        </w:rPr>
        <w:t xml:space="preserve">i) la Universidad Austral y el Instituto Nacional de Propiedad Industrial (INPI) (Argentina), iii) la </w:t>
      </w:r>
      <w:r w:rsidRPr="008A6189">
        <w:rPr>
          <w:rFonts w:cs="Arial"/>
          <w:i/>
          <w:lang w:val="es-ES"/>
        </w:rPr>
        <w:t xml:space="preserve">Queensland University of Technology </w:t>
      </w:r>
      <w:r w:rsidR="00A556A6">
        <w:rPr>
          <w:rFonts w:cs="Arial"/>
          <w:lang w:val="es-ES"/>
        </w:rPr>
        <w:t xml:space="preserve">(QUT) (Australia); </w:t>
      </w:r>
      <w:r w:rsidRPr="008A6189">
        <w:rPr>
          <w:rFonts w:cs="Arial"/>
          <w:lang w:val="es-ES"/>
        </w:rPr>
        <w:t xml:space="preserve"> iv)</w:t>
      </w:r>
      <w:r w:rsidR="00A556A6">
        <w:rPr>
          <w:rFonts w:cs="Arial"/>
          <w:lang w:val="es-ES"/>
        </w:rPr>
        <w:t> </w:t>
      </w:r>
      <w:r w:rsidRPr="008A6189">
        <w:rPr>
          <w:rFonts w:cs="Arial"/>
          <w:lang w:val="es-ES"/>
        </w:rPr>
        <w:t>la Universidad Nacional de Seúl (SNU) y la Oficina Surcoreana de la Propiedad intelectual (KIPO) (República de Corea)</w:t>
      </w:r>
      <w:r w:rsidR="00A556A6">
        <w:rPr>
          <w:rFonts w:cs="Arial"/>
          <w:lang w:val="es-ES"/>
        </w:rPr>
        <w:t xml:space="preserve">; </w:t>
      </w:r>
      <w:r w:rsidRPr="008A6189">
        <w:rPr>
          <w:rFonts w:cs="Arial"/>
          <w:lang w:val="es-ES"/>
        </w:rPr>
        <w:t xml:space="preserve"> v) la Universidad de Turín y el Centro Internacional de Formación de la Organización Internacion</w:t>
      </w:r>
      <w:r w:rsidR="00A556A6">
        <w:rPr>
          <w:rFonts w:cs="Arial"/>
          <w:lang w:val="es-ES"/>
        </w:rPr>
        <w:t xml:space="preserve">al del Trabajo (OIT) (Italia);  </w:t>
      </w:r>
      <w:r w:rsidRPr="008A6189">
        <w:rPr>
          <w:rFonts w:cs="Arial"/>
          <w:lang w:val="es-ES"/>
        </w:rPr>
        <w:t xml:space="preserve">vi) la Universidad de Yaundé II y la Organización Africana de la Propiedad </w:t>
      </w:r>
      <w:r w:rsidR="00A556A6">
        <w:rPr>
          <w:rFonts w:cs="Arial"/>
          <w:lang w:val="es-ES"/>
        </w:rPr>
        <w:t xml:space="preserve">Intelectual (OAPI) (Camerún);  y </w:t>
      </w:r>
      <w:r w:rsidRPr="008A6189">
        <w:rPr>
          <w:rFonts w:cs="Arial"/>
          <w:lang w:val="es-ES"/>
        </w:rPr>
        <w:t>vii) la Universidad de Haifa (Israel).</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DC1333">
      <w:pPr>
        <w:pStyle w:val="ListParagraph"/>
        <w:tabs>
          <w:tab w:val="left" w:pos="142"/>
          <w:tab w:val="left" w:pos="4962"/>
        </w:tabs>
        <w:autoSpaceDE w:val="0"/>
        <w:autoSpaceDN w:val="0"/>
        <w:adjustRightInd w:val="0"/>
        <w:ind w:left="0"/>
        <w:jc w:val="both"/>
        <w:rPr>
          <w:rFonts w:eastAsiaTheme="minorHAnsi" w:cs="Arial"/>
          <w:i/>
          <w:color w:val="000000"/>
          <w:sz w:val="14"/>
          <w:szCs w:val="14"/>
          <w:lang w:val="es-ES"/>
        </w:rPr>
      </w:pPr>
      <w:r w:rsidRPr="008A6189">
        <w:rPr>
          <w:rFonts w:eastAsiaTheme="minorHAnsi" w:cs="Arial"/>
          <w:i/>
          <w:color w:val="000000"/>
          <w:sz w:val="14"/>
          <w:szCs w:val="14"/>
          <w:lang w:val="es-ES"/>
        </w:rPr>
        <w:tab/>
        <w:t>Participantes en programas de máster conjuntos en 2014/15 (por género)</w:t>
      </w:r>
      <w:r w:rsidRPr="008A6189">
        <w:rPr>
          <w:rFonts w:eastAsiaTheme="minorHAnsi" w:cs="Arial"/>
          <w:i/>
          <w:color w:val="000000"/>
          <w:sz w:val="14"/>
          <w:szCs w:val="14"/>
          <w:lang w:val="es-ES"/>
        </w:rPr>
        <w:tab/>
        <w:t>Total de nuevos estudiantes y graduados por programa en 2014/15</w:t>
      </w:r>
    </w:p>
    <w:p w:rsidR="0095318C" w:rsidRPr="008A6189" w:rsidRDefault="0095318C" w:rsidP="00DC1333">
      <w:pPr>
        <w:spacing w:after="200" w:line="240" w:lineRule="atLeast"/>
        <w:contextualSpacing/>
        <w:rPr>
          <w:rFonts w:eastAsiaTheme="minorHAnsi"/>
        </w:rPr>
      </w:pPr>
      <w:r w:rsidRPr="008A6189">
        <w:rPr>
          <w:rFonts w:eastAsiaTheme="minorHAnsi"/>
          <w:noProof/>
          <w:lang w:val="en-US" w:eastAsia="en-US"/>
        </w:rPr>
        <w:drawing>
          <wp:inline distT="0" distB="0" distL="0" distR="0" wp14:anchorId="395A5145" wp14:editId="58EC973C">
            <wp:extent cx="5941060" cy="1683398"/>
            <wp:effectExtent l="0" t="0" r="254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1060" cy="1683398"/>
                    </a:xfrm>
                    <a:prstGeom prst="rect">
                      <a:avLst/>
                    </a:prstGeom>
                    <a:noFill/>
                    <a:ln>
                      <a:noFill/>
                    </a:ln>
                  </pic:spPr>
                </pic:pic>
              </a:graphicData>
            </a:graphic>
          </wp:inline>
        </w:drawing>
      </w:r>
    </w:p>
    <w:p w:rsidR="0095318C" w:rsidRPr="008A6189" w:rsidRDefault="0095318C" w:rsidP="00436644">
      <w:pPr>
        <w:pStyle w:val="ListParagraph"/>
        <w:numPr>
          <w:ilvl w:val="0"/>
          <w:numId w:val="59"/>
        </w:numPr>
        <w:tabs>
          <w:tab w:val="left" w:pos="709"/>
        </w:tabs>
        <w:spacing w:after="200" w:line="240" w:lineRule="atLeast"/>
        <w:ind w:left="0" w:firstLine="0"/>
        <w:contextualSpacing/>
        <w:jc w:val="both"/>
        <w:rPr>
          <w:rFonts w:eastAsiaTheme="minorHAnsi"/>
          <w:lang w:val="es-ES"/>
        </w:rPr>
      </w:pPr>
      <w:r w:rsidRPr="008A6189">
        <w:rPr>
          <w:rFonts w:eastAsiaTheme="minorHAnsi"/>
          <w:lang w:val="es-ES"/>
        </w:rPr>
        <w:t>En 2014 y 2015 se organizaron dos Coloquios para profesores de P.I. en colaboración con la OMC y en beneficio de 53 profesores de P.I.</w:t>
      </w:r>
      <w:proofErr w:type="gramStart"/>
      <w:r w:rsidRPr="008A6189">
        <w:rPr>
          <w:rFonts w:eastAsiaTheme="minorHAnsi"/>
          <w:lang w:val="es-ES"/>
        </w:rPr>
        <w:t>:  (</w:t>
      </w:r>
      <w:proofErr w:type="gramEnd"/>
      <w:r w:rsidRPr="008A6189">
        <w:rPr>
          <w:rFonts w:eastAsiaTheme="minorHAnsi"/>
          <w:lang w:val="es-ES"/>
        </w:rPr>
        <w:t>27 en 2014</w:t>
      </w:r>
      <w:r w:rsidRPr="008A6189">
        <w:rPr>
          <w:rStyle w:val="FootnoteReference"/>
          <w:rFonts w:eastAsiaTheme="minorHAnsi" w:cs="Arial"/>
          <w:color w:val="000000"/>
        </w:rPr>
        <w:footnoteReference w:id="78"/>
      </w:r>
      <w:r w:rsidRPr="008A6189">
        <w:rPr>
          <w:rFonts w:eastAsiaTheme="minorHAnsi"/>
          <w:lang w:val="es-ES"/>
        </w:rPr>
        <w:t xml:space="preserve"> y 26 en 2015).  Los Coloquios siguieron </w:t>
      </w:r>
      <w:r w:rsidRPr="008A6189">
        <w:rPr>
          <w:rFonts w:eastAsiaTheme="minorHAnsi"/>
          <w:lang w:val="es-ES"/>
        </w:rPr>
        <w:lastRenderedPageBreak/>
        <w:t>constituyendo un foro de diálogo y debate sobre los últimos avances en ámbitos clave de la P.I. y sobre asuntos docentes y pedagógicos.  Los doce documentos de investigación más destacados de los expertos que participaron en el Coloquio de 2014 (representando a África, Asia, Europa Oriental y América Latina) fueron publicados en 2015.  Nueve personas recibieron becas de la OMPI para participar en la Reunión anual de la Asociación Internacional para el Progreso de la Enseñanza y de la Investigación de la Propiedad Intelectual (ATRIP).</w:t>
      </w:r>
    </w:p>
    <w:p w:rsidR="0095318C" w:rsidRPr="008A6189" w:rsidRDefault="0095318C" w:rsidP="00DC1333">
      <w:pPr>
        <w:pStyle w:val="ListParagraph"/>
        <w:tabs>
          <w:tab w:val="left" w:pos="709"/>
        </w:tabs>
        <w:autoSpaceDE w:val="0"/>
        <w:autoSpaceDN w:val="0"/>
        <w:adjustRightInd w:val="0"/>
        <w:ind w:left="0"/>
        <w:jc w:val="both"/>
        <w:rPr>
          <w:rFonts w:eastAsiaTheme="minorHAnsi" w:cs="Arial"/>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_tradnl"/>
        </w:rPr>
      </w:pPr>
      <w:r w:rsidRPr="008A6189">
        <w:rPr>
          <w:rFonts w:eastAsiaTheme="minorHAnsi" w:cs="Arial"/>
          <w:color w:val="000000"/>
          <w:lang w:val="es-ES_tradnl"/>
        </w:rPr>
        <w:t>Con respaldo de</w:t>
      </w:r>
      <w:r w:rsidRPr="008A6189">
        <w:rPr>
          <w:rFonts w:eastAsiaTheme="minorHAnsi" w:cs="Arial"/>
          <w:color w:val="000000"/>
          <w:lang w:val="es-ES"/>
        </w:rPr>
        <w:t xml:space="preserve"> la OMPI, se empezaron a ofrecer los siguientes nuevos programas de enseñanza de la P.I. en el período 2014/15</w:t>
      </w:r>
      <w:proofErr w:type="gramStart"/>
      <w:r w:rsidRPr="008A6189">
        <w:rPr>
          <w:rFonts w:eastAsiaTheme="minorHAnsi" w:cs="Arial"/>
          <w:color w:val="000000"/>
          <w:lang w:val="es-ES"/>
        </w:rPr>
        <w:t>:  i</w:t>
      </w:r>
      <w:proofErr w:type="gramEnd"/>
      <w:r w:rsidRPr="008A6189">
        <w:rPr>
          <w:rFonts w:eastAsiaTheme="minorHAnsi" w:cs="Arial"/>
          <w:color w:val="000000"/>
          <w:lang w:val="es-ES"/>
        </w:rPr>
        <w:t xml:space="preserve">) el programa de gestión de la P.I. del </w:t>
      </w:r>
      <w:r w:rsidRPr="008A6189">
        <w:rPr>
          <w:rFonts w:eastAsiaTheme="minorHAnsi" w:cs="Arial"/>
          <w:i/>
          <w:color w:val="000000"/>
          <w:lang w:val="es-ES"/>
        </w:rPr>
        <w:t xml:space="preserve">Bangladesh Institute of Management </w:t>
      </w:r>
      <w:r w:rsidRPr="008A6189">
        <w:rPr>
          <w:rFonts w:eastAsiaTheme="minorHAnsi" w:cs="Arial"/>
          <w:color w:val="000000"/>
          <w:lang w:val="es-ES"/>
        </w:rPr>
        <w:t xml:space="preserve">y ii) dos nuevos cursos sobre P.I. en la </w:t>
      </w:r>
      <w:r w:rsidRPr="008A6189">
        <w:rPr>
          <w:rFonts w:eastAsiaTheme="minorHAnsi" w:cs="Arial"/>
          <w:i/>
          <w:color w:val="000000"/>
          <w:lang w:val="es-ES"/>
        </w:rPr>
        <w:t>Africa University</w:t>
      </w:r>
      <w:r w:rsidRPr="008A6189">
        <w:rPr>
          <w:rFonts w:eastAsiaTheme="minorHAnsi" w:cs="Arial"/>
          <w:color w:val="000000"/>
          <w:lang w:val="es-ES"/>
        </w:rPr>
        <w:t xml:space="preserve">.  El apoyo brindado en el bienio 2014-15 redundará en la impartición de nuevos cursos sobre P.I. en 2016:  i) la </w:t>
      </w:r>
      <w:r w:rsidRPr="008A6189">
        <w:rPr>
          <w:rFonts w:eastAsiaTheme="minorHAnsi" w:cs="Arial"/>
          <w:i/>
          <w:color w:val="000000"/>
          <w:lang w:val="es-ES"/>
        </w:rPr>
        <w:t>University of West Indies</w:t>
      </w:r>
      <w:r w:rsidRPr="008A6189">
        <w:rPr>
          <w:rFonts w:eastAsiaTheme="minorHAnsi" w:cs="Arial"/>
          <w:color w:val="000000"/>
          <w:lang w:val="es-ES"/>
        </w:rPr>
        <w:t xml:space="preserve">, Mona Campus (Jamaica), completó el desarrollo de un nuevo </w:t>
      </w:r>
      <w:r w:rsidRPr="008A6189">
        <w:rPr>
          <w:rFonts w:eastAsiaTheme="minorHAnsi" w:cs="Arial"/>
          <w:color w:val="000000"/>
          <w:lang w:val="es-ES_tradnl"/>
        </w:rPr>
        <w:t xml:space="preserve">máster en propiedad intelectual e industrias creativas y culturales que se empezará a impartir en 2016, ii) la Universidad de Botswana finalizó el desarrollo de un nuevo curso de derecho de P.I. en el campo de la investigación que se empezará a impartir en 2016 e introdujo mejoras en los cursos I y II de derecho de P.I.  Además, cinco universidades introdujeron mejoras en sus programas de enseñanza de la P.I. existentes:  i) la Universidad de Buenos Aires (Argentina), ii) la Universidad Central de Venezuela, iii) la Universidad de Alicante (España), iv) la </w:t>
      </w:r>
      <w:r w:rsidRPr="008A6189">
        <w:rPr>
          <w:rFonts w:eastAsiaTheme="minorHAnsi" w:cs="Arial"/>
          <w:i/>
          <w:color w:val="000000"/>
          <w:lang w:val="es-ES_tradnl"/>
        </w:rPr>
        <w:t>Universitas Padjadjaran</w:t>
      </w:r>
      <w:r w:rsidRPr="008A6189">
        <w:rPr>
          <w:rFonts w:eastAsiaTheme="minorHAnsi" w:cs="Arial"/>
          <w:color w:val="000000"/>
          <w:lang w:val="es-ES_tradnl"/>
        </w:rPr>
        <w:t xml:space="preserve"> (Indonesia) y v) la Universidad de Indonesia.  Además, se impartieron 13 seminarios sobre P.I. para 309 estudiantes de grado, funcionarios gubernamentales y representantes parlamentarios en la sede de la OMPI.  Por último, se organizaron dos simposios nacionales sobre educación e investigación en materia de P.I.  (Botswana y China) y una mesa redonda subregional sobre enseñanza, investigación y formación en materia de P.I. para la región del Caribe, en colaboración con los gobiernos anfitriones.  En el período 2014/15, la Academia recibió nuevas peticiones de asociación, que examinó en sintonía con la nueva política elaborada a ese respecto.</w:t>
      </w:r>
    </w:p>
    <w:p w:rsidR="0095318C" w:rsidRPr="008A6189" w:rsidRDefault="0095318C" w:rsidP="00DC1333">
      <w:pPr>
        <w:pStyle w:val="ListParagraph"/>
        <w:tabs>
          <w:tab w:val="left" w:pos="709"/>
        </w:tabs>
        <w:autoSpaceDE w:val="0"/>
        <w:autoSpaceDN w:val="0"/>
        <w:adjustRightInd w:val="0"/>
        <w:ind w:left="0"/>
        <w:jc w:val="both"/>
        <w:rPr>
          <w:rFonts w:eastAsiaTheme="minorHAnsi"/>
          <w:color w:val="000000"/>
          <w:lang w:val="es-ES"/>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lang w:val="es-ES"/>
        </w:rPr>
      </w:pPr>
      <w:r w:rsidRPr="008A6189">
        <w:rPr>
          <w:rFonts w:eastAsiaTheme="minorHAnsi" w:cs="Arial"/>
          <w:color w:val="000000"/>
          <w:lang w:val="es-ES_tradnl"/>
        </w:rPr>
        <w:t>En 2014/15, la Academia organizó 19 sesiones del Programa de cursos de verano de la OMPI en tres idiomas (español, inglés y ruso), en cooperación con 12 instituciones nacionales de Chile, China, Croacia, Estados Unidos, la Federación de Rusia, India, Jamaica, México, la República de Corea, Singapur, Sudáfrica y Suiza.  Un total de 689 participantes procedentes de ochenta países asistieron a los cursos de verano;  la mayor parte de ellos procedía de América Latina y el Caribe (300 participantes, es decir, el 43%), seguidos de los participantes de países de Asia y el Pacífico (190, es decir, el 28%).  Un 20% procedía de Europa y un 9% de África.  De los 689 participantes en 2014/15, 369, el 57%, fueron mujeres y 299, el 43%, hombres.  El Gobierno de Japón concedió 20 becas a participantes en las sesiones de Sudáfrica, mientras que el Gobierno de la República de Corea concedió 16 para participar en las sesiones de la República de Corea</w:t>
      </w:r>
      <w:r w:rsidRPr="008A6189">
        <w:rPr>
          <w:rFonts w:eastAsiaTheme="minorHAnsi" w:cs="Arial"/>
          <w:lang w:val="es-ES"/>
        </w:rPr>
        <w:t>.  Las sesiones del Programa de cursos de verano siguieron realizándose por rotación, tomando en consideración el equilibrio geográfico.</w:t>
      </w:r>
    </w:p>
    <w:p w:rsidR="0095318C" w:rsidRPr="008A6189" w:rsidRDefault="0095318C" w:rsidP="00DC1333">
      <w:pPr>
        <w:pStyle w:val="Caption"/>
        <w:keepNext/>
        <w:jc w:val="center"/>
        <w:rPr>
          <w:b w:val="0"/>
          <w:i/>
          <w:sz w:val="20"/>
        </w:rPr>
      </w:pPr>
    </w:p>
    <w:p w:rsidR="0095318C" w:rsidRPr="008A6189" w:rsidRDefault="0095318C" w:rsidP="00DC1333">
      <w:pPr>
        <w:pStyle w:val="Caption"/>
        <w:keepNext/>
        <w:jc w:val="center"/>
        <w:rPr>
          <w:b w:val="0"/>
          <w:i/>
          <w:sz w:val="20"/>
        </w:rPr>
      </w:pPr>
      <w:r w:rsidRPr="008A6189">
        <w:rPr>
          <w:b w:val="0"/>
          <w:i/>
          <w:sz w:val="20"/>
        </w:rPr>
        <w:t>Participantes en el Programa de cursos de verano de la OMPI en 2014 y 2015 (por género)</w:t>
      </w:r>
    </w:p>
    <w:p w:rsidR="0095318C" w:rsidRPr="008A6189" w:rsidRDefault="0095318C" w:rsidP="00DC1333">
      <w:pPr>
        <w:spacing w:after="200" w:line="240" w:lineRule="atLeast"/>
        <w:contextualSpacing/>
        <w:jc w:val="center"/>
        <w:rPr>
          <w:rFonts w:eastAsiaTheme="minorHAnsi"/>
        </w:rPr>
      </w:pPr>
      <w:r w:rsidRPr="008A6189">
        <w:rPr>
          <w:rFonts w:eastAsiaTheme="minorHAnsi"/>
          <w:noProof/>
          <w:lang w:val="en-US" w:eastAsia="en-US"/>
        </w:rPr>
        <w:drawing>
          <wp:inline distT="0" distB="0" distL="0" distR="0" wp14:anchorId="0772CA78" wp14:editId="59CDFFC3">
            <wp:extent cx="4743450" cy="2912529"/>
            <wp:effectExtent l="0" t="0" r="0" b="2540"/>
            <wp:docPr id="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743450" cy="2912529"/>
                    </a:xfrm>
                    <a:prstGeom prst="rect">
                      <a:avLst/>
                    </a:prstGeom>
                    <a:noFill/>
                  </pic:spPr>
                </pic:pic>
              </a:graphicData>
            </a:graphic>
          </wp:inline>
        </w:drawing>
      </w:r>
    </w:p>
    <w:p w:rsidR="0095318C" w:rsidRPr="008A6189" w:rsidRDefault="0095318C" w:rsidP="00DC1333">
      <w:pPr>
        <w:spacing w:after="200" w:line="240" w:lineRule="atLeast"/>
        <w:contextualSpacing/>
        <w:jc w:val="both"/>
        <w:rPr>
          <w:rFonts w:eastAsiaTheme="minorHAnsi"/>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 xml:space="preserve">En 2014, el proyecto sobre establecimiento de academias nacionales de P.I. se incorporó a los programas ordinarios de la Academia de la OMPI tras la presentación y aprobación de un informe </w:t>
      </w:r>
      <w:r w:rsidRPr="008A6189">
        <w:rPr>
          <w:rFonts w:eastAsiaTheme="minorHAnsi" w:cs="Arial"/>
          <w:color w:val="000000"/>
          <w:lang w:val="es-ES"/>
        </w:rPr>
        <w:lastRenderedPageBreak/>
        <w:t>externo independiente de evaluación del mismo en la decimocuarta sesión del CDIP.  La cooperación continuó a lo largo del bienio con la apertura de seis nuevas academias nacionales durante la fase de proyecto del CDIP (Colombia, Egipto, Etiopía, República Dominicana, Perú y Túnez).  Se firmaron nuevos acuerdos con los gobiernos de Azerbaiyán, Camboya, Costa Rica, Ecuador, El Salvador, Georgia y Turquía para el establecimiento de academias nacionales de P.I.  Durante 2014/15, se recibieron nuevas peticiones de asistencia para la creación de academias nacionales de P.I. por parte de los Estados miembros, a las que se dará curso en el período 2016/17.</w:t>
      </w:r>
    </w:p>
    <w:p w:rsidR="0095318C" w:rsidRPr="008A6189" w:rsidRDefault="0095318C" w:rsidP="00DC1333">
      <w:pPr>
        <w:tabs>
          <w:tab w:val="left" w:pos="709"/>
        </w:tabs>
        <w:autoSpaceDE w:val="0"/>
        <w:autoSpaceDN w:val="0"/>
        <w:adjustRightInd w:val="0"/>
        <w:jc w:val="both"/>
        <w:rPr>
          <w:rFonts w:eastAsiaTheme="minorHAnsi"/>
          <w:color w:val="000000"/>
        </w:rPr>
      </w:pPr>
    </w:p>
    <w:p w:rsidR="0095318C" w:rsidRPr="008A6189" w:rsidRDefault="0095318C" w:rsidP="00DC1333">
      <w:pPr>
        <w:tabs>
          <w:tab w:val="left" w:pos="709"/>
        </w:tabs>
        <w:autoSpaceDE w:val="0"/>
        <w:autoSpaceDN w:val="0"/>
        <w:adjustRightInd w:val="0"/>
        <w:jc w:val="both"/>
        <w:rPr>
          <w:rFonts w:eastAsiaTheme="minorHAnsi"/>
          <w:color w:val="000000"/>
        </w:rPr>
      </w:pPr>
    </w:p>
    <w:p w:rsidR="0095318C" w:rsidRPr="008A6189" w:rsidRDefault="008F7CBE" w:rsidP="00DC1333">
      <w:pPr>
        <w:spacing w:after="200" w:line="240" w:lineRule="atLeast"/>
        <w:contextualSpacing/>
        <w:jc w:val="both"/>
        <w:rPr>
          <w:szCs w:val="22"/>
        </w:rPr>
      </w:pPr>
      <w:r w:rsidRPr="008F7CBE">
        <w:rPr>
          <w:sz w:val="20"/>
          <w:szCs w:val="22"/>
        </w:rPr>
        <w:t>DATOS SOBRE EL RENDIMIENTO</w:t>
      </w:r>
    </w:p>
    <w:p w:rsidR="0095318C" w:rsidRPr="008A6189" w:rsidRDefault="0095318C" w:rsidP="00DC1333">
      <w:pPr>
        <w:autoSpaceDE w:val="0"/>
        <w:autoSpaceDN w:val="0"/>
        <w:adjustRightInd w:val="0"/>
        <w:rPr>
          <w:rFonts w:eastAsiaTheme="minorHAnsi"/>
          <w:color w:val="000000"/>
          <w:sz w:val="18"/>
        </w:rPr>
      </w:pPr>
    </w:p>
    <w:tbl>
      <w:tblPr>
        <w:tblW w:w="4962" w:type="pct"/>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2694"/>
        <w:gridCol w:w="1417"/>
        <w:gridCol w:w="2128"/>
        <w:gridCol w:w="1278"/>
      </w:tblGrid>
      <w:tr w:rsidR="0095318C" w:rsidRPr="002779F3" w:rsidTr="00DC1333">
        <w:tc>
          <w:tcPr>
            <w:tcW w:w="5000" w:type="pct"/>
            <w:gridSpan w:val="5"/>
            <w:tcBorders>
              <w:top w:val="single" w:sz="4" w:space="0" w:color="auto"/>
              <w:bottom w:val="single" w:sz="4" w:space="0" w:color="auto"/>
            </w:tcBorders>
            <w:shd w:val="clear" w:color="auto" w:fill="C6D9F1" w:themeFill="text2" w:themeFillTint="33"/>
          </w:tcPr>
          <w:p w:rsidR="0095318C" w:rsidRPr="008A6189" w:rsidRDefault="0095318C" w:rsidP="00DC1333">
            <w:pPr>
              <w:spacing w:before="120" w:after="120"/>
              <w:ind w:left="2019" w:hanging="2019"/>
              <w:jc w:val="both"/>
              <w:rPr>
                <w:sz w:val="16"/>
                <w:szCs w:val="16"/>
                <w:lang w:val="es-ES_tradnl"/>
              </w:rPr>
            </w:pPr>
            <w:r w:rsidRPr="008A6189">
              <w:rPr>
                <w:b/>
                <w:bCs/>
                <w:sz w:val="16"/>
                <w:szCs w:val="16"/>
                <w:lang w:val="es-ES_tradnl"/>
              </w:rPr>
              <w:t>Resultado previsto:</w:t>
            </w:r>
            <w:r w:rsidRPr="008A6189">
              <w:rPr>
                <w:b/>
                <w:bCs/>
                <w:sz w:val="16"/>
                <w:szCs w:val="16"/>
                <w:lang w:val="es-ES_tradnl"/>
              </w:rPr>
              <w:tab/>
            </w:r>
            <w:r w:rsidRPr="008A6189">
              <w:rPr>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95318C" w:rsidRPr="008A6189" w:rsidTr="00DC1333">
        <w:tc>
          <w:tcPr>
            <w:tcW w:w="1043" w:type="pct"/>
            <w:tcBorders>
              <w:top w:val="single" w:sz="4" w:space="0" w:color="auto"/>
              <w:bottom w:val="nil"/>
            </w:tcBorders>
            <w:shd w:val="clear" w:color="auto" w:fill="auto"/>
          </w:tcPr>
          <w:p w:rsidR="0095318C" w:rsidRPr="008A6189" w:rsidRDefault="0095318C" w:rsidP="00DC1333">
            <w:pPr>
              <w:rPr>
                <w:sz w:val="16"/>
                <w:szCs w:val="16"/>
                <w:lang w:val="es-ES_tradnl"/>
              </w:rPr>
            </w:pPr>
            <w:r w:rsidRPr="008A6189">
              <w:rPr>
                <w:b/>
                <w:sz w:val="16"/>
                <w:szCs w:val="16"/>
                <w:lang w:val="es-ES_tradnl"/>
              </w:rPr>
              <w:t>Indicadores de rendimiento</w:t>
            </w:r>
          </w:p>
        </w:tc>
        <w:tc>
          <w:tcPr>
            <w:tcW w:w="1418" w:type="pct"/>
            <w:tcBorders>
              <w:top w:val="single" w:sz="4" w:space="0" w:color="auto"/>
              <w:bottom w:val="nil"/>
            </w:tcBorders>
            <w:shd w:val="clear" w:color="auto" w:fill="auto"/>
          </w:tcPr>
          <w:p w:rsidR="0095318C" w:rsidRPr="008A6189" w:rsidRDefault="0095318C" w:rsidP="00DC1333">
            <w:pPr>
              <w:rPr>
                <w:sz w:val="16"/>
                <w:szCs w:val="16"/>
                <w:lang w:val="es-ES_tradnl"/>
              </w:rPr>
            </w:pPr>
            <w:r w:rsidRPr="008A6189">
              <w:rPr>
                <w:b/>
                <w:sz w:val="16"/>
                <w:szCs w:val="16"/>
                <w:lang w:val="es-ES_tradnl"/>
              </w:rPr>
              <w:t>Referencia</w:t>
            </w:r>
          </w:p>
        </w:tc>
        <w:tc>
          <w:tcPr>
            <w:tcW w:w="746" w:type="pct"/>
            <w:tcBorders>
              <w:top w:val="single" w:sz="4" w:space="0" w:color="auto"/>
              <w:bottom w:val="nil"/>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b/>
                <w:sz w:val="16"/>
                <w:szCs w:val="16"/>
                <w:lang w:val="es-ES_tradnl"/>
              </w:rPr>
              <w:t>Objetivos</w:t>
            </w:r>
          </w:p>
        </w:tc>
        <w:tc>
          <w:tcPr>
            <w:tcW w:w="1120" w:type="pct"/>
            <w:tcBorders>
              <w:top w:val="single" w:sz="4" w:space="0" w:color="auto"/>
              <w:bottom w:val="nil"/>
            </w:tcBorders>
            <w:shd w:val="clear" w:color="auto" w:fill="FFFFFF"/>
            <w:tcMar>
              <w:top w:w="110" w:type="dxa"/>
            </w:tcMar>
          </w:tcPr>
          <w:p w:rsidR="0095318C" w:rsidRPr="008A6189" w:rsidRDefault="0095318C" w:rsidP="00DC1333">
            <w:pPr>
              <w:rPr>
                <w:color w:val="00B0F0"/>
                <w:sz w:val="16"/>
                <w:szCs w:val="16"/>
                <w:lang w:val="es-ES_tradnl"/>
              </w:rPr>
            </w:pPr>
            <w:r w:rsidRPr="008A6189">
              <w:rPr>
                <w:b/>
                <w:sz w:val="16"/>
                <w:szCs w:val="16"/>
                <w:lang w:val="es-ES_tradnl"/>
              </w:rPr>
              <w:t>Datos sobre el rendimiento</w:t>
            </w:r>
          </w:p>
        </w:tc>
        <w:tc>
          <w:tcPr>
            <w:tcW w:w="672" w:type="pct"/>
            <w:tcBorders>
              <w:top w:val="single" w:sz="4" w:space="0" w:color="auto"/>
              <w:bottom w:val="nil"/>
            </w:tcBorders>
            <w:shd w:val="clear" w:color="auto" w:fill="auto"/>
            <w:tcMar>
              <w:top w:w="110" w:type="dxa"/>
            </w:tcMar>
          </w:tcPr>
          <w:p w:rsidR="0095318C" w:rsidRPr="008A6189" w:rsidRDefault="0095318C" w:rsidP="00DC1333">
            <w:pPr>
              <w:jc w:val="center"/>
              <w:rPr>
                <w:b/>
                <w:bCs/>
                <w:color w:val="00B0F0"/>
                <w:sz w:val="16"/>
                <w:szCs w:val="16"/>
                <w:lang w:val="es-ES_tradnl"/>
              </w:rPr>
            </w:pPr>
            <w:r w:rsidRPr="008A6189">
              <w:rPr>
                <w:b/>
                <w:sz w:val="16"/>
                <w:szCs w:val="16"/>
                <w:lang w:val="es-ES_tradnl"/>
              </w:rPr>
              <w:t>Clave de colores</w:t>
            </w:r>
          </w:p>
        </w:tc>
      </w:tr>
      <w:tr w:rsidR="0095318C" w:rsidRPr="008A6189" w:rsidTr="00DC1333">
        <w:trPr>
          <w:trHeight w:val="1754"/>
        </w:trPr>
        <w:tc>
          <w:tcPr>
            <w:tcW w:w="1043" w:type="pct"/>
            <w:tcBorders>
              <w:top w:val="nil"/>
              <w:bottom w:val="single" w:sz="4" w:space="0" w:color="auto"/>
            </w:tcBorders>
            <w:shd w:val="clear" w:color="auto" w:fill="auto"/>
          </w:tcPr>
          <w:p w:rsidR="0095318C" w:rsidRPr="008A6189" w:rsidRDefault="0095318C" w:rsidP="00DC1333">
            <w:pPr>
              <w:rPr>
                <w:sz w:val="16"/>
                <w:szCs w:val="16"/>
                <w:lang w:val="es-ES_tradnl"/>
              </w:rPr>
            </w:pPr>
            <w:r w:rsidRPr="008A6189">
              <w:rPr>
                <w:sz w:val="16"/>
                <w:szCs w:val="16"/>
                <w:lang w:val="es-ES_tradnl"/>
              </w:rPr>
              <w:t>Cartera revisada de cursos de formación en P.I. para los países en desarrollo, PMA y países con economías en transición/ Pertinencia del contenido de los cursos de formación para las necesidades de fortalecimiento de capacidades de los países en desarrollo, los PMA y los países con economías en transición</w:t>
            </w:r>
          </w:p>
        </w:tc>
        <w:tc>
          <w:tcPr>
            <w:tcW w:w="1418" w:type="pct"/>
            <w:tcBorders>
              <w:top w:val="nil"/>
              <w:bottom w:val="single" w:sz="4" w:space="0" w:color="auto"/>
            </w:tcBorders>
            <w:shd w:val="clear" w:color="auto" w:fill="auto"/>
          </w:tcPr>
          <w:p w:rsidR="0095318C" w:rsidRPr="008A6189" w:rsidRDefault="0095318C" w:rsidP="00DC1333">
            <w:pPr>
              <w:rPr>
                <w:sz w:val="16"/>
                <w:szCs w:val="16"/>
                <w:lang w:val="es-ES_tradnl"/>
              </w:rPr>
            </w:pPr>
            <w:r w:rsidRPr="008A6189">
              <w:rPr>
                <w:sz w:val="16"/>
                <w:szCs w:val="16"/>
                <w:lang w:val="es-ES_tradnl"/>
              </w:rPr>
              <w:t>No se ha revisado la cartera de manera global desde la creación de la Academia</w:t>
            </w:r>
          </w:p>
        </w:tc>
        <w:tc>
          <w:tcPr>
            <w:tcW w:w="746" w:type="pct"/>
            <w:tcBorders>
              <w:top w:val="nil"/>
              <w:bottom w:val="single" w:sz="4" w:space="0" w:color="auto"/>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t>Cartera revisada disponible a fines del bienio</w:t>
            </w:r>
          </w:p>
        </w:tc>
        <w:tc>
          <w:tcPr>
            <w:tcW w:w="1120" w:type="pct"/>
            <w:tcBorders>
              <w:top w:val="nil"/>
              <w:bottom w:val="single" w:sz="4" w:space="0" w:color="auto"/>
            </w:tcBorders>
            <w:shd w:val="clear" w:color="auto" w:fill="FFFFFF"/>
            <w:tcMar>
              <w:top w:w="110" w:type="dxa"/>
            </w:tcMar>
          </w:tcPr>
          <w:p w:rsidR="0095318C" w:rsidRPr="008A6189" w:rsidRDefault="0095318C" w:rsidP="00DC1333">
            <w:pPr>
              <w:rPr>
                <w:sz w:val="16"/>
                <w:szCs w:val="16"/>
                <w:lang w:val="es-ES_tradnl"/>
              </w:rPr>
            </w:pPr>
            <w:r w:rsidRPr="008A6189">
              <w:rPr>
                <w:sz w:val="16"/>
                <w:szCs w:val="16"/>
                <w:lang w:val="es-ES_tradnl"/>
              </w:rPr>
              <w:t>La revisión de la cartera de cursos de formación se complete en 2015.  La cartera de cursos de formación se revisó en base a los resultados de la encuesta de necesidades de formación realizada en 2015.</w:t>
            </w:r>
          </w:p>
          <w:p w:rsidR="0095318C" w:rsidRPr="008A6189" w:rsidRDefault="0095318C" w:rsidP="00DC1333">
            <w:pPr>
              <w:rPr>
                <w:sz w:val="16"/>
                <w:szCs w:val="16"/>
                <w:lang w:val="es-ES_tradnl"/>
              </w:rPr>
            </w:pPr>
          </w:p>
        </w:tc>
        <w:tc>
          <w:tcPr>
            <w:tcW w:w="672" w:type="pct"/>
            <w:tcBorders>
              <w:top w:val="nil"/>
              <w:bottom w:val="single" w:sz="4" w:space="0" w:color="auto"/>
            </w:tcBorders>
            <w:shd w:val="clear" w:color="auto" w:fill="auto"/>
            <w:tcMar>
              <w:top w:w="110" w:type="dxa"/>
            </w:tcMar>
          </w:tcPr>
          <w:p w:rsidR="0095318C" w:rsidRPr="008A6189" w:rsidRDefault="0095318C" w:rsidP="00DC1333">
            <w:pPr>
              <w:jc w:val="center"/>
              <w:rPr>
                <w:b/>
                <w:bCs/>
                <w:sz w:val="16"/>
                <w:szCs w:val="16"/>
                <w:lang w:val="es-ES_tradnl"/>
              </w:rPr>
            </w:pPr>
            <w:r w:rsidRPr="008A6189">
              <w:rPr>
                <w:b/>
                <w:bCs/>
                <w:color w:val="00B050"/>
                <w:sz w:val="16"/>
                <w:szCs w:val="16"/>
                <w:lang w:val="es-ES_tradnl"/>
              </w:rPr>
              <w:t>Plenamente logrado</w:t>
            </w:r>
          </w:p>
        </w:tc>
      </w:tr>
      <w:tr w:rsidR="0095318C" w:rsidRPr="008A6189" w:rsidTr="00DC1333">
        <w:trPr>
          <w:trHeight w:val="3909"/>
        </w:trPr>
        <w:tc>
          <w:tcPr>
            <w:tcW w:w="1043" w:type="pct"/>
            <w:tcBorders>
              <w:top w:val="single" w:sz="4" w:space="0" w:color="auto"/>
              <w:left w:val="single" w:sz="4" w:space="0" w:color="auto"/>
              <w:bottom w:val="nil"/>
            </w:tcBorders>
            <w:shd w:val="clear" w:color="auto" w:fill="auto"/>
          </w:tcPr>
          <w:p w:rsidR="0095318C" w:rsidRPr="008A6189" w:rsidRDefault="0095318C" w:rsidP="00DC1333">
            <w:pPr>
              <w:rPr>
                <w:sz w:val="16"/>
                <w:szCs w:val="16"/>
                <w:lang w:val="es-ES_tradnl"/>
              </w:rPr>
            </w:pPr>
            <w:r w:rsidRPr="008A6189">
              <w:rPr>
                <w:sz w:val="16"/>
                <w:szCs w:val="16"/>
                <w:lang w:val="es-ES_tradnl"/>
              </w:rPr>
              <w:t>Acceso ampliado y plurilingüe a la enseñanza a distancia de diversos aspectos de la P.I. para los países en desarrollo, los PMA y los países con economías en transición / Pertinencia del contenido de la cartera de cursos de enseñanza a distancia para las necesidades de fortalecimiento de capacidades de los países en desarrollo, los PMA y los países con economías en transición</w:t>
            </w: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p w:rsidR="0095318C" w:rsidRPr="008A6189" w:rsidRDefault="0095318C" w:rsidP="00DC1333">
            <w:pPr>
              <w:rPr>
                <w:sz w:val="16"/>
                <w:szCs w:val="16"/>
                <w:lang w:val="es-ES_tradnl"/>
              </w:rPr>
            </w:pPr>
          </w:p>
        </w:tc>
        <w:tc>
          <w:tcPr>
            <w:tcW w:w="1418" w:type="pct"/>
            <w:tcBorders>
              <w:top w:val="single" w:sz="4" w:space="0" w:color="auto"/>
              <w:bottom w:val="nil"/>
            </w:tcBorders>
            <w:shd w:val="clear" w:color="auto" w:fill="auto"/>
          </w:tcPr>
          <w:p w:rsidR="0095318C" w:rsidRPr="008A6189" w:rsidRDefault="0095318C" w:rsidP="00DC1333">
            <w:pPr>
              <w:rPr>
                <w:i/>
                <w:color w:val="002060"/>
                <w:sz w:val="16"/>
                <w:szCs w:val="16"/>
                <w:lang w:val="es-ES_tradnl"/>
              </w:rPr>
            </w:pPr>
            <w:r w:rsidRPr="008A6189">
              <w:rPr>
                <w:i/>
                <w:color w:val="002060"/>
                <w:sz w:val="16"/>
                <w:szCs w:val="16"/>
                <w:lang w:val="es-ES_tradnl"/>
              </w:rPr>
              <w:t xml:space="preserve">Referencia actualizada a fines de 2013:  </w:t>
            </w:r>
          </w:p>
          <w:p w:rsidR="0095318C" w:rsidRPr="008A6189" w:rsidRDefault="0095318C" w:rsidP="00DC1333">
            <w:pPr>
              <w:rPr>
                <w:color w:val="002060"/>
                <w:sz w:val="16"/>
                <w:szCs w:val="16"/>
                <w:lang w:val="es-ES_tradnl"/>
              </w:rPr>
            </w:pPr>
            <w:r w:rsidRPr="008A6189">
              <w:rPr>
                <w:color w:val="002060"/>
                <w:sz w:val="16"/>
                <w:szCs w:val="16"/>
                <w:lang w:val="es-ES_tradnl"/>
              </w:rPr>
              <w:t>En 2013:</w:t>
            </w:r>
          </w:p>
          <w:p w:rsidR="0095318C" w:rsidRPr="008A6189" w:rsidRDefault="0095318C" w:rsidP="0095318C">
            <w:pPr>
              <w:pStyle w:val="ListParagraph"/>
              <w:numPr>
                <w:ilvl w:val="0"/>
                <w:numId w:val="58"/>
              </w:numPr>
              <w:ind w:left="175" w:hanging="175"/>
              <w:rPr>
                <w:rFonts w:cs="Arial"/>
                <w:color w:val="002060"/>
                <w:sz w:val="16"/>
                <w:szCs w:val="16"/>
                <w:lang w:val="es-ES_tradnl"/>
              </w:rPr>
            </w:pPr>
            <w:r w:rsidRPr="008A6189">
              <w:rPr>
                <w:rFonts w:cs="Arial"/>
                <w:color w:val="002060"/>
                <w:sz w:val="16"/>
                <w:szCs w:val="16"/>
                <w:lang w:val="es-ES_tradnl"/>
              </w:rPr>
              <w:t>5 cursos de enseñanza a distancia disponibles en los 6 idiomas de las NN.UU. y en portugués;</w:t>
            </w:r>
          </w:p>
          <w:p w:rsidR="0095318C" w:rsidRPr="008A6189" w:rsidRDefault="0095318C" w:rsidP="0095318C">
            <w:pPr>
              <w:pStyle w:val="ListParagraph"/>
              <w:numPr>
                <w:ilvl w:val="0"/>
                <w:numId w:val="58"/>
              </w:numPr>
              <w:ind w:left="175" w:hanging="175"/>
              <w:rPr>
                <w:rFonts w:cs="Arial"/>
                <w:color w:val="002060"/>
                <w:sz w:val="16"/>
                <w:szCs w:val="16"/>
                <w:lang w:val="es-ES_tradnl"/>
              </w:rPr>
            </w:pPr>
            <w:r w:rsidRPr="008A6189">
              <w:rPr>
                <w:rFonts w:cs="Arial"/>
                <w:color w:val="002060"/>
                <w:sz w:val="16"/>
                <w:szCs w:val="16"/>
                <w:lang w:val="es-ES_tradnl"/>
              </w:rPr>
              <w:t>2 cursos de enseñanza a distancia disponibles en 5 idiomas de las NN.UU. y en portugués;</w:t>
            </w:r>
          </w:p>
          <w:p w:rsidR="0095318C" w:rsidRPr="008A6189" w:rsidRDefault="0095318C" w:rsidP="0095318C">
            <w:pPr>
              <w:pStyle w:val="ListParagraph"/>
              <w:numPr>
                <w:ilvl w:val="0"/>
                <w:numId w:val="58"/>
              </w:numPr>
              <w:ind w:left="175" w:hanging="175"/>
              <w:rPr>
                <w:rFonts w:cs="Arial"/>
                <w:color w:val="002060"/>
                <w:sz w:val="16"/>
                <w:szCs w:val="16"/>
                <w:lang w:val="es-ES_tradnl"/>
              </w:rPr>
            </w:pPr>
            <w:r w:rsidRPr="008A6189">
              <w:rPr>
                <w:rFonts w:cs="Arial"/>
                <w:color w:val="002060"/>
                <w:sz w:val="16"/>
                <w:szCs w:val="16"/>
                <w:lang w:val="es-ES_tradnl"/>
              </w:rPr>
              <w:t xml:space="preserve">1 curso disponible en 4 idiomas de las NN.UU. y en portugués;  </w:t>
            </w:r>
          </w:p>
          <w:p w:rsidR="0095318C" w:rsidRPr="008A6189" w:rsidRDefault="0095318C" w:rsidP="0095318C">
            <w:pPr>
              <w:pStyle w:val="ListParagraph"/>
              <w:numPr>
                <w:ilvl w:val="0"/>
                <w:numId w:val="58"/>
              </w:numPr>
              <w:ind w:left="175" w:hanging="175"/>
              <w:rPr>
                <w:rFonts w:cs="Arial"/>
                <w:color w:val="002060"/>
                <w:sz w:val="16"/>
                <w:szCs w:val="16"/>
                <w:lang w:val="es-ES_tradnl"/>
              </w:rPr>
            </w:pPr>
            <w:r w:rsidRPr="008A6189">
              <w:rPr>
                <w:rFonts w:cs="Arial"/>
                <w:color w:val="002060"/>
                <w:sz w:val="16"/>
                <w:szCs w:val="16"/>
                <w:lang w:val="es-ES_tradnl"/>
              </w:rPr>
              <w:t>4 cursos de enseñanza a distancia disponibles únicamente en inglés</w:t>
            </w:r>
          </w:p>
          <w:p w:rsidR="0095318C" w:rsidRPr="008A6189" w:rsidRDefault="0095318C" w:rsidP="00DC1333">
            <w:pPr>
              <w:rPr>
                <w:sz w:val="16"/>
                <w:szCs w:val="16"/>
                <w:lang w:val="es-ES_tradnl" w:bidi="th-TH"/>
              </w:rPr>
            </w:pPr>
          </w:p>
          <w:p w:rsidR="0095318C" w:rsidRPr="008A6189" w:rsidRDefault="0095318C" w:rsidP="00DC1333">
            <w:pPr>
              <w:rPr>
                <w:sz w:val="16"/>
                <w:szCs w:val="16"/>
                <w:lang w:val="es-ES_tradnl" w:bidi="th-TH"/>
              </w:rPr>
            </w:pPr>
            <w:r w:rsidRPr="008A6189">
              <w:rPr>
                <w:sz w:val="16"/>
                <w:szCs w:val="16"/>
                <w:lang w:val="es-ES_tradnl" w:bidi="th-TH"/>
              </w:rPr>
              <w:t>El 70% de los participantes e</w:t>
            </w:r>
            <w:r w:rsidRPr="008A6189">
              <w:rPr>
                <w:sz w:val="16"/>
                <w:szCs w:val="16"/>
                <w:lang w:val="es-ES_tradnl"/>
              </w:rPr>
              <w:t xml:space="preserve">n los cursos de nivel avanzado indicó que su rendimiento </w:t>
            </w:r>
            <w:r w:rsidRPr="008A6189">
              <w:rPr>
                <w:sz w:val="16"/>
                <w:szCs w:val="16"/>
                <w:lang w:val="es-ES_tradnl" w:bidi="th-TH"/>
              </w:rPr>
              <w:t>profesional y/o académico mejoró como consecuencia de la participación en el curso de enseñanza a distancia.</w:t>
            </w:r>
          </w:p>
          <w:p w:rsidR="0095318C" w:rsidRPr="008A6189" w:rsidRDefault="0095318C" w:rsidP="00DC1333">
            <w:pPr>
              <w:rPr>
                <w:i/>
                <w:color w:val="002060"/>
                <w:sz w:val="16"/>
                <w:szCs w:val="16"/>
                <w:lang w:val="es-ES_tradnl"/>
              </w:rPr>
            </w:pPr>
            <w:r w:rsidRPr="008A6189">
              <w:rPr>
                <w:i/>
                <w:sz w:val="16"/>
                <w:szCs w:val="16"/>
                <w:lang w:val="es-ES_tradnl" w:bidi="th-TH"/>
              </w:rPr>
              <w:t xml:space="preserve">Referencia original en el presupuesto de 2014-15:  </w:t>
            </w:r>
            <w:r w:rsidRPr="008A6189">
              <w:rPr>
                <w:sz w:val="16"/>
                <w:szCs w:val="16"/>
                <w:lang w:val="es-ES_tradnl"/>
              </w:rPr>
              <w:t>No todos los cursos están disponibles en todos los idiomas;  el personal de la Academia es el único encargado de revisar el contenido de los cursos de manera ocasional</w:t>
            </w:r>
          </w:p>
        </w:tc>
        <w:tc>
          <w:tcPr>
            <w:tcW w:w="746" w:type="pct"/>
            <w:tcBorders>
              <w:top w:val="single" w:sz="4" w:space="0" w:color="auto"/>
              <w:bottom w:val="nil"/>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t>Todos los cursos disponibles en los idiomas de NN.UU.</w:t>
            </w:r>
          </w:p>
        </w:tc>
        <w:tc>
          <w:tcPr>
            <w:tcW w:w="1120" w:type="pct"/>
            <w:tcBorders>
              <w:top w:val="single" w:sz="4" w:space="0" w:color="auto"/>
              <w:bottom w:val="nil"/>
            </w:tcBorders>
            <w:shd w:val="clear" w:color="auto" w:fill="FFFFFF"/>
            <w:tcMar>
              <w:top w:w="110" w:type="dxa"/>
            </w:tcMar>
          </w:tcPr>
          <w:p w:rsidR="0095318C" w:rsidRPr="008A6189" w:rsidRDefault="0095318C" w:rsidP="00DC1333">
            <w:pPr>
              <w:rPr>
                <w:sz w:val="16"/>
                <w:szCs w:val="16"/>
                <w:lang w:val="es-ES_tradnl" w:bidi="th-TH"/>
              </w:rPr>
            </w:pPr>
            <w:r w:rsidRPr="008A6189">
              <w:rPr>
                <w:sz w:val="16"/>
                <w:szCs w:val="16"/>
                <w:lang w:val="es-ES_tradnl" w:bidi="th-TH"/>
              </w:rPr>
              <w:t>En 2014-15:</w:t>
            </w:r>
          </w:p>
          <w:p w:rsidR="0095318C" w:rsidRPr="008A6189" w:rsidRDefault="0095318C" w:rsidP="00DC1333">
            <w:pPr>
              <w:rPr>
                <w:sz w:val="16"/>
                <w:szCs w:val="16"/>
                <w:lang w:val="es-ES_tradnl" w:bidi="th-TH"/>
              </w:rPr>
            </w:pPr>
          </w:p>
          <w:p w:rsidR="0095318C" w:rsidRPr="008A6189" w:rsidRDefault="0095318C" w:rsidP="0095318C">
            <w:pPr>
              <w:pStyle w:val="ListParagraph"/>
              <w:numPr>
                <w:ilvl w:val="0"/>
                <w:numId w:val="65"/>
              </w:numPr>
              <w:ind w:left="176" w:hanging="176"/>
              <w:rPr>
                <w:rFonts w:cs="Arial"/>
                <w:sz w:val="16"/>
                <w:szCs w:val="16"/>
                <w:lang w:val="es-ES_tradnl" w:bidi="th-TH"/>
              </w:rPr>
            </w:pPr>
            <w:r w:rsidRPr="008A6189">
              <w:rPr>
                <w:rFonts w:cs="Arial"/>
                <w:sz w:val="16"/>
                <w:szCs w:val="16"/>
                <w:lang w:val="es-ES_tradnl" w:bidi="th-TH"/>
              </w:rPr>
              <w:t>11 cursos de enseñanza a distancia disponibles en los 6 idiomas de las NN.UU. y en portugués,</w:t>
            </w:r>
          </w:p>
          <w:p w:rsidR="0095318C" w:rsidRPr="008A6189" w:rsidRDefault="0095318C" w:rsidP="00DC1333">
            <w:pPr>
              <w:ind w:left="111" w:hanging="111"/>
              <w:rPr>
                <w:sz w:val="16"/>
                <w:szCs w:val="16"/>
                <w:lang w:val="es-ES_tradnl" w:bidi="th-TH"/>
              </w:rPr>
            </w:pPr>
          </w:p>
          <w:p w:rsidR="0095318C" w:rsidRPr="008A6189" w:rsidRDefault="0095318C" w:rsidP="00DC1333">
            <w:pPr>
              <w:ind w:left="111" w:hanging="111"/>
              <w:rPr>
                <w:sz w:val="16"/>
                <w:szCs w:val="16"/>
                <w:lang w:val="es-ES_tradnl" w:bidi="th-TH"/>
              </w:rPr>
            </w:pPr>
          </w:p>
          <w:p w:rsidR="0095318C" w:rsidRPr="008A6189" w:rsidRDefault="0095318C" w:rsidP="00DC1333">
            <w:pPr>
              <w:ind w:left="111" w:hanging="111"/>
              <w:rPr>
                <w:sz w:val="16"/>
                <w:szCs w:val="16"/>
                <w:lang w:val="es-ES_tradnl" w:bidi="th-TH"/>
              </w:rPr>
            </w:pPr>
          </w:p>
          <w:p w:rsidR="0095318C" w:rsidRPr="008A6189" w:rsidRDefault="0095318C" w:rsidP="0095318C">
            <w:pPr>
              <w:pStyle w:val="ListParagraph"/>
              <w:numPr>
                <w:ilvl w:val="0"/>
                <w:numId w:val="60"/>
              </w:numPr>
              <w:ind w:left="111" w:hanging="111"/>
              <w:rPr>
                <w:rFonts w:cs="Arial"/>
                <w:sz w:val="16"/>
                <w:szCs w:val="16"/>
                <w:lang w:val="es-ES_tradnl" w:bidi="th-TH"/>
              </w:rPr>
            </w:pPr>
            <w:r w:rsidRPr="008A6189">
              <w:rPr>
                <w:rFonts w:cs="Arial"/>
                <w:sz w:val="16"/>
                <w:szCs w:val="16"/>
                <w:lang w:val="es-ES_tradnl" w:bidi="th-TH"/>
              </w:rPr>
              <w:t>1 curso disponible en 3 idiomas de las NN.UU</w:t>
            </w:r>
            <w:r w:rsidRPr="008A6189">
              <w:rPr>
                <w:rStyle w:val="FootnoteReference"/>
                <w:rFonts w:cs="Arial"/>
                <w:sz w:val="16"/>
                <w:szCs w:val="16"/>
                <w:lang w:val="es-ES_tradnl" w:bidi="th-TH"/>
              </w:rPr>
              <w:t xml:space="preserve"> </w:t>
            </w:r>
            <w:r w:rsidRPr="008A6189">
              <w:rPr>
                <w:rStyle w:val="FootnoteReference"/>
                <w:rFonts w:cs="Arial"/>
                <w:sz w:val="16"/>
                <w:szCs w:val="16"/>
                <w:lang w:val="es-ES_tradnl" w:bidi="th-TH"/>
              </w:rPr>
              <w:footnoteReference w:id="79"/>
            </w:r>
          </w:p>
          <w:p w:rsidR="0095318C" w:rsidRPr="008A6189" w:rsidRDefault="0095318C" w:rsidP="00DC1333">
            <w:pPr>
              <w:rPr>
                <w:sz w:val="16"/>
                <w:szCs w:val="16"/>
                <w:lang w:val="es-ES_tradnl" w:bidi="th-TH"/>
              </w:rPr>
            </w:pPr>
          </w:p>
          <w:p w:rsidR="0095318C" w:rsidRPr="008A6189" w:rsidRDefault="0095318C" w:rsidP="00DC1333">
            <w:pPr>
              <w:rPr>
                <w:sz w:val="16"/>
                <w:szCs w:val="16"/>
                <w:lang w:val="es-ES_tradnl" w:bidi="th-TH"/>
              </w:rPr>
            </w:pPr>
          </w:p>
          <w:p w:rsidR="0095318C" w:rsidRPr="008A6189" w:rsidRDefault="0095318C" w:rsidP="00DC1333">
            <w:pPr>
              <w:rPr>
                <w:sz w:val="16"/>
                <w:szCs w:val="16"/>
                <w:lang w:val="es-ES_tradnl" w:bidi="th-TH"/>
              </w:rPr>
            </w:pPr>
          </w:p>
          <w:p w:rsidR="0095318C" w:rsidRPr="008A6189" w:rsidRDefault="0095318C" w:rsidP="00DC1333">
            <w:pPr>
              <w:rPr>
                <w:sz w:val="16"/>
                <w:szCs w:val="16"/>
                <w:lang w:val="es-ES_tradnl" w:bidi="th-TH"/>
              </w:rPr>
            </w:pPr>
            <w:r w:rsidRPr="008A6189">
              <w:rPr>
                <w:sz w:val="16"/>
                <w:szCs w:val="16"/>
                <w:lang w:val="es-ES_tradnl" w:bidi="th-TH"/>
              </w:rPr>
              <w:t>El 79% de los participantes en los cursos de nivel avanzado indicó que su rendimiento profesional y/o académico mejoró como consecuencia de la participación en el curso de enseñanza a distancia.</w:t>
            </w:r>
          </w:p>
          <w:p w:rsidR="0095318C" w:rsidRPr="008A6189" w:rsidRDefault="0095318C" w:rsidP="0095318C">
            <w:pPr>
              <w:pStyle w:val="ListParagraph"/>
              <w:numPr>
                <w:ilvl w:val="0"/>
                <w:numId w:val="62"/>
              </w:numPr>
              <w:rPr>
                <w:rFonts w:cs="Arial"/>
                <w:sz w:val="16"/>
                <w:szCs w:val="16"/>
                <w:lang w:val="es-ES_tradnl" w:bidi="th-TH"/>
              </w:rPr>
            </w:pPr>
            <w:r w:rsidRPr="008A6189">
              <w:rPr>
                <w:rFonts w:cs="Arial"/>
                <w:sz w:val="16"/>
                <w:szCs w:val="16"/>
                <w:lang w:val="es-ES_tradnl" w:bidi="th-TH"/>
              </w:rPr>
              <w:t>78% (2014)</w:t>
            </w:r>
          </w:p>
          <w:p w:rsidR="0095318C" w:rsidRPr="008A6189" w:rsidRDefault="0095318C" w:rsidP="0095318C">
            <w:pPr>
              <w:pStyle w:val="ListParagraph"/>
              <w:numPr>
                <w:ilvl w:val="0"/>
                <w:numId w:val="62"/>
              </w:numPr>
              <w:rPr>
                <w:rFonts w:cs="Arial"/>
                <w:sz w:val="16"/>
                <w:szCs w:val="16"/>
                <w:lang w:val="es-ES_tradnl" w:bidi="th-TH"/>
              </w:rPr>
            </w:pPr>
            <w:r w:rsidRPr="008A6189">
              <w:rPr>
                <w:rFonts w:cs="Arial"/>
                <w:sz w:val="16"/>
                <w:szCs w:val="16"/>
                <w:lang w:val="es-ES_tradnl" w:bidi="th-TH"/>
              </w:rPr>
              <w:t>81% (2015)</w:t>
            </w:r>
          </w:p>
        </w:tc>
        <w:tc>
          <w:tcPr>
            <w:tcW w:w="672" w:type="pct"/>
            <w:tcBorders>
              <w:top w:val="single" w:sz="4" w:space="0" w:color="auto"/>
              <w:bottom w:val="nil"/>
              <w:right w:val="single" w:sz="4" w:space="0" w:color="auto"/>
            </w:tcBorders>
            <w:shd w:val="clear" w:color="auto" w:fill="auto"/>
            <w:tcMar>
              <w:top w:w="110" w:type="dxa"/>
            </w:tcMar>
          </w:tcPr>
          <w:p w:rsidR="0095318C" w:rsidRPr="008A6189" w:rsidRDefault="0095318C" w:rsidP="00DC1333">
            <w:pPr>
              <w:jc w:val="center"/>
              <w:rPr>
                <w:b/>
                <w:bCs/>
                <w:color w:val="00B050"/>
                <w:sz w:val="16"/>
                <w:szCs w:val="16"/>
                <w:lang w:val="es-ES_tradnl"/>
              </w:rPr>
            </w:pPr>
            <w:r w:rsidRPr="008A6189">
              <w:rPr>
                <w:b/>
                <w:bCs/>
                <w:color w:val="00B050"/>
                <w:sz w:val="16"/>
                <w:szCs w:val="16"/>
                <w:lang w:val="es-ES_tradnl"/>
              </w:rPr>
              <w:t xml:space="preserve">Plenamente logrado </w:t>
            </w: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p w:rsidR="0095318C" w:rsidRPr="008A6189" w:rsidRDefault="0095318C" w:rsidP="00DC1333">
            <w:pPr>
              <w:jc w:val="center"/>
              <w:rPr>
                <w:b/>
                <w:bCs/>
                <w:color w:val="00B050"/>
                <w:sz w:val="16"/>
                <w:szCs w:val="16"/>
              </w:rPr>
            </w:pPr>
          </w:p>
        </w:tc>
      </w:tr>
      <w:tr w:rsidR="0095318C" w:rsidRPr="008A6189" w:rsidTr="00DC1333">
        <w:tc>
          <w:tcPr>
            <w:tcW w:w="1043" w:type="pct"/>
            <w:tcBorders>
              <w:top w:val="nil"/>
              <w:left w:val="single" w:sz="4" w:space="0" w:color="auto"/>
              <w:bottom w:val="single" w:sz="4" w:space="0" w:color="auto"/>
            </w:tcBorders>
            <w:shd w:val="clear" w:color="auto" w:fill="auto"/>
          </w:tcPr>
          <w:p w:rsidR="0095318C" w:rsidRPr="008A6189" w:rsidRDefault="0095318C" w:rsidP="00DC1333">
            <w:pPr>
              <w:rPr>
                <w:sz w:val="16"/>
                <w:szCs w:val="16"/>
                <w:lang w:val="es-ES_tradnl"/>
              </w:rPr>
            </w:pPr>
            <w:r w:rsidRPr="008A6189">
              <w:rPr>
                <w:sz w:val="16"/>
                <w:szCs w:val="16"/>
                <w:lang w:val="es-ES_tradnl"/>
              </w:rPr>
              <w:t xml:space="preserve">Fomento del acceso a los estudios superiores </w:t>
            </w:r>
            <w:r w:rsidRPr="008A6189">
              <w:rPr>
                <w:sz w:val="16"/>
                <w:szCs w:val="16"/>
                <w:lang w:val="es-ES_tradnl"/>
              </w:rPr>
              <w:lastRenderedPageBreak/>
              <w:t>en P.I. para los países en desarrollo, los PMA y los países con economías en transición / número de universidades de países en desarrollo, PMA y países con economías en transición que ofrecen nuevos programas docentes de P.I.</w:t>
            </w:r>
          </w:p>
        </w:tc>
        <w:tc>
          <w:tcPr>
            <w:tcW w:w="1418" w:type="pct"/>
            <w:tcBorders>
              <w:top w:val="nil"/>
              <w:bottom w:val="single" w:sz="4" w:space="0" w:color="auto"/>
            </w:tcBorders>
            <w:shd w:val="clear" w:color="auto" w:fill="auto"/>
          </w:tcPr>
          <w:p w:rsidR="0095318C" w:rsidRPr="008A6189" w:rsidRDefault="0095318C" w:rsidP="00DC1333">
            <w:pPr>
              <w:rPr>
                <w:i/>
                <w:color w:val="002060"/>
                <w:sz w:val="16"/>
                <w:szCs w:val="16"/>
                <w:lang w:val="es-ES_tradnl"/>
              </w:rPr>
            </w:pPr>
            <w:r w:rsidRPr="008A6189">
              <w:rPr>
                <w:sz w:val="16"/>
                <w:szCs w:val="16"/>
                <w:lang w:val="es-ES_tradnl"/>
              </w:rPr>
              <w:lastRenderedPageBreak/>
              <w:t xml:space="preserve">La enseñanza universitaria de la P.I. está disponible únicamente en </w:t>
            </w:r>
            <w:r w:rsidRPr="008A6189">
              <w:rPr>
                <w:sz w:val="16"/>
                <w:szCs w:val="16"/>
                <w:lang w:val="es-ES_tradnl"/>
              </w:rPr>
              <w:lastRenderedPageBreak/>
              <w:t>un número limitado de países en desarrollo, PMA y países con economías en transición;  la OMPI ofrece un programa conjunto de máster en P.I. con siete universidades, dos de ellas en África y una en América Latina</w:t>
            </w:r>
          </w:p>
        </w:tc>
        <w:tc>
          <w:tcPr>
            <w:tcW w:w="746" w:type="pct"/>
            <w:tcBorders>
              <w:top w:val="nil"/>
              <w:bottom w:val="single" w:sz="4" w:space="0" w:color="auto"/>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lastRenderedPageBreak/>
              <w:t xml:space="preserve">Al final del bienio habrá </w:t>
            </w:r>
            <w:r w:rsidRPr="008A6189">
              <w:rPr>
                <w:sz w:val="16"/>
                <w:szCs w:val="16"/>
                <w:lang w:val="es-ES_tradnl"/>
              </w:rPr>
              <w:lastRenderedPageBreak/>
              <w:t>cinco universidades de países en desarrollo, PMA y países con economías en transición que ofrezcan nuevos programas docentes en P.I.</w:t>
            </w:r>
          </w:p>
        </w:tc>
        <w:tc>
          <w:tcPr>
            <w:tcW w:w="1120" w:type="pct"/>
            <w:tcBorders>
              <w:top w:val="nil"/>
              <w:bottom w:val="single" w:sz="4" w:space="0" w:color="auto"/>
            </w:tcBorders>
            <w:shd w:val="clear" w:color="auto" w:fill="FFFFFF"/>
            <w:tcMar>
              <w:top w:w="110" w:type="dxa"/>
            </w:tcMar>
          </w:tcPr>
          <w:p w:rsidR="0095318C" w:rsidRPr="008A6189" w:rsidRDefault="0095318C" w:rsidP="00DC1333">
            <w:pPr>
              <w:rPr>
                <w:sz w:val="16"/>
                <w:szCs w:val="16"/>
                <w:lang w:val="es-ES_tradnl" w:bidi="th-TH"/>
              </w:rPr>
            </w:pPr>
            <w:r w:rsidRPr="008A6189">
              <w:rPr>
                <w:sz w:val="16"/>
                <w:szCs w:val="16"/>
                <w:lang w:val="es-ES_tradnl" w:bidi="th-TH"/>
              </w:rPr>
              <w:lastRenderedPageBreak/>
              <w:t xml:space="preserve">A finales de 2015, se ofrecían tres nuevos </w:t>
            </w:r>
            <w:r w:rsidRPr="008A6189">
              <w:rPr>
                <w:sz w:val="16"/>
                <w:szCs w:val="16"/>
                <w:lang w:val="es-ES_tradnl" w:bidi="th-TH"/>
              </w:rPr>
              <w:lastRenderedPageBreak/>
              <w:t xml:space="preserve">programas de enseñanza de la P.I.:  uno en el </w:t>
            </w:r>
            <w:r w:rsidRPr="008A6189">
              <w:rPr>
                <w:i/>
                <w:sz w:val="16"/>
                <w:szCs w:val="16"/>
                <w:lang w:val="es-ES_tradnl" w:bidi="th-TH"/>
              </w:rPr>
              <w:t>Bangladesh Institute of Management</w:t>
            </w:r>
            <w:r w:rsidRPr="008A6189">
              <w:rPr>
                <w:sz w:val="16"/>
                <w:szCs w:val="16"/>
                <w:lang w:val="es-ES_tradnl" w:bidi="th-TH"/>
              </w:rPr>
              <w:t xml:space="preserve"> y dos en la Universidad de África</w:t>
            </w:r>
          </w:p>
          <w:p w:rsidR="0095318C" w:rsidRPr="008A6189" w:rsidRDefault="0095318C" w:rsidP="00DC1333">
            <w:pPr>
              <w:rPr>
                <w:sz w:val="16"/>
                <w:szCs w:val="16"/>
                <w:lang w:val="es-ES_tradnl" w:bidi="th-TH"/>
              </w:rPr>
            </w:pPr>
          </w:p>
          <w:p w:rsidR="0095318C" w:rsidRPr="008A6189" w:rsidRDefault="0095318C" w:rsidP="00DC1333">
            <w:pPr>
              <w:rPr>
                <w:sz w:val="14"/>
                <w:szCs w:val="16"/>
                <w:lang w:val="es-ES_tradnl"/>
              </w:rPr>
            </w:pPr>
            <w:r w:rsidRPr="008A6189">
              <w:rPr>
                <w:sz w:val="16"/>
                <w:szCs w:val="16"/>
                <w:lang w:val="es-ES_tradnl" w:bidi="th-TH"/>
              </w:rPr>
              <w:t>Además, cinco universidades introdujeron mejoras en programas de enseñanza de la P.I.:</w:t>
            </w:r>
          </w:p>
          <w:p w:rsidR="0095318C" w:rsidRPr="008A6189" w:rsidRDefault="0095318C" w:rsidP="0095318C">
            <w:pPr>
              <w:pStyle w:val="ListParagraph"/>
              <w:numPr>
                <w:ilvl w:val="0"/>
                <w:numId w:val="64"/>
              </w:numPr>
              <w:rPr>
                <w:rFonts w:cs="Arial"/>
                <w:sz w:val="16"/>
                <w:szCs w:val="16"/>
                <w:lang w:val="es-ES_tradnl"/>
              </w:rPr>
            </w:pPr>
            <w:r w:rsidRPr="008A6189">
              <w:rPr>
                <w:rFonts w:cs="Arial"/>
                <w:sz w:val="16"/>
                <w:szCs w:val="16"/>
                <w:lang w:val="es-ES_tradnl"/>
              </w:rPr>
              <w:t>Universidad de Buenos Aires, en Argentina</w:t>
            </w:r>
          </w:p>
          <w:p w:rsidR="0095318C" w:rsidRPr="008A6189" w:rsidRDefault="0095318C" w:rsidP="0095318C">
            <w:pPr>
              <w:pStyle w:val="ListParagraph"/>
              <w:numPr>
                <w:ilvl w:val="0"/>
                <w:numId w:val="64"/>
              </w:numPr>
              <w:rPr>
                <w:rFonts w:cs="Arial"/>
                <w:sz w:val="16"/>
                <w:szCs w:val="16"/>
                <w:lang w:val="es-ES_tradnl"/>
              </w:rPr>
            </w:pPr>
            <w:r w:rsidRPr="008A6189">
              <w:rPr>
                <w:rFonts w:cs="Arial"/>
                <w:sz w:val="16"/>
                <w:szCs w:val="16"/>
                <w:lang w:val="es-ES_tradnl"/>
              </w:rPr>
              <w:t>Universidad Central de Venezuela</w:t>
            </w:r>
          </w:p>
          <w:p w:rsidR="0095318C" w:rsidRPr="008A6189" w:rsidRDefault="0095318C" w:rsidP="0095318C">
            <w:pPr>
              <w:pStyle w:val="ListParagraph"/>
              <w:numPr>
                <w:ilvl w:val="0"/>
                <w:numId w:val="64"/>
              </w:numPr>
              <w:rPr>
                <w:rFonts w:cs="Arial"/>
                <w:sz w:val="16"/>
                <w:szCs w:val="16"/>
                <w:lang w:val="es-ES_tradnl"/>
              </w:rPr>
            </w:pPr>
            <w:r w:rsidRPr="008A6189">
              <w:rPr>
                <w:rFonts w:cs="Arial"/>
                <w:sz w:val="16"/>
                <w:szCs w:val="16"/>
                <w:lang w:val="es-ES_tradnl"/>
              </w:rPr>
              <w:t>Universidad de Alicante, en España</w:t>
            </w:r>
          </w:p>
          <w:p w:rsidR="0095318C" w:rsidRPr="008A6189" w:rsidRDefault="0095318C" w:rsidP="0095318C">
            <w:pPr>
              <w:pStyle w:val="ListParagraph"/>
              <w:numPr>
                <w:ilvl w:val="0"/>
                <w:numId w:val="64"/>
              </w:numPr>
              <w:rPr>
                <w:rFonts w:cs="Arial"/>
                <w:sz w:val="16"/>
                <w:szCs w:val="16"/>
                <w:lang w:val="es-ES_tradnl"/>
              </w:rPr>
            </w:pPr>
            <w:r w:rsidRPr="008A6189">
              <w:rPr>
                <w:rFonts w:cs="Arial"/>
                <w:sz w:val="16"/>
                <w:szCs w:val="16"/>
                <w:lang w:val="es-ES_tradnl"/>
              </w:rPr>
              <w:t>2 universidades en Indonesia (</w:t>
            </w:r>
            <w:r w:rsidRPr="008A6189">
              <w:rPr>
                <w:rFonts w:cs="Arial"/>
                <w:i/>
                <w:sz w:val="16"/>
                <w:szCs w:val="16"/>
                <w:lang w:val="es-ES_tradnl"/>
              </w:rPr>
              <w:t>Universitas Padjadjaran</w:t>
            </w:r>
            <w:r w:rsidRPr="008A6189">
              <w:rPr>
                <w:rFonts w:cs="Arial"/>
                <w:sz w:val="16"/>
                <w:szCs w:val="16"/>
                <w:lang w:val="es-ES_tradnl"/>
              </w:rPr>
              <w:t xml:space="preserve"> y la Universidad de Indonesia)</w:t>
            </w:r>
          </w:p>
          <w:p w:rsidR="0095318C" w:rsidRPr="008A6189" w:rsidRDefault="0095318C" w:rsidP="00DC1333">
            <w:pPr>
              <w:pStyle w:val="ListParagraph"/>
              <w:ind w:left="360"/>
              <w:rPr>
                <w:rFonts w:cs="Arial"/>
                <w:sz w:val="14"/>
                <w:szCs w:val="16"/>
                <w:lang w:val="es-ES_tradnl" w:bidi="th-TH"/>
              </w:rPr>
            </w:pPr>
          </w:p>
          <w:p w:rsidR="0095318C" w:rsidRPr="008A6189" w:rsidRDefault="0095318C" w:rsidP="00DC1333">
            <w:pPr>
              <w:rPr>
                <w:sz w:val="16"/>
                <w:szCs w:val="16"/>
                <w:lang w:val="es-ES_tradnl" w:bidi="th-TH"/>
              </w:rPr>
            </w:pPr>
            <w:r w:rsidRPr="008A6189">
              <w:rPr>
                <w:sz w:val="16"/>
                <w:szCs w:val="16"/>
                <w:lang w:val="es-ES_tradnl" w:bidi="th-TH"/>
              </w:rPr>
              <w:t>Dos universidad</w:t>
            </w:r>
            <w:r w:rsidR="00A85E4D">
              <w:rPr>
                <w:sz w:val="16"/>
                <w:szCs w:val="16"/>
                <w:lang w:val="es-ES_tradnl" w:bidi="th-TH"/>
              </w:rPr>
              <w:t>es</w:t>
            </w:r>
            <w:r w:rsidRPr="008A6189">
              <w:rPr>
                <w:sz w:val="16"/>
                <w:szCs w:val="16"/>
                <w:lang w:val="es-ES_tradnl" w:bidi="th-TH"/>
              </w:rPr>
              <w:t xml:space="preserve"> avanzaron o completaron el desarrollo de nuevos cursos programas de cara a 2016:</w:t>
            </w:r>
          </w:p>
          <w:p w:rsidR="0095318C" w:rsidRPr="008A6189" w:rsidRDefault="0095318C" w:rsidP="0095318C">
            <w:pPr>
              <w:pStyle w:val="ListParagraph"/>
              <w:numPr>
                <w:ilvl w:val="0"/>
                <w:numId w:val="63"/>
              </w:numPr>
              <w:rPr>
                <w:rFonts w:cs="Arial"/>
                <w:sz w:val="16"/>
                <w:szCs w:val="16"/>
                <w:lang w:val="es-ES_tradnl"/>
              </w:rPr>
            </w:pPr>
            <w:r w:rsidRPr="008A6189">
              <w:rPr>
                <w:rFonts w:cs="Arial"/>
                <w:i/>
                <w:sz w:val="16"/>
                <w:szCs w:val="16"/>
                <w:lang w:val="es-ES_tradnl" w:bidi="th-TH"/>
              </w:rPr>
              <w:t>University of West Indies</w:t>
            </w:r>
            <w:r w:rsidRPr="008A6189">
              <w:rPr>
                <w:rFonts w:cs="Arial"/>
                <w:sz w:val="16"/>
                <w:szCs w:val="16"/>
                <w:lang w:val="es-ES_tradnl" w:bidi="th-TH"/>
              </w:rPr>
              <w:t>, Mona Campus, en Jamaica (nuevo máster en propiedad intelectual e industrias creativas y culturales)</w:t>
            </w:r>
          </w:p>
        </w:tc>
        <w:tc>
          <w:tcPr>
            <w:tcW w:w="672" w:type="pct"/>
            <w:tcBorders>
              <w:top w:val="nil"/>
              <w:bottom w:val="single" w:sz="4" w:space="0" w:color="auto"/>
              <w:right w:val="single" w:sz="4" w:space="0" w:color="auto"/>
            </w:tcBorders>
            <w:shd w:val="clear" w:color="auto" w:fill="auto"/>
            <w:tcMar>
              <w:top w:w="110" w:type="dxa"/>
            </w:tcMar>
          </w:tcPr>
          <w:p w:rsidR="0095318C" w:rsidRPr="008A6189" w:rsidRDefault="0095318C" w:rsidP="00DC1333">
            <w:pPr>
              <w:jc w:val="center"/>
              <w:rPr>
                <w:b/>
                <w:bCs/>
                <w:color w:val="00B050"/>
                <w:sz w:val="16"/>
                <w:szCs w:val="16"/>
              </w:rPr>
            </w:pPr>
            <w:r w:rsidRPr="008A6189">
              <w:rPr>
                <w:b/>
                <w:bCs/>
                <w:color w:val="F79646" w:themeColor="accent6"/>
                <w:sz w:val="16"/>
                <w:szCs w:val="16"/>
              </w:rPr>
              <w:lastRenderedPageBreak/>
              <w:t>Parcialmente logrado</w:t>
            </w:r>
            <w:r w:rsidRPr="008A6189">
              <w:rPr>
                <w:b/>
                <w:color w:val="F79646" w:themeColor="accent6"/>
                <w:sz w:val="16"/>
              </w:rPr>
              <w:t xml:space="preserve"> </w:t>
            </w:r>
            <w:r w:rsidRPr="008A6189">
              <w:rPr>
                <w:b/>
                <w:bCs/>
                <w:color w:val="F79646" w:themeColor="accent6"/>
                <w:sz w:val="16"/>
                <w:szCs w:val="16"/>
              </w:rPr>
              <w:t xml:space="preserve"> </w:t>
            </w:r>
          </w:p>
        </w:tc>
      </w:tr>
      <w:tr w:rsidR="0095318C" w:rsidRPr="002779F3" w:rsidTr="00DC1333">
        <w:tc>
          <w:tcPr>
            <w:tcW w:w="1043" w:type="pct"/>
            <w:tcBorders>
              <w:top w:val="single" w:sz="4" w:space="0" w:color="auto"/>
              <w:left w:val="single" w:sz="4" w:space="0" w:color="auto"/>
              <w:bottom w:val="nil"/>
            </w:tcBorders>
            <w:shd w:val="clear" w:color="auto" w:fill="auto"/>
          </w:tcPr>
          <w:p w:rsidR="0095318C" w:rsidRPr="008A6189" w:rsidRDefault="0095318C" w:rsidP="00DC1333">
            <w:pPr>
              <w:rPr>
                <w:sz w:val="16"/>
                <w:szCs w:val="16"/>
                <w:lang w:val="es-ES_tradnl"/>
              </w:rPr>
            </w:pPr>
          </w:p>
        </w:tc>
        <w:tc>
          <w:tcPr>
            <w:tcW w:w="1418" w:type="pct"/>
            <w:tcBorders>
              <w:top w:val="single" w:sz="4" w:space="0" w:color="auto"/>
              <w:bottom w:val="nil"/>
            </w:tcBorders>
            <w:shd w:val="clear" w:color="auto" w:fill="auto"/>
          </w:tcPr>
          <w:p w:rsidR="0095318C" w:rsidRPr="008A6189" w:rsidRDefault="0095318C" w:rsidP="00DC1333">
            <w:pPr>
              <w:rPr>
                <w:i/>
                <w:color w:val="002060"/>
                <w:sz w:val="16"/>
                <w:szCs w:val="16"/>
                <w:lang w:val="es-ES_tradnl"/>
              </w:rPr>
            </w:pPr>
          </w:p>
        </w:tc>
        <w:tc>
          <w:tcPr>
            <w:tcW w:w="746" w:type="pct"/>
            <w:tcBorders>
              <w:top w:val="single" w:sz="4" w:space="0" w:color="auto"/>
              <w:bottom w:val="nil"/>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p>
        </w:tc>
        <w:tc>
          <w:tcPr>
            <w:tcW w:w="1120" w:type="pct"/>
            <w:tcBorders>
              <w:top w:val="single" w:sz="4" w:space="0" w:color="auto"/>
              <w:bottom w:val="nil"/>
            </w:tcBorders>
            <w:shd w:val="clear" w:color="auto" w:fill="FFFFFF"/>
            <w:tcMar>
              <w:top w:w="110" w:type="dxa"/>
            </w:tcMar>
          </w:tcPr>
          <w:p w:rsidR="0095318C" w:rsidRPr="008A6189" w:rsidRDefault="0095318C" w:rsidP="0095318C">
            <w:pPr>
              <w:pStyle w:val="ListParagraph"/>
              <w:numPr>
                <w:ilvl w:val="0"/>
                <w:numId w:val="64"/>
              </w:numPr>
              <w:rPr>
                <w:rFonts w:cs="Arial"/>
                <w:sz w:val="16"/>
                <w:szCs w:val="16"/>
                <w:lang w:val="es-ES_tradnl" w:bidi="th-TH"/>
              </w:rPr>
            </w:pPr>
            <w:r w:rsidRPr="008A6189">
              <w:rPr>
                <w:rFonts w:cs="Arial"/>
                <w:sz w:val="16"/>
                <w:szCs w:val="16"/>
                <w:lang w:val="es-ES_tradnl" w:bidi="th-TH"/>
              </w:rPr>
              <w:t>Universidad de Botswana, en Botswana (nuevo curso de derecho de P.I. en el campo de la investigación, mejoras en los cursos I y II de derecho de P.I.)</w:t>
            </w:r>
          </w:p>
          <w:p w:rsidR="0095318C" w:rsidRPr="008A6189" w:rsidRDefault="0095318C" w:rsidP="00DC1333">
            <w:pPr>
              <w:pStyle w:val="ListParagraph"/>
              <w:ind w:left="360"/>
              <w:rPr>
                <w:rFonts w:cs="Arial"/>
                <w:sz w:val="16"/>
                <w:szCs w:val="16"/>
                <w:lang w:val="es-ES_tradnl" w:bidi="th-TH"/>
              </w:rPr>
            </w:pPr>
          </w:p>
        </w:tc>
        <w:tc>
          <w:tcPr>
            <w:tcW w:w="672" w:type="pct"/>
            <w:tcBorders>
              <w:top w:val="single" w:sz="4" w:space="0" w:color="auto"/>
              <w:bottom w:val="nil"/>
              <w:right w:val="single" w:sz="4" w:space="0" w:color="auto"/>
            </w:tcBorders>
            <w:shd w:val="clear" w:color="auto" w:fill="auto"/>
            <w:tcMar>
              <w:top w:w="110" w:type="dxa"/>
            </w:tcMar>
          </w:tcPr>
          <w:p w:rsidR="0095318C" w:rsidRPr="008A6189" w:rsidRDefault="0095318C" w:rsidP="00DC1333">
            <w:pPr>
              <w:jc w:val="center"/>
              <w:rPr>
                <w:b/>
                <w:bCs/>
                <w:color w:val="00B050"/>
                <w:sz w:val="16"/>
                <w:szCs w:val="16"/>
                <w:lang w:val="es-ES_tradnl"/>
              </w:rPr>
            </w:pPr>
          </w:p>
        </w:tc>
      </w:tr>
      <w:tr w:rsidR="0095318C" w:rsidRPr="008A6189" w:rsidTr="00DC1333">
        <w:tc>
          <w:tcPr>
            <w:tcW w:w="1043" w:type="pct"/>
            <w:tcBorders>
              <w:top w:val="nil"/>
              <w:left w:val="single" w:sz="4" w:space="0" w:color="auto"/>
              <w:bottom w:val="nil"/>
            </w:tcBorders>
            <w:shd w:val="clear" w:color="auto" w:fill="auto"/>
          </w:tcPr>
          <w:p w:rsidR="0095318C" w:rsidRPr="008A6189" w:rsidRDefault="0095318C" w:rsidP="00DC1333">
            <w:pPr>
              <w:rPr>
                <w:sz w:val="16"/>
                <w:szCs w:val="16"/>
                <w:lang w:val="es-ES_tradnl"/>
              </w:rPr>
            </w:pPr>
            <w:r w:rsidRPr="008A6189">
              <w:rPr>
                <w:sz w:val="16"/>
                <w:szCs w:val="16"/>
                <w:lang w:val="es-ES_tradnl"/>
              </w:rPr>
              <w:t>Establecimiento progresivo de una red de expertos en P.I. en los países en desarrollo, PMA y países con economías en transición</w:t>
            </w:r>
          </w:p>
        </w:tc>
        <w:tc>
          <w:tcPr>
            <w:tcW w:w="1418" w:type="pct"/>
            <w:tcBorders>
              <w:top w:val="nil"/>
              <w:bottom w:val="nil"/>
            </w:tcBorders>
            <w:shd w:val="clear" w:color="auto" w:fill="auto"/>
          </w:tcPr>
          <w:p w:rsidR="0095318C" w:rsidRPr="008A6189" w:rsidRDefault="0095318C" w:rsidP="00DC1333">
            <w:pPr>
              <w:rPr>
                <w:sz w:val="16"/>
                <w:szCs w:val="16"/>
                <w:lang w:val="es-ES_tradnl"/>
              </w:rPr>
            </w:pPr>
            <w:r w:rsidRPr="008A6189">
              <w:rPr>
                <w:i/>
                <w:color w:val="002060"/>
                <w:sz w:val="16"/>
                <w:szCs w:val="16"/>
                <w:lang w:val="es-ES_tradnl"/>
              </w:rPr>
              <w:t>Referencia actualizada a fines de 2013:  326 académicos procedentes de países en desarrollo, PMA y países con economías en transición miembros de la ATRIP</w:t>
            </w:r>
          </w:p>
          <w:p w:rsidR="0095318C" w:rsidRPr="008A6189" w:rsidRDefault="0095318C" w:rsidP="00DC1333">
            <w:pPr>
              <w:rPr>
                <w:i/>
                <w:color w:val="002060"/>
                <w:sz w:val="16"/>
                <w:szCs w:val="16"/>
                <w:lang w:val="es-ES_tradnl"/>
              </w:rPr>
            </w:pPr>
            <w:r w:rsidRPr="008A6189">
              <w:rPr>
                <w:i/>
                <w:sz w:val="16"/>
                <w:szCs w:val="16"/>
                <w:lang w:val="es-ES_tradnl"/>
              </w:rPr>
              <w:t>Referencia original en el presupuesto de 2014-15:</w:t>
            </w:r>
            <w:r w:rsidRPr="008A6189">
              <w:rPr>
                <w:sz w:val="16"/>
                <w:szCs w:val="16"/>
                <w:lang w:val="es-ES_tradnl"/>
              </w:rPr>
              <w:t xml:space="preserve">  Número de académicos de países en desarrollo, PMA y países con economías en transición miembros de la ATRIP</w:t>
            </w:r>
          </w:p>
        </w:tc>
        <w:tc>
          <w:tcPr>
            <w:tcW w:w="746" w:type="pct"/>
            <w:tcBorders>
              <w:top w:val="nil"/>
              <w:bottom w:val="nil"/>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t>Aumento del 15% en relación con la referencia</w:t>
            </w:r>
          </w:p>
        </w:tc>
        <w:tc>
          <w:tcPr>
            <w:tcW w:w="1120" w:type="pct"/>
            <w:tcBorders>
              <w:top w:val="nil"/>
              <w:bottom w:val="nil"/>
            </w:tcBorders>
            <w:shd w:val="clear" w:color="auto" w:fill="FFFFFF"/>
            <w:tcMar>
              <w:top w:w="110" w:type="dxa"/>
            </w:tcMar>
          </w:tcPr>
          <w:p w:rsidR="0095318C" w:rsidRPr="008A6189" w:rsidRDefault="0095318C" w:rsidP="00DC1333">
            <w:pPr>
              <w:rPr>
                <w:sz w:val="16"/>
                <w:szCs w:val="16"/>
                <w:lang w:val="es-ES_tradnl" w:bidi="th-TH"/>
              </w:rPr>
            </w:pPr>
            <w:r w:rsidRPr="008A6189">
              <w:rPr>
                <w:sz w:val="16"/>
                <w:szCs w:val="16"/>
                <w:lang w:val="es-ES_tradnl" w:bidi="th-TH"/>
              </w:rPr>
              <w:t>397 académicos de países en desarrollo, PMA y países con economías en transición son miembros, según lo informado por la ATRIP (+22% respecto al período 2012-13)</w:t>
            </w:r>
          </w:p>
        </w:tc>
        <w:tc>
          <w:tcPr>
            <w:tcW w:w="672" w:type="pct"/>
            <w:tcBorders>
              <w:top w:val="nil"/>
              <w:bottom w:val="nil"/>
              <w:right w:val="single" w:sz="4" w:space="0" w:color="auto"/>
            </w:tcBorders>
            <w:shd w:val="clear" w:color="auto" w:fill="auto"/>
            <w:tcMar>
              <w:top w:w="110" w:type="dxa"/>
            </w:tcMar>
          </w:tcPr>
          <w:p w:rsidR="0095318C" w:rsidRPr="008A6189" w:rsidRDefault="0095318C" w:rsidP="00DC1333">
            <w:pPr>
              <w:jc w:val="center"/>
              <w:rPr>
                <w:b/>
                <w:bCs/>
                <w:color w:val="00B050"/>
                <w:sz w:val="16"/>
                <w:szCs w:val="16"/>
                <w:lang w:val="es-ES_tradnl"/>
              </w:rPr>
            </w:pPr>
            <w:r w:rsidRPr="008A6189">
              <w:rPr>
                <w:b/>
                <w:bCs/>
                <w:color w:val="00B050"/>
                <w:sz w:val="16"/>
                <w:szCs w:val="16"/>
                <w:lang w:val="es-ES_tradnl"/>
              </w:rPr>
              <w:t xml:space="preserve">Plenamente logrado </w:t>
            </w:r>
          </w:p>
          <w:p w:rsidR="0095318C" w:rsidRPr="008A6189" w:rsidRDefault="0095318C" w:rsidP="00DC1333">
            <w:pPr>
              <w:jc w:val="center"/>
              <w:rPr>
                <w:b/>
                <w:bCs/>
                <w:color w:val="00B050"/>
                <w:sz w:val="16"/>
                <w:szCs w:val="16"/>
                <w:lang w:val="es-ES_tradnl"/>
              </w:rPr>
            </w:pPr>
          </w:p>
        </w:tc>
      </w:tr>
      <w:tr w:rsidR="0095318C" w:rsidRPr="008A6189" w:rsidTr="00DC1333">
        <w:tc>
          <w:tcPr>
            <w:tcW w:w="1043" w:type="pct"/>
            <w:tcBorders>
              <w:top w:val="nil"/>
              <w:left w:val="single" w:sz="4" w:space="0" w:color="auto"/>
              <w:bottom w:val="single" w:sz="4" w:space="0" w:color="auto"/>
            </w:tcBorders>
            <w:shd w:val="clear" w:color="auto" w:fill="auto"/>
          </w:tcPr>
          <w:p w:rsidR="0095318C" w:rsidRPr="008A6189" w:rsidRDefault="0095318C" w:rsidP="00DC1333">
            <w:pPr>
              <w:rPr>
                <w:sz w:val="16"/>
                <w:szCs w:val="16"/>
                <w:lang w:val="es-ES_tradnl"/>
              </w:rPr>
            </w:pPr>
            <w:r w:rsidRPr="008A6189">
              <w:rPr>
                <w:sz w:val="16"/>
                <w:szCs w:val="16"/>
                <w:lang w:val="es-ES_tradnl"/>
              </w:rPr>
              <w:t>Número de nuevas academias nacionales establecidas tras la finalización de la fase piloto</w:t>
            </w:r>
          </w:p>
          <w:p w:rsidR="0095318C" w:rsidRPr="008A6189" w:rsidRDefault="0095318C" w:rsidP="00DC1333">
            <w:pPr>
              <w:rPr>
                <w:sz w:val="16"/>
                <w:szCs w:val="16"/>
                <w:lang w:val="es-ES_tradnl"/>
              </w:rPr>
            </w:pPr>
          </w:p>
        </w:tc>
        <w:tc>
          <w:tcPr>
            <w:tcW w:w="1418" w:type="pct"/>
            <w:tcBorders>
              <w:top w:val="nil"/>
              <w:bottom w:val="single" w:sz="4" w:space="0" w:color="auto"/>
            </w:tcBorders>
            <w:shd w:val="clear" w:color="auto" w:fill="auto"/>
          </w:tcPr>
          <w:p w:rsidR="0095318C" w:rsidRPr="008A6189" w:rsidRDefault="0095318C" w:rsidP="00DC1333">
            <w:pPr>
              <w:rPr>
                <w:sz w:val="16"/>
                <w:szCs w:val="16"/>
                <w:lang w:val="es-ES_tradnl" w:bidi="th-TH"/>
              </w:rPr>
            </w:pPr>
            <w:r w:rsidRPr="008A6189">
              <w:rPr>
                <w:i/>
                <w:color w:val="002060"/>
                <w:sz w:val="16"/>
                <w:szCs w:val="16"/>
                <w:lang w:val="es-ES_tradnl"/>
              </w:rPr>
              <w:t xml:space="preserve">Referencia actualizada a fines de 2013:  </w:t>
            </w:r>
            <w:r w:rsidRPr="008A6189">
              <w:rPr>
                <w:color w:val="002060"/>
                <w:sz w:val="16"/>
                <w:szCs w:val="16"/>
                <w:lang w:val="es-ES_tradnl" w:bidi="th-TH"/>
              </w:rPr>
              <w:t>La fase II de la fase piloto del proyecto no se había completado a finales de 2013</w:t>
            </w:r>
          </w:p>
          <w:p w:rsidR="0095318C" w:rsidRPr="008A6189" w:rsidRDefault="0095318C" w:rsidP="00DC1333">
            <w:pPr>
              <w:rPr>
                <w:sz w:val="16"/>
                <w:szCs w:val="16"/>
                <w:lang w:val="es-ES_tradnl" w:bidi="th-TH"/>
              </w:rPr>
            </w:pPr>
          </w:p>
          <w:p w:rsidR="0095318C" w:rsidRPr="008A6189" w:rsidRDefault="0095318C" w:rsidP="00DC1333">
            <w:pPr>
              <w:rPr>
                <w:color w:val="002060"/>
                <w:sz w:val="16"/>
                <w:szCs w:val="16"/>
                <w:lang w:val="es-ES_tradnl"/>
              </w:rPr>
            </w:pPr>
          </w:p>
          <w:p w:rsidR="0095318C" w:rsidRPr="008A6189" w:rsidRDefault="0095318C" w:rsidP="00DC1333">
            <w:pPr>
              <w:rPr>
                <w:i/>
                <w:color w:val="002060"/>
                <w:sz w:val="16"/>
                <w:szCs w:val="16"/>
                <w:lang w:val="es-ES_tradnl"/>
              </w:rPr>
            </w:pPr>
            <w:r w:rsidRPr="008A6189">
              <w:rPr>
                <w:i/>
                <w:sz w:val="16"/>
                <w:szCs w:val="16"/>
                <w:lang w:val="es-ES_tradnl"/>
              </w:rPr>
              <w:t xml:space="preserve">Referencia original en el presupuesto de 2014-15:  </w:t>
            </w:r>
            <w:r w:rsidRPr="008A6189">
              <w:rPr>
                <w:sz w:val="16"/>
                <w:szCs w:val="16"/>
                <w:lang w:val="es-ES_tradnl"/>
              </w:rPr>
              <w:t>0</w:t>
            </w:r>
          </w:p>
        </w:tc>
        <w:tc>
          <w:tcPr>
            <w:tcW w:w="746" w:type="pct"/>
            <w:tcBorders>
              <w:top w:val="nil"/>
              <w:bottom w:val="single" w:sz="4" w:space="0" w:color="auto"/>
            </w:tcBorders>
            <w:shd w:val="clear" w:color="auto" w:fill="auto"/>
            <w:tcMar>
              <w:top w:w="110" w:type="dxa"/>
            </w:tcMar>
          </w:tcPr>
          <w:p w:rsidR="0095318C" w:rsidRPr="008A6189" w:rsidRDefault="0095318C" w:rsidP="00DC1333">
            <w:pPr>
              <w:autoSpaceDE w:val="0"/>
              <w:autoSpaceDN w:val="0"/>
              <w:adjustRightInd w:val="0"/>
              <w:rPr>
                <w:sz w:val="16"/>
                <w:szCs w:val="16"/>
                <w:lang w:val="es-ES_tradnl"/>
              </w:rPr>
            </w:pPr>
            <w:r w:rsidRPr="008A6189">
              <w:rPr>
                <w:sz w:val="16"/>
                <w:szCs w:val="16"/>
                <w:lang w:val="es-ES_tradnl"/>
              </w:rPr>
              <w:t>4</w:t>
            </w:r>
          </w:p>
          <w:p w:rsidR="0095318C" w:rsidRPr="008A6189" w:rsidRDefault="0095318C" w:rsidP="00DC1333">
            <w:pPr>
              <w:autoSpaceDE w:val="0"/>
              <w:autoSpaceDN w:val="0"/>
              <w:adjustRightInd w:val="0"/>
              <w:rPr>
                <w:sz w:val="16"/>
                <w:szCs w:val="16"/>
                <w:lang w:val="es-ES_tradnl"/>
              </w:rPr>
            </w:pPr>
          </w:p>
        </w:tc>
        <w:tc>
          <w:tcPr>
            <w:tcW w:w="1120" w:type="pct"/>
            <w:tcBorders>
              <w:top w:val="nil"/>
              <w:bottom w:val="single" w:sz="4" w:space="0" w:color="auto"/>
            </w:tcBorders>
            <w:shd w:val="clear" w:color="auto" w:fill="FFFFFF"/>
            <w:tcMar>
              <w:top w:w="110" w:type="dxa"/>
            </w:tcMar>
          </w:tcPr>
          <w:p w:rsidR="0095318C" w:rsidRPr="008A6189" w:rsidRDefault="0095318C" w:rsidP="00DC1333">
            <w:pPr>
              <w:rPr>
                <w:sz w:val="16"/>
                <w:szCs w:val="16"/>
                <w:lang w:val="es-ES_tradnl" w:bidi="th-TH"/>
              </w:rPr>
            </w:pPr>
            <w:r w:rsidRPr="008A6189">
              <w:rPr>
                <w:sz w:val="16"/>
                <w:szCs w:val="16"/>
                <w:lang w:val="es-ES_tradnl" w:bidi="th-TH"/>
              </w:rPr>
              <w:t>Se firmaron siete nuevos acuerdos</w:t>
            </w:r>
            <w:r w:rsidRPr="008A6189">
              <w:rPr>
                <w:lang w:val="es-ES_tradnl"/>
              </w:rPr>
              <w:t xml:space="preserve"> (</w:t>
            </w:r>
            <w:r w:rsidRPr="008A6189">
              <w:rPr>
                <w:sz w:val="16"/>
                <w:szCs w:val="16"/>
                <w:lang w:val="es-ES_tradnl" w:bidi="th-TH"/>
              </w:rPr>
              <w:t>Azerbaiyán, Camboya, Costa Rica, Ecuador, El Salvador, Georgia y Turquía)</w:t>
            </w:r>
          </w:p>
        </w:tc>
        <w:tc>
          <w:tcPr>
            <w:tcW w:w="672" w:type="pct"/>
            <w:tcBorders>
              <w:top w:val="nil"/>
              <w:bottom w:val="single" w:sz="4" w:space="0" w:color="auto"/>
              <w:right w:val="single" w:sz="4" w:space="0" w:color="auto"/>
            </w:tcBorders>
            <w:shd w:val="clear" w:color="auto" w:fill="auto"/>
            <w:tcMar>
              <w:top w:w="110" w:type="dxa"/>
            </w:tcMar>
          </w:tcPr>
          <w:p w:rsidR="0095318C" w:rsidRPr="008A6189" w:rsidRDefault="0095318C" w:rsidP="00DC1333">
            <w:pPr>
              <w:jc w:val="center"/>
              <w:rPr>
                <w:b/>
                <w:bCs/>
                <w:color w:val="00B050"/>
                <w:sz w:val="16"/>
                <w:szCs w:val="16"/>
                <w:lang w:val="es-ES_tradnl"/>
              </w:rPr>
            </w:pPr>
            <w:r w:rsidRPr="008A6189">
              <w:rPr>
                <w:b/>
                <w:bCs/>
                <w:color w:val="00B050"/>
                <w:sz w:val="16"/>
                <w:szCs w:val="16"/>
                <w:lang w:val="es-ES_tradnl"/>
              </w:rPr>
              <w:t xml:space="preserve">Plenamente logrado </w:t>
            </w:r>
          </w:p>
          <w:p w:rsidR="0095318C" w:rsidRPr="008A6189" w:rsidRDefault="0095318C" w:rsidP="00DC1333">
            <w:pPr>
              <w:jc w:val="center"/>
              <w:rPr>
                <w:b/>
                <w:bCs/>
                <w:sz w:val="16"/>
                <w:szCs w:val="16"/>
                <w:lang w:val="es-ES_tradnl"/>
              </w:rPr>
            </w:pPr>
          </w:p>
        </w:tc>
      </w:tr>
    </w:tbl>
    <w:p w:rsidR="0095318C" w:rsidRPr="008A6189" w:rsidRDefault="0095318C" w:rsidP="00DC1333">
      <w:pPr>
        <w:rPr>
          <w:color w:val="000000"/>
          <w:szCs w:val="22"/>
        </w:rPr>
      </w:pPr>
    </w:p>
    <w:p w:rsidR="0095318C" w:rsidRPr="008A6189" w:rsidRDefault="0095318C" w:rsidP="00DC1333">
      <w:pPr>
        <w:rPr>
          <w:color w:val="000000"/>
          <w:szCs w:val="22"/>
        </w:rPr>
      </w:pPr>
    </w:p>
    <w:p w:rsidR="0095318C" w:rsidRPr="008A6189" w:rsidRDefault="008F7CBE" w:rsidP="00DC1333">
      <w:pPr>
        <w:rPr>
          <w:color w:val="000000"/>
          <w:szCs w:val="22"/>
        </w:rPr>
      </w:pPr>
      <w:r w:rsidRPr="008F7CBE">
        <w:rPr>
          <w:color w:val="000000"/>
          <w:sz w:val="20"/>
          <w:szCs w:val="22"/>
        </w:rPr>
        <w:t>INFORMACIÓN SOBRE LOS RIESGOS PLANTEADOS EN EL BIENIO</w:t>
      </w:r>
    </w:p>
    <w:p w:rsidR="0095318C" w:rsidRPr="008A6189" w:rsidRDefault="0095318C" w:rsidP="00DC1333">
      <w:pPr>
        <w:rPr>
          <w:sz w:val="18"/>
        </w:rPr>
      </w:pP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95318C" w:rsidRPr="002779F3" w:rsidTr="00DC1333">
        <w:trPr>
          <w:trHeight w:val="755"/>
        </w:trPr>
        <w:tc>
          <w:tcPr>
            <w:tcW w:w="242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95318C" w:rsidRPr="008A6189" w:rsidRDefault="0095318C" w:rsidP="00DC1333">
            <w:pPr>
              <w:keepNext/>
              <w:keepLines/>
              <w:autoSpaceDE w:val="0"/>
              <w:autoSpaceDN w:val="0"/>
              <w:adjustRightInd w:val="0"/>
              <w:ind w:right="-59"/>
              <w:jc w:val="center"/>
              <w:rPr>
                <w:b/>
                <w:iCs/>
                <w:sz w:val="18"/>
                <w:szCs w:val="18"/>
              </w:rPr>
            </w:pPr>
            <w:r w:rsidRPr="008A6189">
              <w:rPr>
                <w:b/>
                <w:bCs/>
                <w:sz w:val="18"/>
                <w:szCs w:val="18"/>
              </w:rPr>
              <w:lastRenderedPageBreak/>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113" w:type="dxa"/>
            </w:tcMar>
            <w:vAlign w:val="center"/>
          </w:tcPr>
          <w:p w:rsidR="0095318C" w:rsidRPr="008A6189" w:rsidRDefault="0095318C" w:rsidP="00DC1333">
            <w:pPr>
              <w:keepNext/>
              <w:keepLines/>
              <w:autoSpaceDE w:val="0"/>
              <w:autoSpaceDN w:val="0"/>
              <w:adjustRightInd w:val="0"/>
              <w:ind w:right="-59"/>
              <w:jc w:val="center"/>
              <w:rPr>
                <w:b/>
                <w:iCs/>
                <w:sz w:val="18"/>
                <w:szCs w:val="18"/>
              </w:rPr>
            </w:pPr>
            <w:r w:rsidRPr="008A6189">
              <w:rPr>
                <w:b/>
                <w:b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vAlign w:val="center"/>
          </w:tcPr>
          <w:p w:rsidR="0095318C" w:rsidRPr="008A6189" w:rsidRDefault="0095318C" w:rsidP="00DC1333">
            <w:pPr>
              <w:jc w:val="center"/>
              <w:rPr>
                <w:b/>
                <w:bCs/>
                <w:sz w:val="18"/>
                <w:szCs w:val="18"/>
              </w:rPr>
            </w:pPr>
            <w:r w:rsidRPr="008A6189">
              <w:rPr>
                <w:b/>
                <w:bCs/>
                <w:sz w:val="18"/>
                <w:szCs w:val="18"/>
              </w:rPr>
              <w:t>Evolución de los riesgos y estrategias de mitigación durante el bienio</w:t>
            </w:r>
          </w:p>
        </w:tc>
        <w:tc>
          <w:tcPr>
            <w:tcW w:w="2426" w:type="dxa"/>
            <w:tcBorders>
              <w:top w:val="single" w:sz="4" w:space="0" w:color="auto"/>
              <w:bottom w:val="single" w:sz="4" w:space="0" w:color="auto"/>
            </w:tcBorders>
            <w:shd w:val="clear" w:color="auto" w:fill="C6D9F1" w:themeFill="text2" w:themeFillTint="33"/>
            <w:vAlign w:val="center"/>
          </w:tcPr>
          <w:p w:rsidR="0095318C" w:rsidRPr="008A6189" w:rsidRDefault="0095318C" w:rsidP="00DC1333">
            <w:pPr>
              <w:jc w:val="center"/>
              <w:rPr>
                <w:b/>
                <w:bCs/>
                <w:sz w:val="18"/>
                <w:szCs w:val="18"/>
              </w:rPr>
            </w:pPr>
            <w:r w:rsidRPr="008A6189">
              <w:rPr>
                <w:b/>
                <w:bCs/>
                <w:sz w:val="18"/>
                <w:szCs w:val="18"/>
              </w:rPr>
              <w:t>Incidencia en el rendimiento del programa</w:t>
            </w:r>
          </w:p>
        </w:tc>
      </w:tr>
      <w:tr w:rsidR="0095318C" w:rsidRPr="002779F3" w:rsidTr="00DC1333">
        <w:trPr>
          <w:trHeight w:val="1197"/>
        </w:trPr>
        <w:tc>
          <w:tcPr>
            <w:tcW w:w="2420" w:type="dxa"/>
            <w:tcBorders>
              <w:top w:val="single" w:sz="4" w:space="0" w:color="auto"/>
            </w:tcBorders>
            <w:shd w:val="clear" w:color="auto" w:fill="auto"/>
            <w:tcMar>
              <w:top w:w="113" w:type="dxa"/>
              <w:bottom w:w="113" w:type="dxa"/>
            </w:tcMar>
          </w:tcPr>
          <w:p w:rsidR="0095318C" w:rsidRPr="008A6189" w:rsidRDefault="0095318C" w:rsidP="00DC1333">
            <w:pPr>
              <w:keepNext/>
              <w:keepLines/>
              <w:tabs>
                <w:tab w:val="left" w:pos="1170"/>
              </w:tabs>
              <w:rPr>
                <w:sz w:val="16"/>
                <w:szCs w:val="16"/>
              </w:rPr>
            </w:pPr>
            <w:r w:rsidRPr="008A6189">
              <w:rPr>
                <w:sz w:val="16"/>
                <w:szCs w:val="16"/>
              </w:rPr>
              <w:t>En un entorno cambiante en materia de tecnología y P.I., las expectativas y las preferencias de los usuarios también evolucionan rápidamente.  La interfaz, los gráficos y la plataforma tecnológica de los cursos de enseñanza a distancia pueden quedarse anticuados, en cuyo caso los contenidos sobre P.I. de los diferentes programas de enseñanza de la Academia podrían quedar además desconectados de las novedades y los retos globales emergentes.</w:t>
            </w:r>
          </w:p>
          <w:p w:rsidR="0095318C" w:rsidRPr="008A6189" w:rsidRDefault="0095318C" w:rsidP="00DC1333">
            <w:pPr>
              <w:keepNext/>
              <w:keepLines/>
              <w:tabs>
                <w:tab w:val="left" w:pos="1170"/>
              </w:tabs>
              <w:rPr>
                <w:sz w:val="16"/>
                <w:szCs w:val="16"/>
              </w:rPr>
            </w:pPr>
          </w:p>
        </w:tc>
        <w:tc>
          <w:tcPr>
            <w:tcW w:w="2200" w:type="dxa"/>
            <w:tcBorders>
              <w:top w:val="single" w:sz="4" w:space="0" w:color="auto"/>
            </w:tcBorders>
            <w:shd w:val="clear" w:color="auto" w:fill="auto"/>
            <w:tcMar>
              <w:top w:w="113" w:type="dxa"/>
              <w:bottom w:w="113" w:type="dxa"/>
            </w:tcMar>
          </w:tcPr>
          <w:p w:rsidR="0095318C" w:rsidRPr="008A6189" w:rsidRDefault="0095318C" w:rsidP="00DC1333">
            <w:pPr>
              <w:keepNext/>
              <w:keepLines/>
              <w:autoSpaceDE w:val="0"/>
              <w:autoSpaceDN w:val="0"/>
              <w:adjustRightInd w:val="0"/>
              <w:ind w:right="-59"/>
              <w:rPr>
                <w:sz w:val="16"/>
                <w:szCs w:val="16"/>
              </w:rPr>
            </w:pPr>
            <w:r w:rsidRPr="008A6189">
              <w:rPr>
                <w:sz w:val="16"/>
                <w:szCs w:val="16"/>
              </w:rPr>
              <w:t>Se continuarán recopilando los comentarios de tutores y estudiantes de cursos de enseñanza a distancia y, previo examen sustantivo por parte de expertos en P.I., se procederá a actualizar las plataformas y el contenido sobre P.I.</w:t>
            </w:r>
          </w:p>
          <w:p w:rsidR="0095318C" w:rsidRPr="008A6189" w:rsidRDefault="0095318C" w:rsidP="00DC1333">
            <w:pPr>
              <w:keepNext/>
              <w:keepLines/>
              <w:autoSpaceDE w:val="0"/>
              <w:autoSpaceDN w:val="0"/>
              <w:adjustRightInd w:val="0"/>
              <w:ind w:right="-59"/>
              <w:rPr>
                <w:sz w:val="16"/>
                <w:szCs w:val="16"/>
              </w:rPr>
            </w:pPr>
          </w:p>
          <w:p w:rsidR="0095318C" w:rsidRPr="008A6189" w:rsidRDefault="0095318C" w:rsidP="00DC1333">
            <w:pPr>
              <w:keepNext/>
              <w:keepLines/>
              <w:autoSpaceDE w:val="0"/>
              <w:autoSpaceDN w:val="0"/>
              <w:adjustRightInd w:val="0"/>
              <w:ind w:right="-59"/>
              <w:rPr>
                <w:sz w:val="16"/>
                <w:szCs w:val="16"/>
              </w:rPr>
            </w:pPr>
          </w:p>
          <w:p w:rsidR="0095318C" w:rsidRPr="008A6189" w:rsidRDefault="0095318C" w:rsidP="00DC1333">
            <w:pPr>
              <w:keepNext/>
              <w:keepLines/>
              <w:autoSpaceDE w:val="0"/>
              <w:autoSpaceDN w:val="0"/>
              <w:adjustRightInd w:val="0"/>
              <w:ind w:right="-59"/>
              <w:rPr>
                <w:sz w:val="16"/>
                <w:szCs w:val="16"/>
              </w:rPr>
            </w:pPr>
          </w:p>
        </w:tc>
        <w:tc>
          <w:tcPr>
            <w:tcW w:w="2310" w:type="dxa"/>
            <w:tcBorders>
              <w:top w:val="single" w:sz="4" w:space="0" w:color="auto"/>
            </w:tcBorders>
          </w:tcPr>
          <w:p w:rsidR="0095318C" w:rsidRPr="008A6189" w:rsidRDefault="0095318C" w:rsidP="00DC1333">
            <w:pPr>
              <w:keepNext/>
              <w:keepLines/>
              <w:autoSpaceDE w:val="0"/>
              <w:autoSpaceDN w:val="0"/>
              <w:adjustRightInd w:val="0"/>
              <w:ind w:right="-59"/>
              <w:rPr>
                <w:sz w:val="16"/>
                <w:szCs w:val="16"/>
              </w:rPr>
            </w:pPr>
            <w:r w:rsidRPr="008A6189">
              <w:rPr>
                <w:sz w:val="16"/>
                <w:szCs w:val="16"/>
              </w:rPr>
              <w:t>La plataforma de la OMPI de enseñanza a distancia (WeLC) fue actualizada en 2015.</w:t>
            </w:r>
          </w:p>
          <w:p w:rsidR="0095318C" w:rsidRPr="008A6189" w:rsidRDefault="0095318C" w:rsidP="00DC1333">
            <w:pPr>
              <w:keepNext/>
              <w:keepLines/>
              <w:autoSpaceDE w:val="0"/>
              <w:autoSpaceDN w:val="0"/>
              <w:adjustRightInd w:val="0"/>
              <w:ind w:right="-59"/>
              <w:rPr>
                <w:sz w:val="16"/>
                <w:szCs w:val="16"/>
              </w:rPr>
            </w:pPr>
          </w:p>
          <w:p w:rsidR="0095318C" w:rsidRPr="008A6189" w:rsidRDefault="0095318C" w:rsidP="00DC1333">
            <w:pPr>
              <w:keepNext/>
              <w:keepLines/>
              <w:autoSpaceDE w:val="0"/>
              <w:autoSpaceDN w:val="0"/>
              <w:adjustRightInd w:val="0"/>
              <w:ind w:right="-59"/>
              <w:rPr>
                <w:sz w:val="16"/>
                <w:szCs w:val="16"/>
              </w:rPr>
            </w:pPr>
            <w:r w:rsidRPr="008A6189">
              <w:rPr>
                <w:sz w:val="16"/>
                <w:szCs w:val="16"/>
              </w:rPr>
              <w:t>Se aplicará un enfoque más sistemático a los cursos de enseñanza a distancia en el proceso anual de revisión de cursos, con el objetivo de que éstos se mantengan vigentes y actualizados.</w:t>
            </w:r>
          </w:p>
          <w:p w:rsidR="0095318C" w:rsidRPr="008A6189" w:rsidRDefault="0095318C" w:rsidP="00DC1333">
            <w:pPr>
              <w:keepNext/>
              <w:keepLines/>
              <w:autoSpaceDE w:val="0"/>
              <w:autoSpaceDN w:val="0"/>
              <w:adjustRightInd w:val="0"/>
              <w:ind w:right="-59"/>
              <w:rPr>
                <w:sz w:val="16"/>
                <w:szCs w:val="16"/>
              </w:rPr>
            </w:pPr>
          </w:p>
          <w:p w:rsidR="0095318C" w:rsidRPr="008A6189" w:rsidRDefault="0095318C" w:rsidP="00DC1333">
            <w:pPr>
              <w:keepNext/>
              <w:keepLines/>
              <w:autoSpaceDE w:val="0"/>
              <w:autoSpaceDN w:val="0"/>
              <w:adjustRightInd w:val="0"/>
              <w:ind w:right="-59"/>
              <w:rPr>
                <w:sz w:val="16"/>
                <w:szCs w:val="16"/>
              </w:rPr>
            </w:pPr>
          </w:p>
        </w:tc>
        <w:tc>
          <w:tcPr>
            <w:tcW w:w="2426" w:type="dxa"/>
            <w:tcBorders>
              <w:top w:val="single" w:sz="4" w:space="0" w:color="auto"/>
            </w:tcBorders>
          </w:tcPr>
          <w:p w:rsidR="0095318C" w:rsidRPr="008A6189" w:rsidRDefault="0095318C" w:rsidP="00DC1333">
            <w:pPr>
              <w:autoSpaceDE w:val="0"/>
              <w:autoSpaceDN w:val="0"/>
              <w:adjustRightInd w:val="0"/>
              <w:ind w:right="-59"/>
              <w:rPr>
                <w:sz w:val="16"/>
                <w:szCs w:val="16"/>
              </w:rPr>
            </w:pPr>
            <w:r w:rsidRPr="008A6189">
              <w:rPr>
                <w:sz w:val="16"/>
                <w:szCs w:val="16"/>
              </w:rPr>
              <w:t>Este riesgo y su evolución no tuvieron un impacto significativo en el rendimiento del Programa en 2014-15.</w:t>
            </w:r>
          </w:p>
          <w:p w:rsidR="0095318C" w:rsidRPr="008A6189" w:rsidRDefault="0095318C" w:rsidP="00DC1333">
            <w:pPr>
              <w:autoSpaceDE w:val="0"/>
              <w:autoSpaceDN w:val="0"/>
              <w:adjustRightInd w:val="0"/>
              <w:ind w:right="-59"/>
              <w:rPr>
                <w:sz w:val="16"/>
                <w:szCs w:val="16"/>
              </w:rPr>
            </w:pPr>
          </w:p>
          <w:p w:rsidR="0095318C" w:rsidRPr="008A6189" w:rsidRDefault="0095318C" w:rsidP="00DC1333">
            <w:pPr>
              <w:autoSpaceDE w:val="0"/>
              <w:autoSpaceDN w:val="0"/>
              <w:adjustRightInd w:val="0"/>
              <w:ind w:right="-59"/>
              <w:rPr>
                <w:sz w:val="16"/>
                <w:szCs w:val="16"/>
              </w:rPr>
            </w:pPr>
          </w:p>
        </w:tc>
      </w:tr>
    </w:tbl>
    <w:p w:rsidR="0095318C" w:rsidRPr="008A6189" w:rsidRDefault="0095318C" w:rsidP="00DC1333">
      <w:pPr>
        <w:rPr>
          <w:color w:val="000000"/>
        </w:rPr>
      </w:pPr>
    </w:p>
    <w:p w:rsidR="0095318C" w:rsidRPr="008A6189" w:rsidRDefault="0095318C" w:rsidP="00DC1333">
      <w:pPr>
        <w:rPr>
          <w:color w:val="000000"/>
        </w:rPr>
      </w:pPr>
    </w:p>
    <w:p w:rsidR="0095318C" w:rsidRPr="008A6189" w:rsidRDefault="00403D2C" w:rsidP="00DC1333">
      <w:pPr>
        <w:keepNext/>
        <w:rPr>
          <w:b/>
          <w:szCs w:val="22"/>
        </w:rPr>
      </w:pPr>
      <w:r w:rsidRPr="00403D2C">
        <w:rPr>
          <w:color w:val="000000"/>
          <w:sz w:val="20"/>
          <w:szCs w:val="22"/>
        </w:rPr>
        <w:t>UTILIZACIÓN DE LOS RECURSOS</w:t>
      </w:r>
    </w:p>
    <w:p w:rsidR="0095318C" w:rsidRPr="008A6189" w:rsidRDefault="0095318C" w:rsidP="00DC1333">
      <w:pPr>
        <w:keepNext/>
      </w:pPr>
    </w:p>
    <w:p w:rsidR="0095318C" w:rsidRPr="008A6189" w:rsidRDefault="0095318C" w:rsidP="00DC1333">
      <w:pPr>
        <w:pStyle w:val="NormalWeb"/>
        <w:keepNext/>
        <w:spacing w:before="0" w:beforeAutospacing="0" w:after="0" w:afterAutospacing="0"/>
        <w:jc w:val="center"/>
        <w:rPr>
          <w:sz w:val="20"/>
          <w:szCs w:val="20"/>
          <w:lang w:val="es-ES"/>
        </w:rPr>
      </w:pPr>
      <w:r w:rsidRPr="008A6189">
        <w:rPr>
          <w:color w:val="000000"/>
          <w:sz w:val="20"/>
          <w:szCs w:val="20"/>
          <w:lang w:val="es-ES"/>
        </w:rPr>
        <w:t>Presupuesto y gastos reales (por resultado)</w:t>
      </w:r>
    </w:p>
    <w:p w:rsidR="0095318C" w:rsidRPr="008A6189" w:rsidRDefault="0095318C" w:rsidP="00DC1333">
      <w:pPr>
        <w:pStyle w:val="NormalWeb"/>
        <w:keepNext/>
        <w:spacing w:before="0" w:beforeAutospacing="0" w:after="0" w:afterAutospacing="0"/>
        <w:jc w:val="center"/>
        <w:rPr>
          <w:i/>
          <w:iCs/>
          <w:color w:val="000000"/>
          <w:sz w:val="20"/>
          <w:szCs w:val="20"/>
          <w:lang w:val="es-ES"/>
        </w:rPr>
      </w:pPr>
      <w:r w:rsidRPr="008A6189">
        <w:rPr>
          <w:i/>
          <w:iCs/>
          <w:color w:val="000000"/>
          <w:sz w:val="20"/>
          <w:szCs w:val="20"/>
          <w:lang w:val="es-ES"/>
        </w:rPr>
        <w:t>(</w:t>
      </w:r>
      <w:proofErr w:type="gramStart"/>
      <w:r w:rsidRPr="008A6189">
        <w:rPr>
          <w:i/>
          <w:iCs/>
          <w:color w:val="000000"/>
          <w:sz w:val="20"/>
          <w:szCs w:val="20"/>
          <w:lang w:val="es-ES"/>
        </w:rPr>
        <w:t>en</w:t>
      </w:r>
      <w:proofErr w:type="gramEnd"/>
      <w:r w:rsidRPr="008A6189">
        <w:rPr>
          <w:i/>
          <w:iCs/>
          <w:color w:val="000000"/>
          <w:sz w:val="20"/>
          <w:szCs w:val="20"/>
          <w:lang w:val="es-ES"/>
        </w:rPr>
        <w:t xml:space="preserve"> miles de francos suizos)</w:t>
      </w:r>
    </w:p>
    <w:p w:rsidR="0095318C" w:rsidRPr="008A6189" w:rsidRDefault="0095318C" w:rsidP="00DC1333">
      <w:pPr>
        <w:pStyle w:val="NormalWeb"/>
        <w:keepNext/>
        <w:spacing w:before="0" w:beforeAutospacing="0" w:after="0" w:afterAutospacing="0"/>
        <w:jc w:val="center"/>
        <w:rPr>
          <w:sz w:val="20"/>
          <w:szCs w:val="20"/>
          <w:lang w:val="es-ES"/>
        </w:rPr>
      </w:pPr>
    </w:p>
    <w:p w:rsidR="0095318C" w:rsidRPr="008A6189" w:rsidRDefault="0095318C" w:rsidP="00DC1333">
      <w:pPr>
        <w:pStyle w:val="NormalWeb"/>
        <w:keepNext/>
        <w:spacing w:before="0" w:beforeAutospacing="0" w:after="0" w:afterAutospacing="0"/>
        <w:jc w:val="center"/>
        <w:rPr>
          <w:sz w:val="20"/>
          <w:szCs w:val="20"/>
          <w:lang w:val="es-ES"/>
        </w:rPr>
      </w:pPr>
      <w:r w:rsidRPr="008A6189">
        <w:rPr>
          <w:noProof/>
          <w:sz w:val="20"/>
          <w:szCs w:val="20"/>
        </w:rPr>
        <w:drawing>
          <wp:inline distT="0" distB="0" distL="0" distR="0" wp14:anchorId="4ED9AF16" wp14:editId="101EB144">
            <wp:extent cx="5394086" cy="141413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28052" cy="1423035"/>
                    </a:xfrm>
                    <a:prstGeom prst="rect">
                      <a:avLst/>
                    </a:prstGeom>
                    <a:noFill/>
                    <a:ln>
                      <a:noFill/>
                    </a:ln>
                  </pic:spPr>
                </pic:pic>
              </a:graphicData>
            </a:graphic>
          </wp:inline>
        </w:drawing>
      </w:r>
    </w:p>
    <w:p w:rsidR="0095318C" w:rsidRPr="008A6189" w:rsidRDefault="0095318C" w:rsidP="00DC1333">
      <w:pPr>
        <w:pStyle w:val="NormalWeb"/>
        <w:keepNext/>
        <w:keepLines/>
        <w:spacing w:before="0" w:beforeAutospacing="0" w:after="0" w:afterAutospacing="0"/>
        <w:jc w:val="center"/>
        <w:rPr>
          <w:color w:val="000000"/>
          <w:sz w:val="22"/>
          <w:szCs w:val="22"/>
          <w:lang w:val="es-ES"/>
        </w:rPr>
      </w:pPr>
    </w:p>
    <w:p w:rsidR="0095318C" w:rsidRPr="008A6189" w:rsidRDefault="0095318C" w:rsidP="00DC1333">
      <w:pPr>
        <w:pStyle w:val="NormalWeb"/>
        <w:keepNext/>
        <w:keepLines/>
        <w:spacing w:before="0" w:beforeAutospacing="0" w:after="0" w:afterAutospacing="0"/>
        <w:jc w:val="center"/>
        <w:rPr>
          <w:color w:val="000000"/>
          <w:sz w:val="22"/>
          <w:szCs w:val="22"/>
          <w:lang w:val="es-ES"/>
        </w:rPr>
      </w:pPr>
    </w:p>
    <w:p w:rsidR="0095318C" w:rsidRPr="008A6189" w:rsidRDefault="0095318C" w:rsidP="00DC1333">
      <w:pPr>
        <w:pStyle w:val="NormalWeb"/>
        <w:keepNext/>
        <w:keepLines/>
        <w:spacing w:before="0" w:beforeAutospacing="0" w:after="0" w:afterAutospacing="0"/>
        <w:jc w:val="center"/>
        <w:rPr>
          <w:sz w:val="20"/>
          <w:szCs w:val="20"/>
          <w:lang w:val="es-ES"/>
        </w:rPr>
      </w:pPr>
      <w:r w:rsidRPr="008A6189">
        <w:rPr>
          <w:color w:val="000000"/>
          <w:sz w:val="20"/>
          <w:szCs w:val="20"/>
          <w:lang w:val="es-ES"/>
        </w:rPr>
        <w:t>Presupuesto y gastos reale</w:t>
      </w:r>
      <w:r>
        <w:rPr>
          <w:color w:val="000000"/>
          <w:sz w:val="20"/>
          <w:szCs w:val="20"/>
          <w:lang w:val="es-ES"/>
        </w:rPr>
        <w:t>s (de personal y no relativos a</w:t>
      </w:r>
      <w:r w:rsidRPr="008A6189">
        <w:rPr>
          <w:color w:val="000000"/>
          <w:sz w:val="20"/>
          <w:szCs w:val="20"/>
          <w:lang w:val="es-ES"/>
        </w:rPr>
        <w:t xml:space="preserve"> personal)</w:t>
      </w:r>
    </w:p>
    <w:p w:rsidR="0095318C" w:rsidRPr="008A6189" w:rsidRDefault="0095318C" w:rsidP="00DC1333">
      <w:pPr>
        <w:pStyle w:val="NormalWeb"/>
        <w:keepNext/>
        <w:keepLines/>
        <w:spacing w:before="0" w:beforeAutospacing="0" w:after="0" w:afterAutospacing="0"/>
        <w:jc w:val="center"/>
        <w:rPr>
          <w:i/>
          <w:iCs/>
          <w:color w:val="000000"/>
          <w:sz w:val="20"/>
          <w:szCs w:val="20"/>
          <w:lang w:val="es-ES"/>
        </w:rPr>
      </w:pPr>
      <w:r w:rsidRPr="008A6189">
        <w:rPr>
          <w:i/>
          <w:iCs/>
          <w:color w:val="000000"/>
          <w:sz w:val="20"/>
          <w:szCs w:val="20"/>
          <w:lang w:val="es-ES"/>
        </w:rPr>
        <w:t>(</w:t>
      </w:r>
      <w:proofErr w:type="gramStart"/>
      <w:r w:rsidRPr="008A6189">
        <w:rPr>
          <w:i/>
          <w:iCs/>
          <w:color w:val="000000"/>
          <w:sz w:val="20"/>
          <w:szCs w:val="20"/>
          <w:lang w:val="es-ES"/>
        </w:rPr>
        <w:t>en</w:t>
      </w:r>
      <w:proofErr w:type="gramEnd"/>
      <w:r w:rsidRPr="008A6189">
        <w:rPr>
          <w:i/>
          <w:iCs/>
          <w:color w:val="000000"/>
          <w:sz w:val="20"/>
          <w:szCs w:val="20"/>
          <w:lang w:val="es-ES"/>
        </w:rPr>
        <w:t xml:space="preserve"> miles de francos suizos)</w:t>
      </w:r>
    </w:p>
    <w:p w:rsidR="0095318C" w:rsidRPr="008A6189" w:rsidRDefault="0095318C" w:rsidP="00DC1333">
      <w:pPr>
        <w:pStyle w:val="NormalWeb"/>
        <w:keepNext/>
        <w:keepLines/>
        <w:spacing w:before="0" w:beforeAutospacing="0" w:after="0" w:afterAutospacing="0"/>
        <w:jc w:val="center"/>
        <w:rPr>
          <w:lang w:val="es-ES"/>
        </w:rPr>
      </w:pPr>
    </w:p>
    <w:p w:rsidR="0095318C" w:rsidRPr="008A6189" w:rsidRDefault="0095318C" w:rsidP="00DC1333">
      <w:pPr>
        <w:pStyle w:val="NormalWeb"/>
        <w:keepNext/>
        <w:keepLines/>
        <w:spacing w:before="0" w:beforeAutospacing="0" w:after="0" w:afterAutospacing="0"/>
        <w:jc w:val="center"/>
        <w:rPr>
          <w:lang w:val="es-ES"/>
        </w:rPr>
      </w:pPr>
      <w:r w:rsidRPr="008A6189">
        <w:rPr>
          <w:noProof/>
        </w:rPr>
        <w:drawing>
          <wp:inline distT="0" distB="0" distL="0" distR="0" wp14:anchorId="0483421E" wp14:editId="3A8C2628">
            <wp:extent cx="5313854" cy="1031359"/>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45850" cy="1037569"/>
                    </a:xfrm>
                    <a:prstGeom prst="rect">
                      <a:avLst/>
                    </a:prstGeom>
                    <a:noFill/>
                    <a:ln>
                      <a:noFill/>
                    </a:ln>
                  </pic:spPr>
                </pic:pic>
              </a:graphicData>
            </a:graphic>
          </wp:inline>
        </w:drawing>
      </w:r>
    </w:p>
    <w:p w:rsidR="0095318C" w:rsidRPr="008A6189" w:rsidRDefault="0095318C" w:rsidP="00DC1333">
      <w:pPr>
        <w:pStyle w:val="NormalWeb"/>
        <w:keepNext/>
        <w:keepLines/>
        <w:spacing w:before="0" w:beforeAutospacing="0" w:after="0" w:afterAutospacing="0"/>
        <w:jc w:val="center"/>
        <w:rPr>
          <w:lang w:val="es-ES"/>
        </w:rPr>
      </w:pPr>
    </w:p>
    <w:p w:rsidR="0095318C" w:rsidRPr="008A6189" w:rsidRDefault="0095318C" w:rsidP="00DC1333">
      <w:pPr>
        <w:widowControl w:val="0"/>
        <w:autoSpaceDE w:val="0"/>
        <w:autoSpaceDN w:val="0"/>
        <w:adjustRightInd w:val="0"/>
        <w:rPr>
          <w:szCs w:val="22"/>
        </w:rPr>
      </w:pPr>
    </w:p>
    <w:p w:rsidR="0095318C" w:rsidRPr="008A6189" w:rsidRDefault="00403D2C" w:rsidP="0095318C">
      <w:pPr>
        <w:pStyle w:val="ListParagraph"/>
        <w:numPr>
          <w:ilvl w:val="0"/>
          <w:numId w:val="61"/>
        </w:numPr>
        <w:ind w:left="709" w:hanging="709"/>
        <w:jc w:val="both"/>
        <w:rPr>
          <w:lang w:val="es-ES"/>
        </w:rPr>
      </w:pPr>
      <w:r w:rsidRPr="00403D2C">
        <w:rPr>
          <w:rFonts w:cs="Arial"/>
          <w:u w:val="single"/>
          <w:lang w:val="es-ES"/>
        </w:rPr>
        <w:t>Presupuesto final de 2014/15 tras las transferencias</w:t>
      </w:r>
    </w:p>
    <w:p w:rsidR="0095318C" w:rsidRPr="008A6189" w:rsidRDefault="0095318C" w:rsidP="00DC1333">
      <w:pPr>
        <w:jc w:val="both"/>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t>Los recursos disponibles para el Programa se mantuvieron estables durante el bienio.  La redistribución de los recursos de personal del Programa para hacer frente a las necesidades relacionadas con las plataformas de la OMPI y las aplicaciones de TI en el Sector de Desarrollo (Programas 8, 9 y 11), quedó compensada por la redistribución de gastos de personal hacia el Programa tras el proceso de transición en la gestión de la Academia a finales de 2014.</w:t>
      </w:r>
    </w:p>
    <w:p w:rsidR="0095318C" w:rsidRPr="008A6189" w:rsidRDefault="0095318C" w:rsidP="00DC1333">
      <w:pPr>
        <w:jc w:val="both"/>
      </w:pPr>
    </w:p>
    <w:p w:rsidR="0095318C" w:rsidRPr="008A6189" w:rsidRDefault="00403D2C" w:rsidP="0095318C">
      <w:pPr>
        <w:pStyle w:val="ListParagraph"/>
        <w:numPr>
          <w:ilvl w:val="0"/>
          <w:numId w:val="61"/>
        </w:numPr>
        <w:ind w:left="709" w:hanging="709"/>
        <w:jc w:val="both"/>
        <w:rPr>
          <w:u w:val="single"/>
          <w:lang w:val="es-ES_tradnl"/>
        </w:rPr>
      </w:pPr>
      <w:r w:rsidRPr="00403D2C">
        <w:rPr>
          <w:rFonts w:eastAsia="SimSun" w:cs="Arial"/>
          <w:u w:val="single"/>
          <w:lang w:val="es-ES" w:eastAsia="ko-KR"/>
        </w:rPr>
        <w:t>Utilización del presupuesto en 2014/15</w:t>
      </w:r>
    </w:p>
    <w:p w:rsidR="0095318C" w:rsidRPr="008A6189" w:rsidRDefault="0095318C" w:rsidP="00DC1333">
      <w:pPr>
        <w:jc w:val="both"/>
        <w:rPr>
          <w:u w:val="single"/>
        </w:rPr>
      </w:pPr>
    </w:p>
    <w:p w:rsidR="0095318C" w:rsidRPr="008A6189" w:rsidRDefault="0095318C" w:rsidP="0095318C">
      <w:pPr>
        <w:pStyle w:val="ListParagraph"/>
        <w:numPr>
          <w:ilvl w:val="0"/>
          <w:numId w:val="59"/>
        </w:numPr>
        <w:tabs>
          <w:tab w:val="left" w:pos="709"/>
        </w:tabs>
        <w:autoSpaceDE w:val="0"/>
        <w:autoSpaceDN w:val="0"/>
        <w:adjustRightInd w:val="0"/>
        <w:ind w:left="0" w:firstLine="0"/>
        <w:jc w:val="both"/>
        <w:rPr>
          <w:rFonts w:eastAsiaTheme="minorHAnsi" w:cs="Arial"/>
          <w:color w:val="000000"/>
          <w:lang w:val="es-ES"/>
        </w:rPr>
      </w:pPr>
      <w:r w:rsidRPr="008A6189">
        <w:rPr>
          <w:rFonts w:eastAsiaTheme="minorHAnsi" w:cs="Arial"/>
          <w:color w:val="000000"/>
          <w:lang w:val="es-ES"/>
        </w:rPr>
        <w:lastRenderedPageBreak/>
        <w:t>La utilización del presupuesto se ha mantenido dentro de los límites establecidos durante el bienio.</w:t>
      </w:r>
    </w:p>
    <w:p w:rsidR="0095318C" w:rsidRDefault="0095318C" w:rsidP="00DC1333">
      <w:pPr>
        <w:tabs>
          <w:tab w:val="left" w:pos="709"/>
        </w:tabs>
        <w:autoSpaceDE w:val="0"/>
        <w:autoSpaceDN w:val="0"/>
        <w:adjustRightInd w:val="0"/>
        <w:jc w:val="both"/>
        <w:rPr>
          <w:rFonts w:eastAsiaTheme="minorHAnsi"/>
          <w:color w:val="000000"/>
        </w:rPr>
      </w:pPr>
    </w:p>
    <w:p w:rsidR="0095318C" w:rsidRPr="0097412C" w:rsidRDefault="0095318C" w:rsidP="00DC1333">
      <w:pPr>
        <w:tabs>
          <w:tab w:val="left" w:pos="709"/>
        </w:tabs>
        <w:autoSpaceDE w:val="0"/>
        <w:autoSpaceDN w:val="0"/>
        <w:adjustRightInd w:val="0"/>
        <w:jc w:val="both"/>
        <w:rPr>
          <w:rFonts w:eastAsiaTheme="minorHAnsi"/>
          <w:color w:val="000000"/>
        </w:rPr>
      </w:pPr>
    </w:p>
    <w:p w:rsidR="004224C0" w:rsidRDefault="004224C0">
      <w:r>
        <w:br w:type="page"/>
      </w:r>
    </w:p>
    <w:p w:rsidR="008A591C" w:rsidRPr="008A591C" w:rsidRDefault="008A591C" w:rsidP="00DC1333">
      <w:pPr>
        <w:pStyle w:val="Heading2"/>
        <w:ind w:left="2410" w:hanging="2410"/>
        <w:rPr>
          <w:b/>
          <w:szCs w:val="20"/>
        </w:rPr>
      </w:pPr>
      <w:bookmarkStart w:id="114" w:name="_Toc422210494"/>
      <w:bookmarkStart w:id="115" w:name="_Toc455159087"/>
      <w:r w:rsidRPr="008A591C">
        <w:rPr>
          <w:b/>
          <w:szCs w:val="20"/>
        </w:rPr>
        <w:lastRenderedPageBreak/>
        <w:t>PROGRAMA 30</w:t>
      </w:r>
      <w:r w:rsidRPr="008A591C">
        <w:rPr>
          <w:b/>
          <w:szCs w:val="20"/>
        </w:rPr>
        <w:tab/>
      </w:r>
      <w:bookmarkEnd w:id="114"/>
      <w:r w:rsidRPr="008A591C">
        <w:rPr>
          <w:b/>
          <w:szCs w:val="20"/>
        </w:rPr>
        <w:t>LAS PEQUEÑAS Y MEDIANAS EMPRESAS (PYMES) Y LA INNOVACIÓN</w:t>
      </w:r>
      <w:bookmarkEnd w:id="115"/>
    </w:p>
    <w:p w:rsidR="008A591C" w:rsidRPr="00980C61" w:rsidRDefault="008A591C" w:rsidP="00DC1333">
      <w:pPr>
        <w:ind w:left="1985" w:hanging="1985"/>
      </w:pPr>
    </w:p>
    <w:p w:rsidR="008A591C" w:rsidRPr="00013B5C" w:rsidRDefault="008A591C" w:rsidP="00DC1333">
      <w:pPr>
        <w:tabs>
          <w:tab w:val="left" w:pos="2410"/>
        </w:tabs>
        <w:rPr>
          <w:b/>
          <w:sz w:val="20"/>
        </w:rPr>
      </w:pPr>
      <w:r w:rsidRPr="00013B5C">
        <w:rPr>
          <w:b/>
          <w:sz w:val="20"/>
        </w:rPr>
        <w:t>Director de programa</w:t>
      </w:r>
      <w:r w:rsidRPr="00013B5C">
        <w:rPr>
          <w:b/>
          <w:sz w:val="20"/>
        </w:rPr>
        <w:tab/>
      </w:r>
      <w:r w:rsidR="00391B20" w:rsidRPr="00013B5C">
        <w:rPr>
          <w:b/>
          <w:sz w:val="20"/>
        </w:rPr>
        <w:t>Director General</w:t>
      </w:r>
    </w:p>
    <w:p w:rsidR="008A591C" w:rsidRPr="00980C61" w:rsidRDefault="008A591C" w:rsidP="00DC1333"/>
    <w:p w:rsidR="008A591C" w:rsidRPr="00980C61" w:rsidRDefault="008A591C" w:rsidP="00DC1333">
      <w:pPr>
        <w:tabs>
          <w:tab w:val="left" w:pos="720"/>
        </w:tabs>
      </w:pPr>
    </w:p>
    <w:p w:rsidR="008A591C" w:rsidRPr="00FE22B8" w:rsidRDefault="008F7CBE" w:rsidP="00DC1333">
      <w:pPr>
        <w:rPr>
          <w:bCs/>
          <w:sz w:val="20"/>
        </w:rPr>
      </w:pPr>
      <w:r w:rsidRPr="00FE22B8">
        <w:rPr>
          <w:bCs/>
          <w:sz w:val="20"/>
        </w:rPr>
        <w:t>LOGROS ALCANZADOS EN EL BIENIO 2014/15</w:t>
      </w:r>
    </w:p>
    <w:p w:rsidR="008A591C" w:rsidRPr="00FE22B8" w:rsidRDefault="008A591C" w:rsidP="00DC1333">
      <w:pPr>
        <w:rPr>
          <w:sz w:val="20"/>
        </w:rPr>
      </w:pPr>
    </w:p>
    <w:p w:rsidR="008A591C" w:rsidRPr="00FE22B8" w:rsidRDefault="008A591C" w:rsidP="00DC1333">
      <w:pPr>
        <w:autoSpaceDE w:val="0"/>
        <w:autoSpaceDN w:val="0"/>
        <w:adjustRightInd w:val="0"/>
        <w:rPr>
          <w:color w:val="000000"/>
          <w:sz w:val="20"/>
        </w:rPr>
      </w:pPr>
      <w:r w:rsidRPr="00FE22B8">
        <w:rPr>
          <w:color w:val="000000"/>
          <w:sz w:val="20"/>
        </w:rPr>
        <w:t>PEQUEÑAS Y MEDIANAS EMPRESAS (PYMES)</w:t>
      </w:r>
    </w:p>
    <w:p w:rsidR="008A591C" w:rsidRPr="00FE22B8" w:rsidRDefault="008A591C" w:rsidP="00DC1333">
      <w:pPr>
        <w:autoSpaceDE w:val="0"/>
        <w:autoSpaceDN w:val="0"/>
        <w:adjustRightInd w:val="0"/>
        <w:rPr>
          <w:color w:val="000000"/>
          <w:sz w:val="20"/>
        </w:rPr>
      </w:pPr>
    </w:p>
    <w:p w:rsidR="008A591C"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FE22B8">
        <w:rPr>
          <w:rFonts w:cs="Arial"/>
          <w:color w:val="000000"/>
          <w:lang w:val="es-ES"/>
        </w:rPr>
        <w:t>Se siguió colaborando con las oficinas nacionales y regionales de P.I. y otras instituciones para</w:t>
      </w:r>
      <w:r w:rsidRPr="00980C61">
        <w:rPr>
          <w:rFonts w:cs="Arial"/>
          <w:color w:val="000000"/>
          <w:lang w:val="es-ES"/>
        </w:rPr>
        <w:t xml:space="preserve"> ayudar a los empresarios y a las pymes a utilizar el sistema de P.I., principalmente mediante</w:t>
      </w:r>
      <w:proofErr w:type="gramStart"/>
      <w:r w:rsidRPr="00980C61">
        <w:rPr>
          <w:rFonts w:cs="Arial"/>
          <w:color w:val="000000"/>
          <w:lang w:val="es-ES"/>
        </w:rPr>
        <w:t>:  a</w:t>
      </w:r>
      <w:proofErr w:type="gramEnd"/>
      <w:r w:rsidRPr="00980C61">
        <w:rPr>
          <w:rFonts w:cs="Arial"/>
          <w:color w:val="000000"/>
          <w:lang w:val="es-ES"/>
        </w:rPr>
        <w:t>) la adaptación o traducción al contexto local de los contenidos relacionados con la P.</w:t>
      </w:r>
      <w:r>
        <w:rPr>
          <w:rFonts w:cs="Arial"/>
          <w:color w:val="000000"/>
          <w:lang w:val="es-ES"/>
        </w:rPr>
        <w:t xml:space="preserve">I. dirigidos a las empresas </w:t>
      </w:r>
      <w:r w:rsidRPr="00980C61">
        <w:rPr>
          <w:rFonts w:cs="Arial"/>
          <w:color w:val="000000"/>
          <w:lang w:val="es-ES"/>
        </w:rPr>
        <w:t>y b) programas de formación de formadores.  Con respecto a estos últimos, se organizaron 33 programas relativos a la gestión eficaz de los activos de P.I. por parte de las pymes, de los que se beneficiaron más de 700 participantes.  El objetivo de estos programas era crear una masa crítica de formadores en países concretos con los conocimientos, las habilidades y la experiencia que se precisan para prestar asistencia básica a las pymes en relación con la gestión de activos de P.I.  El programa también contribuyó a promover el empoderamiento de la mujer en el ámb</w:t>
      </w:r>
      <w:r w:rsidR="00D62430">
        <w:rPr>
          <w:rFonts w:cs="Arial"/>
          <w:color w:val="000000"/>
          <w:lang w:val="es-ES"/>
        </w:rPr>
        <w:t>ito de la P.I.  Con ese fin, en </w:t>
      </w:r>
      <w:r w:rsidRPr="00980C61">
        <w:rPr>
          <w:rFonts w:cs="Arial"/>
          <w:color w:val="000000"/>
          <w:lang w:val="es-ES"/>
        </w:rPr>
        <w:t>2014/15 la OMPI, la Oficina Surcoreana de Propiedad Intelectual (KIPO) y la Asociación Surcoreana de Inventoras (KWIA) organizaron dos talleres internacionales para mujeres inventoras y empresarias, de los que se beneficiaron 236 mujeres inventoras y empresarias procedentes de 25 países.</w:t>
      </w:r>
    </w:p>
    <w:p w:rsidR="008A591C"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A40792">
        <w:rPr>
          <w:rFonts w:eastAsia="SimSun" w:cs="Arial"/>
          <w:lang w:eastAsia="zh-CN"/>
        </w:rPr>
        <w:t xml:space="preserve">En 2014/15, se finalizó </w:t>
      </w:r>
      <w:proofErr w:type="gramStart"/>
      <w:r w:rsidRPr="00A40792">
        <w:rPr>
          <w:rFonts w:eastAsia="SimSun" w:cs="Arial"/>
          <w:lang w:eastAsia="zh-CN"/>
        </w:rPr>
        <w:t>un</w:t>
      </w:r>
      <w:proofErr w:type="gramEnd"/>
      <w:r w:rsidRPr="00A40792">
        <w:rPr>
          <w:rFonts w:eastAsia="SimSun" w:cs="Arial"/>
          <w:lang w:eastAsia="zh-CN"/>
        </w:rPr>
        <w:t xml:space="preserve"> nuevo libro titulado:  </w:t>
      </w:r>
      <w:r w:rsidRPr="00A40792">
        <w:rPr>
          <w:rFonts w:eastAsia="SimSun" w:cs="Arial"/>
          <w:i/>
          <w:lang w:eastAsia="zh-CN"/>
        </w:rPr>
        <w:t>In Confidence - An Introduction to Trade Secrets for Small and Medium-sized Enterprises</w:t>
      </w:r>
      <w:r w:rsidRPr="00A40792">
        <w:rPr>
          <w:rFonts w:eastAsia="SimSun" w:cs="Arial"/>
          <w:lang w:eastAsia="zh-CN"/>
        </w:rPr>
        <w:t xml:space="preserve">. </w:t>
      </w:r>
      <w:r w:rsidRPr="007704A8">
        <w:rPr>
          <w:rFonts w:eastAsia="SimSun" w:cs="Arial"/>
          <w:lang w:val="es-ES" w:eastAsia="zh-CN"/>
        </w:rPr>
        <w:t>La OMPI también contribuyó al proyecto inicial de un libro sobre el aprovechamiento de la propiedad intelectual como activo empresarial estratégico</w:t>
      </w:r>
      <w:r w:rsidRPr="007704A8">
        <w:rPr>
          <w:rFonts w:eastAsia="SimSun" w:cs="Arial"/>
          <w:i/>
          <w:lang w:val="es-ES" w:eastAsia="zh-CN"/>
        </w:rPr>
        <w:t xml:space="preserve"> </w:t>
      </w:r>
      <w:r w:rsidRPr="007704A8">
        <w:rPr>
          <w:rFonts w:eastAsia="SimSun" w:cs="Arial"/>
          <w:lang w:val="es-ES" w:eastAsia="zh-CN"/>
        </w:rPr>
        <w:t>(gestión estratégica de la P.I.).</w:t>
      </w:r>
      <w:r w:rsidRPr="00980C61">
        <w:rPr>
          <w:rFonts w:eastAsia="SimSun" w:cs="Arial"/>
          <w:sz w:val="22"/>
          <w:vertAlign w:val="superscript"/>
          <w:lang w:val="es-ES" w:eastAsia="zh-CN"/>
        </w:rPr>
        <w:footnoteReference w:id="80"/>
      </w:r>
    </w:p>
    <w:p w:rsidR="008A591C" w:rsidRPr="00794B90" w:rsidRDefault="008A591C" w:rsidP="00C74007">
      <w:pPr>
        <w:pStyle w:val="ListParagraph"/>
        <w:tabs>
          <w:tab w:val="left" w:pos="709"/>
        </w:tabs>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Pr>
          <w:rFonts w:cs="Arial"/>
          <w:color w:val="000000"/>
          <w:lang w:val="es-ES"/>
        </w:rPr>
        <w:t xml:space="preserve">Un total de </w:t>
      </w:r>
      <w:r w:rsidRPr="00980C61">
        <w:rPr>
          <w:rFonts w:cs="Arial"/>
          <w:color w:val="000000"/>
          <w:lang w:val="es-ES"/>
        </w:rPr>
        <w:t>1</w:t>
      </w:r>
      <w:r>
        <w:rPr>
          <w:rFonts w:cs="Arial"/>
          <w:color w:val="000000"/>
          <w:lang w:val="es-ES"/>
        </w:rPr>
        <w:t>.</w:t>
      </w:r>
      <w:r w:rsidRPr="00980C61">
        <w:rPr>
          <w:rFonts w:cs="Arial"/>
          <w:color w:val="000000"/>
          <w:lang w:val="es-ES"/>
        </w:rPr>
        <w:t>350 personas (709 en 2014 y 641 en 2015)</w:t>
      </w:r>
      <w:r>
        <w:rPr>
          <w:rFonts w:cs="Arial"/>
          <w:color w:val="000000"/>
          <w:lang w:val="es-ES"/>
        </w:rPr>
        <w:t xml:space="preserve"> participó en</w:t>
      </w:r>
      <w:r w:rsidRPr="00980C61">
        <w:rPr>
          <w:rFonts w:cs="Arial"/>
          <w:color w:val="000000"/>
          <w:lang w:val="es-ES"/>
        </w:rPr>
        <w:t xml:space="preserve"> dos cursos internacionales sobre la gestión de activos de P.I. para el éxito de las empresas basados en IP PANORAMA</w:t>
      </w:r>
      <w:r w:rsidRPr="00980C61">
        <w:rPr>
          <w:rFonts w:cs="Arial"/>
          <w:color w:val="000000"/>
          <w:vertAlign w:val="superscript"/>
          <w:lang w:val="es-ES"/>
        </w:rPr>
        <w:t xml:space="preserve"> </w:t>
      </w:r>
      <w:r w:rsidRPr="00980C61">
        <w:rPr>
          <w:rFonts w:cs="Arial"/>
          <w:color w:val="000000"/>
          <w:lang w:val="es-ES"/>
        </w:rPr>
        <w:t xml:space="preserve">(en inglés), impartidos por Internet y con entrega de certificado, y 70 personas participaron posteriormente en un programa sobre la gestión de activos de P.I., impartido </w:t>
      </w:r>
      <w:r w:rsidRPr="00794B90">
        <w:rPr>
          <w:rFonts w:cs="Arial"/>
          <w:i/>
          <w:color w:val="000000"/>
          <w:lang w:val="es-ES"/>
        </w:rPr>
        <w:t>in situ</w:t>
      </w:r>
      <w:r w:rsidRPr="00980C61">
        <w:rPr>
          <w:rFonts w:cs="Arial"/>
          <w:color w:val="000000"/>
          <w:lang w:val="es-ES"/>
        </w:rPr>
        <w:t xml:space="preserve"> en Seúl (República de Corea), que fue preparado por la OMPI </w:t>
      </w:r>
      <w:r>
        <w:rPr>
          <w:rFonts w:cs="Arial"/>
          <w:color w:val="000000"/>
          <w:lang w:val="es-ES"/>
        </w:rPr>
        <w:t>y ofrecido</w:t>
      </w:r>
      <w:r w:rsidRPr="00980C61">
        <w:rPr>
          <w:rFonts w:cs="Arial"/>
          <w:color w:val="000000"/>
          <w:lang w:val="es-ES"/>
        </w:rPr>
        <w:t xml:space="preserve"> en coordinación con la KIPO, la Asociación Surcoreana de Promoción de las Invenciones (KIPA) y el Instituto Especializado de Ciencia y Tecnología de Corea (KAIST).  Se efectuaron los preparativos para poner a punto las versiones en español, árabe, francés y ruso del curso internacional en el bienio 2016/17.</w:t>
      </w:r>
    </w:p>
    <w:p w:rsidR="008A591C" w:rsidRPr="00980C61" w:rsidRDefault="008A591C" w:rsidP="00C74007">
      <w:pPr>
        <w:tabs>
          <w:tab w:val="left" w:pos="709"/>
        </w:tabs>
        <w:autoSpaceDE w:val="0"/>
        <w:autoSpaceDN w:val="0"/>
        <w:adjustRightInd w:val="0"/>
        <w:jc w:val="both"/>
        <w:rPr>
          <w:color w:val="000000"/>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bCs/>
          <w:color w:val="000000"/>
          <w:lang w:val="es-ES"/>
        </w:rPr>
        <w:t>Prosiguieron los esfuerzos por comunicarse directamente con las pymes a través del sitio</w:t>
      </w:r>
      <w:r w:rsidRPr="00980C61">
        <w:rPr>
          <w:rFonts w:cs="Arial"/>
          <w:color w:val="000000"/>
          <w:lang w:val="es-ES"/>
        </w:rPr>
        <w:t xml:space="preserve"> web para pymes en los seis idiomas oficiales de las Naciones Unidas y el </w:t>
      </w:r>
      <w:r w:rsidR="00D62430">
        <w:rPr>
          <w:rFonts w:cs="Arial"/>
          <w:color w:val="000000"/>
          <w:lang w:val="es-ES"/>
        </w:rPr>
        <w:t>boletín mensual de noticias. En </w:t>
      </w:r>
      <w:r w:rsidRPr="00980C61">
        <w:rPr>
          <w:rFonts w:cs="Arial"/>
          <w:color w:val="000000"/>
          <w:lang w:val="es-ES"/>
        </w:rPr>
        <w:t xml:space="preserve">2015, a fin de lograr disponer de una base de usuarios más </w:t>
      </w:r>
      <w:r>
        <w:rPr>
          <w:rFonts w:cs="Arial"/>
          <w:color w:val="000000"/>
          <w:lang w:val="es-ES"/>
        </w:rPr>
        <w:t>selectiva</w:t>
      </w:r>
      <w:r w:rsidRPr="00980C61">
        <w:rPr>
          <w:rFonts w:cs="Arial"/>
          <w:color w:val="000000"/>
          <w:lang w:val="es-ES"/>
        </w:rPr>
        <w:t xml:space="preserve"> para el boletín, se modificaron los criterios de suscri</w:t>
      </w:r>
      <w:r>
        <w:rPr>
          <w:rFonts w:cs="Arial"/>
          <w:color w:val="000000"/>
          <w:lang w:val="es-ES"/>
        </w:rPr>
        <w:t>pción</w:t>
      </w:r>
      <w:r w:rsidRPr="00980C61">
        <w:rPr>
          <w:rFonts w:cs="Arial"/>
          <w:color w:val="000000"/>
          <w:lang w:val="es-ES"/>
        </w:rPr>
        <w:t xml:space="preserve"> y se exigió a los suscriptores que volvieran a suscribirse.  En consecuencia, se retiró de la lista a un gran número de suscriptores inactivos, dando como resultado una base de usuarios más pequeña pero más </w:t>
      </w:r>
      <w:r>
        <w:rPr>
          <w:rFonts w:cs="Arial"/>
          <w:color w:val="000000"/>
          <w:lang w:val="es-ES"/>
        </w:rPr>
        <w:t>específica</w:t>
      </w:r>
      <w:r w:rsidRPr="00980C61">
        <w:rPr>
          <w:rFonts w:cs="Arial"/>
          <w:color w:val="000000"/>
          <w:lang w:val="es-ES"/>
        </w:rPr>
        <w:t>.  Se elaboraron cinco nuevos estudios monográficos de la P.I. y las pymes sobre los temas siguientes</w:t>
      </w:r>
      <w:proofErr w:type="gramStart"/>
      <w:r w:rsidRPr="00980C61">
        <w:rPr>
          <w:rFonts w:cs="Arial"/>
          <w:color w:val="000000"/>
          <w:lang w:val="es-ES"/>
        </w:rPr>
        <w:t>:  i</w:t>
      </w:r>
      <w:proofErr w:type="gramEnd"/>
      <w:r w:rsidRPr="00980C61">
        <w:rPr>
          <w:rFonts w:cs="Arial"/>
          <w:color w:val="000000"/>
          <w:lang w:val="es-ES"/>
        </w:rPr>
        <w:t xml:space="preserve">) Ezequiel Farca (México);  ii) </w:t>
      </w:r>
      <w:r w:rsidRPr="00980C61">
        <w:rPr>
          <w:rFonts w:cs="Arial"/>
          <w:i/>
          <w:color w:val="000000"/>
          <w:lang w:val="es-ES"/>
        </w:rPr>
        <w:t xml:space="preserve">Haldiram </w:t>
      </w:r>
      <w:r w:rsidRPr="00980C61">
        <w:rPr>
          <w:rFonts w:cs="Arial"/>
          <w:color w:val="000000"/>
          <w:lang w:val="es-ES"/>
        </w:rPr>
        <w:t xml:space="preserve">(India);  iii) </w:t>
      </w:r>
      <w:r w:rsidRPr="00980C61">
        <w:rPr>
          <w:rFonts w:cs="Arial"/>
          <w:i/>
          <w:color w:val="000000"/>
          <w:lang w:val="es-ES"/>
        </w:rPr>
        <w:t>Wondereight</w:t>
      </w:r>
      <w:r w:rsidRPr="00980C61">
        <w:rPr>
          <w:rFonts w:cs="Arial"/>
          <w:color w:val="000000"/>
          <w:lang w:val="es-ES"/>
        </w:rPr>
        <w:t xml:space="preserve"> (Líbano);  iv) Desarrollar programas informáticos asequibles para la pequeña empresa</w:t>
      </w:r>
      <w:r w:rsidRPr="00980C61">
        <w:rPr>
          <w:rFonts w:cs="Arial"/>
          <w:i/>
          <w:color w:val="000000"/>
          <w:lang w:val="es-ES"/>
        </w:rPr>
        <w:t>:  HSCO LLP</w:t>
      </w:r>
      <w:r w:rsidRPr="00980C61">
        <w:rPr>
          <w:rFonts w:cs="Arial"/>
          <w:color w:val="000000"/>
          <w:lang w:val="es-ES"/>
        </w:rPr>
        <w:t xml:space="preserve"> (Reino Unido/Jordania)</w:t>
      </w:r>
      <w:r w:rsidR="002E6163">
        <w:rPr>
          <w:rFonts w:cs="Arial"/>
          <w:color w:val="000000"/>
          <w:lang w:val="es-ES"/>
        </w:rPr>
        <w:t xml:space="preserve">; </w:t>
      </w:r>
      <w:r w:rsidRPr="00980C61">
        <w:rPr>
          <w:rFonts w:cs="Arial"/>
          <w:color w:val="000000"/>
          <w:lang w:val="es-ES"/>
        </w:rPr>
        <w:t xml:space="preserve"> y v) Para que la energía fluya con seguridad:  </w:t>
      </w:r>
      <w:r w:rsidRPr="00980C61">
        <w:rPr>
          <w:rFonts w:cs="Arial"/>
          <w:i/>
          <w:color w:val="000000"/>
          <w:lang w:val="es-ES"/>
        </w:rPr>
        <w:t>PipeWay Engenharia</w:t>
      </w:r>
      <w:r>
        <w:rPr>
          <w:rFonts w:cs="Arial"/>
          <w:color w:val="000000"/>
          <w:lang w:val="es-ES"/>
        </w:rPr>
        <w:t xml:space="preserve"> (Brasil), y estos dos </w:t>
      </w:r>
      <w:r w:rsidRPr="00980C61">
        <w:rPr>
          <w:rFonts w:cs="Arial"/>
          <w:color w:val="000000"/>
          <w:lang w:val="es-ES"/>
        </w:rPr>
        <w:t xml:space="preserve">últimos </w:t>
      </w:r>
      <w:r>
        <w:rPr>
          <w:rFonts w:cs="Arial"/>
          <w:color w:val="000000"/>
          <w:lang w:val="es-ES"/>
        </w:rPr>
        <w:t xml:space="preserve">estudios </w:t>
      </w:r>
      <w:r w:rsidRPr="00980C61">
        <w:rPr>
          <w:rFonts w:cs="Arial"/>
          <w:color w:val="000000"/>
          <w:lang w:val="es-ES"/>
        </w:rPr>
        <w:t>fueron publicados en IP Advantage.</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En el marco del programa y con arreglo a las recomendaciones 1, 4, 10 y 11 de la A.D., se organizaron 40 seminarios, talleres o programas de formación de formadores sobre la gestión de la P.I. para las pymes en 30 países, principalmente países en desarrollo y PMA de África, la región árabe, Asia y el Pacífico, y América Latina y el Caribe, y países en transición, o se participó en ellos.  Estos programas, que corrieron a cargo de 29 expertos y oradores de países en desarrollo (13), países en transición (4) y países desarrollados (12), beneficiaron a más de 2</w:t>
      </w:r>
      <w:r>
        <w:rPr>
          <w:rFonts w:cs="Arial"/>
          <w:color w:val="000000"/>
          <w:lang w:val="es-ES"/>
        </w:rPr>
        <w:t>.</w:t>
      </w:r>
      <w:r w:rsidRPr="00980C61">
        <w:rPr>
          <w:rFonts w:cs="Arial"/>
          <w:color w:val="000000"/>
          <w:lang w:val="es-ES"/>
        </w:rPr>
        <w:t xml:space="preserve">000 representantes de pymes y de instituciones de apoyo a las pymes de 93 países, de los que 21 eran PMA, 56 países en desarrollo y 16 países con economías en transición.  Asumiendo un mayor protagonismo, las oficinas de P.I. o las cámaras de comercio de los Estados miembros interesados participaron activamente en la etapa de </w:t>
      </w:r>
      <w:r w:rsidRPr="00980C61">
        <w:rPr>
          <w:rFonts w:cs="Arial"/>
          <w:color w:val="000000"/>
          <w:lang w:val="es-ES"/>
        </w:rPr>
        <w:lastRenderedPageBreak/>
        <w:t>planificación e hicieron contribuciones sustanciales al desarrollo y ejecución de los programas, en particular en lo tocante a la selección de los oradores y los temas del programa.  Por otra parte, en el marco del programa de formación de formadores se celebró una mesa redonda en torno a la cuestión de la sensibilización y la utilización de la P.I. por la pymes, en la que se determinaron las dificultades a que se enfrentaban las pymes y las instituciones de apoyo a las pymes</w:t>
      </w:r>
      <w:r>
        <w:rPr>
          <w:rFonts w:cs="Arial"/>
          <w:color w:val="000000"/>
          <w:lang w:val="es-ES"/>
        </w:rPr>
        <w:t xml:space="preserve"> en el ámbito local</w:t>
      </w:r>
      <w:r w:rsidRPr="00980C61">
        <w:rPr>
          <w:rFonts w:cs="Arial"/>
          <w:color w:val="000000"/>
          <w:lang w:val="es-ES"/>
        </w:rPr>
        <w:t>, y se propuso una hoja de ruta para superar esas dificultades, con arreglo a la recomendación 4.</w:t>
      </w:r>
    </w:p>
    <w:p w:rsidR="008A591C" w:rsidRPr="00980C61" w:rsidRDefault="008A591C" w:rsidP="00C74007">
      <w:pPr>
        <w:tabs>
          <w:tab w:val="left" w:pos="709"/>
        </w:tabs>
        <w:autoSpaceDE w:val="0"/>
        <w:autoSpaceDN w:val="0"/>
        <w:adjustRightInd w:val="0"/>
        <w:jc w:val="both"/>
        <w:rPr>
          <w:caps/>
        </w:rPr>
      </w:pPr>
    </w:p>
    <w:p w:rsidR="008A591C" w:rsidRPr="00D25674" w:rsidRDefault="008A591C" w:rsidP="00C74007">
      <w:pPr>
        <w:tabs>
          <w:tab w:val="left" w:pos="709"/>
        </w:tabs>
        <w:autoSpaceDE w:val="0"/>
        <w:autoSpaceDN w:val="0"/>
        <w:adjustRightInd w:val="0"/>
        <w:jc w:val="both"/>
        <w:rPr>
          <w:caps/>
          <w:sz w:val="20"/>
        </w:rPr>
      </w:pPr>
      <w:r w:rsidRPr="00D25674">
        <w:rPr>
          <w:caps/>
          <w:sz w:val="20"/>
        </w:rPr>
        <w:t>POLÍTICA DE INNOVACIÓN</w:t>
      </w:r>
    </w:p>
    <w:p w:rsidR="008A591C" w:rsidRPr="00980C61" w:rsidRDefault="008A591C" w:rsidP="00C74007">
      <w:pPr>
        <w:tabs>
          <w:tab w:val="left" w:pos="709"/>
        </w:tabs>
        <w:autoSpaceDE w:val="0"/>
        <w:autoSpaceDN w:val="0"/>
        <w:adjustRightInd w:val="0"/>
        <w:jc w:val="both"/>
        <w:rPr>
          <w:cap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A lo largo del bienio, prosiguió la labor de determinación de los ámbitos de interacción entre la política de innovación y la P.I.  Una vez finalizada la ejecución del proyecto piloto sobre la integración de la P.I. en la formulación de la política de innovación en Serbia durante el bienio anterior, se dio inicio a los proyectos nacionales en el Camerún, Jamaica, Rwanda, Sri Lanka y Trinidad y Tabago.  El objetivo de estos proyectos era hacer un balance general del sistema de innovación en los países seleccionados</w:t>
      </w:r>
      <w:r>
        <w:rPr>
          <w:rFonts w:cs="Arial"/>
          <w:color w:val="000000"/>
          <w:lang w:val="es-ES"/>
        </w:rPr>
        <w:t xml:space="preserve"> y determinar </w:t>
      </w:r>
      <w:r w:rsidRPr="00980C61">
        <w:rPr>
          <w:rFonts w:cs="Arial"/>
          <w:color w:val="000000"/>
          <w:lang w:val="es-ES"/>
        </w:rPr>
        <w:t>los principales actores, su participación en el sistema de innovación, su nivel de conocimientos y confianza en el sistema de P.I., así como las insuficiencias y necesidades del sistema de innovación desde la perspectiva de la P.I.  Esta labor tenía por fin recabar más información para la elaboración de estrategias nacionales de P.I. más eficaces y contribuir a la prestación por la OMPI de servicios de apoyo más apropiados, mejor concebidos y adaptados a las necesidades.  Uno de los resultados positivos de estos proyectos fue la colaboración que se consiguió entablar en torno a un proyecto más grande</w:t>
      </w:r>
      <w:r w:rsidRPr="00F91D94">
        <w:rPr>
          <w:rFonts w:cs="Arial"/>
          <w:color w:val="000000"/>
          <w:lang w:val="es-ES"/>
        </w:rPr>
        <w:t xml:space="preserve"> </w:t>
      </w:r>
      <w:r w:rsidRPr="00980C61">
        <w:rPr>
          <w:rFonts w:cs="Arial"/>
          <w:color w:val="000000"/>
          <w:lang w:val="es-ES"/>
        </w:rPr>
        <w:t>en el Caribe, financiado por la Unión Europea</w:t>
      </w:r>
      <w:r>
        <w:rPr>
          <w:rFonts w:cs="Arial"/>
          <w:color w:val="000000"/>
          <w:lang w:val="es-ES"/>
        </w:rPr>
        <w:t>,</w:t>
      </w:r>
      <w:r w:rsidRPr="00980C61">
        <w:rPr>
          <w:rFonts w:cs="Arial"/>
          <w:color w:val="000000"/>
          <w:lang w:val="es-ES"/>
        </w:rPr>
        <w:t xml:space="preserve"> que llevaba por título IPICA</w:t>
      </w:r>
      <w:proofErr w:type="gramStart"/>
      <w:r w:rsidRPr="00980C61">
        <w:rPr>
          <w:rFonts w:cs="Arial"/>
          <w:color w:val="000000"/>
          <w:lang w:val="es-ES"/>
        </w:rPr>
        <w:t>:  Potenciación</w:t>
      </w:r>
      <w:proofErr w:type="gramEnd"/>
      <w:r w:rsidRPr="00980C61">
        <w:rPr>
          <w:rFonts w:cs="Arial"/>
          <w:color w:val="000000"/>
          <w:lang w:val="es-ES"/>
        </w:rPr>
        <w:t xml:space="preserve"> de la transferencia de conocimientos en el Caribe mediante regímenes eficaces de derechos de P.I. y de transferencia de conocimientos, coordinado por la Universidad de Alicante.  Además, el Gobierno de Sri Lanka emprendió un proyecto sobre la gestión eficaz de los resultados de la investigación en las universidades tras las recomendaciones formuladas en el informe mencionado anteriormente.</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 xml:space="preserve">A fin de seguir desarrollando la labor de integración de la P.I. en la formulación de políticas de innovación, se llevó a cabo un examen de la bibliografía relativa a la interacción de la P.I. en la formulación de políticas de innovación con la asistencia del Manchester Institute of Innovation Research.  En el examen se describían las ideas, los debates y las discusiones existentes en las obras publicadas acerca de la </w:t>
      </w:r>
      <w:r>
        <w:rPr>
          <w:rFonts w:cs="Arial"/>
          <w:color w:val="000000"/>
          <w:lang w:val="es-ES"/>
        </w:rPr>
        <w:t>confluencia</w:t>
      </w:r>
      <w:r w:rsidRPr="00980C61">
        <w:rPr>
          <w:rFonts w:cs="Arial"/>
          <w:color w:val="000000"/>
          <w:lang w:val="es-ES"/>
        </w:rPr>
        <w:t xml:space="preserve"> de la P.I. y la formulación de políticas de innovación. </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r w:rsidRPr="00980C61">
        <w:rPr>
          <w:rFonts w:cs="Arial"/>
          <w:color w:val="000000"/>
          <w:lang w:val="es-ES"/>
        </w:rPr>
        <w:t>ESTRUCTURAS DE INNOVACIÓN</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 xml:space="preserve">Merced a los proyectos de comercialización de la P.I. a medida, los programas de fortalecimiento de capacidades y los servicios de asesoramiento prestados a los Estados miembros de la OMPI, el programa también posibilitó el establecimiento de una infraestructura jurídica e institucional adecuada y la formación de capital humano </w:t>
      </w:r>
      <w:r>
        <w:rPr>
          <w:rFonts w:cs="Arial"/>
          <w:color w:val="000000"/>
          <w:lang w:val="es-ES"/>
        </w:rPr>
        <w:t>especializado en la promoción de</w:t>
      </w:r>
      <w:r w:rsidRPr="00980C61">
        <w:rPr>
          <w:rFonts w:cs="Arial"/>
          <w:color w:val="000000"/>
          <w:lang w:val="es-ES"/>
        </w:rPr>
        <w:t xml:space="preserve"> la creatividad y la gestión estratégica de los derechos de P.I. respecto de los conocimientos y los resultados de la investigación desde las etapas iniciales hasta su llegada a los mercados de tecnología, mediante la utilización del sistema de P.I, y de herramientas y procesos de comercialización.  Gracias a los métodos de formación personalizada, se formó a unos 2.200 profesionales (funcionarios gubernamentales, administradores de tecnología, científicos y agentes de patentes) a través de actividades </w:t>
      </w:r>
      <w:r w:rsidRPr="00980C61">
        <w:rPr>
          <w:rFonts w:cs="Arial"/>
          <w:i/>
          <w:color w:val="000000"/>
          <w:lang w:val="es-ES"/>
        </w:rPr>
        <w:t>in situ</w:t>
      </w:r>
      <w:r>
        <w:rPr>
          <w:rFonts w:cs="Arial"/>
          <w:color w:val="000000"/>
          <w:lang w:val="es-ES"/>
        </w:rPr>
        <w:t xml:space="preserve">, </w:t>
      </w:r>
      <w:r w:rsidRPr="00980C61">
        <w:rPr>
          <w:rFonts w:cs="Arial"/>
          <w:color w:val="000000"/>
          <w:lang w:val="es-ES"/>
        </w:rPr>
        <w:t>y otros 100 interesados del sector de la innovación, incluidas mujeres emprendedoras de África, recibieron formación a través de más de 123 módulos de formación práctica a distancia y videoconferencias.</w:t>
      </w:r>
    </w:p>
    <w:p w:rsidR="008A591C"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3A4A49"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3A4A49">
        <w:rPr>
          <w:rFonts w:cs="Arial"/>
          <w:color w:val="000000"/>
          <w:lang w:val="es-ES"/>
        </w:rPr>
        <w:t xml:space="preserve">En 2014 se revisó el proyecto de creación de oficinas de transferencia de tecnología (OTT) en la región árabe con el fin de ampliar su alcance geográfico en atención a las peticiones de los Estados miembros.  En ese contexto, la ejecución del plan de acción para Túnez se centró en la infraestructura jurídica e institucional de las instituciones beneficiarias en Túnez.  Se siguió avanzando en el proceso de consolidación de cuatro OTT en Túnez con el fin de que funcionaran de manera independiente y duradera.  </w:t>
      </w:r>
      <w:r>
        <w:rPr>
          <w:rFonts w:cs="Arial"/>
          <w:color w:val="000000"/>
          <w:lang w:val="es-ES"/>
        </w:rPr>
        <w:t xml:space="preserve">A tal efecto, se terminó de elaborar varias </w:t>
      </w:r>
      <w:r w:rsidRPr="003A4A49">
        <w:rPr>
          <w:rFonts w:cs="Arial"/>
          <w:color w:val="000000"/>
          <w:lang w:val="es-ES"/>
        </w:rPr>
        <w:t>políticas institucionales de P.I.</w:t>
      </w:r>
      <w:r>
        <w:rPr>
          <w:rFonts w:cs="Arial"/>
          <w:color w:val="000000"/>
          <w:lang w:val="es-ES"/>
        </w:rPr>
        <w:t xml:space="preserve"> para el</w:t>
      </w:r>
      <w:r w:rsidRPr="003A4A49">
        <w:rPr>
          <w:rFonts w:cs="Arial"/>
          <w:color w:val="000000"/>
          <w:lang w:val="es-ES"/>
        </w:rPr>
        <w:t xml:space="preserve"> </w:t>
      </w:r>
      <w:r w:rsidRPr="003A4A49">
        <w:rPr>
          <w:rFonts w:cs="Arial"/>
          <w:i/>
          <w:color w:val="000000"/>
          <w:lang w:val="es-ES"/>
        </w:rPr>
        <w:t>Centre Technique de la Chimie</w:t>
      </w:r>
      <w:r w:rsidRPr="003A4A49">
        <w:rPr>
          <w:rFonts w:cs="Arial"/>
          <w:color w:val="000000"/>
          <w:lang w:val="es-ES"/>
        </w:rPr>
        <w:t xml:space="preserve"> (CTC)</w:t>
      </w:r>
      <w:r>
        <w:rPr>
          <w:rFonts w:cs="Arial"/>
          <w:color w:val="000000"/>
          <w:lang w:val="es-ES"/>
        </w:rPr>
        <w:t>, el p</w:t>
      </w:r>
      <w:r w:rsidRPr="003A4A49">
        <w:rPr>
          <w:rFonts w:cs="Arial"/>
          <w:color w:val="000000"/>
          <w:lang w:val="es-ES"/>
        </w:rPr>
        <w:t xml:space="preserve">arque tecnológico El Ghazala, </w:t>
      </w:r>
      <w:r>
        <w:rPr>
          <w:rFonts w:cs="Arial"/>
          <w:color w:val="000000"/>
          <w:lang w:val="es-ES"/>
        </w:rPr>
        <w:t xml:space="preserve">el </w:t>
      </w:r>
      <w:r w:rsidRPr="003A4A49">
        <w:rPr>
          <w:rFonts w:cs="Arial"/>
          <w:color w:val="000000"/>
          <w:lang w:val="es-ES"/>
        </w:rPr>
        <w:t xml:space="preserve">centro técnico de envasado </w:t>
      </w:r>
      <w:r>
        <w:rPr>
          <w:rFonts w:cs="Arial"/>
          <w:color w:val="000000"/>
          <w:lang w:val="es-ES"/>
        </w:rPr>
        <w:t>Packtec y el p</w:t>
      </w:r>
      <w:r w:rsidRPr="003A4A49">
        <w:rPr>
          <w:rFonts w:cs="Arial"/>
          <w:color w:val="000000"/>
          <w:lang w:val="es-ES"/>
        </w:rPr>
        <w:t>arque tecnológico de Sidi Thabet (TST)</w:t>
      </w:r>
      <w:r>
        <w:rPr>
          <w:rFonts w:cs="Arial"/>
          <w:color w:val="000000"/>
          <w:lang w:val="es-ES"/>
        </w:rPr>
        <w:t>.</w:t>
      </w:r>
    </w:p>
    <w:p w:rsidR="008A591C"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F91D94"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F91D94">
        <w:rPr>
          <w:rFonts w:cs="Arial"/>
          <w:color w:val="000000"/>
          <w:lang w:val="es-ES"/>
        </w:rPr>
        <w:t>En colaboración con asociados internos y externos se organizaron unos 42 programas de formación, que se desglosan de la manera siguiente</w:t>
      </w:r>
      <w:proofErr w:type="gramStart"/>
      <w:r w:rsidRPr="00F91D94">
        <w:rPr>
          <w:rFonts w:cs="Arial"/>
          <w:color w:val="000000"/>
          <w:lang w:val="es-ES"/>
        </w:rPr>
        <w:t>:  11</w:t>
      </w:r>
      <w:proofErr w:type="gramEnd"/>
      <w:r w:rsidRPr="00F91D94">
        <w:rPr>
          <w:rFonts w:cs="Arial"/>
          <w:color w:val="000000"/>
          <w:lang w:val="es-ES"/>
        </w:rPr>
        <w:t xml:space="preserve"> programas sobre redacción de solicitudes de patentes, 16 sobre la gestión de los derechos de P.I. para las universidades e instituciones de I+D, 12 cursos de formación sobre la negociación de licencias de tecnología y tres cursos de formación en mercadotecnia y valoración de la P.I.  En 2014/15 se introdujeron nuevos temas</w:t>
      </w:r>
      <w:proofErr w:type="gramStart"/>
      <w:r w:rsidRPr="00F91D94">
        <w:rPr>
          <w:rFonts w:cs="Arial"/>
          <w:color w:val="000000"/>
          <w:lang w:val="es-ES"/>
        </w:rPr>
        <w:t>:  i</w:t>
      </w:r>
      <w:proofErr w:type="gramEnd"/>
      <w:r w:rsidRPr="00F91D94">
        <w:rPr>
          <w:rFonts w:cs="Arial"/>
          <w:color w:val="000000"/>
          <w:lang w:val="es-ES"/>
        </w:rPr>
        <w:t xml:space="preserve">) la protección de la P.I.;  (ii) </w:t>
      </w:r>
      <w:r>
        <w:rPr>
          <w:rFonts w:cs="Arial"/>
          <w:color w:val="000000"/>
          <w:lang w:val="es-ES"/>
        </w:rPr>
        <w:t xml:space="preserve">las </w:t>
      </w:r>
      <w:r w:rsidRPr="00F91D94">
        <w:rPr>
          <w:rFonts w:cs="Arial"/>
          <w:color w:val="000000"/>
          <w:lang w:val="es-ES"/>
        </w:rPr>
        <w:t xml:space="preserve">estrategias de comercialización de los resultados de la investigación para universidades e </w:t>
      </w:r>
      <w:r w:rsidRPr="00F91D94">
        <w:rPr>
          <w:rFonts w:cs="Arial"/>
          <w:color w:val="000000"/>
          <w:lang w:val="es-ES"/>
        </w:rPr>
        <w:lastRenderedPageBreak/>
        <w:t xml:space="preserve">I+D y la interpretación de documentos de patente para la judicatura;  y iii) </w:t>
      </w:r>
      <w:r>
        <w:rPr>
          <w:rFonts w:cs="Arial"/>
          <w:color w:val="000000"/>
          <w:lang w:val="es-ES"/>
        </w:rPr>
        <w:t xml:space="preserve">la </w:t>
      </w:r>
      <w:r w:rsidRPr="00F91D94">
        <w:rPr>
          <w:rFonts w:cs="Arial"/>
          <w:color w:val="000000"/>
          <w:lang w:val="es-ES"/>
        </w:rPr>
        <w:t>mercadotecnia de la P.I. para las universidades.</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color w:val="000000"/>
          <w:lang w:val="es-ES"/>
        </w:rPr>
      </w:pPr>
      <w:r w:rsidRPr="00980C61">
        <w:rPr>
          <w:rFonts w:cs="Arial"/>
          <w:color w:val="000000"/>
          <w:lang w:val="es-ES"/>
        </w:rPr>
        <w:t>En 2014/15, se revisó el programa de la Iniciativa Universitaria a fin de que siguiera siendo pertinente teniendo en cuenta los cambios en las necesidades de las universidades e instituciones de I+D en los Estados miembros de la OMPI, en particular en los países en desarrollo y países desarrollados.  Se aplicó consecuentemente un nuevo enfoque de doble alcance:  i) alentar a los Estados miembros a establecer un marco regulatorio claro a nivel nacional acerca de la titularidad de los derechos de P.I. creados en las universidades o las instituciones públicas de investigac</w:t>
      </w:r>
      <w:r>
        <w:rPr>
          <w:rFonts w:cs="Arial"/>
          <w:color w:val="000000"/>
          <w:lang w:val="es-ES"/>
        </w:rPr>
        <w:t xml:space="preserve">ión;  y ii) prestar </w:t>
      </w:r>
      <w:r w:rsidRPr="00980C61">
        <w:rPr>
          <w:rFonts w:cs="Arial"/>
          <w:color w:val="000000"/>
          <w:lang w:val="es-ES"/>
        </w:rPr>
        <w:t>asistencia a los Estados miembros a la hora de elaborar políticas institucionales de P.I. y servicios de apoyo en ese ámbito, que equilibren de manera adecuada la protección de la P.I. y el acceso a los conocimientos.  En 2015, se puso en marcha un proyecto en Bostwana, destinado a crear un modelo nacional de política institucional de P.I. con el fin de facilitar los esfuerzos de las universidades y las instituciones públicas de investigación para elaborar sus políticas internas.</w:t>
      </w:r>
    </w:p>
    <w:p w:rsidR="008A591C" w:rsidRPr="00980C61" w:rsidRDefault="008A591C" w:rsidP="00C74007">
      <w:pPr>
        <w:pStyle w:val="ListParagraph"/>
        <w:tabs>
          <w:tab w:val="left" w:pos="709"/>
        </w:tabs>
        <w:autoSpaceDE w:val="0"/>
        <w:autoSpaceDN w:val="0"/>
        <w:adjustRightInd w:val="0"/>
        <w:ind w:left="0"/>
        <w:jc w:val="both"/>
        <w:rPr>
          <w:rFonts w:cs="Arial"/>
          <w:color w:val="000000"/>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lang w:val="es-ES"/>
        </w:rPr>
      </w:pPr>
      <w:r w:rsidRPr="00980C61">
        <w:rPr>
          <w:rFonts w:cs="Arial"/>
          <w:lang w:val="es-ES"/>
        </w:rPr>
        <w:t>Con arreglo a las recomendaciones 19, 25, 26 y 28 de la A.D. y en el marco del proyecto de propiedad intelectual y transferencia de tecnología</w:t>
      </w:r>
      <w:proofErr w:type="gramStart"/>
      <w:r w:rsidRPr="00980C61">
        <w:rPr>
          <w:rFonts w:cs="Arial"/>
          <w:lang w:val="es-ES"/>
        </w:rPr>
        <w:t>:  desafíos</w:t>
      </w:r>
      <w:proofErr w:type="gramEnd"/>
      <w:r w:rsidRPr="00980C61">
        <w:rPr>
          <w:rFonts w:cs="Arial"/>
          <w:lang w:val="es-ES"/>
        </w:rPr>
        <w:t xml:space="preserve"> comunes y búsqueda de soluciones, expertos internacionales </w:t>
      </w:r>
      <w:r>
        <w:rPr>
          <w:rFonts w:cs="Arial"/>
          <w:lang w:val="es-ES"/>
        </w:rPr>
        <w:t xml:space="preserve">examinaron </w:t>
      </w:r>
      <w:r w:rsidRPr="00980C61">
        <w:rPr>
          <w:rFonts w:cs="Arial"/>
          <w:lang w:val="es-ES"/>
        </w:rPr>
        <w:t xml:space="preserve">los seis estudios sobre distintas facetas de la transferencia de tecnología, </w:t>
      </w:r>
      <w:r>
        <w:rPr>
          <w:rFonts w:cs="Arial"/>
          <w:lang w:val="es-ES"/>
        </w:rPr>
        <w:t xml:space="preserve">que </w:t>
      </w:r>
      <w:r w:rsidRPr="00980C61">
        <w:rPr>
          <w:rFonts w:cs="Arial"/>
          <w:lang w:val="es-ES"/>
        </w:rPr>
        <w:t>fueron presentados al CDIP en su decimocuarta sesión</w:t>
      </w:r>
      <w:r>
        <w:rPr>
          <w:rFonts w:cs="Arial"/>
          <w:lang w:val="es-ES"/>
        </w:rPr>
        <w:t>,</w:t>
      </w:r>
      <w:r w:rsidRPr="00980C61">
        <w:rPr>
          <w:rFonts w:cs="Arial"/>
          <w:lang w:val="es-ES"/>
        </w:rPr>
        <w:t xml:space="preserve"> en noviembre de 2014.  Una vez finalizados los estudios, se elaboró un documento conceptual sobre la búsqueda de soluciones, tal como se había previsto en el documento de proyecto aprobado, que se  examinó en el foro internacional de expertos de alto nivel, celebrado en Ginebra del 16 al 18 de febrero de 2015.  En la decimoquinta sesión del Comité se presentó un informe sobre el foro de expertos de la OMPI acerca de la transferencia de tecnología y se examinó junto con el informe de evaluación del proyecto en la decimosexta sesión del CDIP.</w:t>
      </w:r>
    </w:p>
    <w:p w:rsidR="008A591C" w:rsidRPr="00980C61" w:rsidRDefault="008A591C" w:rsidP="00C74007">
      <w:pPr>
        <w:pStyle w:val="ListParagraph"/>
        <w:tabs>
          <w:tab w:val="left" w:pos="709"/>
        </w:tabs>
        <w:autoSpaceDE w:val="0"/>
        <w:autoSpaceDN w:val="0"/>
        <w:adjustRightInd w:val="0"/>
        <w:ind w:left="0"/>
        <w:jc w:val="both"/>
        <w:rPr>
          <w:rFonts w:cs="Arial"/>
          <w:lang w:val="es-ES"/>
        </w:rPr>
      </w:pPr>
    </w:p>
    <w:p w:rsidR="008A591C" w:rsidRPr="00980C61" w:rsidRDefault="008A591C" w:rsidP="00C74007">
      <w:pPr>
        <w:pStyle w:val="ListParagraph"/>
        <w:numPr>
          <w:ilvl w:val="0"/>
          <w:numId w:val="67"/>
        </w:numPr>
        <w:tabs>
          <w:tab w:val="left" w:pos="709"/>
        </w:tabs>
        <w:autoSpaceDE w:val="0"/>
        <w:autoSpaceDN w:val="0"/>
        <w:adjustRightInd w:val="0"/>
        <w:ind w:left="0" w:firstLine="0"/>
        <w:jc w:val="both"/>
        <w:rPr>
          <w:rFonts w:cs="Arial"/>
          <w:lang w:val="es-ES"/>
        </w:rPr>
      </w:pPr>
      <w:r w:rsidRPr="00980C61">
        <w:rPr>
          <w:rFonts w:cs="Arial"/>
          <w:lang w:val="es-ES"/>
        </w:rPr>
        <w:t xml:space="preserve">En relación con la recomendación 36 de la A.D. y en el marco del proyecto sobre los proyectos de colaboración abierta y modelos de P.I., se celebró una reunión de expertos en enero de 2014 en la sede de la OMPI, que </w:t>
      </w:r>
      <w:r>
        <w:rPr>
          <w:rFonts w:cs="Arial"/>
          <w:lang w:val="es-ES"/>
        </w:rPr>
        <w:t xml:space="preserve">adoptó la forma de </w:t>
      </w:r>
      <w:r w:rsidRPr="00980C61">
        <w:rPr>
          <w:rFonts w:cs="Arial"/>
          <w:lang w:val="es-ES"/>
        </w:rPr>
        <w:t>“Conferencia de la OMPI sobre la innovación compartida</w:t>
      </w:r>
      <w:proofErr w:type="gramStart"/>
      <w:r w:rsidRPr="00980C61">
        <w:rPr>
          <w:rFonts w:cs="Arial"/>
          <w:lang w:val="es-ES"/>
        </w:rPr>
        <w:t>:  Proyectos</w:t>
      </w:r>
      <w:proofErr w:type="gramEnd"/>
      <w:r w:rsidRPr="00980C61">
        <w:rPr>
          <w:rFonts w:cs="Arial"/>
          <w:lang w:val="es-ES"/>
        </w:rPr>
        <w:t xml:space="preserve"> de colaboración y futuro del conocimiento”.  Por otra parte, se terminaron dos estudios, a saber, el estudio de evaluación detallado y el estudio sobre los flujos mundiales de conocimiento, que debían incorporarse en la plataforma interactiva programada, y se presentaron en la decimocuarta sesión del CDIP.  En la decimoquinta sesión del Comité se examinó un informe de evaluación del proyecto.</w:t>
      </w:r>
    </w:p>
    <w:p w:rsidR="008A591C" w:rsidRPr="00980C61" w:rsidRDefault="008A591C" w:rsidP="00C74007">
      <w:pPr>
        <w:pStyle w:val="ListParagraph"/>
        <w:tabs>
          <w:tab w:val="left" w:pos="709"/>
        </w:tabs>
        <w:ind w:left="0"/>
        <w:rPr>
          <w:rFonts w:cs="Arial"/>
          <w:lang w:val="es-ES"/>
        </w:rPr>
      </w:pPr>
    </w:p>
    <w:p w:rsidR="008A591C" w:rsidRPr="00980C61" w:rsidRDefault="008A591C" w:rsidP="00DC1333">
      <w:pPr>
        <w:pStyle w:val="ListParagraph"/>
        <w:autoSpaceDE w:val="0"/>
        <w:autoSpaceDN w:val="0"/>
        <w:adjustRightInd w:val="0"/>
        <w:ind w:left="0"/>
        <w:jc w:val="both"/>
        <w:rPr>
          <w:rFonts w:cs="Arial"/>
          <w:lang w:val="es-ES"/>
        </w:rPr>
      </w:pPr>
    </w:p>
    <w:p w:rsidR="008A591C" w:rsidRPr="00980C61" w:rsidRDefault="008F7CBE" w:rsidP="00DC1333">
      <w:pPr>
        <w:tabs>
          <w:tab w:val="left" w:pos="720"/>
        </w:tabs>
      </w:pPr>
      <w:r w:rsidRPr="008F7CBE">
        <w:rPr>
          <w:sz w:val="20"/>
        </w:rPr>
        <w:t>DATOS SOBRE EL RENDIMIENTO</w:t>
      </w:r>
    </w:p>
    <w:p w:rsidR="008A591C" w:rsidRPr="00980C61" w:rsidRDefault="008A591C" w:rsidP="00DC1333">
      <w:pPr>
        <w:tabs>
          <w:tab w:val="left" w:pos="720"/>
        </w:tabs>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700"/>
        <w:gridCol w:w="1419"/>
        <w:gridCol w:w="3260"/>
        <w:gridCol w:w="992"/>
      </w:tblGrid>
      <w:tr w:rsidR="008A591C" w:rsidRPr="002661F5"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A591C" w:rsidRPr="00980C61" w:rsidRDefault="008A591C" w:rsidP="00DC1333">
            <w:pPr>
              <w:keepNext/>
              <w:keepLines/>
              <w:spacing w:before="120" w:after="120"/>
              <w:ind w:left="2019" w:hanging="2019"/>
              <w:rPr>
                <w:b/>
                <w:bCs/>
                <w:sz w:val="16"/>
                <w:szCs w:val="16"/>
              </w:rPr>
            </w:pPr>
            <w:r w:rsidRPr="00980C61">
              <w:rPr>
                <w:b/>
                <w:bCs/>
                <w:sz w:val="16"/>
                <w:szCs w:val="16"/>
              </w:rPr>
              <w:t>Resultado previsto</w:t>
            </w:r>
            <w:r>
              <w:rPr>
                <w:b/>
                <w:bCs/>
                <w:sz w:val="16"/>
                <w:szCs w:val="16"/>
              </w:rPr>
              <w:t>:</w:t>
            </w:r>
            <w:r>
              <w:rPr>
                <w:b/>
                <w:bCs/>
                <w:sz w:val="16"/>
                <w:szCs w:val="16"/>
              </w:rPr>
              <w:tab/>
            </w:r>
            <w:r w:rsidRPr="00980C61">
              <w:rPr>
                <w:sz w:val="16"/>
                <w:szCs w:val="16"/>
                <w:lang w:bidi="th-TH"/>
              </w:rPr>
              <w:t>III.1 Estrategias y planes na</w:t>
            </w:r>
            <w:r>
              <w:rPr>
                <w:sz w:val="16"/>
                <w:szCs w:val="16"/>
                <w:lang w:bidi="th-TH"/>
              </w:rPr>
              <w:t>cionales de innovación y de P.I</w:t>
            </w:r>
            <w:r w:rsidRPr="00980C61">
              <w:rPr>
                <w:sz w:val="16"/>
                <w:szCs w:val="16"/>
                <w:lang w:bidi="th-TH"/>
              </w:rPr>
              <w:t>.</w:t>
            </w:r>
            <w:r>
              <w:rPr>
                <w:sz w:val="16"/>
                <w:szCs w:val="16"/>
                <w:lang w:bidi="th-TH"/>
              </w:rPr>
              <w:t xml:space="preserve"> </w:t>
            </w:r>
            <w:r w:rsidRPr="00980C61">
              <w:rPr>
                <w:sz w:val="16"/>
                <w:szCs w:val="16"/>
                <w:lang w:bidi="th-TH"/>
              </w:rPr>
              <w:t>que estén en sintonía con los objetivos nacionales de desarrollo</w:t>
            </w:r>
          </w:p>
        </w:tc>
      </w:tr>
      <w:tr w:rsidR="008A591C" w:rsidRPr="002661F5" w:rsidTr="00DC1333">
        <w:trPr>
          <w:cantSplit/>
        </w:trPr>
        <w:tc>
          <w:tcPr>
            <w:tcW w:w="1120" w:type="pct"/>
            <w:tcBorders>
              <w:top w:val="single" w:sz="4" w:space="0" w:color="auto"/>
            </w:tcBorders>
            <w:vAlign w:val="center"/>
          </w:tcPr>
          <w:p w:rsidR="008A591C" w:rsidRPr="00980C61" w:rsidRDefault="008A591C" w:rsidP="00DC1333">
            <w:pPr>
              <w:rPr>
                <w:sz w:val="16"/>
                <w:szCs w:val="16"/>
              </w:rPr>
            </w:pPr>
            <w:r w:rsidRPr="00980C61">
              <w:rPr>
                <w:b/>
                <w:sz w:val="16"/>
                <w:szCs w:val="16"/>
              </w:rPr>
              <w:t>Indicadores de rendimiento</w:t>
            </w:r>
          </w:p>
        </w:tc>
        <w:tc>
          <w:tcPr>
            <w:tcW w:w="895" w:type="pct"/>
            <w:tcBorders>
              <w:top w:val="single" w:sz="4" w:space="0" w:color="auto"/>
            </w:tcBorders>
            <w:shd w:val="clear" w:color="auto" w:fill="auto"/>
            <w:vAlign w:val="center"/>
          </w:tcPr>
          <w:p w:rsidR="008A591C" w:rsidRPr="00980C61" w:rsidRDefault="008A591C" w:rsidP="00DC1333">
            <w:pPr>
              <w:rPr>
                <w:b/>
                <w:bCs/>
                <w:sz w:val="16"/>
                <w:szCs w:val="16"/>
              </w:rPr>
            </w:pPr>
            <w:r w:rsidRPr="00980C61">
              <w:rPr>
                <w:b/>
                <w:bCs/>
                <w:sz w:val="16"/>
                <w:szCs w:val="16"/>
              </w:rPr>
              <w:t>Referencia</w:t>
            </w:r>
          </w:p>
        </w:tc>
        <w:tc>
          <w:tcPr>
            <w:tcW w:w="747" w:type="pct"/>
            <w:tcBorders>
              <w:top w:val="single" w:sz="4" w:space="0" w:color="auto"/>
            </w:tcBorders>
            <w:tcMar>
              <w:top w:w="110" w:type="dxa"/>
            </w:tcMar>
            <w:vAlign w:val="center"/>
          </w:tcPr>
          <w:p w:rsidR="008A591C" w:rsidRPr="00980C61" w:rsidRDefault="008A591C" w:rsidP="00DC1333">
            <w:pPr>
              <w:rPr>
                <w:b/>
                <w:sz w:val="16"/>
                <w:szCs w:val="16"/>
              </w:rPr>
            </w:pPr>
            <w:r w:rsidRPr="00980C61">
              <w:rPr>
                <w:b/>
                <w:sz w:val="16"/>
                <w:szCs w:val="16"/>
              </w:rPr>
              <w:t>Objetivos</w:t>
            </w:r>
          </w:p>
        </w:tc>
        <w:tc>
          <w:tcPr>
            <w:tcW w:w="1716" w:type="pct"/>
            <w:tcBorders>
              <w:top w:val="single" w:sz="4" w:space="0" w:color="auto"/>
            </w:tcBorders>
            <w:shd w:val="clear" w:color="auto" w:fill="FFFFFF"/>
            <w:tcMar>
              <w:top w:w="110" w:type="dxa"/>
            </w:tcMar>
            <w:vAlign w:val="center"/>
          </w:tcPr>
          <w:p w:rsidR="008A591C" w:rsidRPr="00980C61" w:rsidRDefault="008A591C" w:rsidP="00DC1333">
            <w:pPr>
              <w:rPr>
                <w:sz w:val="16"/>
                <w:szCs w:val="16"/>
              </w:rPr>
            </w:pPr>
            <w:r w:rsidRPr="00980C61">
              <w:rPr>
                <w:b/>
                <w:sz w:val="16"/>
                <w:szCs w:val="16"/>
              </w:rPr>
              <w:t>Datos sobre el rendimiento</w:t>
            </w:r>
          </w:p>
        </w:tc>
        <w:tc>
          <w:tcPr>
            <w:tcW w:w="522" w:type="pct"/>
            <w:tcBorders>
              <w:top w:val="single" w:sz="4" w:space="0" w:color="auto"/>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cantSplit/>
        </w:trPr>
        <w:tc>
          <w:tcPr>
            <w:tcW w:w="1120" w:type="pct"/>
            <w:tcBorders>
              <w:bottom w:val="single" w:sz="4" w:space="0" w:color="auto"/>
            </w:tcBorders>
          </w:tcPr>
          <w:p w:rsidR="008A591C" w:rsidRPr="00980C61" w:rsidRDefault="008A591C" w:rsidP="00DC1333">
            <w:pPr>
              <w:rPr>
                <w:sz w:val="16"/>
                <w:szCs w:val="16"/>
              </w:rPr>
            </w:pPr>
            <w:r w:rsidRPr="00980C61">
              <w:rPr>
                <w:sz w:val="16"/>
                <w:szCs w:val="16"/>
                <w:lang w:bidi="th-TH"/>
              </w:rPr>
              <w:t>Número de países con políticas nacionales de innovación iniciadas, en curso o adoptadas</w:t>
            </w:r>
          </w:p>
        </w:tc>
        <w:tc>
          <w:tcPr>
            <w:tcW w:w="895" w:type="pct"/>
            <w:tcBorders>
              <w:bottom w:val="single" w:sz="4" w:space="0" w:color="auto"/>
            </w:tcBorders>
            <w:shd w:val="clear" w:color="auto" w:fill="auto"/>
          </w:tcPr>
          <w:p w:rsidR="008A591C" w:rsidRPr="00980C61" w:rsidRDefault="008A591C" w:rsidP="00DC1333">
            <w:pPr>
              <w:rPr>
                <w:color w:val="002060"/>
                <w:sz w:val="16"/>
                <w:szCs w:val="16"/>
              </w:rPr>
            </w:pPr>
            <w:r w:rsidRPr="00980C61">
              <w:rPr>
                <w:i/>
                <w:color w:val="002060"/>
                <w:sz w:val="16"/>
                <w:szCs w:val="16"/>
              </w:rPr>
              <w:t>Referencia actualizada a fines de 2013</w:t>
            </w:r>
            <w:proofErr w:type="gramStart"/>
            <w:r w:rsidRPr="00980C61">
              <w:rPr>
                <w:i/>
                <w:color w:val="002060"/>
                <w:sz w:val="16"/>
                <w:szCs w:val="16"/>
              </w:rPr>
              <w:t xml:space="preserve">:  </w:t>
            </w:r>
            <w:r w:rsidRPr="00980C61">
              <w:rPr>
                <w:color w:val="002060"/>
                <w:sz w:val="16"/>
                <w:szCs w:val="16"/>
              </w:rPr>
              <w:t>1</w:t>
            </w:r>
            <w:proofErr w:type="gramEnd"/>
            <w:r w:rsidRPr="00980C61">
              <w:rPr>
                <w:color w:val="002060"/>
                <w:sz w:val="16"/>
                <w:szCs w:val="16"/>
              </w:rPr>
              <w:t xml:space="preserve"> país.</w:t>
            </w:r>
          </w:p>
          <w:p w:rsidR="008A591C" w:rsidRPr="00980C61" w:rsidRDefault="008A591C" w:rsidP="00DC1333">
            <w:pPr>
              <w:rPr>
                <w:color w:val="002060"/>
                <w:sz w:val="16"/>
                <w:szCs w:val="16"/>
              </w:rPr>
            </w:pPr>
          </w:p>
          <w:p w:rsidR="008A591C" w:rsidRPr="00980C61" w:rsidRDefault="008A591C" w:rsidP="00DC1333">
            <w:pPr>
              <w:rPr>
                <w:sz w:val="16"/>
                <w:szCs w:val="16"/>
                <w:lang w:bidi="th-TH"/>
              </w:rPr>
            </w:pPr>
            <w:r w:rsidRPr="00980C61">
              <w:rPr>
                <w:i/>
                <w:sz w:val="16"/>
                <w:szCs w:val="16"/>
              </w:rPr>
              <w:t>Referencia original en el presupuesto de 2014/15:  por determinar</w:t>
            </w:r>
            <w:r w:rsidRPr="00980C61">
              <w:rPr>
                <w:i/>
                <w:sz w:val="16"/>
                <w:szCs w:val="16"/>
              </w:rPr>
              <w:br/>
            </w:r>
          </w:p>
        </w:tc>
        <w:tc>
          <w:tcPr>
            <w:tcW w:w="747" w:type="pct"/>
            <w:tcBorders>
              <w:bottom w:val="single" w:sz="4" w:space="0" w:color="auto"/>
            </w:tcBorders>
            <w:tcMar>
              <w:top w:w="110" w:type="dxa"/>
            </w:tcMar>
          </w:tcPr>
          <w:p w:rsidR="008A591C" w:rsidRPr="00980C61" w:rsidRDefault="008A591C" w:rsidP="00DC1333">
            <w:pPr>
              <w:rPr>
                <w:sz w:val="16"/>
                <w:szCs w:val="16"/>
                <w:lang w:bidi="th-TH"/>
              </w:rPr>
            </w:pPr>
            <w:r w:rsidRPr="00980C61">
              <w:rPr>
                <w:sz w:val="16"/>
                <w:szCs w:val="16"/>
                <w:lang w:bidi="th-TH"/>
              </w:rPr>
              <w:t>5 países</w:t>
            </w:r>
          </w:p>
        </w:tc>
        <w:tc>
          <w:tcPr>
            <w:tcW w:w="1716" w:type="pct"/>
            <w:tcBorders>
              <w:bottom w:val="single" w:sz="4" w:space="0" w:color="auto"/>
            </w:tcBorders>
            <w:shd w:val="clear" w:color="auto" w:fill="FFFFFF"/>
            <w:tcMar>
              <w:top w:w="110" w:type="dxa"/>
            </w:tcMar>
          </w:tcPr>
          <w:p w:rsidR="008A591C" w:rsidRPr="00980C61" w:rsidRDefault="008A591C" w:rsidP="00DC1333">
            <w:pPr>
              <w:rPr>
                <w:sz w:val="16"/>
                <w:szCs w:val="16"/>
              </w:rPr>
            </w:pPr>
            <w:r w:rsidRPr="00980C61">
              <w:rPr>
                <w:sz w:val="16"/>
                <w:szCs w:val="16"/>
              </w:rPr>
              <w:t>Se iniciaron políticas nacionales de innovación en cinco países:  C</w:t>
            </w:r>
            <w:r>
              <w:rPr>
                <w:sz w:val="16"/>
                <w:szCs w:val="16"/>
              </w:rPr>
              <w:t>amerún, Jamaica, Rwanda, Serbia</w:t>
            </w:r>
            <w:r w:rsidRPr="00980C61">
              <w:rPr>
                <w:sz w:val="16"/>
                <w:szCs w:val="16"/>
              </w:rPr>
              <w:t>, Sri Lanka y Trinidad y Tabago</w:t>
            </w:r>
          </w:p>
        </w:tc>
        <w:tc>
          <w:tcPr>
            <w:tcW w:w="522" w:type="pct"/>
            <w:tcBorders>
              <w:bottom w:val="single" w:sz="4" w:space="0" w:color="auto"/>
            </w:tcBorders>
            <w:tcMar>
              <w:top w:w="110" w:type="dxa"/>
            </w:tcMar>
          </w:tcPr>
          <w:p w:rsidR="008A591C" w:rsidRPr="00980C61" w:rsidRDefault="008A591C" w:rsidP="002E6163">
            <w:pPr>
              <w:keepNext/>
              <w:keepLines/>
              <w:ind w:left="-109"/>
              <w:jc w:val="center"/>
              <w:rPr>
                <w:rFonts w:asciiTheme="minorHAnsi" w:hAnsiTheme="minorHAnsi"/>
                <w:b/>
                <w:bCs/>
                <w:color w:val="00B050"/>
                <w:sz w:val="16"/>
                <w:szCs w:val="16"/>
              </w:rPr>
            </w:pPr>
            <w:r w:rsidRPr="00980C61">
              <w:rPr>
                <w:rFonts w:asciiTheme="minorHAnsi" w:hAnsiTheme="minorHAnsi"/>
                <w:b/>
                <w:bCs/>
                <w:color w:val="00B050"/>
                <w:sz w:val="16"/>
                <w:szCs w:val="16"/>
              </w:rPr>
              <w:t>Plenamente logrado</w:t>
            </w:r>
          </w:p>
          <w:p w:rsidR="008A591C" w:rsidRPr="00980C61" w:rsidRDefault="008A591C" w:rsidP="00DC1333">
            <w:pPr>
              <w:keepNext/>
              <w:keepLines/>
              <w:jc w:val="center"/>
              <w:rPr>
                <w:b/>
                <w:bCs/>
                <w:color w:val="808080"/>
                <w:sz w:val="16"/>
                <w:szCs w:val="16"/>
              </w:rPr>
            </w:pPr>
          </w:p>
        </w:tc>
      </w:tr>
      <w:tr w:rsidR="008A591C" w:rsidRPr="002661F5"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A591C" w:rsidRPr="00980C61" w:rsidRDefault="008A591C" w:rsidP="00DC1333">
            <w:pPr>
              <w:keepNext/>
              <w:keepLines/>
              <w:spacing w:before="120" w:after="120"/>
              <w:ind w:left="2019" w:hanging="2019"/>
              <w:rPr>
                <w:b/>
                <w:bCs/>
                <w:sz w:val="16"/>
                <w:szCs w:val="16"/>
              </w:rPr>
            </w:pPr>
            <w:r w:rsidRPr="00980C61">
              <w:rPr>
                <w:b/>
                <w:bCs/>
                <w:sz w:val="16"/>
                <w:szCs w:val="16"/>
              </w:rPr>
              <w:lastRenderedPageBreak/>
              <w:t>Resultado previsto</w:t>
            </w:r>
            <w:r>
              <w:rPr>
                <w:b/>
                <w:bCs/>
                <w:sz w:val="16"/>
                <w:szCs w:val="16"/>
              </w:rPr>
              <w:t>:</w:t>
            </w:r>
            <w:r>
              <w:rPr>
                <w:b/>
                <w:bCs/>
                <w:sz w:val="16"/>
                <w:szCs w:val="16"/>
              </w:rPr>
              <w:tab/>
            </w:r>
            <w:r w:rsidRPr="00980C61">
              <w:rPr>
                <w:sz w:val="16"/>
                <w:szCs w:val="16"/>
                <w:lang w:bidi="th-TH"/>
              </w:rPr>
              <w:t>III.2 Mejora de las capacidades en el ámbito de los recursos humanos para hacer frente al amplio espectro de exigencias que supone la utilización eficaz de la P.I. en aras del desarrollo en los países en desarrollo, PMA y países con economías en transición</w:t>
            </w:r>
          </w:p>
        </w:tc>
      </w:tr>
      <w:tr w:rsidR="008A591C" w:rsidRPr="002661F5" w:rsidTr="00DC1333">
        <w:trPr>
          <w:cantSplit/>
        </w:trPr>
        <w:tc>
          <w:tcPr>
            <w:tcW w:w="1120" w:type="pct"/>
            <w:tcBorders>
              <w:top w:val="single" w:sz="4" w:space="0" w:color="auto"/>
            </w:tcBorders>
            <w:vAlign w:val="center"/>
          </w:tcPr>
          <w:p w:rsidR="008A591C" w:rsidRPr="00980C61" w:rsidRDefault="008A591C" w:rsidP="00DC1333">
            <w:pPr>
              <w:keepNext/>
              <w:rPr>
                <w:sz w:val="16"/>
                <w:szCs w:val="16"/>
              </w:rPr>
            </w:pPr>
            <w:r w:rsidRPr="00980C61">
              <w:rPr>
                <w:b/>
                <w:sz w:val="16"/>
                <w:szCs w:val="16"/>
              </w:rPr>
              <w:t>Indicadores de rendimiento</w:t>
            </w:r>
          </w:p>
        </w:tc>
        <w:tc>
          <w:tcPr>
            <w:tcW w:w="895" w:type="pct"/>
            <w:tcBorders>
              <w:top w:val="single" w:sz="4" w:space="0" w:color="auto"/>
            </w:tcBorders>
            <w:shd w:val="clear" w:color="auto" w:fill="auto"/>
            <w:vAlign w:val="center"/>
          </w:tcPr>
          <w:p w:rsidR="008A591C" w:rsidRPr="00980C61" w:rsidRDefault="008A591C" w:rsidP="00DC1333">
            <w:pPr>
              <w:keepNext/>
              <w:rPr>
                <w:b/>
                <w:bCs/>
                <w:sz w:val="16"/>
                <w:szCs w:val="16"/>
              </w:rPr>
            </w:pPr>
            <w:r w:rsidRPr="00980C61">
              <w:rPr>
                <w:b/>
                <w:bCs/>
                <w:sz w:val="16"/>
                <w:szCs w:val="16"/>
              </w:rPr>
              <w:t>Referencia</w:t>
            </w:r>
          </w:p>
        </w:tc>
        <w:tc>
          <w:tcPr>
            <w:tcW w:w="747" w:type="pct"/>
            <w:tcBorders>
              <w:top w:val="single" w:sz="4" w:space="0" w:color="auto"/>
            </w:tcBorders>
            <w:tcMar>
              <w:top w:w="110" w:type="dxa"/>
            </w:tcMar>
            <w:vAlign w:val="center"/>
          </w:tcPr>
          <w:p w:rsidR="008A591C" w:rsidRPr="00980C61" w:rsidRDefault="008A591C" w:rsidP="00DC1333">
            <w:pPr>
              <w:keepNext/>
              <w:rPr>
                <w:b/>
                <w:sz w:val="16"/>
                <w:szCs w:val="16"/>
              </w:rPr>
            </w:pPr>
            <w:r w:rsidRPr="00980C61">
              <w:rPr>
                <w:b/>
                <w:sz w:val="16"/>
                <w:szCs w:val="16"/>
              </w:rPr>
              <w:t>Objetivos</w:t>
            </w:r>
          </w:p>
        </w:tc>
        <w:tc>
          <w:tcPr>
            <w:tcW w:w="1716" w:type="pct"/>
            <w:tcBorders>
              <w:top w:val="single" w:sz="4" w:space="0" w:color="auto"/>
            </w:tcBorders>
            <w:shd w:val="clear" w:color="auto" w:fill="FFFFFF"/>
            <w:tcMar>
              <w:top w:w="110" w:type="dxa"/>
            </w:tcMar>
            <w:vAlign w:val="center"/>
          </w:tcPr>
          <w:p w:rsidR="008A591C" w:rsidRPr="00980C61" w:rsidRDefault="008A591C" w:rsidP="00DC1333">
            <w:pPr>
              <w:keepNext/>
              <w:rPr>
                <w:sz w:val="16"/>
                <w:szCs w:val="16"/>
              </w:rPr>
            </w:pPr>
            <w:r w:rsidRPr="00980C61">
              <w:rPr>
                <w:b/>
                <w:sz w:val="16"/>
                <w:szCs w:val="16"/>
              </w:rPr>
              <w:t>Datos sobre el rendimiento</w:t>
            </w:r>
          </w:p>
        </w:tc>
        <w:tc>
          <w:tcPr>
            <w:tcW w:w="522" w:type="pct"/>
            <w:tcBorders>
              <w:top w:val="single" w:sz="4" w:space="0" w:color="auto"/>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cantSplit/>
        </w:trPr>
        <w:tc>
          <w:tcPr>
            <w:tcW w:w="1120" w:type="pct"/>
            <w:tcBorders>
              <w:bottom w:val="single" w:sz="4" w:space="0" w:color="auto"/>
            </w:tcBorders>
          </w:tcPr>
          <w:p w:rsidR="008A591C" w:rsidRPr="00980C61" w:rsidRDefault="008A591C" w:rsidP="00DC1333">
            <w:pPr>
              <w:keepNext/>
              <w:rPr>
                <w:sz w:val="16"/>
                <w:szCs w:val="16"/>
                <w:lang w:bidi="th-TH"/>
              </w:rPr>
            </w:pPr>
            <w:r w:rsidRPr="00980C61">
              <w:rPr>
                <w:sz w:val="16"/>
                <w:szCs w:val="16"/>
                <w:lang w:bidi="th-TH"/>
              </w:rPr>
              <w:t>Porcentaje de funcionarios de oficinas de P.I. formados que utilizan en su trabajo las nuevas aptitudes adquiridas</w:t>
            </w:r>
          </w:p>
        </w:tc>
        <w:tc>
          <w:tcPr>
            <w:tcW w:w="895" w:type="pct"/>
            <w:tcBorders>
              <w:bottom w:val="single" w:sz="4" w:space="0" w:color="auto"/>
            </w:tcBorders>
            <w:shd w:val="clear" w:color="auto" w:fill="auto"/>
          </w:tcPr>
          <w:p w:rsidR="008A591C" w:rsidRPr="00980C61" w:rsidRDefault="008A591C" w:rsidP="00DC1333">
            <w:pPr>
              <w:keepNext/>
              <w:rPr>
                <w:i/>
                <w:color w:val="002060"/>
                <w:sz w:val="16"/>
                <w:szCs w:val="16"/>
              </w:rPr>
            </w:pPr>
            <w:r w:rsidRPr="00980C61">
              <w:rPr>
                <w:i/>
                <w:color w:val="002060"/>
                <w:sz w:val="16"/>
                <w:szCs w:val="16"/>
              </w:rPr>
              <w:t>Referencia actualizada a fines de 2013</w:t>
            </w:r>
            <w:proofErr w:type="gramStart"/>
            <w:r w:rsidRPr="00980C61">
              <w:rPr>
                <w:i/>
                <w:color w:val="002060"/>
                <w:sz w:val="16"/>
                <w:szCs w:val="16"/>
              </w:rPr>
              <w:t>:  n.d</w:t>
            </w:r>
            <w:proofErr w:type="gramEnd"/>
            <w:r w:rsidRPr="00980C61">
              <w:rPr>
                <w:i/>
                <w:color w:val="002060"/>
                <w:sz w:val="16"/>
                <w:szCs w:val="16"/>
              </w:rPr>
              <w:t>.</w:t>
            </w:r>
          </w:p>
          <w:p w:rsidR="008A591C" w:rsidRPr="00980C61" w:rsidRDefault="008A591C" w:rsidP="00DC1333">
            <w:pPr>
              <w:keepNext/>
              <w:rPr>
                <w:color w:val="002060"/>
                <w:sz w:val="16"/>
                <w:szCs w:val="16"/>
              </w:rPr>
            </w:pPr>
          </w:p>
          <w:p w:rsidR="008A591C" w:rsidRPr="00980C61" w:rsidRDefault="008A591C" w:rsidP="00DC1333">
            <w:pPr>
              <w:keepNext/>
              <w:rPr>
                <w:sz w:val="16"/>
                <w:szCs w:val="16"/>
                <w:lang w:bidi="th-TH"/>
              </w:rPr>
            </w:pPr>
            <w:r w:rsidRPr="00980C61">
              <w:rPr>
                <w:i/>
                <w:sz w:val="16"/>
                <w:szCs w:val="16"/>
              </w:rPr>
              <w:t xml:space="preserve">Referencia original en el presupuesto de 2014/15):  </w:t>
            </w:r>
            <w:r w:rsidRPr="00980C61">
              <w:rPr>
                <w:sz w:val="16"/>
                <w:szCs w:val="16"/>
              </w:rPr>
              <w:t>por determinar</w:t>
            </w:r>
            <w:r w:rsidRPr="00980C61">
              <w:rPr>
                <w:sz w:val="16"/>
                <w:szCs w:val="16"/>
              </w:rPr>
              <w:br/>
            </w:r>
          </w:p>
        </w:tc>
        <w:tc>
          <w:tcPr>
            <w:tcW w:w="747" w:type="pct"/>
            <w:tcBorders>
              <w:bottom w:val="single" w:sz="4" w:space="0" w:color="auto"/>
            </w:tcBorders>
            <w:tcMar>
              <w:top w:w="110" w:type="dxa"/>
            </w:tcMar>
          </w:tcPr>
          <w:p w:rsidR="008A591C" w:rsidRPr="00980C61" w:rsidRDefault="008A591C" w:rsidP="00DC1333">
            <w:pPr>
              <w:keepNext/>
              <w:autoSpaceDE w:val="0"/>
              <w:autoSpaceDN w:val="0"/>
              <w:adjustRightInd w:val="0"/>
              <w:rPr>
                <w:sz w:val="16"/>
                <w:szCs w:val="16"/>
              </w:rPr>
            </w:pPr>
            <w:r w:rsidRPr="00980C61">
              <w:rPr>
                <w:sz w:val="16"/>
                <w:szCs w:val="16"/>
              </w:rPr>
              <w:t>50%</w:t>
            </w:r>
          </w:p>
        </w:tc>
        <w:tc>
          <w:tcPr>
            <w:tcW w:w="1716" w:type="pct"/>
            <w:tcBorders>
              <w:bottom w:val="single" w:sz="4" w:space="0" w:color="auto"/>
            </w:tcBorders>
            <w:shd w:val="clear" w:color="auto" w:fill="FFFFFF"/>
            <w:tcMar>
              <w:top w:w="110" w:type="dxa"/>
            </w:tcMar>
          </w:tcPr>
          <w:p w:rsidR="008A591C" w:rsidRPr="00980C61" w:rsidRDefault="008A591C" w:rsidP="00DC1333">
            <w:pPr>
              <w:keepNext/>
              <w:rPr>
                <w:sz w:val="16"/>
                <w:szCs w:val="16"/>
              </w:rPr>
            </w:pPr>
            <w:r w:rsidRPr="00980C61">
              <w:rPr>
                <w:sz w:val="16"/>
                <w:szCs w:val="16"/>
                <w:lang w:bidi="th-TH"/>
              </w:rPr>
              <w:t xml:space="preserve">77% </w:t>
            </w:r>
          </w:p>
        </w:tc>
        <w:tc>
          <w:tcPr>
            <w:tcW w:w="522" w:type="pct"/>
            <w:tcBorders>
              <w:bottom w:val="single" w:sz="4" w:space="0" w:color="auto"/>
            </w:tcBorders>
            <w:tcMar>
              <w:top w:w="110" w:type="dxa"/>
            </w:tcMar>
          </w:tcPr>
          <w:p w:rsidR="008A591C" w:rsidRPr="00980C61" w:rsidRDefault="008A591C" w:rsidP="002E6163">
            <w:pPr>
              <w:keepNext/>
              <w:keepLines/>
              <w:ind w:left="-109"/>
              <w:jc w:val="center"/>
              <w:rPr>
                <w:rFonts w:asciiTheme="minorHAnsi" w:hAnsiTheme="minorHAnsi"/>
                <w:b/>
                <w:bCs/>
                <w:color w:val="00B050"/>
                <w:sz w:val="16"/>
                <w:szCs w:val="16"/>
              </w:rPr>
            </w:pPr>
            <w:r w:rsidRPr="00980C61">
              <w:rPr>
                <w:rFonts w:asciiTheme="minorHAnsi" w:hAnsiTheme="minorHAnsi"/>
                <w:b/>
                <w:bCs/>
                <w:color w:val="00B050"/>
                <w:sz w:val="16"/>
                <w:szCs w:val="16"/>
              </w:rPr>
              <w:t>Plenamente logrado</w:t>
            </w:r>
          </w:p>
          <w:p w:rsidR="008A591C" w:rsidRPr="00980C61" w:rsidRDefault="008A591C" w:rsidP="00DC1333">
            <w:pPr>
              <w:keepNext/>
              <w:keepLines/>
              <w:jc w:val="center"/>
              <w:rPr>
                <w:rFonts w:asciiTheme="minorHAnsi" w:hAnsiTheme="minorHAnsi"/>
                <w:b/>
                <w:sz w:val="16"/>
                <w:szCs w:val="16"/>
              </w:rPr>
            </w:pPr>
          </w:p>
        </w:tc>
      </w:tr>
      <w:tr w:rsidR="008A591C" w:rsidRPr="002661F5"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A591C" w:rsidRPr="00980C61" w:rsidRDefault="008A591C" w:rsidP="00DC1333">
            <w:pPr>
              <w:keepNext/>
              <w:keepLines/>
              <w:spacing w:before="120" w:after="120"/>
              <w:ind w:left="2019" w:hanging="2019"/>
              <w:rPr>
                <w:b/>
                <w:bCs/>
                <w:sz w:val="16"/>
                <w:szCs w:val="16"/>
              </w:rPr>
            </w:pPr>
            <w:r w:rsidRPr="00980C61">
              <w:rPr>
                <w:b/>
                <w:bCs/>
                <w:sz w:val="16"/>
                <w:szCs w:val="16"/>
              </w:rPr>
              <w:t>Resultado previsto</w:t>
            </w:r>
            <w:r>
              <w:rPr>
                <w:b/>
                <w:bCs/>
                <w:sz w:val="16"/>
                <w:szCs w:val="16"/>
              </w:rPr>
              <w:t>:</w:t>
            </w:r>
            <w:r>
              <w:rPr>
                <w:b/>
                <w:bCs/>
                <w:sz w:val="16"/>
                <w:szCs w:val="16"/>
              </w:rPr>
              <w:tab/>
            </w:r>
            <w:r w:rsidRPr="00980C61">
              <w:rPr>
                <w:sz w:val="16"/>
                <w:szCs w:val="16"/>
                <w:lang w:bidi="th-TH"/>
              </w:rPr>
              <w:t>III.6 Mejor capacidad de las pymes para utilizar con éxito la P.I. con el fin de apoyar la innovación</w:t>
            </w:r>
          </w:p>
        </w:tc>
      </w:tr>
      <w:tr w:rsidR="008A591C" w:rsidRPr="002661F5" w:rsidTr="00DC1333">
        <w:trPr>
          <w:cantSplit/>
        </w:trPr>
        <w:tc>
          <w:tcPr>
            <w:tcW w:w="1120" w:type="pct"/>
            <w:tcBorders>
              <w:top w:val="single" w:sz="4" w:space="0" w:color="auto"/>
            </w:tcBorders>
            <w:vAlign w:val="center"/>
          </w:tcPr>
          <w:p w:rsidR="008A591C" w:rsidRPr="00980C61" w:rsidRDefault="008A591C" w:rsidP="00DC1333">
            <w:pPr>
              <w:rPr>
                <w:sz w:val="16"/>
                <w:szCs w:val="16"/>
              </w:rPr>
            </w:pPr>
            <w:r w:rsidRPr="00980C61">
              <w:rPr>
                <w:b/>
                <w:sz w:val="16"/>
                <w:szCs w:val="16"/>
              </w:rPr>
              <w:t>Indicadores de rendimiento</w:t>
            </w:r>
          </w:p>
        </w:tc>
        <w:tc>
          <w:tcPr>
            <w:tcW w:w="895" w:type="pct"/>
            <w:tcBorders>
              <w:top w:val="single" w:sz="4" w:space="0" w:color="auto"/>
            </w:tcBorders>
            <w:shd w:val="clear" w:color="auto" w:fill="auto"/>
            <w:vAlign w:val="center"/>
          </w:tcPr>
          <w:p w:rsidR="008A591C" w:rsidRPr="00980C61" w:rsidRDefault="008A591C" w:rsidP="00DC1333">
            <w:pPr>
              <w:rPr>
                <w:b/>
                <w:bCs/>
                <w:sz w:val="16"/>
                <w:szCs w:val="16"/>
              </w:rPr>
            </w:pPr>
            <w:r w:rsidRPr="00980C61">
              <w:rPr>
                <w:b/>
                <w:bCs/>
                <w:sz w:val="16"/>
                <w:szCs w:val="16"/>
              </w:rPr>
              <w:t>Referencia</w:t>
            </w:r>
          </w:p>
        </w:tc>
        <w:tc>
          <w:tcPr>
            <w:tcW w:w="747" w:type="pct"/>
            <w:tcBorders>
              <w:top w:val="single" w:sz="4" w:space="0" w:color="auto"/>
            </w:tcBorders>
            <w:tcMar>
              <w:top w:w="110" w:type="dxa"/>
            </w:tcMar>
            <w:vAlign w:val="center"/>
          </w:tcPr>
          <w:p w:rsidR="008A591C" w:rsidRPr="00980C61" w:rsidRDefault="008A591C" w:rsidP="00DC1333">
            <w:pPr>
              <w:rPr>
                <w:b/>
                <w:sz w:val="16"/>
                <w:szCs w:val="16"/>
              </w:rPr>
            </w:pPr>
            <w:r w:rsidRPr="00980C61">
              <w:rPr>
                <w:b/>
                <w:sz w:val="16"/>
                <w:szCs w:val="16"/>
              </w:rPr>
              <w:t>Objetivos</w:t>
            </w:r>
          </w:p>
        </w:tc>
        <w:tc>
          <w:tcPr>
            <w:tcW w:w="1716" w:type="pct"/>
            <w:tcBorders>
              <w:top w:val="single" w:sz="4" w:space="0" w:color="auto"/>
            </w:tcBorders>
            <w:shd w:val="clear" w:color="auto" w:fill="FFFFFF"/>
            <w:tcMar>
              <w:top w:w="110" w:type="dxa"/>
            </w:tcMar>
            <w:vAlign w:val="center"/>
          </w:tcPr>
          <w:p w:rsidR="008A591C" w:rsidRPr="00980C61" w:rsidRDefault="008A591C" w:rsidP="00DC1333">
            <w:pPr>
              <w:rPr>
                <w:sz w:val="16"/>
                <w:szCs w:val="16"/>
              </w:rPr>
            </w:pPr>
            <w:r w:rsidRPr="00980C61">
              <w:rPr>
                <w:b/>
                <w:sz w:val="16"/>
                <w:szCs w:val="16"/>
              </w:rPr>
              <w:t>Datos sobre el rendimiento</w:t>
            </w:r>
          </w:p>
        </w:tc>
        <w:tc>
          <w:tcPr>
            <w:tcW w:w="522" w:type="pct"/>
            <w:tcBorders>
              <w:top w:val="single" w:sz="4" w:space="0" w:color="auto"/>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cantSplit/>
          <w:trHeight w:val="1393"/>
        </w:trPr>
        <w:tc>
          <w:tcPr>
            <w:tcW w:w="1120" w:type="pct"/>
            <w:tcBorders>
              <w:bottom w:val="nil"/>
            </w:tcBorders>
          </w:tcPr>
          <w:p w:rsidR="008A591C" w:rsidRPr="00980C61" w:rsidRDefault="008A591C" w:rsidP="00DC1333">
            <w:pPr>
              <w:rPr>
                <w:sz w:val="16"/>
                <w:szCs w:val="16"/>
                <w:lang w:bidi="th-TH"/>
              </w:rPr>
            </w:pPr>
            <w:r w:rsidRPr="00980C61">
              <w:rPr>
                <w:sz w:val="16"/>
                <w:szCs w:val="16"/>
                <w:lang w:bidi="th-TH"/>
              </w:rPr>
              <w:t>Número de suscripciones al Boletín para las pymes</w:t>
            </w:r>
          </w:p>
        </w:tc>
        <w:tc>
          <w:tcPr>
            <w:tcW w:w="895" w:type="pct"/>
            <w:tcBorders>
              <w:bottom w:val="nil"/>
            </w:tcBorders>
            <w:shd w:val="clear" w:color="auto" w:fill="auto"/>
          </w:tcPr>
          <w:p w:rsidR="008A591C" w:rsidRPr="00980C61" w:rsidRDefault="008A591C" w:rsidP="00DC1333">
            <w:pPr>
              <w:keepNext/>
              <w:keepLines/>
              <w:rPr>
                <w:color w:val="002060"/>
                <w:sz w:val="16"/>
                <w:szCs w:val="16"/>
              </w:rPr>
            </w:pPr>
            <w:r w:rsidRPr="00980C61">
              <w:rPr>
                <w:i/>
                <w:color w:val="002060"/>
                <w:sz w:val="16"/>
                <w:szCs w:val="16"/>
              </w:rPr>
              <w:t xml:space="preserve">Referencia actualizada a fines de 2013:  </w:t>
            </w:r>
            <w:r w:rsidRPr="00980C61">
              <w:rPr>
                <w:color w:val="002060"/>
                <w:sz w:val="16"/>
                <w:szCs w:val="16"/>
              </w:rPr>
              <w:t>41.101</w:t>
            </w:r>
          </w:p>
          <w:p w:rsidR="008A591C" w:rsidRPr="00980C61" w:rsidRDefault="008A591C" w:rsidP="00DC1333">
            <w:pPr>
              <w:keepNext/>
              <w:keepLines/>
              <w:rPr>
                <w:i/>
                <w:sz w:val="8"/>
                <w:szCs w:val="8"/>
              </w:rPr>
            </w:pPr>
          </w:p>
          <w:p w:rsidR="008A591C" w:rsidRPr="00980C61" w:rsidRDefault="008A591C" w:rsidP="00DC1333">
            <w:pPr>
              <w:rPr>
                <w:sz w:val="16"/>
                <w:szCs w:val="16"/>
                <w:lang w:bidi="th-TH"/>
              </w:rPr>
            </w:pPr>
            <w:r w:rsidRPr="00980C61">
              <w:rPr>
                <w:i/>
                <w:sz w:val="16"/>
                <w:szCs w:val="16"/>
                <w:lang w:bidi="th-TH"/>
              </w:rPr>
              <w:t>Referencia origin</w:t>
            </w:r>
            <w:r>
              <w:rPr>
                <w:i/>
                <w:sz w:val="16"/>
                <w:szCs w:val="16"/>
                <w:lang w:bidi="th-TH"/>
              </w:rPr>
              <w:t>al en el presupuesto de 2014/15</w:t>
            </w:r>
            <w:r w:rsidRPr="00980C61">
              <w:rPr>
                <w:i/>
                <w:sz w:val="16"/>
                <w:szCs w:val="16"/>
                <w:lang w:bidi="th-TH"/>
              </w:rPr>
              <w:t xml:space="preserve">:  </w:t>
            </w:r>
            <w:r w:rsidRPr="00980C61">
              <w:rPr>
                <w:sz w:val="16"/>
                <w:szCs w:val="16"/>
                <w:lang w:bidi="th-TH"/>
              </w:rPr>
              <w:t>por determinar</w:t>
            </w:r>
          </w:p>
        </w:tc>
        <w:tc>
          <w:tcPr>
            <w:tcW w:w="747" w:type="pct"/>
            <w:tcBorders>
              <w:bottom w:val="nil"/>
            </w:tcBorders>
            <w:tcMar>
              <w:top w:w="110" w:type="dxa"/>
            </w:tcMar>
          </w:tcPr>
          <w:p w:rsidR="008A591C" w:rsidRPr="00980C61" w:rsidRDefault="008A591C" w:rsidP="00DC1333">
            <w:pPr>
              <w:keepNext/>
              <w:keepLines/>
              <w:rPr>
                <w:color w:val="002060"/>
                <w:sz w:val="16"/>
                <w:szCs w:val="16"/>
              </w:rPr>
            </w:pPr>
            <w:r w:rsidRPr="00980C61">
              <w:rPr>
                <w:color w:val="002060"/>
                <w:sz w:val="16"/>
                <w:szCs w:val="16"/>
              </w:rPr>
              <w:t>Objetivo definido:  40.000</w:t>
            </w:r>
          </w:p>
          <w:p w:rsidR="008A591C" w:rsidRPr="00980C61" w:rsidRDefault="008A591C" w:rsidP="00DC1333">
            <w:pPr>
              <w:keepNext/>
              <w:keepLines/>
              <w:rPr>
                <w:sz w:val="16"/>
                <w:szCs w:val="16"/>
              </w:rPr>
            </w:pPr>
          </w:p>
          <w:p w:rsidR="008A591C" w:rsidRPr="00980C61" w:rsidRDefault="008A591C" w:rsidP="00DC1333">
            <w:pPr>
              <w:keepNext/>
              <w:keepLines/>
              <w:rPr>
                <w:sz w:val="16"/>
                <w:szCs w:val="16"/>
              </w:rPr>
            </w:pPr>
            <w:r w:rsidRPr="00980C61">
              <w:rPr>
                <w:sz w:val="16"/>
                <w:szCs w:val="16"/>
              </w:rPr>
              <w:t>Objetivo original en el presupuesto por programas de 2014/15:  por determinar</w:t>
            </w:r>
          </w:p>
          <w:p w:rsidR="008A591C" w:rsidRPr="00980C61" w:rsidRDefault="008A591C" w:rsidP="00DC1333">
            <w:pPr>
              <w:keepNext/>
              <w:keepLines/>
              <w:rPr>
                <w:sz w:val="16"/>
                <w:szCs w:val="16"/>
              </w:rPr>
            </w:pPr>
          </w:p>
          <w:p w:rsidR="008A591C" w:rsidRPr="00980C61" w:rsidRDefault="008A591C" w:rsidP="00DC1333">
            <w:pPr>
              <w:rPr>
                <w:sz w:val="16"/>
                <w:szCs w:val="16"/>
                <w:lang w:bidi="th-TH"/>
              </w:rPr>
            </w:pPr>
          </w:p>
        </w:tc>
        <w:tc>
          <w:tcPr>
            <w:tcW w:w="1716" w:type="pct"/>
            <w:tcBorders>
              <w:bottom w:val="nil"/>
            </w:tcBorders>
            <w:shd w:val="clear" w:color="auto" w:fill="FFFFFF"/>
            <w:tcMar>
              <w:top w:w="110" w:type="dxa"/>
            </w:tcMar>
          </w:tcPr>
          <w:p w:rsidR="008A591C" w:rsidRPr="00980C61" w:rsidRDefault="008A591C" w:rsidP="00DC1333">
            <w:pPr>
              <w:jc w:val="both"/>
              <w:rPr>
                <w:sz w:val="16"/>
                <w:szCs w:val="16"/>
                <w:lang w:bidi="th-TH"/>
              </w:rPr>
            </w:pPr>
            <w:r w:rsidRPr="00980C61">
              <w:rPr>
                <w:sz w:val="16"/>
                <w:szCs w:val="16"/>
                <w:lang w:bidi="th-TH"/>
              </w:rPr>
              <w:t xml:space="preserve">Se registraron 40.510 suscripciones al Boletín para las pymes en 2014 </w:t>
            </w:r>
          </w:p>
          <w:p w:rsidR="008A591C" w:rsidRPr="00980C61" w:rsidRDefault="008A591C" w:rsidP="00DC1333">
            <w:pPr>
              <w:jc w:val="both"/>
              <w:rPr>
                <w:sz w:val="16"/>
                <w:szCs w:val="16"/>
                <w:lang w:bidi="th-TH"/>
              </w:rPr>
            </w:pPr>
          </w:p>
          <w:p w:rsidR="008A591C" w:rsidRPr="00980C61" w:rsidRDefault="008A591C" w:rsidP="00DC1333">
            <w:pPr>
              <w:jc w:val="both"/>
              <w:rPr>
                <w:sz w:val="16"/>
                <w:szCs w:val="16"/>
                <w:lang w:bidi="th-TH"/>
              </w:rPr>
            </w:pPr>
            <w:r w:rsidRPr="00980C61">
              <w:rPr>
                <w:sz w:val="16"/>
                <w:szCs w:val="16"/>
                <w:lang w:bidi="th-TH"/>
              </w:rPr>
              <w:t>Se registraron 6.657 suscripciones al Boletín para las pymes en 2015</w:t>
            </w:r>
          </w:p>
          <w:p w:rsidR="008A591C" w:rsidRPr="00980C61" w:rsidRDefault="008A591C" w:rsidP="00DC1333">
            <w:pPr>
              <w:jc w:val="both"/>
              <w:rPr>
                <w:sz w:val="16"/>
                <w:szCs w:val="16"/>
                <w:lang w:bidi="th-TH"/>
              </w:rPr>
            </w:pPr>
          </w:p>
          <w:p w:rsidR="008A591C" w:rsidRPr="00980C61" w:rsidRDefault="008A591C" w:rsidP="00DC1333">
            <w:pPr>
              <w:jc w:val="both"/>
              <w:rPr>
                <w:sz w:val="16"/>
                <w:szCs w:val="16"/>
                <w:lang w:bidi="th-TH"/>
              </w:rPr>
            </w:pPr>
          </w:p>
          <w:p w:rsidR="008A591C" w:rsidRPr="00980C61" w:rsidRDefault="008A591C" w:rsidP="00DC1333">
            <w:pPr>
              <w:jc w:val="both"/>
              <w:rPr>
                <w:sz w:val="16"/>
                <w:szCs w:val="16"/>
                <w:lang w:bidi="th-TH"/>
              </w:rPr>
            </w:pPr>
            <w:r w:rsidRPr="00980C61">
              <w:rPr>
                <w:sz w:val="16"/>
                <w:szCs w:val="16"/>
                <w:lang w:bidi="th-TH"/>
              </w:rPr>
              <w:t>Véase el párrafo 30.4 para más información.</w:t>
            </w:r>
          </w:p>
        </w:tc>
        <w:tc>
          <w:tcPr>
            <w:tcW w:w="522" w:type="pct"/>
            <w:tcBorders>
              <w:bottom w:val="nil"/>
            </w:tcBorders>
            <w:tcMar>
              <w:top w:w="110" w:type="dxa"/>
            </w:tcMar>
          </w:tcPr>
          <w:p w:rsidR="008A591C" w:rsidRPr="00980C61" w:rsidRDefault="008A591C" w:rsidP="00DC1333">
            <w:pPr>
              <w:pStyle w:val="Default"/>
              <w:jc w:val="center"/>
              <w:rPr>
                <w:bCs/>
                <w:color w:val="808080"/>
                <w:sz w:val="16"/>
                <w:szCs w:val="16"/>
                <w:lang w:val="es-ES"/>
              </w:rPr>
            </w:pPr>
            <w:r w:rsidRPr="00980C61">
              <w:rPr>
                <w:b/>
                <w:bCs/>
                <w:color w:val="808080"/>
                <w:sz w:val="13"/>
                <w:szCs w:val="13"/>
                <w:lang w:val="es-ES"/>
              </w:rPr>
              <w:t>No mensurable</w:t>
            </w:r>
          </w:p>
        </w:tc>
      </w:tr>
      <w:tr w:rsidR="008A591C" w:rsidRPr="00980C61" w:rsidTr="00DC1333">
        <w:trPr>
          <w:cantSplit/>
        </w:trPr>
        <w:tc>
          <w:tcPr>
            <w:tcW w:w="1120" w:type="pct"/>
            <w:tcBorders>
              <w:top w:val="nil"/>
              <w:bottom w:val="nil"/>
            </w:tcBorders>
          </w:tcPr>
          <w:p w:rsidR="008A591C" w:rsidRPr="00980C61" w:rsidRDefault="008A591C" w:rsidP="00DC1333">
            <w:pPr>
              <w:rPr>
                <w:sz w:val="16"/>
                <w:szCs w:val="16"/>
                <w:lang w:bidi="th-TH"/>
              </w:rPr>
            </w:pPr>
            <w:r w:rsidRPr="00980C61">
              <w:rPr>
                <w:sz w:val="16"/>
                <w:szCs w:val="16"/>
                <w:lang w:bidi="th-TH"/>
              </w:rPr>
              <w:t xml:space="preserve">Número de directrices y material sobre pymes descargado del sitio web. </w:t>
            </w:r>
          </w:p>
        </w:tc>
        <w:tc>
          <w:tcPr>
            <w:tcW w:w="895" w:type="pct"/>
            <w:tcBorders>
              <w:top w:val="nil"/>
              <w:bottom w:val="nil"/>
            </w:tcBorders>
            <w:shd w:val="clear" w:color="auto" w:fill="auto"/>
          </w:tcPr>
          <w:p w:rsidR="008A591C" w:rsidRPr="00980C61" w:rsidRDefault="008A591C" w:rsidP="00DC1333">
            <w:pPr>
              <w:keepNext/>
              <w:keepLines/>
              <w:outlineLvl w:val="7"/>
              <w:rPr>
                <w:i/>
                <w:color w:val="002060"/>
                <w:sz w:val="16"/>
                <w:szCs w:val="16"/>
              </w:rPr>
            </w:pPr>
            <w:r w:rsidRPr="00980C61">
              <w:rPr>
                <w:i/>
                <w:color w:val="002060"/>
                <w:sz w:val="16"/>
                <w:szCs w:val="16"/>
              </w:rPr>
              <w:t xml:space="preserve">Referencia actualizada a fines de 2013: </w:t>
            </w:r>
          </w:p>
          <w:p w:rsidR="008A591C" w:rsidRPr="00980C61" w:rsidRDefault="008A591C" w:rsidP="00DC1333">
            <w:pPr>
              <w:keepNext/>
              <w:keepLines/>
              <w:rPr>
                <w:color w:val="002060"/>
                <w:sz w:val="16"/>
                <w:szCs w:val="16"/>
              </w:rPr>
            </w:pPr>
            <w:r w:rsidRPr="00980C61">
              <w:rPr>
                <w:color w:val="002060"/>
                <w:sz w:val="16"/>
                <w:szCs w:val="16"/>
              </w:rPr>
              <w:t>número de descargas:  77.617 (2013)</w:t>
            </w:r>
          </w:p>
          <w:p w:rsidR="008A591C" w:rsidRPr="00980C61" w:rsidRDefault="008A591C" w:rsidP="00DC1333">
            <w:pPr>
              <w:keepNext/>
              <w:keepLines/>
              <w:rPr>
                <w:color w:val="002060"/>
                <w:sz w:val="16"/>
                <w:szCs w:val="16"/>
              </w:rPr>
            </w:pPr>
          </w:p>
          <w:p w:rsidR="008A591C" w:rsidRPr="00980C61" w:rsidRDefault="008A591C" w:rsidP="00DC1333">
            <w:pPr>
              <w:keepNext/>
              <w:keepLines/>
              <w:rPr>
                <w:i/>
                <w:color w:val="002060"/>
                <w:sz w:val="16"/>
                <w:szCs w:val="16"/>
              </w:rPr>
            </w:pPr>
            <w:r w:rsidRPr="00980C61">
              <w:rPr>
                <w:color w:val="002060"/>
                <w:sz w:val="16"/>
                <w:szCs w:val="16"/>
              </w:rPr>
              <w:t>Número de visitas a la página web:  1.210.803 (2013)</w:t>
            </w:r>
          </w:p>
          <w:p w:rsidR="008A591C" w:rsidRPr="00980C61" w:rsidRDefault="008A591C" w:rsidP="00DC1333">
            <w:pPr>
              <w:keepNext/>
              <w:keepLines/>
              <w:rPr>
                <w:i/>
                <w:sz w:val="8"/>
                <w:szCs w:val="8"/>
              </w:rPr>
            </w:pPr>
          </w:p>
          <w:p w:rsidR="008A591C" w:rsidRPr="00980C61" w:rsidRDefault="008A591C" w:rsidP="00DC1333">
            <w:pPr>
              <w:keepNext/>
              <w:keepLines/>
              <w:rPr>
                <w:sz w:val="16"/>
                <w:szCs w:val="16"/>
                <w:lang w:bidi="th-TH"/>
              </w:rPr>
            </w:pPr>
            <w:r w:rsidRPr="00980C61">
              <w:rPr>
                <w:i/>
                <w:sz w:val="16"/>
                <w:szCs w:val="16"/>
                <w:lang w:bidi="th-TH"/>
              </w:rPr>
              <w:t xml:space="preserve">Referencia original en el presupuesto de 2014/15:  </w:t>
            </w:r>
            <w:r w:rsidRPr="00980C61">
              <w:rPr>
                <w:sz w:val="16"/>
                <w:szCs w:val="16"/>
                <w:lang w:bidi="th-TH"/>
              </w:rPr>
              <w:t xml:space="preserve">por determinar </w:t>
            </w:r>
          </w:p>
          <w:p w:rsidR="008A591C" w:rsidRPr="00980C61" w:rsidRDefault="008A591C" w:rsidP="00DC1333">
            <w:pPr>
              <w:rPr>
                <w:sz w:val="16"/>
                <w:szCs w:val="16"/>
                <w:lang w:bidi="th-TH"/>
              </w:rPr>
            </w:pPr>
          </w:p>
        </w:tc>
        <w:tc>
          <w:tcPr>
            <w:tcW w:w="747" w:type="pct"/>
            <w:tcBorders>
              <w:top w:val="nil"/>
              <w:bottom w:val="nil"/>
            </w:tcBorders>
            <w:tcMar>
              <w:top w:w="110" w:type="dxa"/>
            </w:tcMar>
          </w:tcPr>
          <w:p w:rsidR="008A591C" w:rsidRPr="00980C61" w:rsidRDefault="008A591C" w:rsidP="00DC1333">
            <w:pPr>
              <w:keepNext/>
              <w:keepLines/>
              <w:rPr>
                <w:sz w:val="16"/>
                <w:szCs w:val="16"/>
              </w:rPr>
            </w:pPr>
            <w:r w:rsidRPr="00980C61">
              <w:rPr>
                <w:sz w:val="16"/>
                <w:szCs w:val="16"/>
              </w:rPr>
              <w:t>Por determinar.</w:t>
            </w:r>
          </w:p>
          <w:p w:rsidR="008A591C" w:rsidRPr="00980C61" w:rsidRDefault="008A591C" w:rsidP="00DC1333">
            <w:pPr>
              <w:keepNext/>
              <w:keepLines/>
              <w:rPr>
                <w:sz w:val="16"/>
                <w:szCs w:val="16"/>
              </w:rPr>
            </w:pPr>
          </w:p>
          <w:p w:rsidR="008A591C" w:rsidRPr="00980C61" w:rsidRDefault="008A591C" w:rsidP="00DC1333">
            <w:pPr>
              <w:rPr>
                <w:sz w:val="16"/>
                <w:szCs w:val="16"/>
                <w:lang w:bidi="th-TH"/>
              </w:rPr>
            </w:pPr>
          </w:p>
        </w:tc>
        <w:tc>
          <w:tcPr>
            <w:tcW w:w="1716" w:type="pct"/>
            <w:tcBorders>
              <w:top w:val="nil"/>
              <w:bottom w:val="nil"/>
            </w:tcBorders>
            <w:shd w:val="clear" w:color="auto" w:fill="FFFFFF"/>
            <w:tcMar>
              <w:top w:w="110" w:type="dxa"/>
            </w:tcMar>
          </w:tcPr>
          <w:p w:rsidR="008A591C" w:rsidRPr="00980C61" w:rsidRDefault="008A591C" w:rsidP="00DC1333">
            <w:pPr>
              <w:rPr>
                <w:sz w:val="16"/>
                <w:szCs w:val="16"/>
                <w:lang w:bidi="th-TH"/>
              </w:rPr>
            </w:pPr>
            <w:r w:rsidRPr="00980C61">
              <w:rPr>
                <w:sz w:val="16"/>
                <w:szCs w:val="16"/>
                <w:lang w:bidi="th-TH"/>
              </w:rPr>
              <w:t>2014:</w:t>
            </w:r>
          </w:p>
          <w:p w:rsidR="008A591C" w:rsidRPr="00980C61" w:rsidRDefault="008A591C" w:rsidP="00DC1333">
            <w:pPr>
              <w:rPr>
                <w:sz w:val="16"/>
                <w:szCs w:val="16"/>
                <w:lang w:bidi="th-TH"/>
              </w:rPr>
            </w:pPr>
            <w:r w:rsidRPr="00980C61">
              <w:rPr>
                <w:sz w:val="16"/>
                <w:szCs w:val="16"/>
                <w:lang w:bidi="th-TH"/>
              </w:rPr>
              <w:t>Número de descargas:  70.559 (-9% en comparación con 2013)</w:t>
            </w:r>
          </w:p>
          <w:p w:rsidR="008A591C" w:rsidRPr="00980C61" w:rsidRDefault="008A591C" w:rsidP="00DC1333">
            <w:pPr>
              <w:rPr>
                <w:sz w:val="16"/>
                <w:szCs w:val="16"/>
                <w:lang w:bidi="th-TH"/>
              </w:rPr>
            </w:pPr>
            <w:r w:rsidRPr="00980C61">
              <w:rPr>
                <w:sz w:val="16"/>
                <w:szCs w:val="16"/>
                <w:lang w:bidi="th-TH"/>
              </w:rPr>
              <w:t>Número de visitas a la página web de las pymes:  821.150  (-32% en comparación con 2013)</w:t>
            </w:r>
          </w:p>
          <w:p w:rsidR="008A591C" w:rsidRPr="00980C61" w:rsidRDefault="008A591C" w:rsidP="00DC1333">
            <w:pPr>
              <w:rPr>
                <w:sz w:val="16"/>
                <w:szCs w:val="16"/>
                <w:lang w:bidi="th-TH"/>
              </w:rPr>
            </w:pPr>
          </w:p>
          <w:p w:rsidR="008A591C" w:rsidRPr="00980C61" w:rsidRDefault="008A591C" w:rsidP="00DC1333">
            <w:pPr>
              <w:rPr>
                <w:sz w:val="16"/>
                <w:szCs w:val="16"/>
                <w:lang w:bidi="th-TH"/>
              </w:rPr>
            </w:pPr>
            <w:r w:rsidRPr="00980C61">
              <w:rPr>
                <w:sz w:val="16"/>
                <w:szCs w:val="16"/>
                <w:lang w:bidi="th-TH"/>
              </w:rPr>
              <w:t>2015:</w:t>
            </w:r>
          </w:p>
          <w:p w:rsidR="008A591C" w:rsidRPr="00980C61" w:rsidRDefault="008A591C" w:rsidP="00DC1333">
            <w:pPr>
              <w:rPr>
                <w:sz w:val="16"/>
                <w:szCs w:val="16"/>
                <w:lang w:bidi="th-TH"/>
              </w:rPr>
            </w:pPr>
            <w:r w:rsidRPr="00980C61">
              <w:rPr>
                <w:sz w:val="16"/>
                <w:szCs w:val="16"/>
                <w:lang w:bidi="th-TH"/>
              </w:rPr>
              <w:t>Número de descargas: 71.867 (+2% en comparación con 2014)</w:t>
            </w:r>
          </w:p>
          <w:p w:rsidR="008A591C" w:rsidRPr="00980C61" w:rsidRDefault="008A591C" w:rsidP="00DC1333">
            <w:pPr>
              <w:rPr>
                <w:sz w:val="16"/>
                <w:szCs w:val="16"/>
                <w:lang w:bidi="th-TH"/>
              </w:rPr>
            </w:pPr>
            <w:r w:rsidRPr="00980C61">
              <w:rPr>
                <w:sz w:val="16"/>
                <w:szCs w:val="16"/>
                <w:lang w:bidi="th-TH"/>
              </w:rPr>
              <w:t>Número de visitas a la página web de las pymes:  960.196 (+17%  en comparación con 2014)</w:t>
            </w:r>
          </w:p>
          <w:p w:rsidR="008A591C" w:rsidRPr="00980C61" w:rsidRDefault="008A591C" w:rsidP="00DC1333">
            <w:pPr>
              <w:rPr>
                <w:sz w:val="16"/>
                <w:szCs w:val="16"/>
                <w:lang w:bidi="th-TH"/>
              </w:rPr>
            </w:pPr>
          </w:p>
        </w:tc>
        <w:tc>
          <w:tcPr>
            <w:tcW w:w="522" w:type="pct"/>
            <w:tcBorders>
              <w:top w:val="nil"/>
              <w:bottom w:val="nil"/>
            </w:tcBorders>
            <w:tcMar>
              <w:top w:w="110" w:type="dxa"/>
            </w:tcMar>
          </w:tcPr>
          <w:p w:rsidR="008A591C" w:rsidRPr="00980C61" w:rsidRDefault="008A591C" w:rsidP="00DC1333">
            <w:pPr>
              <w:keepNext/>
              <w:keepLines/>
              <w:jc w:val="center"/>
              <w:rPr>
                <w:b/>
                <w:bCs/>
                <w:color w:val="808080"/>
                <w:sz w:val="14"/>
                <w:szCs w:val="16"/>
              </w:rPr>
            </w:pPr>
            <w:r w:rsidRPr="00980C61">
              <w:rPr>
                <w:rFonts w:eastAsiaTheme="minorHAnsi"/>
                <w:b/>
                <w:bCs/>
                <w:color w:val="808080"/>
                <w:sz w:val="13"/>
                <w:szCs w:val="13"/>
              </w:rPr>
              <w:t xml:space="preserve">No mensurable </w:t>
            </w:r>
          </w:p>
        </w:tc>
      </w:tr>
      <w:tr w:rsidR="008A591C" w:rsidRPr="00980C61" w:rsidTr="00DC1333">
        <w:trPr>
          <w:cantSplit/>
        </w:trPr>
        <w:tc>
          <w:tcPr>
            <w:tcW w:w="1120" w:type="pct"/>
            <w:tcBorders>
              <w:top w:val="nil"/>
              <w:bottom w:val="nil"/>
            </w:tcBorders>
          </w:tcPr>
          <w:p w:rsidR="008A591C" w:rsidRPr="00980C61" w:rsidRDefault="008A591C" w:rsidP="00DC1333">
            <w:pPr>
              <w:rPr>
                <w:sz w:val="16"/>
                <w:szCs w:val="16"/>
                <w:lang w:bidi="th-TH"/>
              </w:rPr>
            </w:pPr>
            <w:r w:rsidRPr="00980C61">
              <w:rPr>
                <w:sz w:val="16"/>
                <w:szCs w:val="16"/>
                <w:lang w:bidi="th-TH"/>
              </w:rPr>
              <w:t>Número de estudios de caso relacionados con las pymes que han sido consultados por intermedio de la base de datos IP Advantage u otras bases de datos.</w:t>
            </w:r>
          </w:p>
        </w:tc>
        <w:tc>
          <w:tcPr>
            <w:tcW w:w="895" w:type="pct"/>
            <w:tcBorders>
              <w:top w:val="nil"/>
              <w:bottom w:val="nil"/>
            </w:tcBorders>
            <w:shd w:val="clear" w:color="auto" w:fill="auto"/>
          </w:tcPr>
          <w:p w:rsidR="008A591C" w:rsidRPr="00980C61" w:rsidRDefault="008A591C" w:rsidP="00DC1333">
            <w:pPr>
              <w:rPr>
                <w:i/>
                <w:color w:val="002060"/>
                <w:sz w:val="16"/>
                <w:szCs w:val="16"/>
              </w:rPr>
            </w:pPr>
            <w:r w:rsidRPr="00980C61">
              <w:rPr>
                <w:sz w:val="16"/>
                <w:szCs w:val="16"/>
              </w:rPr>
              <w:t>Por determinar</w:t>
            </w:r>
            <w:r w:rsidRPr="00980C61">
              <w:rPr>
                <w:i/>
                <w:sz w:val="16"/>
                <w:szCs w:val="16"/>
              </w:rPr>
              <w:t>.</w:t>
            </w:r>
          </w:p>
        </w:tc>
        <w:tc>
          <w:tcPr>
            <w:tcW w:w="747" w:type="pct"/>
            <w:tcBorders>
              <w:top w:val="nil"/>
              <w:bottom w:val="nil"/>
            </w:tcBorders>
            <w:tcMar>
              <w:top w:w="110" w:type="dxa"/>
            </w:tcMar>
          </w:tcPr>
          <w:p w:rsidR="008A591C" w:rsidRPr="00980C61" w:rsidRDefault="008A591C" w:rsidP="00DC1333">
            <w:pPr>
              <w:rPr>
                <w:sz w:val="16"/>
                <w:szCs w:val="16"/>
              </w:rPr>
            </w:pPr>
            <w:r w:rsidRPr="00980C61">
              <w:rPr>
                <w:sz w:val="16"/>
                <w:szCs w:val="16"/>
              </w:rPr>
              <w:t>Por determinar.</w:t>
            </w:r>
          </w:p>
          <w:p w:rsidR="008A591C" w:rsidRPr="00980C61" w:rsidRDefault="008A591C" w:rsidP="00DC1333">
            <w:pPr>
              <w:rPr>
                <w:sz w:val="16"/>
                <w:szCs w:val="16"/>
              </w:rPr>
            </w:pPr>
          </w:p>
          <w:p w:rsidR="008A591C" w:rsidRPr="00980C61" w:rsidRDefault="008A591C" w:rsidP="00DC1333">
            <w:pPr>
              <w:rPr>
                <w:sz w:val="16"/>
                <w:szCs w:val="16"/>
              </w:rPr>
            </w:pPr>
          </w:p>
        </w:tc>
        <w:tc>
          <w:tcPr>
            <w:tcW w:w="1716" w:type="pct"/>
            <w:tcBorders>
              <w:top w:val="nil"/>
              <w:bottom w:val="nil"/>
            </w:tcBorders>
            <w:shd w:val="clear" w:color="auto" w:fill="FFFFFF"/>
            <w:tcMar>
              <w:top w:w="110" w:type="dxa"/>
            </w:tcMar>
          </w:tcPr>
          <w:p w:rsidR="008A591C" w:rsidRPr="00980C61" w:rsidRDefault="008A591C" w:rsidP="00DC1333">
            <w:pPr>
              <w:pStyle w:val="Default"/>
              <w:rPr>
                <w:sz w:val="16"/>
                <w:szCs w:val="16"/>
                <w:lang w:val="es-ES"/>
              </w:rPr>
            </w:pPr>
            <w:r w:rsidRPr="00980C61">
              <w:rPr>
                <w:sz w:val="16"/>
                <w:szCs w:val="16"/>
                <w:lang w:val="es-ES"/>
              </w:rPr>
              <w:t xml:space="preserve">En el bienio, se publicaron 19 nuevos estudios de caso relacionados con las pymes en la base de datos IP Advantage, elevando así el número total de </w:t>
            </w:r>
            <w:r w:rsidRPr="00980C61">
              <w:rPr>
                <w:sz w:val="16"/>
                <w:szCs w:val="16"/>
                <w:lang w:val="es-ES" w:bidi="th-TH"/>
              </w:rPr>
              <w:t>estudios de caso relacionados con las pymes a </w:t>
            </w:r>
            <w:r w:rsidRPr="00980C61">
              <w:rPr>
                <w:sz w:val="16"/>
                <w:szCs w:val="16"/>
                <w:lang w:val="es-ES"/>
              </w:rPr>
              <w:t>206.  Se registraron 199.700 visitas a la base de datos IP Advantage en 2014/15;  sin embargo, no es posible determinar el número de veces que se consultaron los estudios de caso relacionados con las pymes.</w:t>
            </w:r>
          </w:p>
        </w:tc>
        <w:tc>
          <w:tcPr>
            <w:tcW w:w="522" w:type="pct"/>
            <w:tcBorders>
              <w:top w:val="nil"/>
              <w:bottom w:val="nil"/>
            </w:tcBorders>
            <w:tcMar>
              <w:top w:w="110" w:type="dxa"/>
            </w:tcMar>
          </w:tcPr>
          <w:p w:rsidR="008A591C" w:rsidRPr="00980C61" w:rsidRDefault="008A591C" w:rsidP="00DC1333">
            <w:pPr>
              <w:keepNext/>
              <w:keepLines/>
              <w:jc w:val="center"/>
              <w:rPr>
                <w:rStyle w:val="Style5"/>
                <w:b/>
                <w:color w:val="808080"/>
                <w:sz w:val="14"/>
                <w:szCs w:val="16"/>
              </w:rPr>
            </w:pPr>
            <w:r w:rsidRPr="00980C61">
              <w:rPr>
                <w:rFonts w:eastAsiaTheme="minorHAnsi"/>
                <w:b/>
                <w:bCs/>
                <w:color w:val="808080"/>
                <w:sz w:val="13"/>
                <w:szCs w:val="13"/>
              </w:rPr>
              <w:t xml:space="preserve">No mensurable </w:t>
            </w:r>
          </w:p>
        </w:tc>
      </w:tr>
      <w:tr w:rsidR="008A591C" w:rsidRPr="00980C61" w:rsidTr="00DC1333">
        <w:trPr>
          <w:cantSplit/>
        </w:trPr>
        <w:tc>
          <w:tcPr>
            <w:tcW w:w="1120" w:type="pct"/>
            <w:tcBorders>
              <w:top w:val="nil"/>
              <w:bottom w:val="single" w:sz="4" w:space="0" w:color="auto"/>
            </w:tcBorders>
          </w:tcPr>
          <w:p w:rsidR="008A591C" w:rsidRPr="00980C61" w:rsidRDefault="008A591C" w:rsidP="00DC1333">
            <w:pPr>
              <w:rPr>
                <w:sz w:val="16"/>
                <w:szCs w:val="16"/>
                <w:lang w:bidi="th-TH"/>
              </w:rPr>
            </w:pPr>
            <w:r w:rsidRPr="00980C61">
              <w:rPr>
                <w:sz w:val="16"/>
                <w:szCs w:val="16"/>
                <w:lang w:bidi="th-TH"/>
              </w:rPr>
              <w:t>Porcentaje de participantes en los programas de formación destinados a las instituciones de apoyo a las pymes que están satisfechos con el contenido y la organización de las reuniones de formación</w:t>
            </w:r>
          </w:p>
        </w:tc>
        <w:tc>
          <w:tcPr>
            <w:tcW w:w="895" w:type="pct"/>
            <w:tcBorders>
              <w:top w:val="nil"/>
              <w:bottom w:val="single" w:sz="4" w:space="0" w:color="auto"/>
            </w:tcBorders>
            <w:shd w:val="clear" w:color="auto" w:fill="auto"/>
          </w:tcPr>
          <w:p w:rsidR="008A591C" w:rsidRPr="00980C61" w:rsidRDefault="008A591C" w:rsidP="00DC1333">
            <w:pPr>
              <w:rPr>
                <w:color w:val="002060"/>
                <w:sz w:val="16"/>
                <w:szCs w:val="16"/>
              </w:rPr>
            </w:pPr>
            <w:r w:rsidRPr="00980C61">
              <w:rPr>
                <w:i/>
                <w:color w:val="002060"/>
                <w:sz w:val="16"/>
                <w:szCs w:val="16"/>
              </w:rPr>
              <w:t xml:space="preserve">Referencia actualizada a fines de 2013:  </w:t>
            </w:r>
            <w:r w:rsidRPr="00980C61">
              <w:rPr>
                <w:color w:val="002060"/>
                <w:sz w:val="16"/>
                <w:szCs w:val="16"/>
              </w:rPr>
              <w:t>90%</w:t>
            </w:r>
          </w:p>
          <w:p w:rsidR="008A591C" w:rsidRPr="00980C61" w:rsidRDefault="008A591C" w:rsidP="00DC1333">
            <w:pPr>
              <w:rPr>
                <w:i/>
                <w:sz w:val="16"/>
                <w:szCs w:val="16"/>
              </w:rPr>
            </w:pPr>
          </w:p>
          <w:p w:rsidR="008A591C" w:rsidRPr="00980C61" w:rsidRDefault="008A591C" w:rsidP="00DC1333">
            <w:pPr>
              <w:rPr>
                <w:i/>
                <w:color w:val="002060"/>
                <w:sz w:val="16"/>
                <w:szCs w:val="16"/>
              </w:rPr>
            </w:pPr>
            <w:r w:rsidRPr="00980C61">
              <w:rPr>
                <w:i/>
                <w:sz w:val="16"/>
                <w:szCs w:val="16"/>
              </w:rPr>
              <w:t xml:space="preserve">Referencia original en el presupuesto de 2014/15:  </w:t>
            </w:r>
            <w:r w:rsidRPr="00980C61">
              <w:rPr>
                <w:sz w:val="16"/>
                <w:szCs w:val="16"/>
              </w:rPr>
              <w:t>por determinar</w:t>
            </w:r>
          </w:p>
        </w:tc>
        <w:tc>
          <w:tcPr>
            <w:tcW w:w="747" w:type="pct"/>
            <w:tcBorders>
              <w:top w:val="nil"/>
              <w:bottom w:val="single" w:sz="4" w:space="0" w:color="auto"/>
            </w:tcBorders>
            <w:tcMar>
              <w:top w:w="110" w:type="dxa"/>
            </w:tcMar>
          </w:tcPr>
          <w:p w:rsidR="008A591C" w:rsidRPr="00980C61" w:rsidRDefault="008A591C" w:rsidP="00DC1333">
            <w:pPr>
              <w:rPr>
                <w:sz w:val="16"/>
                <w:szCs w:val="16"/>
              </w:rPr>
            </w:pPr>
            <w:r w:rsidRPr="00980C61">
              <w:rPr>
                <w:sz w:val="16"/>
                <w:szCs w:val="16"/>
              </w:rPr>
              <w:t>Por determinar.</w:t>
            </w:r>
          </w:p>
          <w:p w:rsidR="008A591C" w:rsidRPr="00980C61" w:rsidRDefault="008A591C" w:rsidP="00DC1333">
            <w:pPr>
              <w:rPr>
                <w:sz w:val="16"/>
                <w:szCs w:val="16"/>
              </w:rPr>
            </w:pPr>
          </w:p>
          <w:p w:rsidR="008A591C" w:rsidRPr="00980C61" w:rsidRDefault="008A591C" w:rsidP="00DC1333">
            <w:pPr>
              <w:rPr>
                <w:sz w:val="16"/>
                <w:szCs w:val="16"/>
              </w:rPr>
            </w:pPr>
          </w:p>
        </w:tc>
        <w:tc>
          <w:tcPr>
            <w:tcW w:w="1716" w:type="pct"/>
            <w:tcBorders>
              <w:top w:val="nil"/>
              <w:bottom w:val="single" w:sz="4" w:space="0" w:color="auto"/>
            </w:tcBorders>
            <w:shd w:val="clear" w:color="auto" w:fill="FFFFFF"/>
            <w:tcMar>
              <w:top w:w="110" w:type="dxa"/>
            </w:tcMar>
          </w:tcPr>
          <w:p w:rsidR="008A591C" w:rsidRPr="00980C61" w:rsidRDefault="008A591C" w:rsidP="00DC1333">
            <w:pPr>
              <w:rPr>
                <w:sz w:val="16"/>
                <w:szCs w:val="16"/>
              </w:rPr>
            </w:pPr>
            <w:r w:rsidRPr="00980C61">
              <w:rPr>
                <w:sz w:val="16"/>
                <w:szCs w:val="16"/>
              </w:rPr>
              <w:t>El 100% de los participantes se declararon satisfechos (46% muy satisfechos, 54% satisfechos) con el contenido y la organización de esos programas de formación.</w:t>
            </w:r>
          </w:p>
        </w:tc>
        <w:tc>
          <w:tcPr>
            <w:tcW w:w="522" w:type="pct"/>
            <w:tcBorders>
              <w:top w:val="nil"/>
              <w:bottom w:val="single" w:sz="4" w:space="0" w:color="auto"/>
            </w:tcBorders>
            <w:tcMar>
              <w:top w:w="110" w:type="dxa"/>
            </w:tcMar>
          </w:tcPr>
          <w:p w:rsidR="008A591C" w:rsidRPr="00980C61" w:rsidRDefault="008A591C" w:rsidP="002E6163">
            <w:pPr>
              <w:keepNext/>
              <w:keepLines/>
              <w:ind w:left="-109"/>
              <w:jc w:val="center"/>
              <w:rPr>
                <w:rFonts w:asciiTheme="minorHAnsi" w:hAnsiTheme="minorHAnsi"/>
                <w:b/>
                <w:bCs/>
                <w:color w:val="00B050"/>
                <w:sz w:val="16"/>
                <w:szCs w:val="16"/>
              </w:rPr>
            </w:pPr>
            <w:r w:rsidRPr="00980C61">
              <w:rPr>
                <w:rFonts w:asciiTheme="minorHAnsi" w:hAnsiTheme="minorHAnsi"/>
                <w:b/>
                <w:bCs/>
                <w:color w:val="00B050"/>
                <w:sz w:val="16"/>
                <w:szCs w:val="16"/>
              </w:rPr>
              <w:t>Plenamente logrado</w:t>
            </w:r>
          </w:p>
          <w:p w:rsidR="008A591C" w:rsidRPr="00980C61" w:rsidRDefault="008A591C" w:rsidP="00DC1333">
            <w:pPr>
              <w:keepNext/>
              <w:keepLines/>
              <w:jc w:val="center"/>
              <w:rPr>
                <w:rStyle w:val="Style5"/>
                <w:b/>
                <w:color w:val="808080"/>
                <w:sz w:val="16"/>
                <w:szCs w:val="16"/>
              </w:rPr>
            </w:pPr>
          </w:p>
        </w:tc>
      </w:tr>
      <w:tr w:rsidR="008A591C" w:rsidRPr="00980C61" w:rsidTr="00DC1333">
        <w:trPr>
          <w:cantSplit/>
        </w:trPr>
        <w:tc>
          <w:tcPr>
            <w:tcW w:w="1120" w:type="pct"/>
            <w:tcBorders>
              <w:top w:val="single" w:sz="4" w:space="0" w:color="auto"/>
              <w:bottom w:val="nil"/>
            </w:tcBorders>
            <w:vAlign w:val="center"/>
          </w:tcPr>
          <w:p w:rsidR="008A591C" w:rsidRPr="00980C61" w:rsidRDefault="008A591C" w:rsidP="00DC1333">
            <w:pPr>
              <w:keepNext/>
              <w:keepLines/>
              <w:rPr>
                <w:sz w:val="16"/>
                <w:szCs w:val="16"/>
              </w:rPr>
            </w:pPr>
            <w:r w:rsidRPr="00980C61">
              <w:rPr>
                <w:b/>
                <w:sz w:val="16"/>
                <w:szCs w:val="16"/>
              </w:rPr>
              <w:lastRenderedPageBreak/>
              <w:t>Indicadores de rendimiento</w:t>
            </w:r>
          </w:p>
        </w:tc>
        <w:tc>
          <w:tcPr>
            <w:tcW w:w="895" w:type="pct"/>
            <w:tcBorders>
              <w:top w:val="single" w:sz="4" w:space="0" w:color="auto"/>
              <w:bottom w:val="nil"/>
            </w:tcBorders>
            <w:shd w:val="clear" w:color="auto" w:fill="auto"/>
            <w:vAlign w:val="center"/>
          </w:tcPr>
          <w:p w:rsidR="008A591C" w:rsidRPr="00980C61" w:rsidRDefault="008A591C" w:rsidP="00DC1333">
            <w:pPr>
              <w:keepNext/>
              <w:keepLines/>
              <w:rPr>
                <w:b/>
                <w:bCs/>
                <w:sz w:val="16"/>
                <w:szCs w:val="16"/>
              </w:rPr>
            </w:pPr>
            <w:r w:rsidRPr="00980C61">
              <w:rPr>
                <w:b/>
                <w:bCs/>
                <w:sz w:val="16"/>
                <w:szCs w:val="16"/>
              </w:rPr>
              <w:t>Referencia</w:t>
            </w:r>
          </w:p>
        </w:tc>
        <w:tc>
          <w:tcPr>
            <w:tcW w:w="747" w:type="pct"/>
            <w:tcBorders>
              <w:top w:val="single" w:sz="4" w:space="0" w:color="auto"/>
              <w:bottom w:val="nil"/>
            </w:tcBorders>
            <w:tcMar>
              <w:top w:w="110" w:type="dxa"/>
            </w:tcMar>
            <w:vAlign w:val="center"/>
          </w:tcPr>
          <w:p w:rsidR="008A591C" w:rsidRPr="00980C61" w:rsidRDefault="008A591C" w:rsidP="00DC1333">
            <w:pPr>
              <w:keepNext/>
              <w:keepLines/>
              <w:rPr>
                <w:b/>
                <w:sz w:val="16"/>
                <w:szCs w:val="16"/>
              </w:rPr>
            </w:pPr>
            <w:r w:rsidRPr="00980C61">
              <w:rPr>
                <w:b/>
                <w:sz w:val="16"/>
                <w:szCs w:val="16"/>
              </w:rPr>
              <w:t>Objetivos</w:t>
            </w:r>
          </w:p>
        </w:tc>
        <w:tc>
          <w:tcPr>
            <w:tcW w:w="1716" w:type="pct"/>
            <w:tcBorders>
              <w:top w:val="single" w:sz="4" w:space="0" w:color="auto"/>
              <w:bottom w:val="nil"/>
            </w:tcBorders>
            <w:shd w:val="clear" w:color="auto" w:fill="FFFFFF"/>
            <w:tcMar>
              <w:top w:w="110" w:type="dxa"/>
            </w:tcMar>
            <w:vAlign w:val="center"/>
          </w:tcPr>
          <w:p w:rsidR="008A591C" w:rsidRPr="00980C61" w:rsidRDefault="008A591C" w:rsidP="00DC1333">
            <w:pPr>
              <w:keepNext/>
              <w:keepLines/>
              <w:rPr>
                <w:sz w:val="16"/>
                <w:szCs w:val="16"/>
              </w:rPr>
            </w:pPr>
            <w:r w:rsidRPr="00980C61">
              <w:rPr>
                <w:b/>
                <w:sz w:val="16"/>
                <w:szCs w:val="16"/>
              </w:rPr>
              <w:t>Datos sobre el rendimiento</w:t>
            </w:r>
          </w:p>
        </w:tc>
        <w:tc>
          <w:tcPr>
            <w:tcW w:w="522" w:type="pct"/>
            <w:tcBorders>
              <w:top w:val="single" w:sz="4" w:space="0" w:color="auto"/>
              <w:bottom w:val="nil"/>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cantSplit/>
          <w:trHeight w:val="2464"/>
        </w:trPr>
        <w:tc>
          <w:tcPr>
            <w:tcW w:w="1120" w:type="pct"/>
            <w:tcBorders>
              <w:top w:val="nil"/>
              <w:bottom w:val="nil"/>
            </w:tcBorders>
          </w:tcPr>
          <w:p w:rsidR="008A591C" w:rsidRPr="00980C61" w:rsidRDefault="008A591C" w:rsidP="00DC1333">
            <w:pPr>
              <w:keepNext/>
              <w:keepLines/>
              <w:rPr>
                <w:sz w:val="16"/>
                <w:szCs w:val="16"/>
                <w:lang w:bidi="th-TH"/>
              </w:rPr>
            </w:pPr>
            <w:r w:rsidRPr="00980C61">
              <w:rPr>
                <w:sz w:val="16"/>
                <w:szCs w:val="16"/>
                <w:lang w:bidi="th-TH"/>
              </w:rPr>
              <w:t>Porcentaje de instituciones de apoyo a las pymes que han recibido formación, que a su vez brindan información, apoyo y servicios de consultoría/asesoramiento en gestión de activos de P.I.</w:t>
            </w:r>
          </w:p>
        </w:tc>
        <w:tc>
          <w:tcPr>
            <w:tcW w:w="895" w:type="pct"/>
            <w:tcBorders>
              <w:top w:val="nil"/>
              <w:bottom w:val="nil"/>
            </w:tcBorders>
            <w:shd w:val="clear" w:color="auto" w:fill="auto"/>
          </w:tcPr>
          <w:p w:rsidR="008A591C" w:rsidRPr="00980C61" w:rsidRDefault="008A591C" w:rsidP="00DC1333">
            <w:pPr>
              <w:rPr>
                <w:sz w:val="16"/>
                <w:szCs w:val="16"/>
              </w:rPr>
            </w:pPr>
            <w:r w:rsidRPr="00980C61">
              <w:rPr>
                <w:i/>
                <w:color w:val="002060"/>
                <w:sz w:val="16"/>
                <w:szCs w:val="16"/>
              </w:rPr>
              <w:t>Referencia actualizada a fines de 2013</w:t>
            </w:r>
            <w:proofErr w:type="gramStart"/>
            <w:r w:rsidRPr="00980C61">
              <w:rPr>
                <w:i/>
                <w:color w:val="002060"/>
                <w:sz w:val="16"/>
                <w:szCs w:val="16"/>
              </w:rPr>
              <w:t xml:space="preserve">: </w:t>
            </w:r>
            <w:r w:rsidRPr="00980C61">
              <w:rPr>
                <w:i/>
                <w:sz w:val="16"/>
                <w:szCs w:val="16"/>
              </w:rPr>
              <w:t xml:space="preserve"> </w:t>
            </w:r>
            <w:r w:rsidRPr="00980C61">
              <w:rPr>
                <w:sz w:val="16"/>
                <w:szCs w:val="16"/>
              </w:rPr>
              <w:t>El</w:t>
            </w:r>
            <w:proofErr w:type="gramEnd"/>
            <w:r w:rsidRPr="00980C61">
              <w:rPr>
                <w:sz w:val="16"/>
                <w:szCs w:val="16"/>
              </w:rPr>
              <w:t> 100% de las 15 instituciones de apoyo a las pymes que recibieron asistencia brindan información, apoyo y servicios de consultoría / asesoramiento en gestión de activos de P.I.</w:t>
            </w:r>
          </w:p>
          <w:p w:rsidR="008A591C" w:rsidRPr="00980C61" w:rsidRDefault="008A591C" w:rsidP="00DC1333">
            <w:pPr>
              <w:rPr>
                <w:i/>
                <w:sz w:val="16"/>
                <w:szCs w:val="16"/>
              </w:rPr>
            </w:pPr>
          </w:p>
          <w:p w:rsidR="008A591C" w:rsidRPr="00980C61" w:rsidRDefault="008A591C" w:rsidP="00DC1333">
            <w:pPr>
              <w:keepNext/>
              <w:keepLines/>
              <w:rPr>
                <w:i/>
                <w:color w:val="002060"/>
                <w:sz w:val="16"/>
                <w:szCs w:val="16"/>
              </w:rPr>
            </w:pPr>
            <w:r w:rsidRPr="00980C61">
              <w:rPr>
                <w:i/>
                <w:sz w:val="16"/>
                <w:szCs w:val="16"/>
              </w:rPr>
              <w:t>Referencia original en el presupuesto de 2014/15</w:t>
            </w:r>
            <w:proofErr w:type="gramStart"/>
            <w:r w:rsidRPr="00980C61">
              <w:rPr>
                <w:i/>
                <w:sz w:val="16"/>
                <w:szCs w:val="16"/>
              </w:rPr>
              <w:t>:</w:t>
            </w:r>
            <w:r w:rsidRPr="00980C61">
              <w:rPr>
                <w:sz w:val="16"/>
                <w:szCs w:val="16"/>
              </w:rPr>
              <w:t xml:space="preserve">  por</w:t>
            </w:r>
            <w:proofErr w:type="gramEnd"/>
            <w:r w:rsidRPr="00980C61">
              <w:rPr>
                <w:sz w:val="16"/>
                <w:szCs w:val="16"/>
              </w:rPr>
              <w:t xml:space="preserve"> determinar.</w:t>
            </w:r>
          </w:p>
        </w:tc>
        <w:tc>
          <w:tcPr>
            <w:tcW w:w="747" w:type="pct"/>
            <w:tcBorders>
              <w:top w:val="nil"/>
              <w:bottom w:val="nil"/>
            </w:tcBorders>
            <w:tcMar>
              <w:top w:w="110" w:type="dxa"/>
            </w:tcMar>
          </w:tcPr>
          <w:p w:rsidR="008A591C" w:rsidRPr="00980C61" w:rsidRDefault="008A591C" w:rsidP="00DC1333">
            <w:pPr>
              <w:outlineLvl w:val="7"/>
              <w:rPr>
                <w:color w:val="002060"/>
                <w:sz w:val="16"/>
                <w:szCs w:val="16"/>
              </w:rPr>
            </w:pPr>
            <w:r w:rsidRPr="00980C61">
              <w:rPr>
                <w:color w:val="002060"/>
                <w:sz w:val="16"/>
                <w:szCs w:val="16"/>
              </w:rPr>
              <w:t>Objetivo definido:  80%</w:t>
            </w:r>
          </w:p>
          <w:p w:rsidR="008A591C" w:rsidRPr="00980C61" w:rsidRDefault="008A591C" w:rsidP="00DC1333">
            <w:pPr>
              <w:rPr>
                <w:sz w:val="16"/>
                <w:szCs w:val="16"/>
              </w:rPr>
            </w:pPr>
          </w:p>
          <w:p w:rsidR="008A591C" w:rsidRPr="00980C61" w:rsidRDefault="008A591C" w:rsidP="00DC1333">
            <w:pPr>
              <w:keepNext/>
              <w:keepLines/>
              <w:rPr>
                <w:sz w:val="16"/>
                <w:szCs w:val="16"/>
              </w:rPr>
            </w:pPr>
            <w:r w:rsidRPr="00980C61">
              <w:rPr>
                <w:sz w:val="16"/>
                <w:szCs w:val="16"/>
              </w:rPr>
              <w:t>Objetivo original en el presupuesto por programas de 2014/15:  por determinar</w:t>
            </w:r>
          </w:p>
        </w:tc>
        <w:tc>
          <w:tcPr>
            <w:tcW w:w="1716" w:type="pct"/>
            <w:tcBorders>
              <w:top w:val="nil"/>
              <w:bottom w:val="nil"/>
            </w:tcBorders>
            <w:shd w:val="clear" w:color="auto" w:fill="FFFFFF"/>
            <w:tcMar>
              <w:top w:w="110" w:type="dxa"/>
            </w:tcMar>
          </w:tcPr>
          <w:p w:rsidR="008A591C" w:rsidRPr="00980C61" w:rsidRDefault="008A591C" w:rsidP="00DC1333">
            <w:pPr>
              <w:rPr>
                <w:sz w:val="16"/>
                <w:szCs w:val="16"/>
              </w:rPr>
            </w:pPr>
            <w:r w:rsidRPr="00980C61">
              <w:rPr>
                <w:sz w:val="16"/>
                <w:szCs w:val="16"/>
              </w:rPr>
              <w:t>El 100%  (muy  a menudo (48%), a menudo (32%),  a veces (20%)) de las instituciones de apoyo a las pymes que recibieron formación brindaron información, apoyo y servicios de consultoría/asesoramiento en gestión de activos de P.I.</w:t>
            </w:r>
          </w:p>
          <w:p w:rsidR="008A591C" w:rsidRPr="00980C61" w:rsidRDefault="008A591C" w:rsidP="00DC1333">
            <w:pPr>
              <w:pStyle w:val="ListParagraph"/>
              <w:keepNext/>
              <w:keepLines/>
              <w:ind w:left="360"/>
              <w:rPr>
                <w:rFonts w:cs="Arial"/>
                <w:sz w:val="16"/>
                <w:szCs w:val="16"/>
                <w:lang w:val="es-ES"/>
              </w:rPr>
            </w:pPr>
          </w:p>
        </w:tc>
        <w:tc>
          <w:tcPr>
            <w:tcW w:w="522" w:type="pct"/>
            <w:tcBorders>
              <w:top w:val="nil"/>
              <w:bottom w:val="nil"/>
            </w:tcBorders>
            <w:tcMar>
              <w:top w:w="110" w:type="dxa"/>
            </w:tcMar>
          </w:tcPr>
          <w:p w:rsidR="008A591C" w:rsidRPr="00980C61" w:rsidRDefault="008A591C" w:rsidP="002E6163">
            <w:pPr>
              <w:keepNext/>
              <w:keepLines/>
              <w:ind w:left="-109"/>
              <w:jc w:val="center"/>
              <w:rPr>
                <w:rFonts w:asciiTheme="minorHAnsi" w:hAnsiTheme="minorHAnsi"/>
                <w:b/>
                <w:bCs/>
                <w:color w:val="00B050"/>
                <w:sz w:val="16"/>
                <w:szCs w:val="16"/>
              </w:rPr>
            </w:pPr>
            <w:r w:rsidRPr="00980C61">
              <w:rPr>
                <w:rFonts w:asciiTheme="minorHAnsi" w:hAnsiTheme="minorHAnsi"/>
                <w:b/>
                <w:bCs/>
                <w:color w:val="00B050"/>
                <w:sz w:val="16"/>
                <w:szCs w:val="16"/>
              </w:rPr>
              <w:t>Plenamente logrado</w:t>
            </w:r>
          </w:p>
          <w:p w:rsidR="008A591C" w:rsidRPr="00980C61" w:rsidRDefault="008A591C" w:rsidP="00DC1333">
            <w:pPr>
              <w:keepNext/>
              <w:keepLines/>
              <w:jc w:val="center"/>
              <w:rPr>
                <w:rStyle w:val="Style5"/>
                <w:b/>
                <w:color w:val="00B050"/>
                <w:sz w:val="16"/>
                <w:szCs w:val="16"/>
              </w:rPr>
            </w:pPr>
          </w:p>
        </w:tc>
      </w:tr>
      <w:tr w:rsidR="008A591C" w:rsidRPr="00980C61" w:rsidTr="00DC1333">
        <w:trPr>
          <w:cantSplit/>
        </w:trPr>
        <w:tc>
          <w:tcPr>
            <w:tcW w:w="1120" w:type="pct"/>
            <w:tcBorders>
              <w:top w:val="nil"/>
              <w:bottom w:val="single" w:sz="4" w:space="0" w:color="auto"/>
            </w:tcBorders>
          </w:tcPr>
          <w:p w:rsidR="008A591C" w:rsidRPr="00980C61" w:rsidRDefault="008A591C" w:rsidP="00DC1333">
            <w:pPr>
              <w:rPr>
                <w:sz w:val="16"/>
                <w:szCs w:val="16"/>
                <w:lang w:bidi="th-TH"/>
              </w:rPr>
            </w:pPr>
            <w:r w:rsidRPr="00980C61">
              <w:rPr>
                <w:sz w:val="16"/>
                <w:szCs w:val="16"/>
                <w:lang w:bidi="th-TH"/>
              </w:rPr>
              <w:t>Número de países que han establecido programas de formación en P.I. destinados a las pymes</w:t>
            </w:r>
          </w:p>
        </w:tc>
        <w:tc>
          <w:tcPr>
            <w:tcW w:w="895" w:type="pct"/>
            <w:tcBorders>
              <w:top w:val="nil"/>
              <w:bottom w:val="single" w:sz="4" w:space="0" w:color="auto"/>
            </w:tcBorders>
            <w:shd w:val="clear" w:color="auto" w:fill="auto"/>
          </w:tcPr>
          <w:p w:rsidR="008A591C" w:rsidRPr="00980C61" w:rsidRDefault="008A591C" w:rsidP="00DC1333">
            <w:pPr>
              <w:rPr>
                <w:i/>
                <w:color w:val="002060"/>
                <w:sz w:val="16"/>
                <w:szCs w:val="16"/>
              </w:rPr>
            </w:pPr>
            <w:r w:rsidRPr="00980C61">
              <w:rPr>
                <w:sz w:val="16"/>
                <w:szCs w:val="16"/>
              </w:rPr>
              <w:t>Por determinar</w:t>
            </w:r>
          </w:p>
        </w:tc>
        <w:tc>
          <w:tcPr>
            <w:tcW w:w="747" w:type="pct"/>
            <w:tcBorders>
              <w:top w:val="nil"/>
              <w:bottom w:val="single" w:sz="4" w:space="0" w:color="auto"/>
            </w:tcBorders>
            <w:tcMar>
              <w:top w:w="110" w:type="dxa"/>
            </w:tcMar>
          </w:tcPr>
          <w:p w:rsidR="008A591C" w:rsidRPr="00980C61" w:rsidRDefault="008A591C" w:rsidP="00DC1333">
            <w:pPr>
              <w:rPr>
                <w:sz w:val="16"/>
                <w:szCs w:val="16"/>
              </w:rPr>
            </w:pPr>
            <w:r w:rsidRPr="00980C61">
              <w:rPr>
                <w:sz w:val="16"/>
                <w:szCs w:val="16"/>
              </w:rPr>
              <w:t>Por determinar</w:t>
            </w:r>
          </w:p>
        </w:tc>
        <w:tc>
          <w:tcPr>
            <w:tcW w:w="1716" w:type="pct"/>
            <w:tcBorders>
              <w:top w:val="nil"/>
              <w:bottom w:val="single" w:sz="4" w:space="0" w:color="auto"/>
            </w:tcBorders>
            <w:shd w:val="clear" w:color="auto" w:fill="FFFFFF"/>
            <w:tcMar>
              <w:top w:w="110" w:type="dxa"/>
            </w:tcMar>
          </w:tcPr>
          <w:p w:rsidR="008A591C" w:rsidRPr="00980C61" w:rsidRDefault="008A591C" w:rsidP="00DC1333">
            <w:pPr>
              <w:rPr>
                <w:sz w:val="16"/>
                <w:szCs w:val="16"/>
              </w:rPr>
            </w:pPr>
            <w:r w:rsidRPr="00980C61">
              <w:rPr>
                <w:sz w:val="16"/>
                <w:szCs w:val="16"/>
              </w:rPr>
              <w:t>Los siguientes 18 países/organizaciones regionales notificaron haber establecido programas de formación en P.I. destinados a las pymes</w:t>
            </w:r>
            <w:proofErr w:type="gramStart"/>
            <w:r w:rsidRPr="00980C61">
              <w:rPr>
                <w:sz w:val="16"/>
                <w:szCs w:val="16"/>
              </w:rPr>
              <w:t>:  Arabia</w:t>
            </w:r>
            <w:proofErr w:type="gramEnd"/>
            <w:r w:rsidRPr="00980C61">
              <w:rPr>
                <w:sz w:val="16"/>
                <w:szCs w:val="16"/>
              </w:rPr>
              <w:t xml:space="preserve"> Saudita, ARIPO, Armenia, Argentina, Belarús, Colombia, Emiratos Árabes Unidos, Georgia, Irán (República Islámica del), Jordania, Kazajstán, Líbano, Omán, Papua Nueva Guinea, República Democrática Popular Lao, República Unida de Tanzanía, Trinidad y Tabago  y Uganda.</w:t>
            </w:r>
            <w:r w:rsidRPr="00980C61">
              <w:rPr>
                <w:sz w:val="16"/>
                <w:szCs w:val="16"/>
              </w:rPr>
              <w:br/>
            </w:r>
          </w:p>
        </w:tc>
        <w:tc>
          <w:tcPr>
            <w:tcW w:w="522" w:type="pct"/>
            <w:tcBorders>
              <w:top w:val="nil"/>
              <w:bottom w:val="single" w:sz="4" w:space="0" w:color="auto"/>
            </w:tcBorders>
            <w:tcMar>
              <w:top w:w="110" w:type="dxa"/>
            </w:tcMar>
          </w:tcPr>
          <w:p w:rsidR="008A591C" w:rsidRPr="00980C61" w:rsidRDefault="008A591C" w:rsidP="00DC1333">
            <w:pPr>
              <w:keepNext/>
              <w:keepLines/>
              <w:jc w:val="center"/>
              <w:rPr>
                <w:rStyle w:val="Style5"/>
                <w:b/>
                <w:color w:val="00B050"/>
                <w:sz w:val="16"/>
                <w:szCs w:val="16"/>
              </w:rPr>
            </w:pPr>
            <w:r w:rsidRPr="00980C61">
              <w:rPr>
                <w:rFonts w:eastAsiaTheme="minorHAnsi"/>
                <w:b/>
                <w:bCs/>
                <w:color w:val="808080"/>
                <w:sz w:val="13"/>
                <w:szCs w:val="13"/>
              </w:rPr>
              <w:t xml:space="preserve">No mensurable </w:t>
            </w:r>
          </w:p>
        </w:tc>
      </w:tr>
      <w:tr w:rsidR="008A591C" w:rsidRPr="002661F5"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8A591C" w:rsidRPr="00980C61" w:rsidRDefault="008A591C" w:rsidP="00DC1333">
            <w:pPr>
              <w:keepNext/>
              <w:keepLines/>
              <w:spacing w:before="120" w:after="120"/>
              <w:ind w:left="2019" w:hanging="2019"/>
              <w:rPr>
                <w:b/>
                <w:bCs/>
                <w:sz w:val="16"/>
                <w:szCs w:val="16"/>
              </w:rPr>
            </w:pPr>
            <w:r w:rsidRPr="00980C61">
              <w:rPr>
                <w:b/>
                <w:bCs/>
                <w:sz w:val="16"/>
                <w:szCs w:val="16"/>
              </w:rPr>
              <w:t>Resultado previsto:</w:t>
            </w:r>
            <w:r>
              <w:rPr>
                <w:b/>
                <w:bCs/>
                <w:sz w:val="16"/>
                <w:szCs w:val="16"/>
              </w:rPr>
              <w:tab/>
            </w:r>
            <w:r w:rsidRPr="00980C61">
              <w:rPr>
                <w:sz w:val="16"/>
                <w:szCs w:val="16"/>
                <w:lang w:bidi="th-TH"/>
              </w:rPr>
              <w:t>IV.2 Mejora del acceso a la información sobre P.I. y de su utilización por las instituciones de P.I. y el público para fomentar la innovación y la creatividad</w:t>
            </w:r>
          </w:p>
        </w:tc>
      </w:tr>
      <w:tr w:rsidR="008A591C" w:rsidRPr="002661F5" w:rsidTr="00DC1333">
        <w:trPr>
          <w:cantSplit/>
        </w:trPr>
        <w:tc>
          <w:tcPr>
            <w:tcW w:w="1120" w:type="pct"/>
            <w:tcBorders>
              <w:top w:val="single" w:sz="4" w:space="0" w:color="auto"/>
            </w:tcBorders>
            <w:vAlign w:val="center"/>
          </w:tcPr>
          <w:p w:rsidR="008A591C" w:rsidRPr="00980C61" w:rsidRDefault="008A591C" w:rsidP="00DC1333">
            <w:pPr>
              <w:rPr>
                <w:sz w:val="16"/>
                <w:szCs w:val="16"/>
              </w:rPr>
            </w:pPr>
            <w:r w:rsidRPr="00980C61">
              <w:rPr>
                <w:b/>
                <w:sz w:val="16"/>
                <w:szCs w:val="16"/>
              </w:rPr>
              <w:t>Indicadores de rendimiento</w:t>
            </w:r>
          </w:p>
        </w:tc>
        <w:tc>
          <w:tcPr>
            <w:tcW w:w="895" w:type="pct"/>
            <w:tcBorders>
              <w:top w:val="single" w:sz="4" w:space="0" w:color="auto"/>
            </w:tcBorders>
            <w:shd w:val="clear" w:color="auto" w:fill="auto"/>
            <w:vAlign w:val="center"/>
          </w:tcPr>
          <w:p w:rsidR="008A591C" w:rsidRPr="00980C61" w:rsidRDefault="008A591C" w:rsidP="00DC1333">
            <w:pPr>
              <w:rPr>
                <w:b/>
                <w:bCs/>
                <w:sz w:val="16"/>
                <w:szCs w:val="16"/>
              </w:rPr>
            </w:pPr>
            <w:r w:rsidRPr="00980C61">
              <w:rPr>
                <w:b/>
                <w:bCs/>
                <w:sz w:val="16"/>
                <w:szCs w:val="16"/>
              </w:rPr>
              <w:t>Referencia</w:t>
            </w:r>
          </w:p>
        </w:tc>
        <w:tc>
          <w:tcPr>
            <w:tcW w:w="747" w:type="pct"/>
            <w:tcBorders>
              <w:top w:val="single" w:sz="4" w:space="0" w:color="auto"/>
            </w:tcBorders>
            <w:tcMar>
              <w:top w:w="110" w:type="dxa"/>
            </w:tcMar>
            <w:vAlign w:val="center"/>
          </w:tcPr>
          <w:p w:rsidR="008A591C" w:rsidRPr="00980C61" w:rsidRDefault="008A591C" w:rsidP="00DC1333">
            <w:pPr>
              <w:rPr>
                <w:b/>
                <w:sz w:val="16"/>
                <w:szCs w:val="16"/>
              </w:rPr>
            </w:pPr>
            <w:r w:rsidRPr="00980C61">
              <w:rPr>
                <w:b/>
                <w:sz w:val="16"/>
                <w:szCs w:val="16"/>
              </w:rPr>
              <w:t>Objetivos</w:t>
            </w:r>
          </w:p>
        </w:tc>
        <w:tc>
          <w:tcPr>
            <w:tcW w:w="1716" w:type="pct"/>
            <w:tcBorders>
              <w:top w:val="single" w:sz="4" w:space="0" w:color="auto"/>
            </w:tcBorders>
            <w:shd w:val="clear" w:color="auto" w:fill="FFFFFF"/>
            <w:tcMar>
              <w:top w:w="110" w:type="dxa"/>
            </w:tcMar>
            <w:vAlign w:val="center"/>
          </w:tcPr>
          <w:p w:rsidR="008A591C" w:rsidRPr="00980C61" w:rsidRDefault="008A591C" w:rsidP="00DC1333">
            <w:pPr>
              <w:rPr>
                <w:sz w:val="16"/>
                <w:szCs w:val="16"/>
              </w:rPr>
            </w:pPr>
            <w:r w:rsidRPr="00980C61">
              <w:rPr>
                <w:b/>
                <w:sz w:val="16"/>
                <w:szCs w:val="16"/>
              </w:rPr>
              <w:t>Datos sobre el rendimiento</w:t>
            </w:r>
          </w:p>
        </w:tc>
        <w:tc>
          <w:tcPr>
            <w:tcW w:w="522" w:type="pct"/>
            <w:tcBorders>
              <w:top w:val="single" w:sz="4" w:space="0" w:color="auto"/>
            </w:tcBorders>
            <w:tcMar>
              <w:top w:w="110" w:type="dxa"/>
            </w:tcMar>
            <w:vAlign w:val="center"/>
          </w:tcPr>
          <w:p w:rsidR="008A591C" w:rsidRPr="00980C61" w:rsidRDefault="008A591C" w:rsidP="00DC1333">
            <w:pPr>
              <w:keepNext/>
              <w:keepLines/>
              <w:jc w:val="center"/>
              <w:rPr>
                <w:b/>
                <w:bCs/>
                <w:sz w:val="16"/>
                <w:szCs w:val="16"/>
              </w:rPr>
            </w:pPr>
            <w:r w:rsidRPr="00980C61">
              <w:rPr>
                <w:b/>
                <w:bCs/>
                <w:sz w:val="16"/>
                <w:szCs w:val="16"/>
              </w:rPr>
              <w:t>Clave de colores</w:t>
            </w:r>
          </w:p>
        </w:tc>
      </w:tr>
      <w:tr w:rsidR="008A591C" w:rsidRPr="00980C61" w:rsidTr="00DC1333">
        <w:trPr>
          <w:trHeight w:val="520"/>
        </w:trPr>
        <w:tc>
          <w:tcPr>
            <w:tcW w:w="1120" w:type="pct"/>
          </w:tcPr>
          <w:p w:rsidR="008A591C" w:rsidRPr="00980C61" w:rsidRDefault="008A591C" w:rsidP="00DC1333">
            <w:pPr>
              <w:rPr>
                <w:sz w:val="16"/>
                <w:szCs w:val="16"/>
                <w:lang w:bidi="th-TH"/>
              </w:rPr>
            </w:pPr>
            <w:r w:rsidRPr="00980C61">
              <w:rPr>
                <w:sz w:val="16"/>
                <w:szCs w:val="16"/>
                <w:lang w:bidi="th-TH"/>
              </w:rPr>
              <w:t>Número de OTT sostenibles establecidas y/o consolidadas en las universidades o las instituciones de I+D</w:t>
            </w:r>
          </w:p>
        </w:tc>
        <w:tc>
          <w:tcPr>
            <w:tcW w:w="895" w:type="pct"/>
            <w:shd w:val="clear" w:color="auto" w:fill="auto"/>
          </w:tcPr>
          <w:p w:rsidR="008A591C" w:rsidRPr="00980C61" w:rsidRDefault="008A591C" w:rsidP="00DC1333">
            <w:pPr>
              <w:rPr>
                <w:sz w:val="16"/>
                <w:szCs w:val="16"/>
                <w:lang w:bidi="th-TH"/>
              </w:rPr>
            </w:pPr>
            <w:r w:rsidRPr="00980C61">
              <w:rPr>
                <w:sz w:val="16"/>
                <w:szCs w:val="16"/>
                <w:lang w:bidi="th-TH"/>
              </w:rPr>
              <w:t>Por determinar</w:t>
            </w:r>
          </w:p>
        </w:tc>
        <w:tc>
          <w:tcPr>
            <w:tcW w:w="747" w:type="pct"/>
            <w:tcMar>
              <w:top w:w="110" w:type="dxa"/>
            </w:tcMar>
          </w:tcPr>
          <w:p w:rsidR="008A591C" w:rsidRPr="00980C61" w:rsidRDefault="008A591C" w:rsidP="00DC1333">
            <w:pPr>
              <w:rPr>
                <w:sz w:val="16"/>
                <w:szCs w:val="16"/>
                <w:lang w:bidi="th-TH"/>
              </w:rPr>
            </w:pPr>
            <w:r w:rsidRPr="00980C61">
              <w:rPr>
                <w:sz w:val="16"/>
                <w:szCs w:val="16"/>
              </w:rPr>
              <w:t>Establecimiento de cinco OTT en la región árabe</w:t>
            </w:r>
          </w:p>
        </w:tc>
        <w:tc>
          <w:tcPr>
            <w:tcW w:w="1716" w:type="pct"/>
            <w:shd w:val="clear" w:color="auto" w:fill="FFFFFF"/>
            <w:tcMar>
              <w:top w:w="110" w:type="dxa"/>
            </w:tcMar>
          </w:tcPr>
          <w:p w:rsidR="008A591C" w:rsidRPr="00980C61" w:rsidRDefault="008A591C" w:rsidP="00DC1333">
            <w:pPr>
              <w:rPr>
                <w:sz w:val="16"/>
                <w:szCs w:val="16"/>
                <w:lang w:bidi="th-TH"/>
              </w:rPr>
            </w:pPr>
            <w:r w:rsidRPr="00980C61">
              <w:rPr>
                <w:sz w:val="16"/>
                <w:szCs w:val="16"/>
                <w:lang w:bidi="th-TH"/>
              </w:rPr>
              <w:t>En 2014/15, se amplió el alcance geográfico del proyecto de OTT para la región árabe, en atención a las peticiones de los Estados miembros.  Se siguió avanzando en el proceso de consolidación de cuatro OTT en Túnez con miras a lograr su independencia operativa y sostenibilidad, mediante la elaboración de políticas institucionales de P.I. entre otros medios:</w:t>
            </w:r>
          </w:p>
          <w:p w:rsidR="008A591C" w:rsidRPr="00A40792" w:rsidRDefault="008A591C" w:rsidP="008A591C">
            <w:pPr>
              <w:numPr>
                <w:ilvl w:val="0"/>
                <w:numId w:val="68"/>
              </w:numPr>
              <w:rPr>
                <w:i/>
                <w:sz w:val="16"/>
                <w:szCs w:val="16"/>
                <w:lang w:val="fr-FR" w:bidi="th-TH"/>
              </w:rPr>
            </w:pPr>
            <w:r w:rsidRPr="00A40792">
              <w:rPr>
                <w:i/>
                <w:sz w:val="16"/>
                <w:szCs w:val="16"/>
                <w:lang w:val="fr-FR" w:bidi="th-TH"/>
              </w:rPr>
              <w:t>Centre Technique de la Chimie (CTC)</w:t>
            </w:r>
          </w:p>
          <w:p w:rsidR="008A591C" w:rsidRPr="00980C61" w:rsidRDefault="008A591C" w:rsidP="008A591C">
            <w:pPr>
              <w:numPr>
                <w:ilvl w:val="0"/>
                <w:numId w:val="68"/>
              </w:numPr>
              <w:rPr>
                <w:i/>
                <w:sz w:val="16"/>
                <w:szCs w:val="16"/>
                <w:lang w:bidi="th-TH"/>
              </w:rPr>
            </w:pPr>
            <w:r w:rsidRPr="00980C61">
              <w:rPr>
                <w:sz w:val="16"/>
                <w:szCs w:val="16"/>
                <w:lang w:bidi="th-TH"/>
              </w:rPr>
              <w:t>Parque tecnológico El Ghazala</w:t>
            </w:r>
          </w:p>
          <w:p w:rsidR="008A591C" w:rsidRPr="00980C61" w:rsidRDefault="008A591C" w:rsidP="008A591C">
            <w:pPr>
              <w:numPr>
                <w:ilvl w:val="0"/>
                <w:numId w:val="68"/>
              </w:numPr>
              <w:rPr>
                <w:sz w:val="16"/>
                <w:szCs w:val="16"/>
                <w:lang w:bidi="th-TH"/>
              </w:rPr>
            </w:pPr>
            <w:r w:rsidRPr="00980C61">
              <w:rPr>
                <w:sz w:val="16"/>
                <w:szCs w:val="16"/>
                <w:lang w:bidi="th-TH"/>
              </w:rPr>
              <w:t>Packtec, centro técnico de envasado</w:t>
            </w:r>
          </w:p>
          <w:p w:rsidR="008A591C" w:rsidRPr="00980C61" w:rsidRDefault="008A591C" w:rsidP="008A591C">
            <w:pPr>
              <w:numPr>
                <w:ilvl w:val="0"/>
                <w:numId w:val="68"/>
              </w:numPr>
              <w:rPr>
                <w:sz w:val="16"/>
                <w:szCs w:val="16"/>
                <w:lang w:bidi="th-TH"/>
              </w:rPr>
            </w:pPr>
            <w:r w:rsidRPr="00980C61">
              <w:rPr>
                <w:sz w:val="16"/>
                <w:szCs w:val="16"/>
                <w:lang w:bidi="th-TH"/>
              </w:rPr>
              <w:t>Parque tecnológico de Sidi Thabet (TST)</w:t>
            </w:r>
          </w:p>
          <w:p w:rsidR="008A591C" w:rsidRPr="00980C61" w:rsidRDefault="008A591C" w:rsidP="00DC1333">
            <w:pPr>
              <w:ind w:left="360"/>
              <w:rPr>
                <w:sz w:val="16"/>
                <w:szCs w:val="16"/>
                <w:lang w:bidi="th-TH"/>
              </w:rPr>
            </w:pPr>
          </w:p>
          <w:p w:rsidR="008A591C" w:rsidRPr="00980C61" w:rsidRDefault="008A591C" w:rsidP="00DC1333">
            <w:pPr>
              <w:rPr>
                <w:sz w:val="16"/>
                <w:szCs w:val="16"/>
                <w:lang w:bidi="th-TH"/>
              </w:rPr>
            </w:pPr>
            <w:r w:rsidRPr="00980C61">
              <w:rPr>
                <w:sz w:val="16"/>
                <w:szCs w:val="16"/>
                <w:lang w:bidi="th-TH"/>
              </w:rPr>
              <w:t>Según las respuestas de la encuesta, las siguientes universidades de Filipinas notificaron en 2014 que la formación y el asesoramiento de la OMPI les habían resultado “útiles” o “sumamente útiles” para reforzar su OTT:</w:t>
            </w:r>
          </w:p>
          <w:p w:rsidR="008A591C" w:rsidRPr="008A591C" w:rsidRDefault="008A591C" w:rsidP="00DC1333">
            <w:pPr>
              <w:rPr>
                <w:sz w:val="16"/>
                <w:szCs w:val="16"/>
                <w:lang w:val="en-US" w:bidi="th-TH"/>
              </w:rPr>
            </w:pPr>
            <w:r w:rsidRPr="008A591C">
              <w:rPr>
                <w:sz w:val="16"/>
                <w:szCs w:val="16"/>
                <w:lang w:val="en-US" w:bidi="th-TH"/>
              </w:rPr>
              <w:t xml:space="preserve">i) Universidad Politécnica de Filipinas;  ii) Oficina de Investigación de la </w:t>
            </w:r>
            <w:r w:rsidRPr="008A591C">
              <w:rPr>
                <w:i/>
                <w:sz w:val="16"/>
                <w:szCs w:val="16"/>
                <w:lang w:val="en-US" w:bidi="th-TH"/>
              </w:rPr>
              <w:t>Samar State University; iii) State University of Western Philippines</w:t>
            </w:r>
            <w:r w:rsidRPr="008A591C">
              <w:rPr>
                <w:sz w:val="16"/>
                <w:szCs w:val="16"/>
                <w:lang w:val="en-US" w:bidi="th-TH"/>
              </w:rPr>
              <w:t xml:space="preserve">, Facultad de Ingeniería;  iv) </w:t>
            </w:r>
            <w:r w:rsidRPr="008A591C">
              <w:rPr>
                <w:i/>
                <w:sz w:val="16"/>
                <w:szCs w:val="16"/>
                <w:lang w:val="en-US" w:bidi="th-TH"/>
              </w:rPr>
              <w:t>University of the Philippines</w:t>
            </w:r>
            <w:r w:rsidRPr="008A591C">
              <w:rPr>
                <w:sz w:val="16"/>
                <w:szCs w:val="16"/>
                <w:lang w:val="en-US" w:bidi="th-TH"/>
              </w:rPr>
              <w:t xml:space="preserve">;  v) </w:t>
            </w:r>
            <w:r w:rsidRPr="008A591C">
              <w:rPr>
                <w:i/>
                <w:sz w:val="16"/>
                <w:szCs w:val="16"/>
                <w:lang w:val="en-US" w:bidi="th-TH"/>
              </w:rPr>
              <w:t>University of Santo Tomas</w:t>
            </w:r>
            <w:r w:rsidRPr="008A591C">
              <w:rPr>
                <w:sz w:val="16"/>
                <w:szCs w:val="16"/>
                <w:lang w:val="en-US" w:bidi="th-TH"/>
              </w:rPr>
              <w:t xml:space="preserve">;  vi) </w:t>
            </w:r>
            <w:r w:rsidRPr="008A591C">
              <w:rPr>
                <w:i/>
                <w:sz w:val="16"/>
                <w:szCs w:val="16"/>
                <w:lang w:val="en-US" w:bidi="th-TH"/>
              </w:rPr>
              <w:t>University of Southeastern Philippines</w:t>
            </w:r>
          </w:p>
        </w:tc>
        <w:tc>
          <w:tcPr>
            <w:tcW w:w="522" w:type="pct"/>
            <w:tcMar>
              <w:top w:w="110" w:type="dxa"/>
            </w:tcMar>
          </w:tcPr>
          <w:p w:rsidR="008A591C" w:rsidRPr="00980C61" w:rsidRDefault="008A591C" w:rsidP="00DC1333">
            <w:pPr>
              <w:keepNext/>
              <w:keepLines/>
              <w:jc w:val="center"/>
              <w:rPr>
                <w:b/>
                <w:bCs/>
                <w:color w:val="808080"/>
                <w:sz w:val="16"/>
                <w:szCs w:val="16"/>
              </w:rPr>
            </w:pPr>
            <w:r w:rsidRPr="00980C61">
              <w:rPr>
                <w:b/>
                <w:bCs/>
                <w:color w:val="FF0000"/>
                <w:sz w:val="16"/>
                <w:szCs w:val="16"/>
              </w:rPr>
              <w:t>No logrado</w:t>
            </w:r>
          </w:p>
        </w:tc>
      </w:tr>
      <w:tr w:rsidR="008A591C" w:rsidRPr="00980C61" w:rsidTr="00DC1333">
        <w:trPr>
          <w:cantSplit/>
        </w:trPr>
        <w:tc>
          <w:tcPr>
            <w:tcW w:w="1120" w:type="pct"/>
          </w:tcPr>
          <w:p w:rsidR="008A591C" w:rsidRPr="00980C61" w:rsidRDefault="008A591C" w:rsidP="00DC1333">
            <w:pPr>
              <w:rPr>
                <w:sz w:val="16"/>
                <w:szCs w:val="16"/>
                <w:lang w:bidi="th-TH"/>
              </w:rPr>
            </w:pPr>
            <w:r w:rsidRPr="00980C61">
              <w:rPr>
                <w:sz w:val="16"/>
                <w:szCs w:val="16"/>
                <w:lang w:bidi="th-TH"/>
              </w:rPr>
              <w:lastRenderedPageBreak/>
              <w:t>Número de universidades y/o institutos de investigación que han establecido políticas de P.I.</w:t>
            </w:r>
          </w:p>
        </w:tc>
        <w:tc>
          <w:tcPr>
            <w:tcW w:w="895" w:type="pct"/>
            <w:shd w:val="clear" w:color="auto" w:fill="auto"/>
          </w:tcPr>
          <w:p w:rsidR="008A591C" w:rsidRPr="00980C61" w:rsidRDefault="008A591C" w:rsidP="00DC1333">
            <w:pPr>
              <w:rPr>
                <w:sz w:val="16"/>
                <w:szCs w:val="16"/>
                <w:lang w:bidi="th-TH"/>
              </w:rPr>
            </w:pPr>
            <w:r w:rsidRPr="00980C61">
              <w:rPr>
                <w:sz w:val="16"/>
                <w:szCs w:val="16"/>
                <w:lang w:bidi="th-TH"/>
              </w:rPr>
              <w:t>Por determinar</w:t>
            </w:r>
          </w:p>
        </w:tc>
        <w:tc>
          <w:tcPr>
            <w:tcW w:w="747" w:type="pct"/>
            <w:tcMar>
              <w:top w:w="110" w:type="dxa"/>
            </w:tcMar>
          </w:tcPr>
          <w:p w:rsidR="008A591C" w:rsidRPr="00980C61" w:rsidRDefault="008A591C" w:rsidP="00DC1333">
            <w:pPr>
              <w:rPr>
                <w:sz w:val="16"/>
                <w:szCs w:val="16"/>
                <w:lang w:bidi="th-TH"/>
              </w:rPr>
            </w:pPr>
            <w:r w:rsidRPr="00980C61">
              <w:rPr>
                <w:sz w:val="16"/>
                <w:szCs w:val="16"/>
                <w:lang w:bidi="th-TH"/>
              </w:rPr>
              <w:t>Otras 20 universidades</w:t>
            </w:r>
          </w:p>
        </w:tc>
        <w:tc>
          <w:tcPr>
            <w:tcW w:w="1716" w:type="pct"/>
            <w:shd w:val="clear" w:color="auto" w:fill="FFFFFF"/>
            <w:tcMar>
              <w:top w:w="110" w:type="dxa"/>
            </w:tcMar>
          </w:tcPr>
          <w:p w:rsidR="008A591C" w:rsidRPr="00980C61" w:rsidRDefault="008A591C" w:rsidP="00DC1333">
            <w:pPr>
              <w:rPr>
                <w:sz w:val="16"/>
                <w:szCs w:val="16"/>
              </w:rPr>
            </w:pPr>
            <w:r w:rsidRPr="00980C61">
              <w:rPr>
                <w:sz w:val="16"/>
                <w:szCs w:val="16"/>
              </w:rPr>
              <w:t>Se establecieron políticas de P.I. en 436 universidades:</w:t>
            </w:r>
          </w:p>
          <w:p w:rsidR="008A591C" w:rsidRPr="00980C61" w:rsidRDefault="008A591C" w:rsidP="008A591C">
            <w:pPr>
              <w:pStyle w:val="ListParagraph"/>
              <w:numPr>
                <w:ilvl w:val="0"/>
                <w:numId w:val="70"/>
              </w:numPr>
              <w:rPr>
                <w:rFonts w:cs="Arial"/>
                <w:sz w:val="16"/>
                <w:szCs w:val="16"/>
                <w:lang w:val="es-ES"/>
              </w:rPr>
            </w:pPr>
            <w:r w:rsidRPr="00980C61">
              <w:rPr>
                <w:rFonts w:cs="Arial"/>
                <w:sz w:val="16"/>
                <w:szCs w:val="16"/>
                <w:lang w:val="es-ES"/>
              </w:rPr>
              <w:t>Polonia (434) (como consecuencia de una modificación de la ley en octubre de 2014);</w:t>
            </w:r>
          </w:p>
          <w:p w:rsidR="008A591C" w:rsidRPr="00980C61" w:rsidRDefault="008A591C" w:rsidP="008A591C">
            <w:pPr>
              <w:pStyle w:val="ListParagraph"/>
              <w:numPr>
                <w:ilvl w:val="0"/>
                <w:numId w:val="70"/>
              </w:numPr>
              <w:rPr>
                <w:rFonts w:cs="Arial"/>
                <w:sz w:val="16"/>
                <w:szCs w:val="16"/>
                <w:lang w:val="es-ES"/>
              </w:rPr>
            </w:pPr>
            <w:r w:rsidRPr="00980C61">
              <w:rPr>
                <w:rFonts w:cs="Arial"/>
                <w:sz w:val="16"/>
                <w:szCs w:val="16"/>
                <w:lang w:val="es-ES"/>
              </w:rPr>
              <w:t>Federación de Rusia (1) y</w:t>
            </w:r>
          </w:p>
          <w:p w:rsidR="008A591C" w:rsidRDefault="008A591C" w:rsidP="008A591C">
            <w:pPr>
              <w:pStyle w:val="ListParagraph"/>
              <w:numPr>
                <w:ilvl w:val="0"/>
                <w:numId w:val="66"/>
              </w:numPr>
              <w:rPr>
                <w:rFonts w:cs="Arial"/>
                <w:sz w:val="16"/>
                <w:szCs w:val="16"/>
                <w:lang w:val="es-ES"/>
              </w:rPr>
            </w:pPr>
            <w:r w:rsidRPr="00980C61">
              <w:rPr>
                <w:rFonts w:cs="Arial"/>
                <w:sz w:val="16"/>
                <w:szCs w:val="16"/>
                <w:lang w:val="es-ES"/>
              </w:rPr>
              <w:t>Uzbekistán (1)</w:t>
            </w:r>
            <w:r w:rsidRPr="00980C61">
              <w:rPr>
                <w:rStyle w:val="FootnoteReference"/>
                <w:rFonts w:cs="Arial"/>
                <w:sz w:val="16"/>
                <w:szCs w:val="16"/>
                <w:lang w:val="es-ES"/>
              </w:rPr>
              <w:footnoteReference w:id="81"/>
            </w:r>
          </w:p>
          <w:p w:rsidR="00D62430" w:rsidRPr="00980C61" w:rsidRDefault="00D62430" w:rsidP="00D62430">
            <w:pPr>
              <w:pStyle w:val="ListParagraph"/>
              <w:ind w:left="360"/>
              <w:rPr>
                <w:rFonts w:cs="Arial"/>
                <w:sz w:val="16"/>
                <w:szCs w:val="16"/>
                <w:lang w:val="es-ES"/>
              </w:rPr>
            </w:pPr>
          </w:p>
        </w:tc>
        <w:tc>
          <w:tcPr>
            <w:tcW w:w="522" w:type="pct"/>
            <w:tcMar>
              <w:top w:w="110" w:type="dxa"/>
            </w:tcMar>
          </w:tcPr>
          <w:p w:rsidR="008A591C" w:rsidRPr="00980C61" w:rsidRDefault="008A591C" w:rsidP="002E6163">
            <w:pPr>
              <w:keepNext/>
              <w:keepLines/>
              <w:ind w:left="-109"/>
              <w:jc w:val="center"/>
              <w:rPr>
                <w:rFonts w:asciiTheme="minorHAnsi" w:hAnsiTheme="minorHAnsi"/>
                <w:b/>
                <w:bCs/>
                <w:color w:val="808080"/>
                <w:sz w:val="16"/>
                <w:szCs w:val="16"/>
              </w:rPr>
            </w:pPr>
            <w:r w:rsidRPr="00980C61">
              <w:rPr>
                <w:rFonts w:asciiTheme="minorHAnsi" w:hAnsiTheme="minorHAnsi"/>
                <w:b/>
                <w:bCs/>
                <w:color w:val="00B050"/>
                <w:sz w:val="16"/>
                <w:szCs w:val="16"/>
              </w:rPr>
              <w:t>Plenamente logrado</w:t>
            </w:r>
          </w:p>
        </w:tc>
      </w:tr>
    </w:tbl>
    <w:p w:rsidR="008A591C" w:rsidRPr="00980C61" w:rsidRDefault="008A591C" w:rsidP="00DC1333">
      <w:pPr>
        <w:rPr>
          <w:color w:val="000000"/>
          <w:szCs w:val="22"/>
        </w:rPr>
      </w:pPr>
    </w:p>
    <w:p w:rsidR="008A591C" w:rsidRPr="00980C61" w:rsidRDefault="008A591C" w:rsidP="00DC1333">
      <w:pPr>
        <w:rPr>
          <w:color w:val="000000"/>
          <w:szCs w:val="22"/>
        </w:rPr>
      </w:pPr>
    </w:p>
    <w:p w:rsidR="008A591C" w:rsidRPr="00980C61" w:rsidRDefault="008F7CBE" w:rsidP="00DC1333">
      <w:pPr>
        <w:keepNext/>
        <w:keepLines/>
        <w:rPr>
          <w:color w:val="000000"/>
          <w:szCs w:val="22"/>
        </w:rPr>
      </w:pPr>
      <w:r w:rsidRPr="008F7CBE">
        <w:rPr>
          <w:color w:val="000000"/>
          <w:sz w:val="20"/>
          <w:szCs w:val="22"/>
        </w:rPr>
        <w:t>INFORMACIÓN SOBRE LOS RIESGOS PLANTEADOS EN EL BIENIO</w:t>
      </w:r>
    </w:p>
    <w:p w:rsidR="008A591C" w:rsidRPr="00980C61" w:rsidRDefault="008A591C" w:rsidP="00DC1333">
      <w:pPr>
        <w:keepNext/>
        <w:keepLines/>
      </w:pPr>
    </w:p>
    <w:tbl>
      <w:tblPr>
        <w:tblW w:w="4995"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368"/>
        <w:gridCol w:w="2366"/>
        <w:gridCol w:w="2366"/>
        <w:gridCol w:w="2364"/>
      </w:tblGrid>
      <w:tr w:rsidR="008A591C" w:rsidRPr="002661F5" w:rsidTr="00DC1333">
        <w:trPr>
          <w:trHeight w:val="738"/>
        </w:trPr>
        <w:tc>
          <w:tcPr>
            <w:tcW w:w="1251"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8A591C" w:rsidRPr="00980C61" w:rsidRDefault="008A591C" w:rsidP="00DC1333">
            <w:pPr>
              <w:keepNext/>
              <w:keepLines/>
              <w:jc w:val="center"/>
              <w:rPr>
                <w:b/>
                <w:sz w:val="18"/>
                <w:szCs w:val="18"/>
              </w:rPr>
            </w:pPr>
            <w:r w:rsidRPr="00980C61">
              <w:rPr>
                <w:b/>
                <w:iCs/>
                <w:sz w:val="18"/>
                <w:szCs w:val="18"/>
              </w:rPr>
              <w:t>Riesgos en el logro de los resultados del programa</w:t>
            </w:r>
          </w:p>
        </w:tc>
        <w:tc>
          <w:tcPr>
            <w:tcW w:w="1250" w:type="pct"/>
            <w:tcBorders>
              <w:top w:val="single" w:sz="8" w:space="0" w:color="auto"/>
              <w:bottom w:val="single" w:sz="8" w:space="0" w:color="auto"/>
            </w:tcBorders>
            <w:shd w:val="clear" w:color="auto" w:fill="C6D9F1" w:themeFill="text2" w:themeFillTint="33"/>
            <w:tcMar>
              <w:top w:w="0" w:type="dxa"/>
              <w:left w:w="108" w:type="dxa"/>
              <w:bottom w:w="0" w:type="dxa"/>
              <w:right w:w="108" w:type="dxa"/>
            </w:tcMar>
            <w:vAlign w:val="center"/>
            <w:hideMark/>
          </w:tcPr>
          <w:p w:rsidR="008A591C" w:rsidRPr="00980C61" w:rsidRDefault="008A591C" w:rsidP="00DC1333">
            <w:pPr>
              <w:keepNext/>
              <w:keepLines/>
              <w:jc w:val="center"/>
              <w:rPr>
                <w:b/>
                <w:sz w:val="18"/>
                <w:szCs w:val="18"/>
              </w:rPr>
            </w:pPr>
            <w:r w:rsidRPr="00980C61">
              <w:rPr>
                <w:b/>
                <w:iCs/>
                <w:sz w:val="18"/>
                <w:szCs w:val="18"/>
              </w:rPr>
              <w:t>Planes de mitigación ejecutados o en ejecución</w:t>
            </w:r>
          </w:p>
        </w:tc>
        <w:tc>
          <w:tcPr>
            <w:tcW w:w="1250" w:type="pct"/>
            <w:tcBorders>
              <w:top w:val="single" w:sz="8" w:space="0" w:color="auto"/>
              <w:bottom w:val="single" w:sz="8" w:space="0" w:color="auto"/>
            </w:tcBorders>
            <w:shd w:val="clear" w:color="auto" w:fill="C6D9F1" w:themeFill="text2" w:themeFillTint="33"/>
            <w:vAlign w:val="center"/>
          </w:tcPr>
          <w:p w:rsidR="008A591C" w:rsidRPr="00980C61" w:rsidRDefault="008A591C" w:rsidP="00DC1333">
            <w:pPr>
              <w:keepNext/>
              <w:keepLines/>
              <w:jc w:val="center"/>
              <w:rPr>
                <w:b/>
                <w:bCs/>
                <w:sz w:val="18"/>
                <w:szCs w:val="18"/>
              </w:rPr>
            </w:pPr>
            <w:r w:rsidRPr="00980C61">
              <w:rPr>
                <w:b/>
                <w:bCs/>
                <w:sz w:val="18"/>
                <w:szCs w:val="18"/>
              </w:rPr>
              <w:t>Evolución de los riesgos y estrategias de mitigación durante el bienio</w:t>
            </w:r>
          </w:p>
        </w:tc>
        <w:tc>
          <w:tcPr>
            <w:tcW w:w="1249" w:type="pct"/>
            <w:tcBorders>
              <w:top w:val="single" w:sz="8" w:space="0" w:color="auto"/>
              <w:bottom w:val="single" w:sz="8" w:space="0" w:color="auto"/>
            </w:tcBorders>
            <w:shd w:val="clear" w:color="auto" w:fill="C6D9F1" w:themeFill="text2" w:themeFillTint="33"/>
            <w:vAlign w:val="center"/>
          </w:tcPr>
          <w:p w:rsidR="008A591C" w:rsidRPr="00980C61" w:rsidRDefault="008A591C" w:rsidP="00DC1333">
            <w:pPr>
              <w:keepNext/>
              <w:keepLines/>
              <w:jc w:val="center"/>
              <w:rPr>
                <w:b/>
                <w:bCs/>
                <w:sz w:val="18"/>
                <w:szCs w:val="18"/>
              </w:rPr>
            </w:pPr>
            <w:r w:rsidRPr="00980C61">
              <w:rPr>
                <w:b/>
                <w:bCs/>
                <w:sz w:val="18"/>
                <w:szCs w:val="18"/>
              </w:rPr>
              <w:t>Incidencia en el rendimiento del programa</w:t>
            </w:r>
          </w:p>
        </w:tc>
      </w:tr>
      <w:tr w:rsidR="008A591C" w:rsidRPr="002661F5" w:rsidTr="00DC1333">
        <w:trPr>
          <w:trHeight w:val="900"/>
        </w:trPr>
        <w:tc>
          <w:tcPr>
            <w:tcW w:w="1251" w:type="pct"/>
            <w:tcBorders>
              <w:top w:val="single" w:sz="8" w:space="0" w:color="auto"/>
            </w:tcBorders>
            <w:shd w:val="clear" w:color="auto" w:fill="auto"/>
            <w:tcMar>
              <w:top w:w="57" w:type="dxa"/>
              <w:left w:w="108" w:type="dxa"/>
              <w:bottom w:w="0" w:type="dxa"/>
              <w:right w:w="108" w:type="dxa"/>
            </w:tcMar>
          </w:tcPr>
          <w:p w:rsidR="008A591C" w:rsidRPr="000707E2" w:rsidRDefault="008A591C" w:rsidP="00DC1333">
            <w:pPr>
              <w:keepNext/>
              <w:keepLines/>
              <w:rPr>
                <w:rFonts w:eastAsia="Calibri"/>
                <w:sz w:val="16"/>
                <w:szCs w:val="16"/>
                <w:highlight w:val="yellow"/>
              </w:rPr>
            </w:pPr>
            <w:r w:rsidRPr="008A77DA">
              <w:rPr>
                <w:sz w:val="16"/>
                <w:szCs w:val="16"/>
              </w:rPr>
              <w:t>En tanto que riesgo a largo plazo, las necesidades de apoyo a las pymes en las regiones emergentes y en desarrollo pueden cambiar en función de que vayan madurando los sistemas nacionales de P.I.</w:t>
            </w:r>
            <w:r>
              <w:rPr>
                <w:sz w:val="16"/>
                <w:szCs w:val="16"/>
              </w:rPr>
              <w:t xml:space="preserve">  </w:t>
            </w:r>
            <w:r w:rsidRPr="008A77DA">
              <w:rPr>
                <w:sz w:val="16"/>
                <w:szCs w:val="16"/>
              </w:rPr>
              <w:t>Si no se adapta la creación de contenido a ese cambio, poco provecho sacarán los beneficiarios de las actividades de fortalecimiento de capacidades.</w:t>
            </w:r>
            <w:r w:rsidRPr="008A77DA">
              <w:rPr>
                <w:rFonts w:eastAsia="Calibri"/>
                <w:sz w:val="16"/>
                <w:szCs w:val="16"/>
                <w:highlight w:val="yellow"/>
              </w:rPr>
              <w:t xml:space="preserve"> </w:t>
            </w:r>
          </w:p>
        </w:tc>
        <w:tc>
          <w:tcPr>
            <w:tcW w:w="1250" w:type="pct"/>
            <w:tcBorders>
              <w:top w:val="single" w:sz="8" w:space="0" w:color="auto"/>
            </w:tcBorders>
            <w:shd w:val="clear" w:color="auto" w:fill="auto"/>
            <w:tcMar>
              <w:top w:w="57" w:type="dxa"/>
              <w:left w:w="108" w:type="dxa"/>
              <w:bottom w:w="0" w:type="dxa"/>
              <w:right w:w="108" w:type="dxa"/>
            </w:tcMar>
          </w:tcPr>
          <w:p w:rsidR="008A591C" w:rsidRPr="000D01C5" w:rsidRDefault="008A591C" w:rsidP="00DC1333">
            <w:pPr>
              <w:keepNext/>
              <w:keepLines/>
              <w:rPr>
                <w:rFonts w:eastAsia="Calibri"/>
                <w:sz w:val="16"/>
                <w:szCs w:val="16"/>
              </w:rPr>
            </w:pPr>
            <w:r w:rsidRPr="000D01C5">
              <w:rPr>
                <w:sz w:val="16"/>
                <w:szCs w:val="16"/>
              </w:rPr>
              <w:t>Estrecha colaboración con los programas 9 y 10, especialmente, que conocen las características específicas de sus regiones, a fin de que el contenido que se elabore siga siendo pertinente para las necesidades regionales concretas.</w:t>
            </w:r>
          </w:p>
        </w:tc>
        <w:tc>
          <w:tcPr>
            <w:tcW w:w="1250" w:type="pct"/>
            <w:tcBorders>
              <w:top w:val="single" w:sz="8" w:space="0" w:color="auto"/>
            </w:tcBorders>
            <w:tcMar>
              <w:top w:w="57" w:type="dxa"/>
            </w:tcMar>
          </w:tcPr>
          <w:p w:rsidR="008A591C" w:rsidRPr="000D01C5" w:rsidRDefault="008A591C" w:rsidP="00DC1333">
            <w:pPr>
              <w:keepNext/>
              <w:keepLines/>
              <w:rPr>
                <w:sz w:val="16"/>
                <w:szCs w:val="16"/>
              </w:rPr>
            </w:pPr>
            <w:r w:rsidRPr="000D01C5">
              <w:rPr>
                <w:sz w:val="16"/>
                <w:szCs w:val="16"/>
              </w:rPr>
              <w:t>El fomento de la cooperación interna, especialmente con los programas 9 y 10, y la cooperación externa con los Estados miembros y otras organizaciones internacionales ha contribuido a que el contenido se adapte a los destinatarios y sea pertinentes para las necesidades de los sectores interesados.</w:t>
            </w:r>
          </w:p>
        </w:tc>
        <w:tc>
          <w:tcPr>
            <w:tcW w:w="1249" w:type="pct"/>
            <w:tcBorders>
              <w:top w:val="single" w:sz="8" w:space="0" w:color="auto"/>
            </w:tcBorders>
            <w:tcMar>
              <w:top w:w="57" w:type="dxa"/>
            </w:tcMar>
          </w:tcPr>
          <w:p w:rsidR="008A591C" w:rsidRPr="000707E2" w:rsidRDefault="008A591C" w:rsidP="00DC1333">
            <w:pPr>
              <w:keepNext/>
              <w:keepLines/>
              <w:rPr>
                <w:sz w:val="16"/>
                <w:szCs w:val="16"/>
                <w:highlight w:val="yellow"/>
              </w:rPr>
            </w:pPr>
            <w:r>
              <w:rPr>
                <w:sz w:val="16"/>
                <w:szCs w:val="16"/>
              </w:rPr>
              <w:t xml:space="preserve">No hubo </w:t>
            </w:r>
            <w:r w:rsidRPr="008A77DA">
              <w:rPr>
                <w:sz w:val="16"/>
                <w:szCs w:val="16"/>
              </w:rPr>
              <w:t>una incidencia sustancial</w:t>
            </w:r>
            <w:r>
              <w:rPr>
                <w:sz w:val="16"/>
                <w:szCs w:val="16"/>
              </w:rPr>
              <w:t xml:space="preserve"> en el rendimiento del programa.</w:t>
            </w:r>
          </w:p>
        </w:tc>
      </w:tr>
      <w:tr w:rsidR="008A591C" w:rsidRPr="002661F5" w:rsidTr="00DC1333">
        <w:trPr>
          <w:trHeight w:val="900"/>
        </w:trPr>
        <w:tc>
          <w:tcPr>
            <w:tcW w:w="1251" w:type="pct"/>
            <w:tcMar>
              <w:top w:w="57" w:type="dxa"/>
              <w:left w:w="108" w:type="dxa"/>
              <w:bottom w:w="0" w:type="dxa"/>
              <w:right w:w="108" w:type="dxa"/>
            </w:tcMar>
          </w:tcPr>
          <w:p w:rsidR="008A591C" w:rsidRPr="000707E2" w:rsidRDefault="008A591C" w:rsidP="00DC1333">
            <w:pPr>
              <w:keepNext/>
              <w:keepLines/>
              <w:rPr>
                <w:rFonts w:eastAsia="Calibri"/>
                <w:sz w:val="16"/>
                <w:szCs w:val="16"/>
                <w:highlight w:val="yellow"/>
              </w:rPr>
            </w:pPr>
            <w:r w:rsidRPr="008A77DA">
              <w:rPr>
                <w:sz w:val="16"/>
                <w:szCs w:val="16"/>
              </w:rPr>
              <w:t>Las pymes de algunos países podrán seguir en total desconocimiento de las ventajas que supone la utilización del sistema de P.I., perdiendo así toda posibilidad de mejorar su competitividad y de generar mayores ingresos.</w:t>
            </w:r>
          </w:p>
        </w:tc>
        <w:tc>
          <w:tcPr>
            <w:tcW w:w="1250" w:type="pct"/>
            <w:tcMar>
              <w:top w:w="57" w:type="dxa"/>
              <w:left w:w="108" w:type="dxa"/>
              <w:bottom w:w="0" w:type="dxa"/>
              <w:right w:w="108" w:type="dxa"/>
            </w:tcMar>
          </w:tcPr>
          <w:p w:rsidR="008A591C" w:rsidRDefault="008A591C" w:rsidP="00DC1333">
            <w:pPr>
              <w:keepNext/>
              <w:keepLines/>
              <w:rPr>
                <w:sz w:val="16"/>
                <w:szCs w:val="16"/>
                <w:highlight w:val="yellow"/>
              </w:rPr>
            </w:pPr>
            <w:r w:rsidRPr="000D01C5">
              <w:rPr>
                <w:sz w:val="16"/>
                <w:szCs w:val="16"/>
              </w:rPr>
              <w:t xml:space="preserve">Trabajar en dos líneas paralelas, por un lado, haciendo hincapié en sensibilizar a las pymes en torno a las ventajas que la utilización del sistema de P.I. supone para obtener mayores beneficios económicos, gracias a una elevada competitividad, y, por otro, </w:t>
            </w:r>
            <w:r>
              <w:rPr>
                <w:sz w:val="16"/>
                <w:szCs w:val="16"/>
              </w:rPr>
              <w:t>alentando</w:t>
            </w:r>
            <w:r w:rsidRPr="000D01C5">
              <w:rPr>
                <w:sz w:val="16"/>
                <w:szCs w:val="16"/>
              </w:rPr>
              <w:t xml:space="preserve"> a los gobiernos nacionales a crear estructuras de apoyo a las pymes o mejorar las ya existentes.</w:t>
            </w:r>
          </w:p>
          <w:p w:rsidR="008A591C" w:rsidRPr="000707E2" w:rsidRDefault="008A591C" w:rsidP="00DC1333">
            <w:pPr>
              <w:keepNext/>
              <w:keepLines/>
              <w:rPr>
                <w:rFonts w:eastAsia="Calibri"/>
                <w:sz w:val="16"/>
                <w:szCs w:val="16"/>
                <w:highlight w:val="yellow"/>
              </w:rPr>
            </w:pPr>
          </w:p>
        </w:tc>
        <w:tc>
          <w:tcPr>
            <w:tcW w:w="1250" w:type="pct"/>
            <w:tcMar>
              <w:top w:w="57" w:type="dxa"/>
            </w:tcMar>
          </w:tcPr>
          <w:p w:rsidR="008A591C" w:rsidRPr="000707E2" w:rsidRDefault="008A591C" w:rsidP="00DC1333">
            <w:pPr>
              <w:keepNext/>
              <w:keepLines/>
              <w:rPr>
                <w:sz w:val="16"/>
                <w:szCs w:val="16"/>
                <w:highlight w:val="yellow"/>
              </w:rPr>
            </w:pPr>
            <w:r w:rsidRPr="000D01C5">
              <w:rPr>
                <w:sz w:val="16"/>
                <w:szCs w:val="16"/>
              </w:rPr>
              <w:t>Este riesgo es constante. La labor de mitigación ha dado lugar a que se fomente el interés y la participación de los gobiernos locales en el establecimiento de programas de formación y actividades de sensibilización acerca de la P.I. para las pymes.</w:t>
            </w:r>
          </w:p>
        </w:tc>
        <w:tc>
          <w:tcPr>
            <w:tcW w:w="1249" w:type="pct"/>
            <w:tcMar>
              <w:top w:w="57" w:type="dxa"/>
            </w:tcMar>
          </w:tcPr>
          <w:p w:rsidR="008A591C" w:rsidRPr="000707E2" w:rsidRDefault="008A591C" w:rsidP="00DC1333">
            <w:pPr>
              <w:keepNext/>
              <w:keepLines/>
              <w:rPr>
                <w:sz w:val="16"/>
                <w:szCs w:val="16"/>
                <w:highlight w:val="yellow"/>
              </w:rPr>
            </w:pPr>
            <w:r w:rsidRPr="008A77DA">
              <w:rPr>
                <w:sz w:val="16"/>
                <w:szCs w:val="16"/>
              </w:rPr>
              <w:t>No hubo una incidencia sustancial en el rendimiento del programa.</w:t>
            </w:r>
          </w:p>
        </w:tc>
      </w:tr>
    </w:tbl>
    <w:p w:rsidR="008A591C" w:rsidRPr="00980C61" w:rsidRDefault="008A591C" w:rsidP="00DC1333">
      <w:pPr>
        <w:rPr>
          <w:color w:val="000000"/>
          <w:sz w:val="18"/>
        </w:rPr>
      </w:pPr>
    </w:p>
    <w:p w:rsidR="008A591C" w:rsidRPr="00980C61" w:rsidRDefault="008A591C" w:rsidP="00DC1333">
      <w:pPr>
        <w:rPr>
          <w:color w:val="000000"/>
          <w:sz w:val="18"/>
        </w:rPr>
      </w:pPr>
    </w:p>
    <w:p w:rsidR="008A591C" w:rsidRPr="00980C61" w:rsidRDefault="00403D2C" w:rsidP="00D62430">
      <w:pPr>
        <w:keepNext/>
        <w:rPr>
          <w:b/>
          <w:color w:val="000000"/>
        </w:rPr>
      </w:pPr>
      <w:r w:rsidRPr="00403D2C">
        <w:rPr>
          <w:color w:val="000000"/>
          <w:sz w:val="20"/>
        </w:rPr>
        <w:lastRenderedPageBreak/>
        <w:t>UTILIZACIÓN DE LOS RECURSOS</w:t>
      </w:r>
    </w:p>
    <w:p w:rsidR="008A591C" w:rsidRPr="00980C61" w:rsidRDefault="008A591C" w:rsidP="00D62430">
      <w:pPr>
        <w:keepNext/>
        <w:rPr>
          <w:sz w:val="16"/>
        </w:rPr>
      </w:pPr>
    </w:p>
    <w:p w:rsidR="008A591C" w:rsidRPr="00980C61" w:rsidRDefault="008A591C" w:rsidP="00D62430">
      <w:pPr>
        <w:pStyle w:val="NormalWeb"/>
        <w:keepNext/>
        <w:spacing w:before="0" w:beforeAutospacing="0" w:after="0" w:afterAutospacing="0"/>
        <w:ind w:left="360"/>
        <w:jc w:val="center"/>
        <w:rPr>
          <w:sz w:val="20"/>
          <w:szCs w:val="20"/>
          <w:lang w:val="es-ES"/>
        </w:rPr>
      </w:pPr>
      <w:r w:rsidRPr="00980C61">
        <w:rPr>
          <w:sz w:val="20"/>
          <w:szCs w:val="20"/>
          <w:lang w:val="es-ES"/>
        </w:rPr>
        <w:t>Presupuesto y gastos reales (por resultado)</w:t>
      </w:r>
    </w:p>
    <w:p w:rsidR="008A591C" w:rsidRPr="00980C61" w:rsidRDefault="008A591C" w:rsidP="00D62430">
      <w:pPr>
        <w:pStyle w:val="NormalWeb"/>
        <w:keepNext/>
        <w:spacing w:before="0" w:beforeAutospacing="0" w:after="0" w:afterAutospacing="0"/>
        <w:ind w:left="360"/>
        <w:jc w:val="center"/>
        <w:rPr>
          <w:i/>
          <w:iCs/>
          <w:sz w:val="20"/>
          <w:szCs w:val="20"/>
          <w:lang w:val="es-ES"/>
        </w:rPr>
      </w:pPr>
      <w:r w:rsidRPr="00980C61">
        <w:rPr>
          <w:i/>
          <w:iCs/>
          <w:sz w:val="20"/>
          <w:szCs w:val="20"/>
          <w:lang w:val="es-ES"/>
        </w:rPr>
        <w:t>(</w:t>
      </w:r>
      <w:proofErr w:type="gramStart"/>
      <w:r w:rsidRPr="00980C61">
        <w:rPr>
          <w:i/>
          <w:iCs/>
          <w:sz w:val="20"/>
          <w:szCs w:val="20"/>
          <w:lang w:val="es-ES"/>
        </w:rPr>
        <w:t>en</w:t>
      </w:r>
      <w:proofErr w:type="gramEnd"/>
      <w:r w:rsidRPr="00980C61">
        <w:rPr>
          <w:i/>
          <w:iCs/>
          <w:sz w:val="20"/>
          <w:szCs w:val="20"/>
          <w:lang w:val="es-ES"/>
        </w:rPr>
        <w:t xml:space="preserve"> miles de francos suizos)</w:t>
      </w:r>
    </w:p>
    <w:p w:rsidR="008A591C" w:rsidRPr="00980C61" w:rsidRDefault="008A591C" w:rsidP="00D62430">
      <w:pPr>
        <w:pStyle w:val="NormalWeb"/>
        <w:keepNext/>
        <w:spacing w:before="0" w:beforeAutospacing="0" w:after="0" w:afterAutospacing="0"/>
        <w:jc w:val="center"/>
        <w:rPr>
          <w:sz w:val="16"/>
          <w:szCs w:val="20"/>
          <w:lang w:val="es-ES"/>
        </w:rPr>
      </w:pPr>
    </w:p>
    <w:p w:rsidR="008A591C" w:rsidRPr="00980C61" w:rsidRDefault="008A591C" w:rsidP="00D62430">
      <w:pPr>
        <w:keepNext/>
        <w:jc w:val="center"/>
      </w:pPr>
      <w:r>
        <w:rPr>
          <w:noProof/>
          <w:lang w:val="en-US" w:eastAsia="en-US"/>
        </w:rPr>
        <w:drawing>
          <wp:inline distT="0" distB="0" distL="0" distR="0" wp14:anchorId="2DA09B48" wp14:editId="0571EF54">
            <wp:extent cx="5321339" cy="296167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26754" cy="2964686"/>
                    </a:xfrm>
                    <a:prstGeom prst="rect">
                      <a:avLst/>
                    </a:prstGeom>
                    <a:noFill/>
                    <a:ln>
                      <a:noFill/>
                    </a:ln>
                  </pic:spPr>
                </pic:pic>
              </a:graphicData>
            </a:graphic>
          </wp:inline>
        </w:drawing>
      </w:r>
    </w:p>
    <w:p w:rsidR="008A591C" w:rsidRPr="00C759D0" w:rsidRDefault="008A591C" w:rsidP="00DC1333">
      <w:pPr>
        <w:jc w:val="center"/>
        <w:rPr>
          <w:sz w:val="20"/>
        </w:rPr>
      </w:pPr>
    </w:p>
    <w:p w:rsidR="008A591C" w:rsidRPr="00C759D0" w:rsidRDefault="008A591C" w:rsidP="00DC1333">
      <w:pPr>
        <w:jc w:val="center"/>
        <w:rPr>
          <w:sz w:val="20"/>
        </w:rPr>
      </w:pPr>
    </w:p>
    <w:p w:rsidR="008A591C" w:rsidRPr="00C759D0" w:rsidRDefault="008A591C" w:rsidP="00DC1333">
      <w:pPr>
        <w:jc w:val="center"/>
        <w:rPr>
          <w:sz w:val="20"/>
        </w:rPr>
      </w:pPr>
      <w:r w:rsidRPr="00C759D0">
        <w:rPr>
          <w:sz w:val="20"/>
        </w:rPr>
        <w:t>Presupuesto y gastos reales (de personal y no relativos a personal)</w:t>
      </w:r>
    </w:p>
    <w:p w:rsidR="008A591C" w:rsidRPr="00C759D0" w:rsidRDefault="008A591C" w:rsidP="00DC1333">
      <w:pPr>
        <w:jc w:val="center"/>
        <w:rPr>
          <w:i/>
          <w:sz w:val="20"/>
        </w:rPr>
      </w:pPr>
      <w:r w:rsidRPr="00C759D0">
        <w:rPr>
          <w:i/>
          <w:sz w:val="20"/>
        </w:rPr>
        <w:t>(</w:t>
      </w:r>
      <w:proofErr w:type="gramStart"/>
      <w:r w:rsidRPr="00C759D0">
        <w:rPr>
          <w:i/>
          <w:sz w:val="20"/>
        </w:rPr>
        <w:t>en</w:t>
      </w:r>
      <w:proofErr w:type="gramEnd"/>
      <w:r w:rsidRPr="00C759D0">
        <w:rPr>
          <w:i/>
          <w:sz w:val="20"/>
        </w:rPr>
        <w:t xml:space="preserve"> miles de francos suizos)</w:t>
      </w:r>
    </w:p>
    <w:p w:rsidR="008A591C" w:rsidRPr="00980C61" w:rsidRDefault="008A591C" w:rsidP="00DC1333">
      <w:pPr>
        <w:pStyle w:val="NormalWeb"/>
        <w:keepNext/>
        <w:keepLines/>
        <w:spacing w:before="0" w:beforeAutospacing="0" w:after="0" w:afterAutospacing="0"/>
        <w:jc w:val="center"/>
        <w:rPr>
          <w:lang w:val="es-ES"/>
        </w:rPr>
      </w:pPr>
    </w:p>
    <w:p w:rsidR="008A591C" w:rsidRPr="00980C61" w:rsidRDefault="008A591C" w:rsidP="00DC1333">
      <w:pPr>
        <w:widowControl w:val="0"/>
        <w:autoSpaceDE w:val="0"/>
        <w:autoSpaceDN w:val="0"/>
        <w:adjustRightInd w:val="0"/>
        <w:jc w:val="center"/>
      </w:pPr>
      <w:r>
        <w:rPr>
          <w:noProof/>
          <w:lang w:val="en-US" w:eastAsia="en-US"/>
        </w:rPr>
        <w:drawing>
          <wp:inline distT="0" distB="0" distL="0" distR="0" wp14:anchorId="7EF718A4" wp14:editId="68795572">
            <wp:extent cx="5667154" cy="105422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66668" cy="1054130"/>
                    </a:xfrm>
                    <a:prstGeom prst="rect">
                      <a:avLst/>
                    </a:prstGeom>
                    <a:noFill/>
                    <a:ln>
                      <a:noFill/>
                    </a:ln>
                  </pic:spPr>
                </pic:pic>
              </a:graphicData>
            </a:graphic>
          </wp:inline>
        </w:drawing>
      </w:r>
    </w:p>
    <w:p w:rsidR="008A591C" w:rsidRPr="00980C61" w:rsidRDefault="008A591C" w:rsidP="00DC1333"/>
    <w:p w:rsidR="008A591C" w:rsidRPr="00980C61" w:rsidRDefault="008A591C" w:rsidP="00DC1333"/>
    <w:p w:rsidR="008A591C" w:rsidRPr="00980C61" w:rsidRDefault="00403D2C" w:rsidP="00E34ABF">
      <w:pPr>
        <w:numPr>
          <w:ilvl w:val="0"/>
          <w:numId w:val="69"/>
        </w:numPr>
        <w:tabs>
          <w:tab w:val="left" w:pos="709"/>
        </w:tabs>
        <w:ind w:left="0" w:firstLine="0"/>
        <w:rPr>
          <w:u w:val="single"/>
        </w:rPr>
      </w:pPr>
      <w:r w:rsidRPr="00403D2C">
        <w:rPr>
          <w:sz w:val="20"/>
          <w:u w:val="single"/>
        </w:rPr>
        <w:t>Presupuesto final de 2014/15 tras las transferencias</w:t>
      </w:r>
    </w:p>
    <w:p w:rsidR="008A591C" w:rsidRPr="00980C61" w:rsidRDefault="008A591C" w:rsidP="00E34ABF">
      <w:pPr>
        <w:tabs>
          <w:tab w:val="left" w:pos="709"/>
        </w:tabs>
        <w:rPr>
          <w:u w:val="single"/>
        </w:rPr>
      </w:pPr>
    </w:p>
    <w:p w:rsidR="008A591C" w:rsidRPr="000707E2" w:rsidRDefault="008A591C" w:rsidP="00E34ABF">
      <w:pPr>
        <w:pStyle w:val="ListParagraph"/>
        <w:numPr>
          <w:ilvl w:val="0"/>
          <w:numId w:val="67"/>
        </w:numPr>
        <w:tabs>
          <w:tab w:val="left" w:pos="709"/>
        </w:tabs>
        <w:autoSpaceDE w:val="0"/>
        <w:autoSpaceDN w:val="0"/>
        <w:adjustRightInd w:val="0"/>
        <w:ind w:left="0" w:firstLine="0"/>
        <w:jc w:val="both"/>
        <w:rPr>
          <w:rFonts w:cs="Arial"/>
          <w:lang w:val="es-ES"/>
        </w:rPr>
      </w:pPr>
      <w:r w:rsidRPr="000707E2">
        <w:rPr>
          <w:rFonts w:cs="Arial"/>
          <w:lang w:val="es-ES"/>
        </w:rPr>
        <w:t>La disminución de los recursos de personal observada en el presupuesto final de 2014/15 tras las transferencias con respecto al presupuesto aprobado de 2014/15 se debe a los siguientes factores:  i) el traspaso al programa 5 (Sistema del PCT)</w:t>
      </w:r>
      <w:r>
        <w:rPr>
          <w:rFonts w:cs="Arial"/>
          <w:lang w:val="es-ES"/>
        </w:rPr>
        <w:t xml:space="preserve"> </w:t>
      </w:r>
      <w:r w:rsidRPr="000707E2">
        <w:rPr>
          <w:rFonts w:cs="Arial"/>
          <w:lang w:val="es-ES"/>
        </w:rPr>
        <w:t xml:space="preserve">de las responsabilidades relativas a la ejecución del proyecto de la A.D. sobre los modelos de colaboración abierta y la transferencia de tecnología y ii) el retraso en la determinación de las aptitudes y competencias idóneas para apoyar las actividades del programa con objeto de compensar la trasferencia de un </w:t>
      </w:r>
      <w:r>
        <w:rPr>
          <w:rFonts w:cs="Arial"/>
          <w:lang w:val="es-ES"/>
        </w:rPr>
        <w:t>miembro del personal</w:t>
      </w:r>
      <w:r w:rsidRPr="000707E2">
        <w:rPr>
          <w:rFonts w:cs="Arial"/>
          <w:lang w:val="es-ES"/>
        </w:rPr>
        <w:t xml:space="preserve"> a otro programa.</w:t>
      </w:r>
    </w:p>
    <w:p w:rsidR="008A591C" w:rsidRPr="00980C61" w:rsidRDefault="008A591C" w:rsidP="00E34ABF">
      <w:pPr>
        <w:pStyle w:val="ListParagraph"/>
        <w:tabs>
          <w:tab w:val="left" w:pos="709"/>
        </w:tabs>
        <w:ind w:left="0"/>
        <w:jc w:val="both"/>
        <w:rPr>
          <w:rFonts w:eastAsia="Arial" w:cs="Arial"/>
          <w:lang w:val="es-ES"/>
        </w:rPr>
      </w:pPr>
    </w:p>
    <w:p w:rsidR="008A591C" w:rsidRPr="000707E2" w:rsidRDefault="008A591C" w:rsidP="00E34ABF">
      <w:pPr>
        <w:pStyle w:val="ListParagraph"/>
        <w:numPr>
          <w:ilvl w:val="0"/>
          <w:numId w:val="67"/>
        </w:numPr>
        <w:tabs>
          <w:tab w:val="left" w:pos="709"/>
        </w:tabs>
        <w:autoSpaceDE w:val="0"/>
        <w:autoSpaceDN w:val="0"/>
        <w:adjustRightInd w:val="0"/>
        <w:ind w:left="0" w:firstLine="0"/>
        <w:jc w:val="both"/>
        <w:rPr>
          <w:rFonts w:cs="Arial"/>
          <w:lang w:val="es-ES"/>
        </w:rPr>
      </w:pPr>
      <w:r w:rsidRPr="000707E2">
        <w:rPr>
          <w:rFonts w:cs="Arial"/>
          <w:lang w:val="es-ES"/>
        </w:rPr>
        <w:t>El descenso neto que se aprecia en los recursos no relativos a personal refleja principalmente</w:t>
      </w:r>
      <w:proofErr w:type="gramStart"/>
      <w:r w:rsidRPr="000707E2">
        <w:rPr>
          <w:rFonts w:cs="Arial"/>
          <w:lang w:val="es-ES"/>
        </w:rPr>
        <w:t>:  i</w:t>
      </w:r>
      <w:proofErr w:type="gramEnd"/>
      <w:r w:rsidRPr="000707E2">
        <w:rPr>
          <w:rFonts w:cs="Arial"/>
          <w:lang w:val="es-ES"/>
        </w:rPr>
        <w:t xml:space="preserve">)  el ajuste a la baja resultante principalmente del traspaso al programa 1 de la responsabilidad relativa a la formación sobre la redacción de solicitudes de patente, y ii) la transferencia (al programa 23, que administra centralmente </w:t>
      </w:r>
      <w:r>
        <w:rPr>
          <w:rFonts w:cs="Arial"/>
          <w:lang w:val="es-ES"/>
        </w:rPr>
        <w:t xml:space="preserve">las pasantías) </w:t>
      </w:r>
      <w:r w:rsidRPr="000707E2">
        <w:rPr>
          <w:rFonts w:cs="Arial"/>
          <w:lang w:val="es-ES"/>
        </w:rPr>
        <w:t xml:space="preserve">de recursos no relativos a personal </w:t>
      </w:r>
      <w:r>
        <w:rPr>
          <w:rFonts w:cs="Arial"/>
          <w:lang w:val="es-ES"/>
        </w:rPr>
        <w:t xml:space="preserve"> </w:t>
      </w:r>
      <w:r w:rsidRPr="000707E2">
        <w:rPr>
          <w:rFonts w:cs="Arial"/>
          <w:lang w:val="es-ES"/>
        </w:rPr>
        <w:t>para una pasantía</w:t>
      </w:r>
      <w:r>
        <w:rPr>
          <w:rFonts w:cs="Arial"/>
          <w:lang w:val="es-ES"/>
        </w:rPr>
        <w:t>.</w:t>
      </w:r>
    </w:p>
    <w:p w:rsidR="008A591C" w:rsidRPr="00980C61" w:rsidRDefault="008A591C" w:rsidP="00E34ABF">
      <w:pPr>
        <w:pStyle w:val="ListParagraph"/>
        <w:tabs>
          <w:tab w:val="left" w:pos="709"/>
        </w:tabs>
        <w:ind w:left="0"/>
        <w:jc w:val="both"/>
        <w:rPr>
          <w:rFonts w:cs="Arial"/>
          <w:lang w:val="es-ES" w:eastAsia="ko-KR"/>
        </w:rPr>
      </w:pPr>
    </w:p>
    <w:p w:rsidR="008A591C" w:rsidRPr="00980C61" w:rsidRDefault="008A591C" w:rsidP="00E34ABF">
      <w:pPr>
        <w:pStyle w:val="ListParagraph"/>
        <w:numPr>
          <w:ilvl w:val="0"/>
          <w:numId w:val="67"/>
        </w:numPr>
        <w:tabs>
          <w:tab w:val="left" w:pos="709"/>
        </w:tabs>
        <w:autoSpaceDE w:val="0"/>
        <w:autoSpaceDN w:val="0"/>
        <w:adjustRightInd w:val="0"/>
        <w:ind w:left="0" w:firstLine="0"/>
        <w:jc w:val="both"/>
        <w:rPr>
          <w:rFonts w:cs="Arial"/>
          <w:lang w:val="es-ES"/>
        </w:rPr>
      </w:pPr>
      <w:r>
        <w:rPr>
          <w:rFonts w:cs="Arial"/>
          <w:lang w:val="es-ES"/>
        </w:rPr>
        <w:t>En general, los ajustes en los resultados previstos en el presupuesto final de 2014/15 tras las transferencias reflejan la nueva y más exacta metodología de asignación de recursos de personal resultante de las mejoras efectuadas en el sistema de PRI para la planificación de la labor anual de 2014 y 2015, así como la reorganización interna del programa.</w:t>
      </w:r>
    </w:p>
    <w:p w:rsidR="008A591C" w:rsidRPr="00980C61" w:rsidRDefault="008A591C" w:rsidP="00E34ABF">
      <w:pPr>
        <w:tabs>
          <w:tab w:val="left" w:pos="709"/>
        </w:tabs>
        <w:autoSpaceDE w:val="0"/>
        <w:autoSpaceDN w:val="0"/>
        <w:jc w:val="both"/>
        <w:rPr>
          <w:lang w:eastAsia="ko-KR"/>
        </w:rPr>
      </w:pPr>
    </w:p>
    <w:p w:rsidR="008A591C" w:rsidRPr="00980C61" w:rsidRDefault="00403D2C" w:rsidP="00E34ABF">
      <w:pPr>
        <w:keepNext/>
        <w:tabs>
          <w:tab w:val="left" w:pos="709"/>
        </w:tabs>
        <w:jc w:val="both"/>
        <w:rPr>
          <w:u w:val="single"/>
          <w:lang w:eastAsia="ko-KR"/>
        </w:rPr>
      </w:pPr>
      <w:r w:rsidRPr="00403D2C">
        <w:rPr>
          <w:sz w:val="20"/>
          <w:lang w:eastAsia="ko-KR"/>
        </w:rPr>
        <w:lastRenderedPageBreak/>
        <w:t>B.</w:t>
      </w:r>
      <w:r w:rsidRPr="00403D2C">
        <w:rPr>
          <w:sz w:val="20"/>
          <w:lang w:eastAsia="ko-KR"/>
        </w:rPr>
        <w:tab/>
      </w:r>
      <w:r w:rsidRPr="00403D2C">
        <w:rPr>
          <w:sz w:val="20"/>
          <w:u w:val="single"/>
          <w:lang w:eastAsia="ko-KR"/>
        </w:rPr>
        <w:t>Utilización del presupuesto en 2014/15</w:t>
      </w:r>
    </w:p>
    <w:p w:rsidR="008A591C" w:rsidRPr="00980C61" w:rsidRDefault="008A591C" w:rsidP="00E34ABF">
      <w:pPr>
        <w:keepNext/>
        <w:tabs>
          <w:tab w:val="left" w:pos="709"/>
        </w:tabs>
      </w:pPr>
    </w:p>
    <w:p w:rsidR="008A591C" w:rsidRPr="00DB324D" w:rsidRDefault="008A591C" w:rsidP="00E34ABF">
      <w:pPr>
        <w:pStyle w:val="ListParagraph"/>
        <w:keepNext/>
        <w:numPr>
          <w:ilvl w:val="0"/>
          <w:numId w:val="67"/>
        </w:numPr>
        <w:tabs>
          <w:tab w:val="left" w:pos="709"/>
        </w:tabs>
        <w:autoSpaceDE w:val="0"/>
        <w:autoSpaceDN w:val="0"/>
        <w:adjustRightInd w:val="0"/>
        <w:ind w:left="0" w:firstLine="0"/>
        <w:jc w:val="both"/>
        <w:rPr>
          <w:rFonts w:cs="Arial"/>
          <w:lang w:val="es-ES"/>
        </w:rPr>
      </w:pPr>
      <w:r w:rsidRPr="00DB324D">
        <w:rPr>
          <w:rFonts w:cs="Arial"/>
          <w:lang w:val="es-ES"/>
        </w:rPr>
        <w:t>La ligera infrautilización de los recursos no relativos a personal se debió fundamentalmente a:  i) el ritmo de ejecución de las actividades más lento de lo previsto en relación con los resultados III.6 (Mayor capacidad de las pymes) y IV.2 (Mejora del acceso y uso de información de P.I. por parte de instituciones de P.I. y el público para fomentar la innovación y la creatividad), y ii) el aplazamiento o suspensión de algunas actividades a petición de las instituciones coorganizadoras o los Estados miembros en el marco de los resultados III.1 (Estrategias y planes nacionales de innovación y de P.I.). III.6 (Mejor capacidad de las pymes) y IV.2 (Mejora del acceso a la información sobre P.I. y de su utilización).</w:t>
      </w:r>
    </w:p>
    <w:p w:rsidR="008A591C" w:rsidRDefault="008A591C"/>
    <w:p w:rsidR="008A591C" w:rsidRDefault="008A591C"/>
    <w:p w:rsidR="008A591C" w:rsidRPr="00980C61" w:rsidRDefault="008A591C"/>
    <w:p w:rsidR="003E6C4C" w:rsidRDefault="003E6C4C" w:rsidP="00FA423E"/>
    <w:p w:rsidR="00FA423E" w:rsidRPr="0095318C" w:rsidRDefault="00FA423E" w:rsidP="00FA423E">
      <w:pPr>
        <w:rPr>
          <w:b/>
          <w:bCs/>
          <w:iCs/>
          <w:caps/>
          <w:lang w:eastAsia="da-DK"/>
        </w:rPr>
      </w:pPr>
      <w:r>
        <w:br w:type="page"/>
      </w:r>
    </w:p>
    <w:p w:rsidR="00FA423E" w:rsidRPr="00F171B5" w:rsidRDefault="00FA423E" w:rsidP="00FA423E">
      <w:pPr>
        <w:pStyle w:val="StyleHeading214ptAuto"/>
        <w:rPr>
          <w:rFonts w:ascii="Arial" w:hAnsi="Arial" w:cs="Arial"/>
          <w:sz w:val="20"/>
          <w:szCs w:val="20"/>
          <w:lang w:val="es-ES"/>
        </w:rPr>
      </w:pPr>
      <w:bookmarkStart w:id="116" w:name="_Toc455159088"/>
      <w:bookmarkEnd w:id="97"/>
      <w:r w:rsidRPr="00F171B5">
        <w:rPr>
          <w:rFonts w:ascii="Arial" w:hAnsi="Arial" w:cs="Arial"/>
          <w:sz w:val="20"/>
          <w:szCs w:val="20"/>
          <w:lang w:val="es-ES_tradnl"/>
        </w:rPr>
        <w:lastRenderedPageBreak/>
        <w:t>META ESTRATÉGICA IV</w:t>
      </w:r>
      <w:bookmarkEnd w:id="116"/>
      <w:r w:rsidRPr="00F171B5">
        <w:rPr>
          <w:rFonts w:ascii="Arial" w:hAnsi="Arial" w:cs="Arial"/>
          <w:sz w:val="20"/>
          <w:szCs w:val="20"/>
          <w:lang w:val="es-ES"/>
        </w:rPr>
        <w:t xml:space="preserve"> </w:t>
      </w:r>
    </w:p>
    <w:p w:rsidR="00FA423E" w:rsidRPr="00F171B5" w:rsidRDefault="00FA423E" w:rsidP="00FA423E">
      <w:pPr>
        <w:jc w:val="center"/>
        <w:rPr>
          <w:sz w:val="20"/>
        </w:rPr>
      </w:pPr>
    </w:p>
    <w:bookmarkEnd w:id="98"/>
    <w:p w:rsidR="00FA423E" w:rsidRPr="00F171B5" w:rsidRDefault="00FA423E" w:rsidP="00FA423E">
      <w:pPr>
        <w:jc w:val="center"/>
        <w:rPr>
          <w:sz w:val="20"/>
        </w:rPr>
      </w:pPr>
      <w:r w:rsidRPr="00F171B5">
        <w:rPr>
          <w:b/>
          <w:sz w:val="20"/>
          <w:lang w:val="es-ES_tradnl"/>
        </w:rPr>
        <w:t>COORDINACIÓN Y DESARROLLO DE LA INFRAESTRUCTURA MUNDIAL DE P.I.</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11CFD8A6" wp14:editId="6DB710CC">
            <wp:extent cx="5940425" cy="3261644"/>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0425" cy="3261644"/>
                    </a:xfrm>
                    <a:prstGeom prst="rect">
                      <a:avLst/>
                    </a:prstGeom>
                    <a:noFill/>
                    <a:ln>
                      <a:noFill/>
                    </a:ln>
                  </pic:spPr>
                </pic:pic>
              </a:graphicData>
            </a:graphic>
          </wp:inline>
        </w:drawing>
      </w:r>
    </w:p>
    <w:p w:rsidR="00FA423E" w:rsidRPr="00F171B5" w:rsidRDefault="00FA423E" w:rsidP="00FA423E">
      <w:pP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89"/>
        <w:gridCol w:w="4078"/>
        <w:gridCol w:w="1651"/>
        <w:gridCol w:w="942"/>
      </w:tblGrid>
      <w:tr w:rsidR="00FA423E" w:rsidRPr="00AF5E7C" w:rsidTr="00DC1333">
        <w:trPr>
          <w:cantSplit/>
          <w:trHeight w:val="401"/>
          <w:tblHeader/>
        </w:trPr>
        <w:tc>
          <w:tcPr>
            <w:tcW w:w="148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6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sz w:val="18"/>
                <w:szCs w:val="18"/>
              </w:rPr>
            </w:pPr>
            <w:r w:rsidRPr="007E4934">
              <w:rPr>
                <w:b/>
                <w:sz w:val="18"/>
                <w:szCs w:val="18"/>
                <w:lang w:val="es-ES_tradnl"/>
              </w:rPr>
              <w:t>Indicadores de rendimiento</w:t>
            </w:r>
          </w:p>
        </w:tc>
        <w:tc>
          <w:tcPr>
            <w:tcW w:w="88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ind w:left="85"/>
              <w:jc w:val="center"/>
              <w:rPr>
                <w:sz w:val="18"/>
                <w:szCs w:val="18"/>
              </w:rPr>
            </w:pPr>
            <w:r w:rsidRPr="007E4934">
              <w:rPr>
                <w:b/>
                <w:sz w:val="18"/>
                <w:szCs w:val="18"/>
                <w:lang w:val="es-ES_tradnl"/>
              </w:rPr>
              <w:t>Programas responsables</w:t>
            </w:r>
          </w:p>
        </w:tc>
        <w:tc>
          <w:tcPr>
            <w:tcW w:w="475" w:type="pct"/>
            <w:tcBorders>
              <w:top w:val="single" w:sz="4" w:space="0" w:color="auto"/>
              <w:bottom w:val="single" w:sz="4" w:space="0" w:color="auto"/>
            </w:tcBorders>
            <w:shd w:val="clear" w:color="auto" w:fill="DAEEF3" w:themeFill="accent5" w:themeFillTint="33"/>
          </w:tcPr>
          <w:p w:rsidR="00FA423E" w:rsidRPr="00923CBC" w:rsidRDefault="00FA423E" w:rsidP="00DC1333">
            <w:pPr>
              <w:spacing w:after="120"/>
              <w:ind w:left="85"/>
              <w:jc w:val="center"/>
              <w:rPr>
                <w:b/>
                <w:bCs/>
                <w:sz w:val="18"/>
                <w:szCs w:val="18"/>
              </w:rPr>
            </w:pPr>
            <w:r w:rsidRPr="007E4934">
              <w:rPr>
                <w:b/>
                <w:bCs/>
                <w:sz w:val="18"/>
                <w:szCs w:val="18"/>
                <w:lang w:val="es-ES_tradnl"/>
              </w:rPr>
              <w:t>Clave de colores</w:t>
            </w:r>
          </w:p>
        </w:tc>
      </w:tr>
      <w:tr w:rsidR="00FA423E" w:rsidRPr="00AF5E7C" w:rsidTr="00DC1333">
        <w:trPr>
          <w:cantSplit/>
          <w:trHeight w:val="363"/>
        </w:trPr>
        <w:tc>
          <w:tcPr>
            <w:tcW w:w="1482" w:type="pct"/>
            <w:vMerge w:val="restar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2163"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modificaciones y ficheros de información introducidos en la Clasificación de Niza</w:t>
            </w:r>
            <w:r w:rsidRPr="007E4934">
              <w:rPr>
                <w:sz w:val="16"/>
                <w:szCs w:val="16"/>
              </w:rPr>
              <w:t xml:space="preserve"> </w:t>
            </w:r>
          </w:p>
        </w:tc>
        <w:tc>
          <w:tcPr>
            <w:tcW w:w="880"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12</w:t>
            </w:r>
          </w:p>
        </w:tc>
        <w:tc>
          <w:tcPr>
            <w:tcW w:w="475" w:type="pct"/>
            <w:tcBorders>
              <w:top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463"/>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nuevas subdivisiones introducidas anualmente en la CIP</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12</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E26B0A"/>
                <w:szCs w:val="22"/>
              </w:rPr>
              <w:sym w:font="Wingdings" w:char="F06C"/>
            </w:r>
            <w:r w:rsidRPr="00CC3F44">
              <w:rPr>
                <w:color w:val="008000"/>
                <w:szCs w:val="22"/>
              </w:rPr>
              <w:sym w:font="Wingdings" w:char="F06C"/>
            </w:r>
          </w:p>
        </w:tc>
      </w:tr>
      <w:tr w:rsidR="00FA423E" w:rsidRPr="00AF5E7C" w:rsidTr="00DC1333">
        <w:trPr>
          <w:cantSplit/>
          <w:trHeight w:val="319"/>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normas técnicas modificadas y nuevas normas técnicas adoptadas</w:t>
            </w:r>
          </w:p>
        </w:tc>
        <w:tc>
          <w:tcPr>
            <w:tcW w:w="880"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12</w:t>
            </w:r>
          </w:p>
        </w:tc>
        <w:tc>
          <w:tcPr>
            <w:tcW w:w="475" w:type="pct"/>
            <w:shd w:val="clear" w:color="auto" w:fill="FFFFFF"/>
          </w:tcPr>
          <w:p w:rsidR="00FA423E" w:rsidRPr="00CC3F44" w:rsidRDefault="00FA423E" w:rsidP="00DC1333">
            <w:pPr>
              <w:jc w:val="center"/>
            </w:pPr>
            <w:r w:rsidRPr="00CC3F44">
              <w:rPr>
                <w:color w:val="E26B0A"/>
                <w:szCs w:val="22"/>
              </w:rPr>
              <w:sym w:font="Wingdings" w:char="F06C"/>
            </w:r>
          </w:p>
        </w:tc>
      </w:tr>
      <w:tr w:rsidR="00FA423E" w:rsidRPr="00AF5E7C" w:rsidTr="00DC1333">
        <w:trPr>
          <w:cantSplit/>
          <w:trHeight w:val="616"/>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usuarios que acceden a las publicaciones en Internet de las clasificaciones y normas internacionales, especialmente de países en desarrollo</w:t>
            </w:r>
          </w:p>
        </w:tc>
        <w:tc>
          <w:tcPr>
            <w:tcW w:w="880"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12</w:t>
            </w:r>
          </w:p>
        </w:tc>
        <w:tc>
          <w:tcPr>
            <w:tcW w:w="475" w:type="pct"/>
            <w:shd w:val="clear" w:color="auto" w:fill="FFFFFF"/>
          </w:tcPr>
          <w:p w:rsidR="00FA423E" w:rsidRDefault="00FA423E" w:rsidP="00DC1333">
            <w:pPr>
              <w:jc w:val="center"/>
              <w:rPr>
                <w:color w:val="A6A6A6" w:themeColor="background1" w:themeShade="A6"/>
                <w:szCs w:val="22"/>
              </w:rPr>
            </w:pPr>
            <w:r w:rsidRPr="00CC3F44">
              <w:rPr>
                <w:color w:val="FF0000"/>
                <w:szCs w:val="22"/>
              </w:rPr>
              <w:sym w:font="Wingdings" w:char="F06C"/>
            </w:r>
            <w:r w:rsidRPr="00CC3F44">
              <w:rPr>
                <w:color w:val="008000"/>
                <w:szCs w:val="22"/>
              </w:rPr>
              <w:sym w:font="Wingdings" w:char="F06C"/>
            </w:r>
            <w:r w:rsidRPr="00CC3F44">
              <w:rPr>
                <w:color w:val="E26B0A"/>
                <w:szCs w:val="22"/>
              </w:rPr>
              <w:sym w:font="Wingdings" w:char="F06C"/>
            </w:r>
            <w:r w:rsidRPr="00CC3F44">
              <w:rPr>
                <w:color w:val="008000"/>
                <w:szCs w:val="22"/>
              </w:rPr>
              <w:sym w:font="Wingdings" w:char="F06C"/>
            </w:r>
          </w:p>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FF0000"/>
                <w:szCs w:val="22"/>
              </w:rPr>
              <w:sym w:font="Wingdings" w:char="F06C"/>
            </w:r>
          </w:p>
        </w:tc>
      </w:tr>
      <w:tr w:rsidR="00FA423E" w:rsidRPr="00AF5E7C" w:rsidTr="00DC1333">
        <w:trPr>
          <w:cantSplit/>
          <w:trHeight w:val="607"/>
        </w:trPr>
        <w:tc>
          <w:tcPr>
            <w:tcW w:w="1482"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IV.2 Mejora del acceso y uso de información de P.I. por parte de instituciones de P.I. y el público para fomentar la innovación y la creatividad</w:t>
            </w: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intermediarios de confianza y titulares de derechos que se han adherido a la red de sistemas TIGAR, incluidos los procedentes de países en desarrollo y PMA</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AF5E7C" w:rsidTr="00DC1333">
        <w:trPr>
          <w:cantSplit/>
          <w:trHeight w:val="616"/>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obras protegidas por derecho de autor distribuidas entre intermediarios de confianza y puestas a disposición de las personas con discapacidad visual a escala internacional por medio de la red de sistemas TIGAR</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436"/>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personas satisfechas con el apoyo al fortalecimiento de capacidades en infraestructura de derecho de autor</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154"/>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instituciones que utilizan el sistema GDA</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AF5E7C" w:rsidTr="00DC1333">
        <w:trPr>
          <w:cantSplit/>
          <w:trHeight w:val="496"/>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Uso de la base de datos de la OMPI sobre gestión colectiva de los derechos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868"/>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instrumentos jurídicos, directrices, declaraciones de principios distintas de tratados acordados o suscritos por las partes interesadas en ámbitos como los de la P.I. y el deporte y el derecho de autor en el entorno digital</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144"/>
        </w:trPr>
        <w:tc>
          <w:tcPr>
            <w:tcW w:w="1482" w:type="pct"/>
            <w:vMerge w:val="restart"/>
            <w:shd w:val="clear" w:color="auto" w:fill="auto"/>
            <w:tcMar>
              <w:top w:w="113" w:type="dxa"/>
              <w:bottom w:w="85" w:type="dxa"/>
            </w:tcMar>
          </w:tcPr>
          <w:p w:rsidR="00FA423E" w:rsidRPr="007E4934" w:rsidRDefault="00FA423E" w:rsidP="00DC1333">
            <w:pPr>
              <w:rPr>
                <w:sz w:val="16"/>
                <w:szCs w:val="16"/>
              </w:rPr>
            </w:pPr>
          </w:p>
        </w:tc>
        <w:tc>
          <w:tcPr>
            <w:tcW w:w="216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Promedio de usuarios que utilizan los servicios de los CATI por trimestre y por país</w:t>
            </w:r>
          </w:p>
          <w:p w:rsidR="00FA423E" w:rsidRPr="007E4934" w:rsidRDefault="00FA423E" w:rsidP="00DC1333">
            <w:pPr>
              <w:rPr>
                <w:sz w:val="16"/>
                <w:szCs w:val="16"/>
              </w:rPr>
            </w:pPr>
          </w:p>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val="restart"/>
            <w:shd w:val="clear" w:color="auto" w:fill="auto"/>
            <w:tcMar>
              <w:top w:w="113" w:type="dxa"/>
              <w:bottom w:w="85" w:type="dxa"/>
            </w:tcMar>
          </w:tcPr>
          <w:p w:rsidR="00FA423E" w:rsidRPr="007E4934" w:rsidRDefault="00FA423E" w:rsidP="00DC1333">
            <w:pPr>
              <w:rPr>
                <w:sz w:val="16"/>
                <w:szCs w:val="16"/>
              </w:rPr>
            </w:pPr>
          </w:p>
        </w:tc>
        <w:tc>
          <w:tcPr>
            <w:tcW w:w="216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redes nacionales sostenibles de CATI</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9</w:t>
            </w:r>
          </w:p>
          <w:p w:rsidR="00FA423E" w:rsidRPr="007E4934" w:rsidRDefault="00FA423E" w:rsidP="00DC1333">
            <w:pPr>
              <w:rPr>
                <w:sz w:val="16"/>
                <w:szCs w:val="16"/>
                <w:lang w:bidi="th-TH"/>
              </w:rPr>
            </w:pPr>
          </w:p>
        </w:tc>
        <w:tc>
          <w:tcPr>
            <w:tcW w:w="475" w:type="pct"/>
            <w:shd w:val="clear" w:color="auto" w:fill="FFFFFF"/>
          </w:tcPr>
          <w:p w:rsidR="00FA423E" w:rsidRDefault="00FA423E" w:rsidP="00DC1333">
            <w:pPr>
              <w:spacing w:before="40"/>
              <w:jc w:val="center"/>
              <w:rPr>
                <w:color w:val="008000"/>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10</w:t>
            </w:r>
          </w:p>
          <w:p w:rsidR="00FA423E" w:rsidRPr="007E4934" w:rsidRDefault="00FA423E" w:rsidP="00DC1333">
            <w:pPr>
              <w:jc w:val="center"/>
              <w:rPr>
                <w:sz w:val="16"/>
                <w:szCs w:val="16"/>
                <w:lang w:bidi="th-TH"/>
              </w:rPr>
            </w:pPr>
          </w:p>
        </w:tc>
        <w:tc>
          <w:tcPr>
            <w:tcW w:w="475" w:type="pct"/>
            <w:shd w:val="clear" w:color="auto" w:fill="FFFFFF"/>
          </w:tcPr>
          <w:p w:rsidR="00FA423E" w:rsidRPr="00CC3F44" w:rsidRDefault="00FA423E" w:rsidP="00DC1333">
            <w:pPr>
              <w:spacing w:before="40"/>
              <w:jc w:val="center"/>
              <w:rPr>
                <w:color w:val="008000"/>
                <w:szCs w:val="22"/>
              </w:rPr>
            </w:pPr>
            <w:r w:rsidRPr="00CC3F44">
              <w:rPr>
                <w:color w:val="E26B0A"/>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679"/>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países que utilizan la base de datos de asistencia técnica en P.I. (IP-TAD) y la lista de consultores (IP_ROC)</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475"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AF5E7C" w:rsidTr="00DC1333">
        <w:trPr>
          <w:cantSplit/>
          <w:trHeight w:val="323"/>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OTT o de centros de información establecidos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454"/>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usuarios por trimestre en todos los sistemas (PATENTSCOPE/Base Mundial de Datos sobre Marcas)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rPr>
                <w:color w:val="008000"/>
                <w:szCs w:val="22"/>
              </w:rPr>
            </w:pPr>
            <w:r w:rsidRPr="00CC3F44">
              <w:rPr>
                <w:color w:val="E26B0A"/>
                <w:szCs w:val="22"/>
              </w:rPr>
              <w:sym w:font="Wingdings" w:char="F06C"/>
            </w:r>
            <w:r w:rsidRPr="00CC3F44">
              <w:rPr>
                <w:color w:val="008000"/>
                <w:szCs w:val="22"/>
              </w:rPr>
              <w:sym w:font="Wingdings" w:char="F06C"/>
            </w:r>
            <w:r w:rsidRPr="00CC3F44">
              <w:rPr>
                <w:color w:val="A6A6A6" w:themeColor="background1" w:themeShade="A6"/>
                <w:szCs w:val="22"/>
              </w:rPr>
              <w:sym w:font="Wingdings" w:char="F06C"/>
            </w:r>
          </w:p>
        </w:tc>
      </w:tr>
      <w:tr w:rsidR="00FA423E" w:rsidRPr="00AF5E7C" w:rsidTr="00DC1333">
        <w:trPr>
          <w:cantSplit/>
          <w:trHeight w:val="399"/>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idiomas en los que se pueden efectuar búsquedas plurilingües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72"/>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pares de idiomas disponibles para la traducción automática de títulos y resúmenes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28"/>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usuarios inscritos en ARDI y ASPI que utilizan dichos instrumentos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616"/>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satisfechos con la prestación de servicios de información sobre patentes con valor añadido (WPIS, cooperación internacional en el examen, familias de patentes  y servicio de consulta sobre la situación jurídica)</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AF5E7C" w:rsidTr="00DC1333">
        <w:trPr>
          <w:cantSplit/>
          <w:trHeight w:val="163"/>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satisfechos con los informes sobre la actividad de patentamiento</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14</w:t>
            </w:r>
          </w:p>
        </w:tc>
        <w:tc>
          <w:tcPr>
            <w:tcW w:w="4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445"/>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Número de países que han verificado los datos e incluido medicamentos esenciales nacionales en </w:t>
            </w:r>
            <w:r w:rsidRPr="007E4934">
              <w:rPr>
                <w:i/>
                <w:sz w:val="16"/>
                <w:szCs w:val="16"/>
                <w:lang w:val="es-ES_tradnl"/>
              </w:rPr>
              <w:t>WIPO Essential</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475" w:type="pct"/>
            <w:shd w:val="clear" w:color="auto" w:fill="FFFFFF"/>
          </w:tcPr>
          <w:p w:rsidR="00FA423E" w:rsidRPr="00CC3F44" w:rsidRDefault="00FA423E" w:rsidP="00DC1333">
            <w:pPr>
              <w:jc w:val="center"/>
            </w:pPr>
            <w:r w:rsidRPr="00CC3F44">
              <w:rPr>
                <w:szCs w:val="22"/>
              </w:rPr>
              <w:sym w:font="Wingdings" w:char="F06C"/>
            </w:r>
          </w:p>
        </w:tc>
      </w:tr>
      <w:tr w:rsidR="00FA423E" w:rsidRPr="00AF5E7C" w:rsidTr="00DC1333">
        <w:trPr>
          <w:cantSplit/>
          <w:trHeight w:val="517"/>
        </w:trPr>
        <w:tc>
          <w:tcPr>
            <w:tcW w:w="1482" w:type="pct"/>
            <w:shd w:val="clear" w:color="auto" w:fill="auto"/>
            <w:tcMar>
              <w:top w:w="113" w:type="dxa"/>
              <w:bottom w:w="85" w:type="dxa"/>
            </w:tcMar>
          </w:tcPr>
          <w:p w:rsidR="00FA423E" w:rsidRPr="007E4934" w:rsidRDefault="00FA423E" w:rsidP="00DC1333">
            <w:pPr>
              <w:keepNext/>
              <w:keepLines/>
              <w:rPr>
                <w:sz w:val="16"/>
                <w:szCs w:val="16"/>
              </w:rPr>
            </w:pPr>
          </w:p>
        </w:tc>
        <w:tc>
          <w:tcPr>
            <w:tcW w:w="2163" w:type="pct"/>
            <w:shd w:val="clear" w:color="auto" w:fill="auto"/>
            <w:tcMar>
              <w:top w:w="113" w:type="dxa"/>
              <w:bottom w:w="85" w:type="dxa"/>
            </w:tcMar>
          </w:tcPr>
          <w:p w:rsidR="00FA423E" w:rsidRPr="007E4934" w:rsidRDefault="00FA423E" w:rsidP="00DC1333">
            <w:pPr>
              <w:keepNext/>
              <w:keepLines/>
              <w:rPr>
                <w:sz w:val="16"/>
                <w:szCs w:val="16"/>
              </w:rPr>
            </w:pPr>
            <w:r w:rsidRPr="007E4934">
              <w:rPr>
                <w:sz w:val="16"/>
                <w:szCs w:val="16"/>
                <w:lang w:val="es-ES_tradnl"/>
              </w:rPr>
              <w:t>Número de usuarios de las bases de datos mundiales de la OMPI: PATENTSCOPE y Base Mundial de Datos sobre Marcas</w:t>
            </w:r>
          </w:p>
        </w:tc>
        <w:tc>
          <w:tcPr>
            <w:tcW w:w="880" w:type="pct"/>
            <w:shd w:val="clear" w:color="auto" w:fill="FFFFFF"/>
            <w:tcMar>
              <w:top w:w="113" w:type="dxa"/>
              <w:bottom w:w="85" w:type="dxa"/>
            </w:tcMar>
          </w:tcPr>
          <w:p w:rsidR="00FA423E" w:rsidRPr="007E4934" w:rsidRDefault="00FA423E" w:rsidP="00DC1333">
            <w:pPr>
              <w:keepNext/>
              <w:keepLines/>
              <w:jc w:val="center"/>
              <w:rPr>
                <w:sz w:val="16"/>
                <w:szCs w:val="16"/>
                <w:lang w:bidi="th-TH"/>
              </w:rPr>
            </w:pPr>
            <w:r w:rsidRPr="007E4934">
              <w:rPr>
                <w:sz w:val="16"/>
                <w:szCs w:val="16"/>
                <w:lang w:val="es-ES_tradnl" w:bidi="th-TH"/>
              </w:rPr>
              <w:t>Programa 20</w:t>
            </w:r>
          </w:p>
        </w:tc>
        <w:tc>
          <w:tcPr>
            <w:tcW w:w="475" w:type="pct"/>
            <w:shd w:val="clear" w:color="auto" w:fill="FFFFFF"/>
          </w:tcPr>
          <w:p w:rsidR="00FA423E" w:rsidRDefault="00FA423E" w:rsidP="00DC1333">
            <w:pPr>
              <w:keepNext/>
              <w:keepLines/>
              <w:jc w:val="center"/>
              <w:rPr>
                <w:color w:val="A6A6A6" w:themeColor="background1" w:themeShade="A6"/>
                <w:szCs w:val="22"/>
              </w:rPr>
            </w:pPr>
            <w:r w:rsidRPr="00CC3F44">
              <w:rPr>
                <w:color w:val="008000"/>
                <w:szCs w:val="22"/>
              </w:rPr>
              <w:sym w:font="Wingdings" w:char="F06C"/>
            </w:r>
            <w:r w:rsidRPr="00CC3F44">
              <w:rPr>
                <w:color w:val="FF0000"/>
                <w:szCs w:val="22"/>
              </w:rPr>
              <w:sym w:font="Wingdings" w:char="F06C"/>
            </w:r>
            <w:r w:rsidRPr="00CC3F44">
              <w:rPr>
                <w:color w:val="008000"/>
                <w:szCs w:val="22"/>
              </w:rPr>
              <w:sym w:font="Wingdings" w:char="F06C"/>
            </w:r>
          </w:p>
          <w:p w:rsidR="00FA423E" w:rsidRPr="00CC3F44" w:rsidRDefault="00FA423E" w:rsidP="00DC1333">
            <w:pPr>
              <w:keepNext/>
              <w:keepLines/>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37"/>
        </w:trPr>
        <w:tc>
          <w:tcPr>
            <w:tcW w:w="1482" w:type="pct"/>
            <w:vMerge w:val="restart"/>
            <w:shd w:val="clear" w:color="auto" w:fill="auto"/>
            <w:tcMar>
              <w:top w:w="113" w:type="dxa"/>
              <w:bottom w:w="85" w:type="dxa"/>
            </w:tcMar>
          </w:tcPr>
          <w:p w:rsidR="00FA423E" w:rsidRPr="007E4934" w:rsidRDefault="00FA423E" w:rsidP="00DC1333">
            <w:pPr>
              <w:keepNext/>
              <w:keepLines/>
              <w:rPr>
                <w:sz w:val="16"/>
                <w:szCs w:val="16"/>
              </w:rPr>
            </w:pPr>
          </w:p>
        </w:tc>
        <w:tc>
          <w:tcPr>
            <w:tcW w:w="2163" w:type="pct"/>
            <w:shd w:val="clear" w:color="auto" w:fill="auto"/>
            <w:tcMar>
              <w:top w:w="113" w:type="dxa"/>
              <w:bottom w:w="85" w:type="dxa"/>
            </w:tcMar>
          </w:tcPr>
          <w:p w:rsidR="00FA423E" w:rsidRPr="007E4934" w:rsidRDefault="00FA423E" w:rsidP="00DC1333">
            <w:pPr>
              <w:keepNext/>
              <w:keepLines/>
              <w:rPr>
                <w:sz w:val="16"/>
                <w:szCs w:val="16"/>
              </w:rPr>
            </w:pPr>
            <w:r w:rsidRPr="007E4934">
              <w:rPr>
                <w:sz w:val="16"/>
                <w:szCs w:val="16"/>
                <w:lang w:val="es-ES_tradnl"/>
              </w:rPr>
              <w:t>Aumento del número de usuarios de WIPO Lex</w:t>
            </w:r>
            <w:r w:rsidRPr="007E4934">
              <w:rPr>
                <w:sz w:val="16"/>
                <w:szCs w:val="16"/>
              </w:rPr>
              <w:t xml:space="preserve"> </w:t>
            </w:r>
          </w:p>
        </w:tc>
        <w:tc>
          <w:tcPr>
            <w:tcW w:w="880" w:type="pct"/>
            <w:shd w:val="clear" w:color="auto" w:fill="FFFFFF"/>
            <w:tcMar>
              <w:top w:w="113" w:type="dxa"/>
              <w:bottom w:w="85" w:type="dxa"/>
            </w:tcMar>
          </w:tcPr>
          <w:p w:rsidR="00FA423E" w:rsidRPr="007E4934" w:rsidRDefault="00FA423E" w:rsidP="00DC1333">
            <w:pPr>
              <w:keepNext/>
              <w:keepLines/>
              <w:jc w:val="center"/>
              <w:rPr>
                <w:sz w:val="16"/>
                <w:szCs w:val="16"/>
                <w:lang w:bidi="th-TH"/>
              </w:rPr>
            </w:pPr>
            <w:r w:rsidRPr="007E4934">
              <w:rPr>
                <w:sz w:val="16"/>
                <w:szCs w:val="16"/>
                <w:lang w:val="es-ES_tradnl" w:bidi="th-TH"/>
              </w:rPr>
              <w:t>Programa 21</w:t>
            </w:r>
          </w:p>
        </w:tc>
        <w:tc>
          <w:tcPr>
            <w:tcW w:w="475" w:type="pct"/>
            <w:shd w:val="clear" w:color="auto" w:fill="FFFFFF"/>
          </w:tcPr>
          <w:p w:rsidR="00FA423E" w:rsidRPr="00CC3F44" w:rsidRDefault="00FA423E" w:rsidP="00DC1333">
            <w:pPr>
              <w:keepNext/>
              <w:keepLines/>
              <w:jc w:val="center"/>
            </w:pPr>
            <w:r w:rsidRPr="00CC3F44">
              <w:rPr>
                <w:color w:val="008000"/>
                <w:szCs w:val="22"/>
              </w:rPr>
              <w:sym w:font="Wingdings" w:char="F06C"/>
            </w:r>
          </w:p>
        </w:tc>
      </w:tr>
      <w:tr w:rsidR="00FA423E" w:rsidRPr="00AF5E7C" w:rsidTr="00DC1333">
        <w:trPr>
          <w:cantSplit/>
          <w:trHeight w:val="346"/>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OTT sostenibles establecidas y/o consolidadas en las universidades o las instituciones de I+D</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30</w:t>
            </w:r>
          </w:p>
          <w:p w:rsidR="00FA423E" w:rsidRPr="007E4934" w:rsidRDefault="00FA423E" w:rsidP="00DC1333">
            <w:pPr>
              <w:ind w:left="660"/>
              <w:jc w:val="center"/>
              <w:rPr>
                <w:sz w:val="16"/>
                <w:szCs w:val="16"/>
                <w:lang w:bidi="th-TH"/>
              </w:rPr>
            </w:pP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FF0000"/>
                <w:szCs w:val="22"/>
              </w:rPr>
              <w:sym w:font="Wingdings" w:char="F06C"/>
            </w:r>
          </w:p>
        </w:tc>
      </w:tr>
      <w:tr w:rsidR="00FA423E" w:rsidRPr="00AF5E7C" w:rsidTr="00DC1333">
        <w:trPr>
          <w:cantSplit/>
          <w:trHeight w:val="409"/>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universidades y/o institutos de investigación que han establecido políticas de P.I.</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30</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56"/>
        </w:trPr>
        <w:tc>
          <w:tcPr>
            <w:tcW w:w="1482" w:type="pct"/>
            <w:vMerge w:val="restart"/>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t>IV.3 Amplia cobertura geográfica en cuanto al contenido y al uso de las bases de datos mundiales de la OMPI en materia de P.I.</w:t>
            </w:r>
          </w:p>
        </w:tc>
        <w:tc>
          <w:tcPr>
            <w:tcW w:w="2163" w:type="pct"/>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t>Número de registros contenidos en PATENSCOPE</w:t>
            </w:r>
            <w:r w:rsidRPr="007E4934">
              <w:rPr>
                <w:sz w:val="16"/>
                <w:szCs w:val="16"/>
              </w:rPr>
              <w:t xml:space="preserve"> </w:t>
            </w:r>
          </w:p>
        </w:tc>
        <w:tc>
          <w:tcPr>
            <w:tcW w:w="880" w:type="pct"/>
            <w:shd w:val="clear" w:color="auto" w:fill="FFFFFF"/>
            <w:tcMar>
              <w:top w:w="113" w:type="dxa"/>
              <w:bottom w:w="85" w:type="dxa"/>
            </w:tcMar>
          </w:tcPr>
          <w:p w:rsidR="00FA423E" w:rsidRPr="007E4934" w:rsidRDefault="00FA423E" w:rsidP="00DC1333">
            <w:pPr>
              <w:keepNext/>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keepNext/>
              <w:jc w:val="center"/>
            </w:pPr>
            <w:r w:rsidRPr="00CC3F44">
              <w:rPr>
                <w:color w:val="008000"/>
                <w:szCs w:val="22"/>
              </w:rPr>
              <w:sym w:font="Wingdings" w:char="F06C"/>
            </w:r>
          </w:p>
        </w:tc>
      </w:tr>
      <w:tr w:rsidR="00FA423E" w:rsidRPr="00AF5E7C" w:rsidTr="00DC1333">
        <w:trPr>
          <w:cantSplit/>
          <w:trHeight w:val="337"/>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registros que figuran en la Base Mundial de Datos sobre Marcas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70"/>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colecciones nacionales en PATENTSCOPE</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45"/>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colecciones nacionales en la Base Mundial de Datos sobre Marcas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13</w:t>
            </w:r>
          </w:p>
        </w:tc>
        <w:tc>
          <w:tcPr>
            <w:tcW w:w="4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36"/>
        </w:trPr>
        <w:tc>
          <w:tcPr>
            <w:tcW w:w="1482"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IV.4 Mejora en la infraestructura técnica y de conocimientos de las Oficinas y demás instituciones de P.I. que les permita prestar mejores servicios (más económicos, más rápidos y de mejor calidad) a sus partes interesadas</w:t>
            </w: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gobiernos y OGC que firman acuerdos con la OMPI para reestructurar WIPOCOS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OGC de países en desarrollo y PMA que participan en las redes regionales y mundiales facilitadas por la OMPI</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14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15</w:t>
            </w:r>
          </w:p>
        </w:tc>
        <w:tc>
          <w:tcPr>
            <w:tcW w:w="475" w:type="pct"/>
            <w:shd w:val="clear" w:color="auto" w:fill="FFFFFF"/>
          </w:tcPr>
          <w:p w:rsidR="00FA423E" w:rsidRPr="00CC3F44" w:rsidRDefault="00FA423E" w:rsidP="00DC1333">
            <w:pPr>
              <w:jc w:val="center"/>
              <w:rPr>
                <w:color w:val="008000"/>
                <w:szCs w:val="22"/>
              </w:rPr>
            </w:pPr>
            <w:r w:rsidRPr="00CC3F44">
              <w:rPr>
                <w:color w:val="FF0000"/>
                <w:szCs w:val="22"/>
              </w:rPr>
              <w:sym w:font="Wingdings" w:char="F06C"/>
            </w:r>
          </w:p>
        </w:tc>
      </w:tr>
      <w:tr w:rsidR="00FA423E" w:rsidRPr="00AF5E7C" w:rsidTr="00DC1333">
        <w:trPr>
          <w:cantSplit/>
          <w:trHeight w:val="598"/>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gobiernos que informan favorablemente acerca de la eficacia y la gobernanza de las oficinas de derecho de autor y otras instituciones en el país</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363"/>
        </w:trPr>
        <w:tc>
          <w:tcPr>
            <w:tcW w:w="1482" w:type="pct"/>
            <w:shd w:val="clear" w:color="auto" w:fill="auto"/>
            <w:tcMar>
              <w:top w:w="113" w:type="dxa"/>
              <w:bottom w:w="85" w:type="dxa"/>
            </w:tcMar>
          </w:tcPr>
          <w:p w:rsidR="00FA423E" w:rsidRPr="007E4934" w:rsidRDefault="00FA423E" w:rsidP="00DC1333">
            <w:pPr>
              <w:rPr>
                <w:sz w:val="16"/>
                <w:szCs w:val="16"/>
              </w:rPr>
            </w:pPr>
          </w:p>
        </w:tc>
        <w:tc>
          <w:tcPr>
            <w:tcW w:w="216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oficinas que utilizan las plataformas de infraestructura de la OMPI</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15</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256"/>
        </w:trPr>
        <w:tc>
          <w:tcPr>
            <w:tcW w:w="1482" w:type="pct"/>
            <w:vMerge w:val="restart"/>
            <w:shd w:val="clear" w:color="auto" w:fill="auto"/>
            <w:tcMar>
              <w:top w:w="113" w:type="dxa"/>
              <w:bottom w:w="85" w:type="dxa"/>
            </w:tcMar>
          </w:tcPr>
          <w:p w:rsidR="00FA423E" w:rsidRPr="007E4934" w:rsidRDefault="00FA423E" w:rsidP="00DC1333">
            <w:pPr>
              <w:rPr>
                <w:sz w:val="16"/>
                <w:szCs w:val="16"/>
              </w:rPr>
            </w:pPr>
          </w:p>
        </w:tc>
        <w:tc>
          <w:tcPr>
            <w:tcW w:w="216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Media del nivel de los servicios prestados por las Oficinas de P.I. que reciben asistencia (en una escala del 1 al 5)</w:t>
            </w: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9</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5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10</w:t>
            </w:r>
          </w:p>
        </w:tc>
        <w:tc>
          <w:tcPr>
            <w:tcW w:w="475" w:type="pct"/>
            <w:shd w:val="clear" w:color="auto" w:fill="FFFFFF"/>
          </w:tcPr>
          <w:p w:rsidR="00FA423E" w:rsidRPr="00CC3F44" w:rsidRDefault="00FA423E" w:rsidP="00DC1333">
            <w:pPr>
              <w:spacing w:before="40"/>
              <w:jc w:val="center"/>
              <w:rPr>
                <w:color w:val="008000"/>
                <w:szCs w:val="22"/>
              </w:rPr>
            </w:pPr>
            <w:r w:rsidRPr="00CC3F44">
              <w:rPr>
                <w:color w:val="008000"/>
                <w:szCs w:val="22"/>
              </w:rPr>
              <w:sym w:font="Wingdings" w:char="F06C"/>
            </w:r>
          </w:p>
        </w:tc>
      </w:tr>
      <w:tr w:rsidR="00FA423E" w:rsidRPr="00AF5E7C" w:rsidTr="00DC1333">
        <w:trPr>
          <w:cantSplit/>
          <w:trHeight w:val="254"/>
        </w:trPr>
        <w:tc>
          <w:tcPr>
            <w:tcW w:w="1482" w:type="pct"/>
            <w:vMerge/>
            <w:shd w:val="clear" w:color="auto" w:fill="auto"/>
            <w:tcMar>
              <w:top w:w="113" w:type="dxa"/>
              <w:bottom w:w="85" w:type="dxa"/>
            </w:tcMar>
          </w:tcPr>
          <w:p w:rsidR="00FA423E" w:rsidRPr="007E4934" w:rsidRDefault="00FA423E" w:rsidP="00DC1333">
            <w:pPr>
              <w:rPr>
                <w:sz w:val="16"/>
                <w:szCs w:val="16"/>
              </w:rPr>
            </w:pPr>
          </w:p>
        </w:tc>
        <w:tc>
          <w:tcPr>
            <w:tcW w:w="2163" w:type="pct"/>
            <w:vMerge/>
            <w:shd w:val="clear" w:color="auto" w:fill="auto"/>
            <w:tcMar>
              <w:top w:w="113" w:type="dxa"/>
              <w:bottom w:w="85" w:type="dxa"/>
            </w:tcMar>
          </w:tcPr>
          <w:p w:rsidR="00FA423E" w:rsidRPr="007E4934" w:rsidRDefault="00FA423E" w:rsidP="00DC1333">
            <w:pPr>
              <w:rPr>
                <w:sz w:val="16"/>
                <w:szCs w:val="16"/>
              </w:rPr>
            </w:pPr>
          </w:p>
        </w:tc>
        <w:tc>
          <w:tcPr>
            <w:tcW w:w="880"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15</w:t>
            </w:r>
          </w:p>
        </w:tc>
        <w:tc>
          <w:tcPr>
            <w:tcW w:w="4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bl>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FA423E" w:rsidRDefault="00FA423E" w:rsidP="00FA423E"/>
    <w:p w:rsidR="003327C4" w:rsidRDefault="003327C4">
      <w:r>
        <w:br w:type="page"/>
      </w:r>
    </w:p>
    <w:p w:rsidR="00FA2BC6" w:rsidRPr="00AB07C6" w:rsidRDefault="00FA2BC6" w:rsidP="00DC1333">
      <w:pPr>
        <w:pStyle w:val="Heading2"/>
        <w:ind w:left="2410" w:hanging="2410"/>
        <w:jc w:val="both"/>
        <w:rPr>
          <w:b/>
        </w:rPr>
      </w:pPr>
      <w:bookmarkStart w:id="117" w:name="_Toc422927421"/>
      <w:bookmarkStart w:id="118" w:name="_Toc455159089"/>
      <w:r w:rsidRPr="00AB07C6">
        <w:rPr>
          <w:b/>
        </w:rPr>
        <w:lastRenderedPageBreak/>
        <w:t>PROGRAMA 12</w:t>
      </w:r>
      <w:r w:rsidRPr="00AB07C6">
        <w:rPr>
          <w:b/>
        </w:rPr>
        <w:tab/>
        <w:t>CLASIFICACIONES INTERNACIONALES Y NORMAS TÉCNICAS DE LA OMPI</w:t>
      </w:r>
      <w:bookmarkEnd w:id="117"/>
      <w:bookmarkEnd w:id="118"/>
    </w:p>
    <w:p w:rsidR="00FA2BC6" w:rsidRPr="00AB07C6" w:rsidRDefault="00FA2BC6" w:rsidP="00DC1333">
      <w:pPr>
        <w:jc w:val="both"/>
        <w:rPr>
          <w:sz w:val="20"/>
        </w:rPr>
      </w:pPr>
    </w:p>
    <w:p w:rsidR="00FA2BC6" w:rsidRPr="00AB07C6" w:rsidRDefault="00FA2BC6" w:rsidP="00DC1333">
      <w:pPr>
        <w:tabs>
          <w:tab w:val="left" w:pos="2410"/>
        </w:tabs>
        <w:jc w:val="both"/>
        <w:rPr>
          <w:b/>
          <w:sz w:val="20"/>
        </w:rPr>
      </w:pPr>
      <w:r w:rsidRPr="00AB07C6">
        <w:rPr>
          <w:b/>
          <w:sz w:val="20"/>
        </w:rPr>
        <w:t>Director de programa</w:t>
      </w:r>
      <w:r w:rsidRPr="00AB07C6">
        <w:rPr>
          <w:b/>
          <w:sz w:val="20"/>
        </w:rPr>
        <w:tab/>
        <w:t>Sr. Y. Takagi</w:t>
      </w:r>
    </w:p>
    <w:p w:rsidR="00FA2BC6" w:rsidRPr="00AB07C6" w:rsidRDefault="00FA2BC6" w:rsidP="00DC1333">
      <w:pPr>
        <w:jc w:val="both"/>
        <w:rPr>
          <w:sz w:val="20"/>
        </w:rPr>
      </w:pPr>
    </w:p>
    <w:p w:rsidR="00FA2BC6" w:rsidRPr="00AB07C6" w:rsidRDefault="00FA2BC6" w:rsidP="00DC1333">
      <w:pPr>
        <w:jc w:val="both"/>
        <w:rPr>
          <w:sz w:val="20"/>
        </w:rPr>
      </w:pPr>
    </w:p>
    <w:p w:rsidR="00FA2BC6" w:rsidRPr="00AB07C6" w:rsidRDefault="008F7CBE" w:rsidP="00DC1333">
      <w:pPr>
        <w:jc w:val="both"/>
        <w:rPr>
          <w:bCs/>
        </w:rPr>
      </w:pPr>
      <w:r w:rsidRPr="008F7CBE">
        <w:rPr>
          <w:bCs/>
          <w:sz w:val="20"/>
          <w:szCs w:val="22"/>
        </w:rPr>
        <w:t>LOGROS ALCANZADOS EN EL BIENIO 2014/15</w:t>
      </w:r>
    </w:p>
    <w:p w:rsidR="00FA2BC6" w:rsidRPr="00AB07C6" w:rsidRDefault="00FA2BC6" w:rsidP="00DC1333">
      <w:pPr>
        <w:jc w:val="both"/>
        <w:rPr>
          <w:sz w:val="20"/>
        </w:rPr>
      </w:pPr>
    </w:p>
    <w:p w:rsidR="00FA2BC6" w:rsidRPr="00AB07C6" w:rsidRDefault="00FA2BC6" w:rsidP="00FA2BC6">
      <w:pPr>
        <w:pStyle w:val="ListParagraph"/>
        <w:numPr>
          <w:ilvl w:val="0"/>
          <w:numId w:val="71"/>
        </w:numPr>
        <w:tabs>
          <w:tab w:val="left" w:pos="709"/>
        </w:tabs>
        <w:ind w:left="0" w:firstLine="0"/>
        <w:jc w:val="both"/>
        <w:rPr>
          <w:b/>
          <w:lang w:val="es-ES"/>
        </w:rPr>
      </w:pPr>
      <w:r w:rsidRPr="00AB07C6">
        <w:rPr>
          <w:rFonts w:cs="Arial"/>
          <w:lang w:val="es-ES"/>
        </w:rPr>
        <w:t>A pesar de que los avances en 2014 fueron desiguales, en 2015 se produjo una mejora notable de la situación en lo que respecta a las clasificaciones internacionales y las normas técnicas de la OMPI;  en algunos casos se superaron las expectativas</w:t>
      </w:r>
      <w:r>
        <w:rPr>
          <w:rFonts w:cs="Arial"/>
          <w:lang w:val="es-ES"/>
        </w:rPr>
        <w:t>, y en otros</w:t>
      </w:r>
      <w:r w:rsidRPr="00AB07C6">
        <w:rPr>
          <w:rFonts w:cs="Arial"/>
          <w:lang w:val="es-ES"/>
        </w:rPr>
        <w:t xml:space="preserve"> se acusaron retrasos.</w:t>
      </w:r>
    </w:p>
    <w:p w:rsidR="00FA2BC6" w:rsidRPr="00AB07C6" w:rsidRDefault="00FA2BC6" w:rsidP="00DC1333">
      <w:pPr>
        <w:tabs>
          <w:tab w:val="left" w:pos="709"/>
        </w:tabs>
        <w:jc w:val="both"/>
        <w:rPr>
          <w:b/>
          <w:sz w:val="20"/>
        </w:rPr>
      </w:pPr>
    </w:p>
    <w:p w:rsidR="00FA2BC6" w:rsidRPr="00AB07C6" w:rsidRDefault="00FA2BC6" w:rsidP="00FA2BC6">
      <w:pPr>
        <w:pStyle w:val="ListParagraph"/>
        <w:numPr>
          <w:ilvl w:val="0"/>
          <w:numId w:val="71"/>
        </w:numPr>
        <w:tabs>
          <w:tab w:val="left" w:pos="709"/>
        </w:tabs>
        <w:ind w:left="0" w:firstLine="0"/>
        <w:jc w:val="both"/>
        <w:rPr>
          <w:rFonts w:cs="Arial"/>
          <w:lang w:val="es-ES"/>
        </w:rPr>
      </w:pPr>
      <w:r w:rsidRPr="00AB07C6">
        <w:rPr>
          <w:rFonts w:cs="Arial"/>
          <w:lang w:val="es-ES"/>
        </w:rPr>
        <w:t xml:space="preserve">En lo que respecta a la Clasificación de Niza, en el bienio se introdujeron 1.480 modificaciones y </w:t>
      </w:r>
      <w:r w:rsidR="002E6163">
        <w:rPr>
          <w:rFonts w:cs="Arial"/>
          <w:lang w:val="es-ES"/>
        </w:rPr>
        <w:t>25</w:t>
      </w:r>
      <w:r w:rsidRPr="00AB07C6">
        <w:rPr>
          <w:rFonts w:cs="Arial"/>
          <w:lang w:val="es-ES"/>
        </w:rPr>
        <w:t xml:space="preserve"> nuevos ficheros de información.  El número de modificaciones aumentó en un 94% con respecto al bienio 2012/13.  Además, la versión oficial en español de la</w:t>
      </w:r>
      <w:r w:rsidRPr="00AB07C6">
        <w:rPr>
          <w:bCs/>
          <w:lang w:val="es-ES"/>
        </w:rPr>
        <w:t xml:space="preserve"> décima edición de la Clasificación de Niza (NCL10-2016)</w:t>
      </w:r>
      <w:r w:rsidRPr="00AB07C6">
        <w:rPr>
          <w:rFonts w:cs="Arial"/>
          <w:lang w:val="es-ES"/>
        </w:rPr>
        <w:t xml:space="preserve"> pasó a estar a disposición en el mismo formato que las publicaciones originales en francés e inglés</w:t>
      </w:r>
      <w:r w:rsidRPr="00AB07C6">
        <w:rPr>
          <w:bCs/>
          <w:lang w:val="es-ES"/>
        </w:rPr>
        <w:t>.  Del mismo modo, también se pusieron a disposición en el nuevo formato las ediciones anteriores (de la primera a la novena).</w:t>
      </w:r>
    </w:p>
    <w:p w:rsidR="00FA2BC6" w:rsidRPr="00AB07C6" w:rsidRDefault="00FA2BC6" w:rsidP="00DC1333">
      <w:pPr>
        <w:tabs>
          <w:tab w:val="left" w:pos="709"/>
        </w:tabs>
        <w:jc w:val="both"/>
        <w:rPr>
          <w:sz w:val="20"/>
        </w:rPr>
      </w:pPr>
    </w:p>
    <w:p w:rsidR="00FA2BC6" w:rsidRPr="00AB07C6" w:rsidRDefault="00FA2BC6" w:rsidP="00FA2BC6">
      <w:pPr>
        <w:pStyle w:val="ListParagraph"/>
        <w:numPr>
          <w:ilvl w:val="0"/>
          <w:numId w:val="71"/>
        </w:numPr>
        <w:tabs>
          <w:tab w:val="left" w:pos="709"/>
        </w:tabs>
        <w:ind w:left="0" w:firstLine="0"/>
        <w:jc w:val="both"/>
        <w:rPr>
          <w:lang w:val="es-ES"/>
        </w:rPr>
      </w:pPr>
      <w:r w:rsidRPr="00AB07C6">
        <w:rPr>
          <w:lang w:val="es-ES"/>
        </w:rPr>
        <w:t>En cuanto a la Clasificación Internacional de Patentes (CIP), en abril de 2014 empezó a utilizarse una plataforma de publicación modificada para facilitar el uso del sistema y que incluye una nueva herramienta de búsqueda y la función “Parallel Viewer”.  En razón del aumento de nuevos proyectos de revisión procedentes de las Oficinas de la cooperación Pentalateral y la comunidad de la CIP, en 2015 se introdujeron 1.031 nuevas subdivisiones, cifra que excede el objetivo anual en un 28% y que, con respecto a 2014, supone una recuperación que permite la consecución del objetivo.</w:t>
      </w:r>
    </w:p>
    <w:p w:rsidR="00FA2BC6" w:rsidRPr="00AB07C6" w:rsidRDefault="00FA2BC6" w:rsidP="00DC1333">
      <w:pPr>
        <w:tabs>
          <w:tab w:val="left" w:pos="709"/>
        </w:tabs>
        <w:jc w:val="both"/>
        <w:rPr>
          <w:sz w:val="20"/>
        </w:rPr>
      </w:pPr>
    </w:p>
    <w:p w:rsidR="00FA2BC6" w:rsidRPr="00AB07C6" w:rsidRDefault="00FA2BC6" w:rsidP="00FA2BC6">
      <w:pPr>
        <w:pStyle w:val="ListParagraph"/>
        <w:numPr>
          <w:ilvl w:val="0"/>
          <w:numId w:val="71"/>
        </w:numPr>
        <w:tabs>
          <w:tab w:val="left" w:pos="709"/>
        </w:tabs>
        <w:ind w:left="0" w:firstLine="0"/>
        <w:jc w:val="both"/>
        <w:rPr>
          <w:bCs/>
          <w:lang w:val="es-ES"/>
        </w:rPr>
      </w:pPr>
      <w:r w:rsidRPr="00AB07C6">
        <w:rPr>
          <w:bCs/>
          <w:lang w:val="es-ES"/>
        </w:rPr>
        <w:t xml:space="preserve">En su cuarta sesión, el </w:t>
      </w:r>
      <w:r w:rsidRPr="00AB07C6">
        <w:rPr>
          <w:lang w:val="es-ES"/>
        </w:rPr>
        <w:t>Comité</w:t>
      </w:r>
      <w:r w:rsidRPr="00AB07C6">
        <w:rPr>
          <w:bCs/>
          <w:lang w:val="es-ES"/>
        </w:rPr>
        <w:t xml:space="preserve"> de Normas Técnicas de la OMPI (CWS) no logró aprobar su orden del día, lo que se tradujo en la imposibilidad de oficializar decisiones tomadas informalmente.  A pesar de ese contratiempo, en 2014 pudo aprobarse una nueva norma técnica y pudo revisarse otra de manera oficiosa.  Esta parálisis se mantuvo en 2015 y provocó que no se aprobara formalmente ninguna norma técnica.  Aun así, los Grupos de Tareas, que son grupos de expertos propuestos por los miembros y los observadores del CWS para hacer frente a tareas concretas, prosiguieron su labor informal.  Está previsto que se aprueben varias normas técnicas cu</w:t>
      </w:r>
      <w:r w:rsidR="001F364D">
        <w:rPr>
          <w:bCs/>
          <w:lang w:val="es-ES"/>
        </w:rPr>
        <w:t>ando el CWS reanude su labor en </w:t>
      </w:r>
      <w:r w:rsidRPr="00AB07C6">
        <w:rPr>
          <w:bCs/>
          <w:lang w:val="es-ES"/>
        </w:rPr>
        <w:t>2016.</w:t>
      </w:r>
    </w:p>
    <w:p w:rsidR="00FA2BC6" w:rsidRPr="00AB07C6" w:rsidRDefault="00FA2BC6" w:rsidP="00DC1333">
      <w:pPr>
        <w:tabs>
          <w:tab w:val="left" w:pos="709"/>
        </w:tabs>
        <w:jc w:val="both"/>
        <w:rPr>
          <w:bCs/>
          <w:sz w:val="20"/>
        </w:rPr>
      </w:pPr>
    </w:p>
    <w:p w:rsidR="00FA2BC6" w:rsidRPr="00AB07C6" w:rsidRDefault="00FA2BC6" w:rsidP="00FA2BC6">
      <w:pPr>
        <w:pStyle w:val="ListParagraph"/>
        <w:numPr>
          <w:ilvl w:val="0"/>
          <w:numId w:val="71"/>
        </w:numPr>
        <w:tabs>
          <w:tab w:val="left" w:pos="709"/>
        </w:tabs>
        <w:ind w:left="0" w:firstLine="0"/>
        <w:jc w:val="both"/>
        <w:rPr>
          <w:bCs/>
          <w:lang w:val="es-ES"/>
        </w:rPr>
      </w:pPr>
      <w:r w:rsidRPr="00AB07C6">
        <w:rPr>
          <w:bCs/>
          <w:lang w:val="es-ES"/>
        </w:rPr>
        <w:t>El uso de herramientas de Internet para acceder a las publicaciones de clasificaciones y de normas técnicas aumentó de forma estable, registrándose un número considerablemente mayor de visitas de las ediciones de la CIP (aumento del 107% con respecto a 2013), debido a la inclusión de clasificaciones revisadas y de nuevas herramientas.  El número de visitas a la edición de la Clasificación de Niza, la página principal de la Clasificación de Locarno y la de la Clasificación de Viena aumentó también en un 14%, un 39,1% y un 7,4% respectivamente.  El acceso a la página principal de la Clasificación de Niza se mantuvo estable, pero en el caso de la página principal de la CIP se produjo una disminución del 6,6%.  Las visitas al manual de normas técnicas de la OMPI también disminuyeron un 26,7% en comparación con 2013, posiblemente debido a los problemas institucionales en el CWS.  En general, los resultados registrados durante el segundo año del bienio fueron mejores que los del primero.</w:t>
      </w:r>
    </w:p>
    <w:p w:rsidR="00FA2BC6" w:rsidRPr="00AB07C6" w:rsidRDefault="00FA2BC6" w:rsidP="00DC1333">
      <w:pPr>
        <w:tabs>
          <w:tab w:val="left" w:pos="709"/>
        </w:tabs>
        <w:jc w:val="both"/>
        <w:rPr>
          <w:bCs/>
          <w:sz w:val="20"/>
        </w:rPr>
      </w:pPr>
    </w:p>
    <w:p w:rsidR="00FA2BC6" w:rsidRPr="00AB07C6" w:rsidRDefault="00FA2BC6" w:rsidP="00FA2BC6">
      <w:pPr>
        <w:pStyle w:val="ListParagraph"/>
        <w:numPr>
          <w:ilvl w:val="0"/>
          <w:numId w:val="71"/>
        </w:numPr>
        <w:tabs>
          <w:tab w:val="left" w:pos="709"/>
        </w:tabs>
        <w:ind w:left="0" w:firstLine="0"/>
        <w:jc w:val="both"/>
        <w:rPr>
          <w:bCs/>
          <w:lang w:val="es-ES"/>
        </w:rPr>
      </w:pPr>
      <w:r w:rsidRPr="00AB07C6">
        <w:rPr>
          <w:rFonts w:eastAsia="MS Mincho"/>
          <w:lang w:val="es-ES" w:eastAsia="ja-JP" w:bidi="th-TH"/>
        </w:rPr>
        <w:t xml:space="preserve">Las actividades del programa 12 siguieron respaldando la aplicación de las recomendaciones 8, 30 y 31 de la A.D. al facilitar el acceso de los países en desarrollo a información sobre patentes a disposición del público.  Por este motivo, contribuyeron también a la labor que se realiza en aras de la transferencia de tecnología.  Entre 2014 y 2015 se produjeron aumentos considerables del porcentaje de visitas de países en desarrollo a las páginas principales de la CIP (9,1%), la Clasificación de Niza (36%), la edición de la clasificación de Niza (11,7%) y el </w:t>
      </w:r>
      <w:r w:rsidRPr="00AB07C6">
        <w:rPr>
          <w:bCs/>
          <w:lang w:val="es-ES"/>
        </w:rPr>
        <w:t>manual de normas técnicas de la OMPI (15,7%), mientras que los porcentajes disminuyeron en las páginas principales de la Clasificación de Locarno (12,8%) y Viena (31,1%).</w:t>
      </w:r>
    </w:p>
    <w:p w:rsidR="00FA2BC6" w:rsidRPr="00244ADB" w:rsidRDefault="00FA2BC6" w:rsidP="00DC1333">
      <w:pPr>
        <w:jc w:val="both"/>
        <w:rPr>
          <w:bCs/>
          <w:sz w:val="20"/>
        </w:rPr>
      </w:pPr>
    </w:p>
    <w:p w:rsidR="00FA2BC6" w:rsidRPr="00244ADB" w:rsidRDefault="00FA2BC6" w:rsidP="00DC1333">
      <w:pPr>
        <w:jc w:val="both"/>
        <w:rPr>
          <w:bCs/>
          <w:sz w:val="20"/>
        </w:rPr>
      </w:pPr>
    </w:p>
    <w:p w:rsidR="00FA2BC6" w:rsidRPr="00AB07C6" w:rsidRDefault="008F7CBE" w:rsidP="00DC1333">
      <w:pPr>
        <w:keepNext/>
        <w:jc w:val="both"/>
        <w:rPr>
          <w:szCs w:val="22"/>
        </w:rPr>
      </w:pPr>
      <w:r w:rsidRPr="008F7CBE">
        <w:rPr>
          <w:sz w:val="20"/>
          <w:szCs w:val="22"/>
        </w:rPr>
        <w:lastRenderedPageBreak/>
        <w:t>DATOS SOBRE EL RENDIMIENTO</w:t>
      </w:r>
    </w:p>
    <w:p w:rsidR="00FA2BC6" w:rsidRPr="00AB07C6" w:rsidRDefault="00FA2BC6" w:rsidP="00DC1333">
      <w:pPr>
        <w:keepNext/>
        <w:rPr>
          <w:bCs/>
          <w:sz w:val="16"/>
          <w:szCs w:val="16"/>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0"/>
        <w:gridCol w:w="2251"/>
        <w:gridCol w:w="281"/>
        <w:gridCol w:w="1405"/>
        <w:gridCol w:w="2111"/>
        <w:gridCol w:w="1273"/>
      </w:tblGrid>
      <w:tr w:rsidR="00FA2BC6" w:rsidRPr="00AB07C6" w:rsidTr="00DC1333">
        <w:trPr>
          <w:trHeight w:val="763"/>
        </w:trPr>
        <w:tc>
          <w:tcPr>
            <w:tcW w:w="5000" w:type="pct"/>
            <w:gridSpan w:val="6"/>
            <w:tcBorders>
              <w:top w:val="single" w:sz="4" w:space="0" w:color="auto"/>
              <w:bottom w:val="single" w:sz="4" w:space="0" w:color="auto"/>
            </w:tcBorders>
            <w:shd w:val="clear" w:color="auto" w:fill="C6D9F1" w:themeFill="text2" w:themeFillTint="33"/>
            <w:vAlign w:val="center"/>
          </w:tcPr>
          <w:p w:rsidR="00FA2BC6" w:rsidRPr="00AB07C6" w:rsidRDefault="00FA2BC6" w:rsidP="00DC1333">
            <w:pPr>
              <w:keepNext/>
              <w:keepLines/>
              <w:spacing w:before="120" w:after="120"/>
              <w:ind w:left="2019" w:hanging="2019"/>
              <w:rPr>
                <w:b/>
                <w:bCs/>
                <w:sz w:val="16"/>
                <w:szCs w:val="16"/>
              </w:rPr>
            </w:pPr>
            <w:r w:rsidRPr="00AB07C6">
              <w:rPr>
                <w:b/>
                <w:bCs/>
                <w:sz w:val="16"/>
                <w:szCs w:val="16"/>
              </w:rPr>
              <w:t>Resultado previsto:</w:t>
            </w:r>
            <w:r w:rsidRPr="00AB07C6">
              <w:rPr>
                <w:b/>
                <w:bCs/>
                <w:sz w:val="16"/>
                <w:szCs w:val="16"/>
              </w:rPr>
              <w:tab/>
            </w:r>
            <w:r w:rsidRPr="00AB07C6">
              <w:rPr>
                <w:sz w:val="16"/>
                <w:szCs w:val="16"/>
              </w:rPr>
              <w:t>IV.1 Sistema actualizado y aceptado mundialmente de clasificaciones internacionales y normas técnicas de la OMPI para facilitar el acceso, el uso y la difusión de información de P.I. entre las partes interesadas de todo el mundo</w:t>
            </w:r>
          </w:p>
        </w:tc>
      </w:tr>
      <w:tr w:rsidR="00FA2BC6" w:rsidRPr="00AB07C6" w:rsidTr="00DC1333">
        <w:tc>
          <w:tcPr>
            <w:tcW w:w="1175" w:type="pct"/>
            <w:tcBorders>
              <w:top w:val="single" w:sz="4" w:space="0" w:color="auto"/>
            </w:tcBorders>
            <w:shd w:val="clear" w:color="auto" w:fill="auto"/>
            <w:vAlign w:val="center"/>
          </w:tcPr>
          <w:p w:rsidR="00FA2BC6" w:rsidRPr="00AB07C6" w:rsidRDefault="00FA2BC6" w:rsidP="00DC1333">
            <w:pPr>
              <w:keepNext/>
              <w:rPr>
                <w:sz w:val="16"/>
                <w:szCs w:val="16"/>
              </w:rPr>
            </w:pPr>
            <w:r w:rsidRPr="00AB07C6">
              <w:rPr>
                <w:b/>
                <w:i/>
                <w:sz w:val="16"/>
                <w:szCs w:val="16"/>
              </w:rPr>
              <w:t>Indicadores de rendimiento</w:t>
            </w:r>
          </w:p>
        </w:tc>
        <w:tc>
          <w:tcPr>
            <w:tcW w:w="1323" w:type="pct"/>
            <w:gridSpan w:val="2"/>
            <w:tcBorders>
              <w:top w:val="single" w:sz="4" w:space="0" w:color="auto"/>
            </w:tcBorders>
            <w:shd w:val="clear" w:color="auto" w:fill="auto"/>
            <w:vAlign w:val="center"/>
          </w:tcPr>
          <w:p w:rsidR="00FA2BC6" w:rsidRPr="00AB07C6" w:rsidRDefault="00FA2BC6" w:rsidP="00DC1333">
            <w:pPr>
              <w:keepNext/>
              <w:rPr>
                <w:b/>
                <w:bCs/>
                <w:sz w:val="16"/>
                <w:szCs w:val="16"/>
              </w:rPr>
            </w:pPr>
            <w:r w:rsidRPr="00AB07C6">
              <w:rPr>
                <w:b/>
                <w:bCs/>
                <w:sz w:val="16"/>
                <w:szCs w:val="16"/>
              </w:rPr>
              <w:t>Referencia</w:t>
            </w:r>
          </w:p>
        </w:tc>
        <w:tc>
          <w:tcPr>
            <w:tcW w:w="732" w:type="pct"/>
            <w:tcBorders>
              <w:top w:val="single" w:sz="4" w:space="0" w:color="auto"/>
            </w:tcBorders>
            <w:shd w:val="clear" w:color="auto" w:fill="auto"/>
            <w:tcMar>
              <w:top w:w="110" w:type="dxa"/>
            </w:tcMar>
            <w:vAlign w:val="center"/>
          </w:tcPr>
          <w:p w:rsidR="00FA2BC6" w:rsidRPr="00AB07C6" w:rsidRDefault="00FA2BC6" w:rsidP="00DC1333">
            <w:pPr>
              <w:keepNext/>
              <w:rPr>
                <w:b/>
                <w:sz w:val="16"/>
                <w:szCs w:val="16"/>
              </w:rPr>
            </w:pPr>
            <w:r w:rsidRPr="00AB07C6">
              <w:rPr>
                <w:b/>
                <w:sz w:val="16"/>
                <w:szCs w:val="16"/>
              </w:rPr>
              <w:t>Objetivos</w:t>
            </w:r>
          </w:p>
        </w:tc>
        <w:tc>
          <w:tcPr>
            <w:tcW w:w="1103" w:type="pct"/>
            <w:tcBorders>
              <w:top w:val="single" w:sz="4" w:space="0" w:color="auto"/>
            </w:tcBorders>
            <w:shd w:val="clear" w:color="auto" w:fill="FFFFFF"/>
            <w:tcMar>
              <w:top w:w="110" w:type="dxa"/>
            </w:tcMar>
            <w:vAlign w:val="center"/>
          </w:tcPr>
          <w:p w:rsidR="00FA2BC6" w:rsidRPr="00AB07C6" w:rsidRDefault="00FA2BC6" w:rsidP="00DC1333">
            <w:pPr>
              <w:keepNext/>
              <w:rPr>
                <w:sz w:val="16"/>
                <w:szCs w:val="16"/>
              </w:rPr>
            </w:pPr>
            <w:r w:rsidRPr="00AB07C6">
              <w:rPr>
                <w:b/>
                <w:sz w:val="16"/>
                <w:szCs w:val="16"/>
              </w:rPr>
              <w:t>Datos sobre el rendimiento</w:t>
            </w:r>
          </w:p>
        </w:tc>
        <w:tc>
          <w:tcPr>
            <w:tcW w:w="667" w:type="pct"/>
            <w:tcBorders>
              <w:top w:val="single" w:sz="4" w:space="0" w:color="auto"/>
              <w:bottom w:val="single" w:sz="4" w:space="0" w:color="auto"/>
            </w:tcBorders>
            <w:shd w:val="clear" w:color="auto" w:fill="auto"/>
            <w:tcMar>
              <w:top w:w="110" w:type="dxa"/>
            </w:tcMar>
            <w:vAlign w:val="center"/>
          </w:tcPr>
          <w:p w:rsidR="00FA2BC6" w:rsidRPr="00AB07C6" w:rsidRDefault="00FA2BC6" w:rsidP="00DC1333">
            <w:pPr>
              <w:keepNext/>
              <w:keepLines/>
              <w:ind w:left="-107"/>
              <w:jc w:val="center"/>
              <w:rPr>
                <w:b/>
                <w:bCs/>
                <w:sz w:val="16"/>
                <w:szCs w:val="16"/>
              </w:rPr>
            </w:pPr>
            <w:r w:rsidRPr="00AB07C6">
              <w:rPr>
                <w:b/>
                <w:bCs/>
                <w:sz w:val="16"/>
                <w:szCs w:val="16"/>
              </w:rPr>
              <w:t>Clave de colores</w:t>
            </w:r>
          </w:p>
        </w:tc>
      </w:tr>
      <w:tr w:rsidR="00FA2BC6" w:rsidRPr="00AB07C6" w:rsidTr="00DC1333">
        <w:tc>
          <w:tcPr>
            <w:tcW w:w="1175" w:type="pct"/>
            <w:shd w:val="clear" w:color="auto" w:fill="auto"/>
          </w:tcPr>
          <w:p w:rsidR="00FA2BC6" w:rsidRPr="00AB07C6" w:rsidRDefault="00FA2BC6" w:rsidP="00DC1333">
            <w:pPr>
              <w:keepNext/>
              <w:rPr>
                <w:sz w:val="16"/>
                <w:szCs w:val="16"/>
              </w:rPr>
            </w:pPr>
            <w:r w:rsidRPr="00AB07C6">
              <w:rPr>
                <w:sz w:val="16"/>
                <w:szCs w:val="16"/>
              </w:rPr>
              <w:t>Número de modificaciones y ficheros de información introducidos en la Clasificación de Niza</w:t>
            </w:r>
          </w:p>
        </w:tc>
        <w:tc>
          <w:tcPr>
            <w:tcW w:w="1323" w:type="pct"/>
            <w:gridSpan w:val="2"/>
            <w:shd w:val="clear" w:color="auto" w:fill="auto"/>
          </w:tcPr>
          <w:p w:rsidR="00FA2BC6" w:rsidRPr="00AB07C6" w:rsidRDefault="00FA2BC6" w:rsidP="00DC1333">
            <w:pPr>
              <w:keepNext/>
              <w:rPr>
                <w:color w:val="002060"/>
                <w:sz w:val="16"/>
                <w:szCs w:val="16"/>
                <w:lang w:bidi="th-TH"/>
              </w:rPr>
            </w:pPr>
            <w:r w:rsidRPr="00AB07C6">
              <w:rPr>
                <w:i/>
                <w:color w:val="002060"/>
                <w:sz w:val="16"/>
                <w:szCs w:val="16"/>
              </w:rPr>
              <w:t xml:space="preserve">Referencia actualizada a fines de 2013:  </w:t>
            </w:r>
          </w:p>
          <w:p w:rsidR="00FA2BC6" w:rsidRPr="00AB07C6" w:rsidRDefault="00FA2BC6" w:rsidP="00DC1333">
            <w:pPr>
              <w:keepNext/>
              <w:rPr>
                <w:color w:val="002060"/>
                <w:sz w:val="16"/>
                <w:szCs w:val="16"/>
                <w:lang w:bidi="th-TH"/>
              </w:rPr>
            </w:pPr>
            <w:r w:rsidRPr="00AB07C6">
              <w:rPr>
                <w:color w:val="002060"/>
                <w:sz w:val="16"/>
                <w:szCs w:val="16"/>
                <w:lang w:bidi="th-TH"/>
              </w:rPr>
              <w:t>423 modificaciones en 2013</w:t>
            </w:r>
            <w:r w:rsidRPr="00AB07C6">
              <w:rPr>
                <w:rStyle w:val="FootnoteReference"/>
                <w:color w:val="002060"/>
                <w:sz w:val="16"/>
                <w:szCs w:val="16"/>
                <w:lang w:bidi="th-TH"/>
              </w:rPr>
              <w:footnoteReference w:id="82"/>
            </w:r>
          </w:p>
          <w:p w:rsidR="00FA2BC6" w:rsidRPr="00AB07C6" w:rsidRDefault="00FA2BC6" w:rsidP="00DC1333">
            <w:pPr>
              <w:keepNext/>
              <w:rPr>
                <w:color w:val="002060"/>
                <w:sz w:val="16"/>
                <w:szCs w:val="16"/>
                <w:lang w:bidi="th-TH"/>
              </w:rPr>
            </w:pPr>
            <w:r w:rsidRPr="00AB07C6">
              <w:rPr>
                <w:color w:val="002060"/>
                <w:sz w:val="16"/>
                <w:szCs w:val="16"/>
                <w:lang w:bidi="th-TH"/>
              </w:rPr>
              <w:t>339 modificaciones en 2012</w:t>
            </w:r>
          </w:p>
          <w:p w:rsidR="00FA2BC6" w:rsidRPr="00AB07C6" w:rsidRDefault="00FA2BC6" w:rsidP="00DC1333">
            <w:pPr>
              <w:keepNext/>
              <w:rPr>
                <w:color w:val="002060"/>
                <w:sz w:val="12"/>
                <w:szCs w:val="12"/>
                <w:lang w:bidi="th-TH"/>
              </w:rPr>
            </w:pPr>
          </w:p>
          <w:p w:rsidR="00FA2BC6" w:rsidRPr="00AB07C6" w:rsidRDefault="00FA2BC6" w:rsidP="00DC1333">
            <w:pPr>
              <w:keepNext/>
              <w:rPr>
                <w:i/>
                <w:color w:val="002060"/>
                <w:sz w:val="16"/>
                <w:szCs w:val="16"/>
              </w:rPr>
            </w:pPr>
            <w:r w:rsidRPr="00AB07C6">
              <w:rPr>
                <w:color w:val="002060"/>
                <w:sz w:val="16"/>
                <w:szCs w:val="16"/>
                <w:lang w:bidi="th-TH"/>
              </w:rPr>
              <w:t>9 ficheros de información revisados y 17 nuevos ficheros de información introducidos</w:t>
            </w:r>
          </w:p>
          <w:p w:rsidR="00FA2BC6" w:rsidRPr="00AB07C6" w:rsidRDefault="00FA2BC6" w:rsidP="00DC1333">
            <w:pPr>
              <w:keepNext/>
              <w:rPr>
                <w:i/>
                <w:sz w:val="8"/>
                <w:szCs w:val="8"/>
              </w:rPr>
            </w:pPr>
          </w:p>
          <w:p w:rsidR="00FA2BC6" w:rsidRPr="00AB07C6" w:rsidRDefault="00FA2BC6" w:rsidP="00DC1333">
            <w:pPr>
              <w:keepNext/>
              <w:rPr>
                <w:sz w:val="16"/>
                <w:szCs w:val="16"/>
              </w:rPr>
            </w:pPr>
            <w:r w:rsidRPr="00AB07C6">
              <w:rPr>
                <w:i/>
                <w:sz w:val="16"/>
                <w:szCs w:val="16"/>
              </w:rPr>
              <w:t>Referencia original en el presupuesto de 2014/15</w:t>
            </w:r>
            <w:proofErr w:type="gramStart"/>
            <w:r w:rsidRPr="00AB07C6">
              <w:rPr>
                <w:i/>
                <w:sz w:val="16"/>
                <w:szCs w:val="16"/>
              </w:rPr>
              <w:t xml:space="preserve">: </w:t>
            </w:r>
            <w:r w:rsidRPr="00AB07C6">
              <w:rPr>
                <w:sz w:val="16"/>
                <w:szCs w:val="16"/>
              </w:rPr>
              <w:t xml:space="preserve"> N</w:t>
            </w:r>
            <w:proofErr w:type="gramEnd"/>
            <w:r w:rsidRPr="00AB07C6">
              <w:rPr>
                <w:sz w:val="16"/>
                <w:szCs w:val="16"/>
              </w:rPr>
              <w:t>º de modificaciones y de ficheros de información introducidos en 2013.</w:t>
            </w:r>
          </w:p>
        </w:tc>
        <w:tc>
          <w:tcPr>
            <w:tcW w:w="732" w:type="pct"/>
            <w:shd w:val="clear" w:color="auto" w:fill="auto"/>
            <w:tcMar>
              <w:top w:w="110" w:type="dxa"/>
            </w:tcMar>
          </w:tcPr>
          <w:p w:rsidR="00FA2BC6" w:rsidRPr="00AB07C6" w:rsidRDefault="00FA2BC6" w:rsidP="00DC1333">
            <w:pPr>
              <w:keepNext/>
              <w:rPr>
                <w:sz w:val="16"/>
                <w:szCs w:val="16"/>
                <w:lang w:bidi="th-TH"/>
              </w:rPr>
            </w:pPr>
            <w:r w:rsidRPr="00AB07C6">
              <w:rPr>
                <w:sz w:val="16"/>
                <w:szCs w:val="16"/>
                <w:lang w:bidi="th-TH"/>
              </w:rPr>
              <w:t>Aumento en comparación con la referencia</w:t>
            </w:r>
          </w:p>
        </w:tc>
        <w:tc>
          <w:tcPr>
            <w:tcW w:w="1103" w:type="pct"/>
            <w:shd w:val="clear" w:color="auto" w:fill="FFFFFF"/>
            <w:tcMar>
              <w:top w:w="110" w:type="dxa"/>
            </w:tcMar>
          </w:tcPr>
          <w:p w:rsidR="00FA2BC6" w:rsidRPr="00AB07C6" w:rsidRDefault="00FA2BC6" w:rsidP="00DC1333">
            <w:pPr>
              <w:keepNext/>
              <w:rPr>
                <w:sz w:val="16"/>
                <w:szCs w:val="16"/>
              </w:rPr>
            </w:pPr>
            <w:r w:rsidRPr="00AB07C6">
              <w:rPr>
                <w:sz w:val="16"/>
                <w:szCs w:val="16"/>
              </w:rPr>
              <w:t xml:space="preserve">1.480 modificaciones en el bienio:  </w:t>
            </w:r>
          </w:p>
          <w:p w:rsidR="00FA2BC6" w:rsidRPr="00AB07C6" w:rsidRDefault="00FA2BC6" w:rsidP="00DC1333">
            <w:pPr>
              <w:keepNext/>
              <w:rPr>
                <w:sz w:val="16"/>
                <w:szCs w:val="16"/>
              </w:rPr>
            </w:pPr>
            <w:r w:rsidRPr="00AB07C6">
              <w:rPr>
                <w:sz w:val="16"/>
                <w:szCs w:val="16"/>
              </w:rPr>
              <w:t>560 modificaciones en 2014</w:t>
            </w:r>
            <w:r w:rsidRPr="00AB07C6">
              <w:rPr>
                <w:rStyle w:val="FootnoteReference"/>
                <w:sz w:val="16"/>
                <w:szCs w:val="16"/>
              </w:rPr>
              <w:footnoteReference w:id="83"/>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274 en inglés</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286 en francés</w:t>
            </w:r>
          </w:p>
          <w:p w:rsidR="00FA2BC6" w:rsidRPr="00AB07C6" w:rsidRDefault="00FA2BC6" w:rsidP="00DC1333">
            <w:pPr>
              <w:keepNext/>
              <w:rPr>
                <w:sz w:val="16"/>
                <w:szCs w:val="16"/>
              </w:rPr>
            </w:pPr>
          </w:p>
          <w:p w:rsidR="00FA2BC6" w:rsidRPr="00AB07C6" w:rsidRDefault="00FA2BC6" w:rsidP="00DC1333">
            <w:pPr>
              <w:keepNext/>
              <w:rPr>
                <w:sz w:val="16"/>
                <w:szCs w:val="16"/>
              </w:rPr>
            </w:pPr>
            <w:r w:rsidRPr="00AB07C6">
              <w:rPr>
                <w:sz w:val="16"/>
                <w:szCs w:val="16"/>
              </w:rPr>
              <w:t>920 modificaciones en 2015</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496 en inglés</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424 en francés</w:t>
            </w:r>
          </w:p>
          <w:p w:rsidR="00FA2BC6" w:rsidRPr="00AB07C6" w:rsidRDefault="00FA2BC6" w:rsidP="00DC1333">
            <w:pPr>
              <w:keepNext/>
              <w:rPr>
                <w:sz w:val="16"/>
                <w:szCs w:val="16"/>
              </w:rPr>
            </w:pPr>
          </w:p>
          <w:p w:rsidR="00FA2BC6" w:rsidRPr="00AB07C6" w:rsidRDefault="00FA2BC6" w:rsidP="00DC1333">
            <w:pPr>
              <w:keepNext/>
              <w:rPr>
                <w:sz w:val="16"/>
                <w:szCs w:val="16"/>
              </w:rPr>
            </w:pPr>
            <w:r w:rsidRPr="00AB07C6">
              <w:rPr>
                <w:sz w:val="16"/>
                <w:szCs w:val="16"/>
              </w:rPr>
              <w:t>43 ficheros de información revisados</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39 (2014)</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4 (2015)</w:t>
            </w:r>
          </w:p>
          <w:p w:rsidR="00FA2BC6" w:rsidRPr="00AB07C6" w:rsidRDefault="00FA2BC6" w:rsidP="00DC1333">
            <w:pPr>
              <w:keepNext/>
              <w:rPr>
                <w:sz w:val="16"/>
                <w:szCs w:val="16"/>
              </w:rPr>
            </w:pPr>
          </w:p>
          <w:p w:rsidR="00FA2BC6" w:rsidRPr="00AB07C6" w:rsidRDefault="00FA2BC6" w:rsidP="00DC1333">
            <w:pPr>
              <w:keepNext/>
              <w:rPr>
                <w:sz w:val="16"/>
                <w:szCs w:val="16"/>
              </w:rPr>
            </w:pPr>
            <w:r w:rsidRPr="00AB07C6">
              <w:rPr>
                <w:sz w:val="16"/>
                <w:szCs w:val="16"/>
              </w:rPr>
              <w:t>25 nuevos ficheros de información introducidos</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20 (2014)</w:t>
            </w:r>
          </w:p>
          <w:p w:rsidR="00FA2BC6" w:rsidRPr="00AB07C6" w:rsidRDefault="00FA2BC6" w:rsidP="00FA2BC6">
            <w:pPr>
              <w:pStyle w:val="Default"/>
              <w:keepNext/>
              <w:keepLines/>
              <w:numPr>
                <w:ilvl w:val="0"/>
                <w:numId w:val="72"/>
              </w:numPr>
              <w:rPr>
                <w:sz w:val="16"/>
                <w:szCs w:val="16"/>
                <w:lang w:val="es-ES"/>
              </w:rPr>
            </w:pPr>
            <w:r w:rsidRPr="00AB07C6">
              <w:rPr>
                <w:sz w:val="16"/>
                <w:szCs w:val="16"/>
                <w:lang w:val="es-ES"/>
              </w:rPr>
              <w:t>5 (2015)</w:t>
            </w:r>
          </w:p>
        </w:tc>
        <w:tc>
          <w:tcPr>
            <w:tcW w:w="667" w:type="pct"/>
            <w:tcBorders>
              <w:top w:val="single" w:sz="4" w:space="0" w:color="auto"/>
              <w:bottom w:val="nil"/>
            </w:tcBorders>
            <w:shd w:val="clear" w:color="auto" w:fill="auto"/>
            <w:tcMar>
              <w:top w:w="110" w:type="dxa"/>
            </w:tcMar>
          </w:tcPr>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tc>
      </w:tr>
      <w:tr w:rsidR="00FA2BC6" w:rsidRPr="00AB07C6" w:rsidTr="00DC1333">
        <w:tc>
          <w:tcPr>
            <w:tcW w:w="1175" w:type="pct"/>
            <w:shd w:val="clear" w:color="auto" w:fill="auto"/>
            <w:vAlign w:val="center"/>
          </w:tcPr>
          <w:p w:rsidR="00FA2BC6" w:rsidRPr="00AB07C6" w:rsidRDefault="00FA2BC6" w:rsidP="00DC1333">
            <w:pPr>
              <w:rPr>
                <w:sz w:val="16"/>
                <w:szCs w:val="16"/>
              </w:rPr>
            </w:pPr>
            <w:r w:rsidRPr="00AB07C6">
              <w:rPr>
                <w:b/>
                <w:sz w:val="16"/>
                <w:szCs w:val="16"/>
              </w:rPr>
              <w:t>Indicadores de rendimiento</w:t>
            </w:r>
          </w:p>
        </w:tc>
        <w:tc>
          <w:tcPr>
            <w:tcW w:w="1176" w:type="pct"/>
            <w:shd w:val="clear" w:color="auto" w:fill="auto"/>
            <w:vAlign w:val="center"/>
          </w:tcPr>
          <w:p w:rsidR="00FA2BC6" w:rsidRPr="00AB07C6" w:rsidRDefault="00FA2BC6" w:rsidP="00DC1333">
            <w:pPr>
              <w:rPr>
                <w:b/>
                <w:bCs/>
                <w:sz w:val="16"/>
                <w:szCs w:val="16"/>
              </w:rPr>
            </w:pPr>
            <w:r w:rsidRPr="00AB07C6">
              <w:rPr>
                <w:b/>
                <w:bCs/>
                <w:sz w:val="16"/>
                <w:szCs w:val="16"/>
              </w:rPr>
              <w:t>Referencia</w:t>
            </w:r>
          </w:p>
        </w:tc>
        <w:tc>
          <w:tcPr>
            <w:tcW w:w="881" w:type="pct"/>
            <w:gridSpan w:val="2"/>
            <w:shd w:val="clear" w:color="auto" w:fill="auto"/>
            <w:tcMar>
              <w:top w:w="110" w:type="dxa"/>
            </w:tcMar>
            <w:vAlign w:val="center"/>
          </w:tcPr>
          <w:p w:rsidR="00FA2BC6" w:rsidRPr="00AB07C6" w:rsidRDefault="00FA2BC6" w:rsidP="00DC1333">
            <w:pPr>
              <w:rPr>
                <w:b/>
                <w:sz w:val="16"/>
                <w:szCs w:val="16"/>
              </w:rPr>
            </w:pPr>
            <w:r w:rsidRPr="00AB07C6">
              <w:rPr>
                <w:b/>
                <w:sz w:val="16"/>
                <w:szCs w:val="16"/>
              </w:rPr>
              <w:t>Objetivos</w:t>
            </w:r>
          </w:p>
        </w:tc>
        <w:tc>
          <w:tcPr>
            <w:tcW w:w="1103" w:type="pct"/>
            <w:shd w:val="clear" w:color="auto" w:fill="FFFFFF"/>
            <w:tcMar>
              <w:top w:w="110" w:type="dxa"/>
            </w:tcMar>
            <w:vAlign w:val="center"/>
          </w:tcPr>
          <w:p w:rsidR="00FA2BC6" w:rsidRPr="00AB07C6" w:rsidRDefault="00FA2BC6" w:rsidP="00DC1333">
            <w:pPr>
              <w:rPr>
                <w:sz w:val="16"/>
                <w:szCs w:val="16"/>
              </w:rPr>
            </w:pPr>
            <w:r w:rsidRPr="00AB07C6">
              <w:rPr>
                <w:b/>
                <w:sz w:val="16"/>
                <w:szCs w:val="16"/>
              </w:rPr>
              <w:t>Datos sobre el rendimiento</w:t>
            </w:r>
          </w:p>
        </w:tc>
        <w:tc>
          <w:tcPr>
            <w:tcW w:w="665" w:type="pct"/>
            <w:tcBorders>
              <w:top w:val="nil"/>
            </w:tcBorders>
            <w:shd w:val="clear" w:color="auto" w:fill="auto"/>
            <w:tcMar>
              <w:top w:w="110" w:type="dxa"/>
            </w:tcMar>
            <w:vAlign w:val="center"/>
          </w:tcPr>
          <w:p w:rsidR="00FA2BC6" w:rsidRPr="00AB07C6" w:rsidRDefault="00FA2BC6" w:rsidP="00DC1333">
            <w:pPr>
              <w:keepNext/>
              <w:keepLines/>
              <w:ind w:left="-107"/>
              <w:jc w:val="center"/>
              <w:rPr>
                <w:b/>
                <w:bCs/>
                <w:sz w:val="16"/>
                <w:szCs w:val="16"/>
              </w:rPr>
            </w:pPr>
            <w:r w:rsidRPr="00AB07C6">
              <w:rPr>
                <w:b/>
                <w:bCs/>
                <w:sz w:val="16"/>
                <w:szCs w:val="16"/>
              </w:rPr>
              <w:t>Clave de colores</w:t>
            </w:r>
          </w:p>
        </w:tc>
      </w:tr>
      <w:tr w:rsidR="00FA2BC6" w:rsidRPr="00AB07C6" w:rsidTr="00DC1333">
        <w:tc>
          <w:tcPr>
            <w:tcW w:w="1175" w:type="pct"/>
            <w:shd w:val="clear" w:color="auto" w:fill="auto"/>
          </w:tcPr>
          <w:p w:rsidR="00FA2BC6" w:rsidRPr="00AB07C6" w:rsidRDefault="00FA2BC6" w:rsidP="00DC1333">
            <w:pPr>
              <w:rPr>
                <w:sz w:val="16"/>
                <w:szCs w:val="16"/>
              </w:rPr>
            </w:pPr>
            <w:r>
              <w:rPr>
                <w:sz w:val="16"/>
                <w:szCs w:val="16"/>
              </w:rPr>
              <w:t>Nº</w:t>
            </w:r>
            <w:r w:rsidRPr="00AB07C6">
              <w:rPr>
                <w:sz w:val="16"/>
                <w:szCs w:val="16"/>
              </w:rPr>
              <w:t xml:space="preserve"> de nuevas subdivisiones introducidas anualmente en la CIP</w:t>
            </w:r>
          </w:p>
        </w:tc>
        <w:tc>
          <w:tcPr>
            <w:tcW w:w="1176" w:type="pct"/>
            <w:shd w:val="clear" w:color="auto" w:fill="auto"/>
          </w:tcPr>
          <w:p w:rsidR="00FA2BC6" w:rsidRPr="00AB07C6" w:rsidRDefault="00FA2BC6" w:rsidP="00DC1333">
            <w:pPr>
              <w:rPr>
                <w:color w:val="002060"/>
                <w:sz w:val="16"/>
                <w:szCs w:val="16"/>
              </w:rPr>
            </w:pPr>
            <w:r w:rsidRPr="00AB07C6">
              <w:rPr>
                <w:i/>
                <w:color w:val="002060"/>
                <w:sz w:val="16"/>
                <w:szCs w:val="16"/>
              </w:rPr>
              <w:t xml:space="preserve">Referencia actualizada a fines de 2013:  </w:t>
            </w:r>
            <w:r w:rsidRPr="00AB07C6">
              <w:rPr>
                <w:color w:val="002060"/>
                <w:sz w:val="16"/>
                <w:szCs w:val="16"/>
              </w:rPr>
              <w:t>617</w:t>
            </w:r>
          </w:p>
          <w:p w:rsidR="00FA2BC6" w:rsidRPr="00AB07C6" w:rsidRDefault="00FA2BC6" w:rsidP="00DC1333">
            <w:pPr>
              <w:rPr>
                <w:i/>
                <w:sz w:val="8"/>
                <w:szCs w:val="8"/>
              </w:rPr>
            </w:pPr>
          </w:p>
          <w:p w:rsidR="00FA2BC6" w:rsidRPr="00AB07C6" w:rsidRDefault="00FA2BC6" w:rsidP="00DC1333">
            <w:pPr>
              <w:rPr>
                <w:i/>
                <w:color w:val="002060"/>
                <w:sz w:val="16"/>
                <w:szCs w:val="16"/>
              </w:rPr>
            </w:pPr>
            <w:r w:rsidRPr="00AB07C6">
              <w:rPr>
                <w:i/>
                <w:sz w:val="16"/>
                <w:szCs w:val="16"/>
              </w:rPr>
              <w:t>Referencia original en el presupuesto de 2014/15:</w:t>
            </w:r>
            <w:r w:rsidRPr="00AB07C6">
              <w:rPr>
                <w:sz w:val="16"/>
                <w:szCs w:val="16"/>
              </w:rPr>
              <w:t xml:space="preserve">  500 nuevos grupos, promedio 2009-13</w:t>
            </w:r>
          </w:p>
        </w:tc>
        <w:tc>
          <w:tcPr>
            <w:tcW w:w="881" w:type="pct"/>
            <w:gridSpan w:val="2"/>
            <w:shd w:val="clear" w:color="auto" w:fill="auto"/>
            <w:tcMar>
              <w:top w:w="110" w:type="dxa"/>
            </w:tcMar>
          </w:tcPr>
          <w:p w:rsidR="00FA2BC6" w:rsidRPr="00AB07C6" w:rsidRDefault="00FA2BC6" w:rsidP="00DC1333">
            <w:pPr>
              <w:rPr>
                <w:sz w:val="16"/>
                <w:szCs w:val="16"/>
              </w:rPr>
            </w:pPr>
            <w:r w:rsidRPr="00AB07C6">
              <w:rPr>
                <w:sz w:val="16"/>
                <w:szCs w:val="16"/>
              </w:rPr>
              <w:t>800 nuevos grupos por año</w:t>
            </w:r>
          </w:p>
        </w:tc>
        <w:tc>
          <w:tcPr>
            <w:tcW w:w="1103" w:type="pct"/>
            <w:shd w:val="clear" w:color="auto" w:fill="FFFFFF"/>
            <w:tcMar>
              <w:top w:w="110" w:type="dxa"/>
            </w:tcMar>
          </w:tcPr>
          <w:p w:rsidR="00FA2BC6" w:rsidRPr="00AB07C6" w:rsidRDefault="00FA2BC6" w:rsidP="00DC1333">
            <w:pPr>
              <w:rPr>
                <w:color w:val="000000"/>
                <w:sz w:val="16"/>
                <w:szCs w:val="16"/>
              </w:rPr>
            </w:pPr>
            <w:r w:rsidRPr="00AB07C6">
              <w:rPr>
                <w:color w:val="000000"/>
                <w:sz w:val="16"/>
                <w:szCs w:val="16"/>
              </w:rPr>
              <w:t>2014:  Introducción de 337 nuevos grupos en la versión 2015.01 de la CIP</w:t>
            </w:r>
          </w:p>
          <w:p w:rsidR="00FA2BC6" w:rsidRPr="00AB07C6" w:rsidRDefault="00FA2BC6" w:rsidP="00DC1333">
            <w:pPr>
              <w:rPr>
                <w:color w:val="000000"/>
                <w:sz w:val="6"/>
                <w:szCs w:val="6"/>
              </w:rPr>
            </w:pPr>
          </w:p>
          <w:p w:rsidR="00FA2BC6" w:rsidRPr="00AB07C6" w:rsidRDefault="00FA2BC6" w:rsidP="00DC1333">
            <w:pPr>
              <w:rPr>
                <w:sz w:val="8"/>
                <w:szCs w:val="8"/>
                <w:lang w:bidi="th-TH"/>
              </w:rPr>
            </w:pPr>
            <w:r w:rsidRPr="00AB07C6">
              <w:rPr>
                <w:color w:val="000000"/>
                <w:sz w:val="16"/>
                <w:szCs w:val="16"/>
              </w:rPr>
              <w:t>2015:  Introducción de 1.031 nuevos grupos en la versión 2016.01 de la CIP</w:t>
            </w:r>
          </w:p>
        </w:tc>
        <w:tc>
          <w:tcPr>
            <w:tcW w:w="665" w:type="pct"/>
            <w:shd w:val="clear" w:color="auto" w:fill="auto"/>
            <w:tcMar>
              <w:top w:w="110" w:type="dxa"/>
            </w:tcMar>
          </w:tcPr>
          <w:p w:rsidR="00FA2BC6" w:rsidRPr="00AB07C6" w:rsidRDefault="00FA2BC6" w:rsidP="00DC1333">
            <w:pPr>
              <w:keepNext/>
              <w:keepLines/>
              <w:ind w:left="-107" w:right="-107"/>
              <w:jc w:val="center"/>
              <w:rPr>
                <w:b/>
                <w:bCs/>
                <w:color w:val="E36C0A" w:themeColor="accent6" w:themeShade="BF"/>
                <w:sz w:val="16"/>
                <w:szCs w:val="16"/>
              </w:rPr>
            </w:pPr>
            <w:r w:rsidRPr="00AB07C6">
              <w:rPr>
                <w:b/>
                <w:bCs/>
                <w:color w:val="E36C0A" w:themeColor="accent6" w:themeShade="BF"/>
                <w:sz w:val="16"/>
                <w:szCs w:val="16"/>
              </w:rPr>
              <w:t>Parcialmente logrado</w:t>
            </w:r>
          </w:p>
          <w:p w:rsidR="00FA2BC6" w:rsidRPr="00AB07C6" w:rsidRDefault="00FA2BC6" w:rsidP="00DC1333">
            <w:pPr>
              <w:keepNext/>
              <w:keepLines/>
              <w:ind w:left="-107" w:right="-107"/>
              <w:jc w:val="center"/>
              <w:rPr>
                <w:b/>
                <w:bCs/>
                <w:color w:val="E36C0A" w:themeColor="accent6" w:themeShade="BF"/>
                <w:sz w:val="16"/>
                <w:szCs w:val="16"/>
              </w:rPr>
            </w:pPr>
          </w:p>
          <w:p w:rsidR="00FA2BC6" w:rsidRPr="00AB07C6" w:rsidRDefault="00FA2BC6" w:rsidP="00DC1333">
            <w:pPr>
              <w:keepNext/>
              <w:keepLines/>
              <w:ind w:left="-107" w:right="-107"/>
              <w:jc w:val="center"/>
              <w:rPr>
                <w:b/>
                <w:bCs/>
                <w:color w:val="E36C0A" w:themeColor="accent6" w:themeShade="BF"/>
                <w:sz w:val="16"/>
                <w:szCs w:val="16"/>
              </w:rPr>
            </w:pPr>
          </w:p>
          <w:p w:rsidR="00FA2BC6" w:rsidRPr="00AB07C6" w:rsidRDefault="00FA2BC6" w:rsidP="00DC1333">
            <w:pPr>
              <w:keepNext/>
              <w:keepLines/>
              <w:ind w:left="-107" w:right="-107"/>
              <w:jc w:val="center"/>
              <w:rPr>
                <w:b/>
                <w:bCs/>
                <w:color w:val="FF0000"/>
                <w:sz w:val="16"/>
                <w:szCs w:val="16"/>
              </w:rPr>
            </w:pPr>
            <w:r w:rsidRPr="00AB07C6">
              <w:rPr>
                <w:b/>
                <w:bCs/>
                <w:color w:val="00B050"/>
                <w:sz w:val="16"/>
                <w:szCs w:val="16"/>
              </w:rPr>
              <w:t>Plenamente logrado</w:t>
            </w:r>
          </w:p>
        </w:tc>
      </w:tr>
      <w:tr w:rsidR="00FA2BC6" w:rsidRPr="00AB07C6" w:rsidTr="00DC1333">
        <w:tc>
          <w:tcPr>
            <w:tcW w:w="1175" w:type="pct"/>
            <w:shd w:val="clear" w:color="auto" w:fill="auto"/>
          </w:tcPr>
          <w:p w:rsidR="00FA2BC6" w:rsidRPr="00AB07C6" w:rsidRDefault="00FA2BC6" w:rsidP="00DC1333">
            <w:pPr>
              <w:rPr>
                <w:sz w:val="16"/>
                <w:szCs w:val="16"/>
              </w:rPr>
            </w:pPr>
            <w:r w:rsidRPr="00AB07C6">
              <w:rPr>
                <w:sz w:val="16"/>
                <w:szCs w:val="16"/>
              </w:rPr>
              <w:t>Número de normas técnicas modificadas y nuevas normas técnicas adoptadas</w:t>
            </w:r>
          </w:p>
        </w:tc>
        <w:tc>
          <w:tcPr>
            <w:tcW w:w="1176" w:type="pct"/>
            <w:shd w:val="clear" w:color="auto" w:fill="auto"/>
          </w:tcPr>
          <w:p w:rsidR="00FA2BC6" w:rsidRPr="00AB07C6" w:rsidRDefault="00FA2BC6" w:rsidP="00DC1333">
            <w:pPr>
              <w:pStyle w:val="CommentText"/>
              <w:rPr>
                <w:color w:val="002060"/>
              </w:rPr>
            </w:pPr>
            <w:r w:rsidRPr="00AB07C6">
              <w:rPr>
                <w:i/>
                <w:color w:val="002060"/>
                <w:sz w:val="16"/>
                <w:szCs w:val="16"/>
              </w:rPr>
              <w:t xml:space="preserve">Referencia actualizada a fines de 2013:  </w:t>
            </w:r>
          </w:p>
          <w:p w:rsidR="00FA2BC6" w:rsidRPr="00AB07C6" w:rsidRDefault="00FA2BC6" w:rsidP="00DC1333">
            <w:pPr>
              <w:pStyle w:val="CommentText"/>
              <w:rPr>
                <w:i/>
                <w:color w:val="000000"/>
                <w:sz w:val="16"/>
                <w:szCs w:val="16"/>
              </w:rPr>
            </w:pPr>
            <w:r w:rsidRPr="00AB07C6">
              <w:rPr>
                <w:i/>
                <w:color w:val="000000"/>
                <w:sz w:val="16"/>
                <w:szCs w:val="16"/>
              </w:rPr>
              <w:t>Se adoptó una norma nueva y se modificaron dos en 2012.   En 2013 se modificaron una norma técnica y el glosario.</w:t>
            </w:r>
          </w:p>
          <w:p w:rsidR="00FA2BC6" w:rsidRPr="00AB07C6" w:rsidRDefault="00FA2BC6" w:rsidP="00DC1333">
            <w:pPr>
              <w:rPr>
                <w:i/>
                <w:sz w:val="16"/>
                <w:szCs w:val="16"/>
              </w:rPr>
            </w:pPr>
          </w:p>
          <w:p w:rsidR="00FA2BC6" w:rsidRPr="00AB07C6" w:rsidRDefault="00FA2BC6" w:rsidP="00DC1333">
            <w:pPr>
              <w:rPr>
                <w:i/>
                <w:color w:val="002060"/>
                <w:sz w:val="16"/>
                <w:szCs w:val="16"/>
              </w:rPr>
            </w:pPr>
            <w:r w:rsidRPr="00AB07C6">
              <w:rPr>
                <w:i/>
                <w:sz w:val="16"/>
                <w:szCs w:val="16"/>
              </w:rPr>
              <w:t>Referencia original en el presupuesto de 2014/15:</w:t>
            </w:r>
            <w:r w:rsidRPr="00AB07C6">
              <w:rPr>
                <w:sz w:val="16"/>
                <w:szCs w:val="16"/>
              </w:rPr>
              <w:t xml:space="preserve"> </w:t>
            </w:r>
            <w:r>
              <w:rPr>
                <w:sz w:val="16"/>
                <w:szCs w:val="16"/>
              </w:rPr>
              <w:t xml:space="preserve"> </w:t>
            </w:r>
            <w:r w:rsidRPr="00AB07C6">
              <w:rPr>
                <w:sz w:val="16"/>
                <w:szCs w:val="16"/>
              </w:rPr>
              <w:t>promedio 2012/13 (por determinar)</w:t>
            </w:r>
          </w:p>
        </w:tc>
        <w:tc>
          <w:tcPr>
            <w:tcW w:w="881" w:type="pct"/>
            <w:gridSpan w:val="2"/>
            <w:shd w:val="clear" w:color="auto" w:fill="auto"/>
            <w:tcMar>
              <w:top w:w="110" w:type="dxa"/>
            </w:tcMar>
          </w:tcPr>
          <w:p w:rsidR="00FA2BC6" w:rsidRPr="00AB07C6" w:rsidRDefault="00FA2BC6" w:rsidP="00DC1333">
            <w:pPr>
              <w:rPr>
                <w:sz w:val="16"/>
                <w:szCs w:val="16"/>
              </w:rPr>
            </w:pPr>
            <w:r w:rsidRPr="00AB07C6">
              <w:rPr>
                <w:sz w:val="16"/>
                <w:szCs w:val="16"/>
              </w:rPr>
              <w:t>Aumento en comparación con la referencia</w:t>
            </w:r>
          </w:p>
        </w:tc>
        <w:tc>
          <w:tcPr>
            <w:tcW w:w="1103" w:type="pct"/>
            <w:shd w:val="clear" w:color="auto" w:fill="FFFFFF"/>
            <w:tcMar>
              <w:top w:w="110" w:type="dxa"/>
            </w:tcMar>
          </w:tcPr>
          <w:p w:rsidR="00FA2BC6" w:rsidRPr="00AB07C6" w:rsidRDefault="00FA2BC6" w:rsidP="00DC1333">
            <w:pPr>
              <w:rPr>
                <w:color w:val="000000"/>
                <w:sz w:val="16"/>
                <w:szCs w:val="16"/>
              </w:rPr>
            </w:pPr>
            <w:r w:rsidRPr="00AB07C6">
              <w:rPr>
                <w:color w:val="000000"/>
                <w:sz w:val="16"/>
                <w:szCs w:val="16"/>
              </w:rPr>
              <w:t xml:space="preserve">Se adoptó una nueva norma técnica </w:t>
            </w:r>
            <w:r w:rsidR="002E6163">
              <w:rPr>
                <w:color w:val="000000"/>
                <w:sz w:val="16"/>
                <w:szCs w:val="16"/>
              </w:rPr>
              <w:t xml:space="preserve">de manera informal </w:t>
            </w:r>
            <w:r w:rsidRPr="00AB07C6">
              <w:rPr>
                <w:color w:val="000000"/>
                <w:sz w:val="16"/>
                <w:szCs w:val="16"/>
              </w:rPr>
              <w:t>y se revisó una (2014)</w:t>
            </w:r>
          </w:p>
          <w:p w:rsidR="00FA2BC6" w:rsidRPr="00AB07C6" w:rsidRDefault="00FA2BC6" w:rsidP="00DC1333">
            <w:pPr>
              <w:rPr>
                <w:color w:val="000000"/>
                <w:sz w:val="16"/>
                <w:szCs w:val="16"/>
              </w:rPr>
            </w:pPr>
          </w:p>
          <w:p w:rsidR="00FA2BC6" w:rsidRPr="00AB07C6" w:rsidRDefault="00FA2BC6" w:rsidP="00DC1333">
            <w:pPr>
              <w:rPr>
                <w:color w:val="000000"/>
                <w:sz w:val="16"/>
                <w:szCs w:val="16"/>
              </w:rPr>
            </w:pPr>
          </w:p>
          <w:p w:rsidR="00FA2BC6" w:rsidRPr="00AB07C6" w:rsidRDefault="00FA2BC6" w:rsidP="00DC1333">
            <w:pPr>
              <w:rPr>
                <w:color w:val="000000"/>
                <w:sz w:val="16"/>
                <w:szCs w:val="16"/>
              </w:rPr>
            </w:pPr>
          </w:p>
          <w:p w:rsidR="00FA2BC6" w:rsidRPr="00AB07C6" w:rsidRDefault="00FA2BC6" w:rsidP="00DC1333">
            <w:pPr>
              <w:rPr>
                <w:color w:val="000000"/>
                <w:sz w:val="16"/>
                <w:szCs w:val="16"/>
              </w:rPr>
            </w:pPr>
          </w:p>
          <w:p w:rsidR="00FA2BC6" w:rsidRPr="00AB07C6" w:rsidRDefault="00FA2BC6" w:rsidP="00DC1333">
            <w:pPr>
              <w:rPr>
                <w:sz w:val="8"/>
                <w:szCs w:val="8"/>
                <w:lang w:bidi="th-TH"/>
              </w:rPr>
            </w:pPr>
            <w:r w:rsidRPr="00AB07C6">
              <w:rPr>
                <w:color w:val="000000"/>
                <w:sz w:val="16"/>
                <w:szCs w:val="16"/>
              </w:rPr>
              <w:t>No se adoptó ninguna nueva norma técnica de manera formal.  Se revisaron dos normas técnicas (2015)</w:t>
            </w:r>
          </w:p>
        </w:tc>
        <w:tc>
          <w:tcPr>
            <w:tcW w:w="665" w:type="pct"/>
            <w:shd w:val="clear" w:color="auto" w:fill="auto"/>
            <w:tcMar>
              <w:top w:w="110" w:type="dxa"/>
            </w:tcMar>
          </w:tcPr>
          <w:p w:rsidR="00FA2BC6" w:rsidRPr="00AB07C6" w:rsidRDefault="00FA2BC6" w:rsidP="00DC1333">
            <w:pPr>
              <w:keepNext/>
              <w:keepLines/>
              <w:ind w:left="-107" w:right="-107"/>
              <w:jc w:val="center"/>
              <w:rPr>
                <w:b/>
                <w:bCs/>
                <w:color w:val="FF0000"/>
                <w:sz w:val="16"/>
                <w:szCs w:val="16"/>
              </w:rPr>
            </w:pPr>
            <w:r w:rsidRPr="00AB07C6">
              <w:rPr>
                <w:b/>
                <w:bCs/>
                <w:color w:val="E36C0A" w:themeColor="accent6" w:themeShade="BF"/>
                <w:sz w:val="16"/>
                <w:szCs w:val="16"/>
              </w:rPr>
              <w:t>Parcialmente logrado</w:t>
            </w:r>
          </w:p>
        </w:tc>
      </w:tr>
      <w:tr w:rsidR="00FA2BC6" w:rsidRPr="00AB07C6" w:rsidTr="00DC1333">
        <w:tc>
          <w:tcPr>
            <w:tcW w:w="1175" w:type="pct"/>
            <w:shd w:val="clear" w:color="auto" w:fill="auto"/>
          </w:tcPr>
          <w:p w:rsidR="00FA2BC6" w:rsidRPr="00AB07C6" w:rsidRDefault="00FA2BC6" w:rsidP="00DC1333">
            <w:pPr>
              <w:rPr>
                <w:sz w:val="16"/>
                <w:szCs w:val="16"/>
              </w:rPr>
            </w:pPr>
            <w:r w:rsidRPr="00AB07C6">
              <w:rPr>
                <w:sz w:val="16"/>
                <w:szCs w:val="16"/>
              </w:rPr>
              <w:t>Número de usuarios que tienen acceso a las publicaciones de clasificaciones internacionales y normas técnicas, especialmente de países en desarrollo</w:t>
            </w:r>
          </w:p>
        </w:tc>
        <w:tc>
          <w:tcPr>
            <w:tcW w:w="1176" w:type="pct"/>
            <w:shd w:val="clear" w:color="auto" w:fill="auto"/>
          </w:tcPr>
          <w:p w:rsidR="00FA2BC6" w:rsidRPr="00AB07C6" w:rsidRDefault="00FA2BC6" w:rsidP="00DC1333">
            <w:pPr>
              <w:rPr>
                <w:i/>
                <w:color w:val="002060"/>
                <w:sz w:val="16"/>
                <w:szCs w:val="16"/>
              </w:rPr>
            </w:pPr>
            <w:r w:rsidRPr="00AB07C6">
              <w:rPr>
                <w:i/>
                <w:color w:val="002060"/>
                <w:sz w:val="16"/>
                <w:szCs w:val="16"/>
              </w:rPr>
              <w:t xml:space="preserve">Referencia actualizada a fines de 2013:  </w:t>
            </w:r>
          </w:p>
          <w:p w:rsidR="00FA2BC6" w:rsidRPr="00AB07C6" w:rsidRDefault="00FA2BC6" w:rsidP="00DC1333">
            <w:pPr>
              <w:spacing w:after="120"/>
              <w:rPr>
                <w:color w:val="002060"/>
                <w:sz w:val="16"/>
                <w:szCs w:val="16"/>
              </w:rPr>
            </w:pPr>
            <w:r w:rsidRPr="00AB07C6">
              <w:rPr>
                <w:color w:val="002060"/>
                <w:sz w:val="16"/>
                <w:szCs w:val="16"/>
              </w:rPr>
              <w:t>Pág. principal CIP:  387.093</w:t>
            </w:r>
            <w:r w:rsidRPr="00AB07C6">
              <w:rPr>
                <w:color w:val="002060"/>
                <w:sz w:val="16"/>
                <w:szCs w:val="16"/>
              </w:rPr>
              <w:br/>
            </w:r>
            <w:r w:rsidRPr="00AB07C6">
              <w:rPr>
                <w:color w:val="002060"/>
                <w:sz w:val="16"/>
                <w:szCs w:val="16"/>
              </w:rPr>
              <w:br/>
              <w:t xml:space="preserve">Edición de la CIP: </w:t>
            </w:r>
            <w:r>
              <w:rPr>
                <w:color w:val="002060"/>
                <w:sz w:val="16"/>
                <w:szCs w:val="16"/>
              </w:rPr>
              <w:t xml:space="preserve"> </w:t>
            </w:r>
            <w:r w:rsidRPr="00AB07C6">
              <w:rPr>
                <w:color w:val="002060"/>
                <w:sz w:val="16"/>
                <w:szCs w:val="16"/>
              </w:rPr>
              <w:t>670.032 (extrapolación de los datos de enero-marzo de 2013 y reajustada por el mismo método de medición usado respecto de los datos de 2014)</w:t>
            </w:r>
          </w:p>
          <w:p w:rsidR="00FA2BC6" w:rsidRPr="00AB07C6" w:rsidRDefault="00FA2BC6" w:rsidP="00DC1333">
            <w:pPr>
              <w:spacing w:after="120"/>
              <w:rPr>
                <w:color w:val="002060"/>
                <w:sz w:val="16"/>
                <w:szCs w:val="16"/>
              </w:rPr>
            </w:pPr>
            <w:r w:rsidRPr="00AB07C6">
              <w:rPr>
                <w:color w:val="002060"/>
                <w:sz w:val="16"/>
                <w:szCs w:val="16"/>
              </w:rPr>
              <w:t>Pág. principal Niza:  533.846</w:t>
            </w:r>
          </w:p>
          <w:p w:rsidR="00FA2BC6" w:rsidRPr="00AB07C6" w:rsidRDefault="00FA2BC6" w:rsidP="00DC1333">
            <w:pPr>
              <w:spacing w:after="120"/>
              <w:rPr>
                <w:color w:val="002060"/>
                <w:sz w:val="16"/>
                <w:szCs w:val="16"/>
              </w:rPr>
            </w:pPr>
            <w:r w:rsidRPr="00AB07C6">
              <w:rPr>
                <w:color w:val="002060"/>
                <w:sz w:val="16"/>
                <w:szCs w:val="16"/>
              </w:rPr>
              <w:t xml:space="preserve">Edición de la Clasificación </w:t>
            </w:r>
            <w:r w:rsidRPr="00AB07C6">
              <w:rPr>
                <w:color w:val="002060"/>
                <w:sz w:val="16"/>
                <w:szCs w:val="16"/>
              </w:rPr>
              <w:lastRenderedPageBreak/>
              <w:t>de Niza:  2.386.409</w:t>
            </w:r>
          </w:p>
          <w:p w:rsidR="00FA2BC6" w:rsidRPr="00AB07C6" w:rsidRDefault="00FA2BC6" w:rsidP="00DC1333">
            <w:pPr>
              <w:spacing w:after="120"/>
              <w:rPr>
                <w:color w:val="002060"/>
                <w:sz w:val="16"/>
                <w:szCs w:val="16"/>
              </w:rPr>
            </w:pPr>
            <w:r w:rsidRPr="00AB07C6">
              <w:rPr>
                <w:color w:val="002060"/>
                <w:sz w:val="16"/>
                <w:szCs w:val="16"/>
              </w:rPr>
              <w:t>Página principal Locarno:  36.727</w:t>
            </w:r>
          </w:p>
          <w:p w:rsidR="00FA2BC6" w:rsidRPr="00AB07C6" w:rsidRDefault="00FA2BC6" w:rsidP="00DC1333">
            <w:pPr>
              <w:spacing w:after="120"/>
              <w:rPr>
                <w:color w:val="002060"/>
                <w:sz w:val="16"/>
                <w:szCs w:val="16"/>
              </w:rPr>
            </w:pPr>
            <w:r w:rsidRPr="00AB07C6">
              <w:rPr>
                <w:color w:val="002060"/>
                <w:sz w:val="16"/>
                <w:szCs w:val="16"/>
              </w:rPr>
              <w:t>Página principal Viena:  32.416</w:t>
            </w:r>
          </w:p>
          <w:p w:rsidR="00FA2BC6" w:rsidRPr="00AB07C6" w:rsidRDefault="00FA2BC6" w:rsidP="00DC1333">
            <w:pPr>
              <w:spacing w:after="120"/>
              <w:rPr>
                <w:color w:val="002060"/>
                <w:sz w:val="16"/>
                <w:szCs w:val="16"/>
              </w:rPr>
            </w:pPr>
            <w:r w:rsidRPr="00AB07C6">
              <w:rPr>
                <w:color w:val="002060"/>
                <w:sz w:val="16"/>
                <w:szCs w:val="16"/>
              </w:rPr>
              <w:t>Edición CIP:  79.005</w:t>
            </w:r>
            <w:r w:rsidRPr="00AB07C6" w:rsidDel="00430708">
              <w:rPr>
                <w:color w:val="002060"/>
                <w:sz w:val="16"/>
                <w:szCs w:val="16"/>
              </w:rPr>
              <w:t xml:space="preserve"> </w:t>
            </w:r>
            <w:r w:rsidRPr="00AB07C6">
              <w:rPr>
                <w:color w:val="002060"/>
                <w:sz w:val="16"/>
                <w:szCs w:val="16"/>
              </w:rPr>
              <w:t>(datos de enero-mayo 2013)</w:t>
            </w:r>
          </w:p>
          <w:p w:rsidR="00FA2BC6" w:rsidRPr="00AB07C6" w:rsidRDefault="00FA2BC6" w:rsidP="00DC1333">
            <w:pPr>
              <w:spacing w:after="120"/>
              <w:rPr>
                <w:color w:val="002060"/>
                <w:sz w:val="16"/>
                <w:szCs w:val="16"/>
              </w:rPr>
            </w:pPr>
            <w:r w:rsidRPr="00AB07C6">
              <w:rPr>
                <w:color w:val="002060"/>
                <w:sz w:val="16"/>
                <w:szCs w:val="16"/>
              </w:rPr>
              <w:t>Manual de normas técnicas de la OMPI):  94.463</w:t>
            </w:r>
          </w:p>
          <w:p w:rsidR="00FA2BC6" w:rsidRPr="00AB07C6" w:rsidRDefault="00FA2BC6" w:rsidP="00DC1333">
            <w:pPr>
              <w:rPr>
                <w:i/>
                <w:color w:val="002060"/>
                <w:sz w:val="16"/>
                <w:szCs w:val="16"/>
              </w:rPr>
            </w:pPr>
            <w:r w:rsidRPr="00AB07C6">
              <w:rPr>
                <w:i/>
                <w:sz w:val="16"/>
                <w:szCs w:val="16"/>
              </w:rPr>
              <w:t>Referencia original en el presupuesto de 2014/15:</w:t>
            </w:r>
            <w:r w:rsidRPr="00AB07C6">
              <w:rPr>
                <w:sz w:val="16"/>
                <w:szCs w:val="16"/>
              </w:rPr>
              <w:t xml:space="preserve">  Por determinar a fines de 2013</w:t>
            </w:r>
          </w:p>
        </w:tc>
        <w:tc>
          <w:tcPr>
            <w:tcW w:w="881" w:type="pct"/>
            <w:gridSpan w:val="2"/>
            <w:shd w:val="clear" w:color="auto" w:fill="auto"/>
            <w:tcMar>
              <w:top w:w="110" w:type="dxa"/>
            </w:tcMar>
          </w:tcPr>
          <w:p w:rsidR="00FA2BC6" w:rsidRPr="00AB07C6" w:rsidRDefault="00FA2BC6" w:rsidP="00DC1333">
            <w:pPr>
              <w:rPr>
                <w:sz w:val="16"/>
                <w:szCs w:val="16"/>
              </w:rPr>
            </w:pPr>
            <w:r w:rsidRPr="00AB07C6">
              <w:rPr>
                <w:sz w:val="16"/>
                <w:szCs w:val="16"/>
              </w:rPr>
              <w:lastRenderedPageBreak/>
              <w:t>5% de aumento en comparación con la referencia.</w:t>
            </w:r>
          </w:p>
        </w:tc>
        <w:tc>
          <w:tcPr>
            <w:tcW w:w="1103" w:type="pct"/>
            <w:shd w:val="clear" w:color="auto" w:fill="FFFFFF"/>
            <w:tcMar>
              <w:top w:w="110" w:type="dxa"/>
            </w:tcMar>
          </w:tcPr>
          <w:p w:rsidR="00FA2BC6" w:rsidRPr="00AB07C6" w:rsidRDefault="00FA2BC6" w:rsidP="00DC1333">
            <w:pPr>
              <w:spacing w:after="120"/>
              <w:rPr>
                <w:color w:val="000000"/>
                <w:sz w:val="16"/>
                <w:szCs w:val="16"/>
              </w:rPr>
            </w:pPr>
            <w:r w:rsidRPr="00AB07C6">
              <w:rPr>
                <w:sz w:val="16"/>
                <w:szCs w:val="16"/>
                <w:lang w:bidi="th-TH"/>
              </w:rPr>
              <w:t xml:space="preserve">Pág. principal </w:t>
            </w:r>
            <w:r w:rsidRPr="00AB07C6">
              <w:rPr>
                <w:color w:val="000000"/>
                <w:sz w:val="16"/>
                <w:szCs w:val="16"/>
              </w:rPr>
              <w:t>CIP</w:t>
            </w:r>
            <w:proofErr w:type="gramStart"/>
            <w:r w:rsidRPr="00AB07C6">
              <w:rPr>
                <w:color w:val="000000"/>
                <w:sz w:val="16"/>
                <w:szCs w:val="16"/>
              </w:rPr>
              <w:t>:  361.378</w:t>
            </w:r>
            <w:proofErr w:type="gramEnd"/>
            <w:r w:rsidRPr="00AB07C6">
              <w:rPr>
                <w:color w:val="000000"/>
                <w:sz w:val="16"/>
                <w:szCs w:val="16"/>
              </w:rPr>
              <w:t xml:space="preserve"> (disminución del 6,6%) (48,1% de visitas de países en desarrollo)</w:t>
            </w:r>
            <w:r w:rsidRPr="00AB07C6">
              <w:rPr>
                <w:color w:val="000000"/>
                <w:sz w:val="16"/>
                <w:szCs w:val="16"/>
              </w:rPr>
              <w:br/>
            </w:r>
            <w:r w:rsidRPr="00AB07C6">
              <w:rPr>
                <w:color w:val="000000"/>
                <w:sz w:val="16"/>
                <w:szCs w:val="16"/>
              </w:rPr>
              <w:br/>
              <w:t>Edición de la CIP</w:t>
            </w:r>
            <w:proofErr w:type="gramStart"/>
            <w:r w:rsidRPr="00AB07C6">
              <w:rPr>
                <w:color w:val="000000"/>
                <w:sz w:val="16"/>
                <w:szCs w:val="16"/>
              </w:rPr>
              <w:t>:  1.389.644</w:t>
            </w:r>
            <w:proofErr w:type="gramEnd"/>
            <w:r w:rsidRPr="00AB07C6">
              <w:rPr>
                <w:color w:val="000000"/>
                <w:sz w:val="16"/>
                <w:szCs w:val="16"/>
              </w:rPr>
              <w:t xml:space="preserve"> (aumento del 107,4%) (36,3% de visitas de países en desarrollo)</w:t>
            </w:r>
          </w:p>
          <w:p w:rsidR="00FA2BC6" w:rsidRPr="00AB07C6" w:rsidRDefault="00FA2BC6" w:rsidP="00DC1333">
            <w:pPr>
              <w:spacing w:after="120"/>
              <w:rPr>
                <w:color w:val="000000"/>
                <w:sz w:val="16"/>
                <w:szCs w:val="16"/>
              </w:rPr>
            </w:pPr>
            <w:r w:rsidRPr="00AB07C6">
              <w:rPr>
                <w:sz w:val="16"/>
                <w:szCs w:val="16"/>
                <w:lang w:bidi="th-TH"/>
              </w:rPr>
              <w:t>Pág. principal Niza</w:t>
            </w:r>
            <w:r w:rsidRPr="00AB07C6">
              <w:rPr>
                <w:color w:val="000000"/>
                <w:sz w:val="16"/>
                <w:szCs w:val="16"/>
              </w:rPr>
              <w:t>:  532.493 (estable) (47,8% de visitas de países en desarrollo)</w:t>
            </w:r>
          </w:p>
          <w:p w:rsidR="00FA2BC6" w:rsidRPr="00AB07C6" w:rsidRDefault="00FA2BC6" w:rsidP="00DC1333">
            <w:pPr>
              <w:spacing w:after="120"/>
              <w:rPr>
                <w:color w:val="000000"/>
                <w:sz w:val="16"/>
                <w:szCs w:val="16"/>
              </w:rPr>
            </w:pPr>
            <w:r w:rsidRPr="00AB07C6">
              <w:rPr>
                <w:color w:val="000000"/>
                <w:sz w:val="16"/>
                <w:szCs w:val="16"/>
              </w:rPr>
              <w:t>Edición de la Clasificación de Niza</w:t>
            </w:r>
            <w:proofErr w:type="gramStart"/>
            <w:r w:rsidRPr="00AB07C6">
              <w:rPr>
                <w:color w:val="000000"/>
                <w:sz w:val="16"/>
                <w:szCs w:val="16"/>
              </w:rPr>
              <w:t>:  2.721.537</w:t>
            </w:r>
            <w:proofErr w:type="gramEnd"/>
            <w:r w:rsidRPr="00AB07C6">
              <w:rPr>
                <w:color w:val="000000"/>
                <w:sz w:val="16"/>
                <w:szCs w:val="16"/>
              </w:rPr>
              <w:t xml:space="preserve"> </w:t>
            </w:r>
            <w:r w:rsidRPr="00AB07C6">
              <w:rPr>
                <w:color w:val="000000"/>
                <w:sz w:val="16"/>
                <w:szCs w:val="16"/>
              </w:rPr>
              <w:lastRenderedPageBreak/>
              <w:t>(aumento del 14%) (49,1% de visitas de países en desarrollo</w:t>
            </w:r>
          </w:p>
          <w:p w:rsidR="00FA2BC6" w:rsidRPr="00AB07C6" w:rsidRDefault="00FA2BC6" w:rsidP="00DC1333">
            <w:pPr>
              <w:spacing w:after="120"/>
              <w:rPr>
                <w:color w:val="000000"/>
                <w:sz w:val="16"/>
                <w:szCs w:val="16"/>
              </w:rPr>
            </w:pPr>
            <w:r w:rsidRPr="00AB07C6">
              <w:rPr>
                <w:color w:val="000000"/>
                <w:sz w:val="16"/>
                <w:szCs w:val="16"/>
              </w:rPr>
              <w:t>Página principal Locarno</w:t>
            </w:r>
            <w:proofErr w:type="gramStart"/>
            <w:r w:rsidRPr="00AB07C6">
              <w:rPr>
                <w:color w:val="000000"/>
                <w:sz w:val="16"/>
                <w:szCs w:val="16"/>
              </w:rPr>
              <w:t>:  51.075</w:t>
            </w:r>
            <w:proofErr w:type="gramEnd"/>
            <w:r w:rsidRPr="00AB07C6">
              <w:rPr>
                <w:color w:val="000000"/>
                <w:sz w:val="16"/>
                <w:szCs w:val="16"/>
              </w:rPr>
              <w:t xml:space="preserve"> (aumento del 39,1%) (33,5% de visitas de países en desarrollo)</w:t>
            </w:r>
          </w:p>
          <w:p w:rsidR="00FA2BC6" w:rsidRPr="00AB07C6" w:rsidRDefault="00FA2BC6" w:rsidP="00DC1333">
            <w:pPr>
              <w:spacing w:after="120"/>
              <w:rPr>
                <w:color w:val="000000"/>
                <w:sz w:val="16"/>
                <w:szCs w:val="16"/>
              </w:rPr>
            </w:pPr>
            <w:r w:rsidRPr="00AB07C6">
              <w:rPr>
                <w:color w:val="000000"/>
                <w:sz w:val="16"/>
                <w:szCs w:val="16"/>
              </w:rPr>
              <w:t>Página principal Viena</w:t>
            </w:r>
            <w:proofErr w:type="gramStart"/>
            <w:r w:rsidRPr="00AB07C6">
              <w:rPr>
                <w:color w:val="000000"/>
                <w:sz w:val="16"/>
                <w:szCs w:val="16"/>
              </w:rPr>
              <w:t>:  34.830</w:t>
            </w:r>
            <w:proofErr w:type="gramEnd"/>
            <w:r w:rsidRPr="00AB07C6">
              <w:rPr>
                <w:color w:val="000000"/>
                <w:sz w:val="16"/>
                <w:szCs w:val="16"/>
              </w:rPr>
              <w:t xml:space="preserve"> (aumento del 7,4%) (38,8% de visitas de países en desarrollo)</w:t>
            </w:r>
          </w:p>
          <w:p w:rsidR="00FA2BC6" w:rsidRPr="00AB07C6" w:rsidRDefault="00FA2BC6" w:rsidP="00DC1333">
            <w:pPr>
              <w:spacing w:after="120"/>
              <w:rPr>
                <w:sz w:val="8"/>
                <w:szCs w:val="8"/>
                <w:lang w:bidi="th-TH"/>
              </w:rPr>
            </w:pPr>
            <w:r w:rsidRPr="00AB07C6">
              <w:rPr>
                <w:color w:val="000000"/>
                <w:sz w:val="16"/>
                <w:szCs w:val="16"/>
              </w:rPr>
              <w:t>Normas técnicas de la OMPI (manual)</w:t>
            </w:r>
            <w:proofErr w:type="gramStart"/>
            <w:r w:rsidRPr="00AB07C6">
              <w:rPr>
                <w:color w:val="000000"/>
                <w:sz w:val="16"/>
                <w:szCs w:val="16"/>
              </w:rPr>
              <w:t>:  69.288</w:t>
            </w:r>
            <w:proofErr w:type="gramEnd"/>
            <w:r w:rsidRPr="00AB07C6">
              <w:rPr>
                <w:color w:val="000000"/>
                <w:sz w:val="16"/>
                <w:szCs w:val="16"/>
              </w:rPr>
              <w:t xml:space="preserve"> (disminución del 26,7%) (33,6% de visitas de países en desarrollo)</w:t>
            </w:r>
          </w:p>
        </w:tc>
        <w:tc>
          <w:tcPr>
            <w:tcW w:w="665" w:type="pct"/>
            <w:shd w:val="clear" w:color="auto" w:fill="auto"/>
            <w:tcMar>
              <w:top w:w="110" w:type="dxa"/>
            </w:tcMar>
          </w:tcPr>
          <w:p w:rsidR="00FA2BC6" w:rsidRPr="00AB07C6" w:rsidRDefault="00FA2BC6" w:rsidP="00DC1333">
            <w:pPr>
              <w:keepNext/>
              <w:keepLines/>
              <w:ind w:left="-107" w:right="-107"/>
              <w:jc w:val="center"/>
              <w:rPr>
                <w:b/>
                <w:bCs/>
                <w:color w:val="00B050"/>
                <w:sz w:val="16"/>
                <w:szCs w:val="16"/>
              </w:rPr>
            </w:pPr>
            <w:r w:rsidRPr="00AB07C6">
              <w:rPr>
                <w:b/>
                <w:bCs/>
                <w:color w:val="FF0000"/>
                <w:sz w:val="16"/>
                <w:szCs w:val="16"/>
              </w:rPr>
              <w:lastRenderedPageBreak/>
              <w:t>No logrado</w:t>
            </w: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r w:rsidRPr="00AB07C6">
              <w:rPr>
                <w:b/>
                <w:bCs/>
                <w:color w:val="00B050"/>
                <w:sz w:val="16"/>
                <w:szCs w:val="16"/>
              </w:rPr>
              <w:t>Plenamente logrado</w:t>
            </w: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ind w:left="-107" w:right="-107"/>
              <w:jc w:val="center"/>
              <w:rPr>
                <w:b/>
                <w:bCs/>
                <w:color w:val="FF0000"/>
                <w:sz w:val="16"/>
                <w:szCs w:val="16"/>
              </w:rPr>
            </w:pPr>
            <w:r w:rsidRPr="00AB07C6">
              <w:rPr>
                <w:b/>
                <w:bCs/>
                <w:color w:val="E36C0A" w:themeColor="accent6" w:themeShade="BF"/>
                <w:sz w:val="16"/>
                <w:szCs w:val="16"/>
              </w:rPr>
              <w:t>Parcialmente logrado</w:t>
            </w: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jc w:val="center"/>
              <w:rPr>
                <w:b/>
                <w:bCs/>
                <w:color w:val="808080"/>
                <w:sz w:val="16"/>
                <w:szCs w:val="16"/>
              </w:rPr>
            </w:pPr>
          </w:p>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p w:rsidR="00FA2BC6" w:rsidRPr="00AB07C6" w:rsidRDefault="00FA2BC6" w:rsidP="00DC1333">
            <w:pPr>
              <w:keepNext/>
              <w:keepLines/>
              <w:jc w:val="center"/>
              <w:rPr>
                <w:b/>
                <w:bCs/>
                <w:color w:val="00B050"/>
                <w:sz w:val="16"/>
                <w:szCs w:val="16"/>
              </w:rPr>
            </w:pPr>
          </w:p>
          <w:p w:rsidR="00FA2BC6" w:rsidRPr="00AB07C6" w:rsidRDefault="00FA2BC6" w:rsidP="00DC1333">
            <w:pPr>
              <w:keepNext/>
              <w:keepLines/>
              <w:jc w:val="center"/>
              <w:rPr>
                <w:b/>
                <w:bCs/>
                <w:color w:val="00B050"/>
                <w:sz w:val="16"/>
                <w:szCs w:val="16"/>
              </w:rPr>
            </w:pPr>
          </w:p>
          <w:p w:rsidR="00FA2BC6" w:rsidRPr="00AB07C6" w:rsidRDefault="00FA2BC6" w:rsidP="00DC1333">
            <w:pPr>
              <w:keepNext/>
              <w:keepLines/>
              <w:jc w:val="center"/>
              <w:rPr>
                <w:b/>
                <w:bCs/>
                <w:color w:val="00B050"/>
                <w:sz w:val="16"/>
                <w:szCs w:val="16"/>
              </w:rPr>
            </w:pPr>
          </w:p>
          <w:p w:rsidR="00FA2BC6" w:rsidRPr="00AB07C6" w:rsidRDefault="00FA2BC6" w:rsidP="00DC1333">
            <w:pPr>
              <w:keepNext/>
              <w:keepLines/>
              <w:ind w:left="-107" w:right="-107"/>
              <w:jc w:val="center"/>
              <w:rPr>
                <w:b/>
                <w:bCs/>
                <w:color w:val="00B050"/>
                <w:sz w:val="16"/>
                <w:szCs w:val="16"/>
              </w:rPr>
            </w:pPr>
            <w:r w:rsidRPr="00AB07C6">
              <w:rPr>
                <w:b/>
                <w:bCs/>
                <w:color w:val="00B050"/>
                <w:sz w:val="16"/>
                <w:szCs w:val="16"/>
              </w:rPr>
              <w:t>Plenamente logrado</w:t>
            </w:r>
          </w:p>
          <w:p w:rsidR="00FA2BC6" w:rsidRPr="00AB07C6" w:rsidRDefault="00FA2BC6" w:rsidP="00DC1333">
            <w:pPr>
              <w:keepNext/>
              <w:keepLines/>
              <w:spacing w:after="120"/>
              <w:jc w:val="center"/>
              <w:rPr>
                <w:b/>
                <w:bCs/>
                <w:color w:val="808080"/>
                <w:sz w:val="16"/>
                <w:szCs w:val="16"/>
              </w:rPr>
            </w:pPr>
          </w:p>
          <w:p w:rsidR="00FA2BC6" w:rsidRPr="00AB07C6" w:rsidRDefault="00FA2BC6" w:rsidP="00DC1333">
            <w:pPr>
              <w:keepNext/>
              <w:keepLines/>
              <w:spacing w:after="120"/>
              <w:rPr>
                <w:b/>
                <w:bCs/>
                <w:color w:val="808080"/>
                <w:sz w:val="16"/>
                <w:szCs w:val="16"/>
              </w:rPr>
            </w:pPr>
          </w:p>
          <w:p w:rsidR="00FA2BC6" w:rsidRPr="00AB07C6" w:rsidRDefault="00FA2BC6" w:rsidP="00DC1333">
            <w:pPr>
              <w:keepNext/>
              <w:keepLines/>
              <w:ind w:left="-107" w:right="-107"/>
              <w:jc w:val="center"/>
              <w:rPr>
                <w:b/>
                <w:bCs/>
                <w:color w:val="FF0000"/>
                <w:sz w:val="16"/>
                <w:szCs w:val="16"/>
              </w:rPr>
            </w:pPr>
            <w:r w:rsidRPr="00AB07C6">
              <w:rPr>
                <w:b/>
                <w:bCs/>
                <w:color w:val="00B050"/>
                <w:sz w:val="16"/>
                <w:szCs w:val="16"/>
              </w:rPr>
              <w:t>Plenamente logrado</w:t>
            </w:r>
          </w:p>
          <w:p w:rsidR="00FA2BC6" w:rsidRPr="00AB07C6" w:rsidRDefault="00FA2BC6" w:rsidP="00DC1333">
            <w:pPr>
              <w:keepNext/>
              <w:keepLines/>
              <w:spacing w:after="120"/>
              <w:jc w:val="center"/>
              <w:rPr>
                <w:bCs/>
                <w:color w:val="808080"/>
                <w:sz w:val="16"/>
                <w:szCs w:val="16"/>
              </w:rPr>
            </w:pPr>
            <w:r w:rsidRPr="00AB07C6">
              <w:rPr>
                <w:bCs/>
                <w:color w:val="808080"/>
                <w:sz w:val="16"/>
                <w:szCs w:val="16"/>
              </w:rPr>
              <w:br/>
            </w:r>
            <w:r w:rsidRPr="00AB07C6">
              <w:rPr>
                <w:bCs/>
                <w:color w:val="808080"/>
                <w:sz w:val="16"/>
                <w:szCs w:val="16"/>
              </w:rPr>
              <w:br/>
            </w:r>
          </w:p>
          <w:p w:rsidR="00FA2BC6" w:rsidRPr="00AB07C6" w:rsidRDefault="00FA2BC6" w:rsidP="00DC1333">
            <w:pPr>
              <w:keepNext/>
              <w:keepLines/>
              <w:ind w:left="-107" w:right="-107"/>
              <w:jc w:val="center"/>
              <w:rPr>
                <w:b/>
                <w:bCs/>
                <w:color w:val="FF0000"/>
                <w:sz w:val="16"/>
                <w:szCs w:val="16"/>
              </w:rPr>
            </w:pPr>
            <w:r w:rsidRPr="00AB07C6">
              <w:rPr>
                <w:b/>
                <w:bCs/>
                <w:color w:val="FF0000"/>
                <w:sz w:val="16"/>
                <w:szCs w:val="16"/>
              </w:rPr>
              <w:t>No logrado</w:t>
            </w:r>
          </w:p>
          <w:p w:rsidR="00FA2BC6" w:rsidRPr="00AB07C6" w:rsidRDefault="00FA2BC6" w:rsidP="00DC1333">
            <w:pPr>
              <w:keepNext/>
              <w:keepLines/>
              <w:spacing w:after="120"/>
              <w:jc w:val="center"/>
              <w:rPr>
                <w:bCs/>
                <w:color w:val="808080"/>
                <w:sz w:val="16"/>
                <w:szCs w:val="16"/>
              </w:rPr>
            </w:pPr>
          </w:p>
        </w:tc>
      </w:tr>
    </w:tbl>
    <w:p w:rsidR="00FA2BC6" w:rsidRDefault="00FA2BC6" w:rsidP="00DC1333">
      <w:pPr>
        <w:jc w:val="both"/>
        <w:rPr>
          <w:color w:val="000000"/>
          <w:szCs w:val="22"/>
        </w:rPr>
      </w:pPr>
    </w:p>
    <w:p w:rsidR="00FA2BC6" w:rsidRPr="00AB07C6" w:rsidRDefault="00FA2BC6" w:rsidP="00DC1333">
      <w:pPr>
        <w:jc w:val="both"/>
        <w:rPr>
          <w:color w:val="000000"/>
          <w:szCs w:val="22"/>
        </w:rPr>
      </w:pPr>
    </w:p>
    <w:p w:rsidR="00FA2BC6" w:rsidRPr="00AB07C6" w:rsidRDefault="008F7CBE" w:rsidP="00DC1333">
      <w:pPr>
        <w:keepNext/>
        <w:keepLines/>
        <w:rPr>
          <w:color w:val="000000"/>
          <w:szCs w:val="22"/>
        </w:rPr>
      </w:pPr>
      <w:r w:rsidRPr="008F7CBE">
        <w:rPr>
          <w:sz w:val="20"/>
        </w:rPr>
        <w:t>INFORMACIÓN SOBRE LOS RIESGOS PLANTEADOS EN EL BIENIO</w:t>
      </w:r>
    </w:p>
    <w:p w:rsidR="00FA2BC6" w:rsidRPr="00AB07C6" w:rsidRDefault="00FA2BC6" w:rsidP="00DC1333">
      <w:pPr>
        <w:keepNext/>
        <w:keepLines/>
        <w:rPr>
          <w:rFonts w:cs="Times New Roman"/>
          <w:sz w:val="18"/>
          <w:szCs w:val="24"/>
        </w:rPr>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FA2BC6" w:rsidRPr="00AB07C6" w:rsidTr="00836C51">
        <w:trPr>
          <w:trHeight w:val="1106"/>
          <w:jc w:val="center"/>
        </w:trPr>
        <w:tc>
          <w:tcPr>
            <w:tcW w:w="2420"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FA2BC6" w:rsidRPr="00AB07C6" w:rsidRDefault="00FA2BC6" w:rsidP="00836C51">
            <w:pPr>
              <w:keepNext/>
              <w:keepLines/>
              <w:autoSpaceDE w:val="0"/>
              <w:autoSpaceDN w:val="0"/>
              <w:adjustRightInd w:val="0"/>
              <w:spacing w:line="276" w:lineRule="auto"/>
              <w:ind w:right="-59"/>
              <w:jc w:val="center"/>
              <w:rPr>
                <w:rFonts w:eastAsia="Times New Roman" w:cs="Times New Roman"/>
                <w:b/>
                <w:bCs/>
                <w:iCs/>
                <w:sz w:val="18"/>
                <w:szCs w:val="18"/>
                <w:lang w:eastAsia="en-US"/>
              </w:rPr>
            </w:pPr>
            <w:r w:rsidRPr="00AB07C6">
              <w:rPr>
                <w:b/>
                <w:bCs/>
                <w:iCs/>
                <w:sz w:val="18"/>
                <w:szCs w:val="18"/>
              </w:rPr>
              <w:t>Riesgos en el logro de los resultados del programa</w:t>
            </w:r>
          </w:p>
        </w:tc>
        <w:tc>
          <w:tcPr>
            <w:tcW w:w="2200" w:type="dxa"/>
            <w:tcBorders>
              <w:top w:val="single" w:sz="4" w:space="0" w:color="auto"/>
              <w:left w:val="nil"/>
              <w:bottom w:val="single" w:sz="4" w:space="0" w:color="auto"/>
              <w:right w:val="nil"/>
            </w:tcBorders>
            <w:shd w:val="clear" w:color="auto" w:fill="C6D9F1" w:themeFill="text2" w:themeFillTint="33"/>
            <w:vAlign w:val="center"/>
            <w:hideMark/>
          </w:tcPr>
          <w:p w:rsidR="00FA2BC6" w:rsidRPr="00AB07C6" w:rsidRDefault="00FA2BC6" w:rsidP="00836C51">
            <w:pPr>
              <w:keepNext/>
              <w:keepLines/>
              <w:autoSpaceDE w:val="0"/>
              <w:autoSpaceDN w:val="0"/>
              <w:adjustRightInd w:val="0"/>
              <w:spacing w:line="276" w:lineRule="auto"/>
              <w:ind w:right="-59"/>
              <w:jc w:val="center"/>
              <w:rPr>
                <w:rFonts w:eastAsia="Times New Roman" w:cs="Times New Roman"/>
                <w:b/>
                <w:bCs/>
                <w:iCs/>
                <w:sz w:val="18"/>
                <w:szCs w:val="18"/>
                <w:lang w:eastAsia="en-US"/>
              </w:rPr>
            </w:pPr>
            <w:r w:rsidRPr="00AB07C6">
              <w:rPr>
                <w:b/>
                <w:bCs/>
                <w:iCs/>
                <w:sz w:val="18"/>
                <w:szCs w:val="18"/>
              </w:rPr>
              <w:t>Planes de mitigación ejecutados o en ejecución</w:t>
            </w:r>
          </w:p>
        </w:tc>
        <w:tc>
          <w:tcPr>
            <w:tcW w:w="2310" w:type="dxa"/>
            <w:tcBorders>
              <w:top w:val="single" w:sz="4" w:space="0" w:color="auto"/>
              <w:left w:val="nil"/>
              <w:bottom w:val="single" w:sz="4" w:space="0" w:color="auto"/>
              <w:right w:val="nil"/>
            </w:tcBorders>
            <w:shd w:val="clear" w:color="auto" w:fill="C6D9F1" w:themeFill="text2" w:themeFillTint="33"/>
            <w:vAlign w:val="center"/>
            <w:hideMark/>
          </w:tcPr>
          <w:p w:rsidR="00FA2BC6" w:rsidRPr="00AB07C6" w:rsidRDefault="00FA2BC6" w:rsidP="00836C51">
            <w:pPr>
              <w:spacing w:line="276" w:lineRule="auto"/>
              <w:jc w:val="center"/>
              <w:rPr>
                <w:rFonts w:eastAsia="Times New Roman" w:cs="Times New Roman"/>
                <w:b/>
                <w:bCs/>
                <w:sz w:val="18"/>
                <w:szCs w:val="18"/>
                <w:lang w:eastAsia="en-US"/>
              </w:rPr>
            </w:pPr>
            <w:r w:rsidRPr="00AB07C6">
              <w:rPr>
                <w:b/>
                <w:bCs/>
                <w:iCs/>
                <w:sz w:val="18"/>
                <w:szCs w:val="18"/>
              </w:rPr>
              <w:t>Evolución de los riesgos y estrategias de mitigación durante el bienio</w:t>
            </w:r>
          </w:p>
        </w:tc>
        <w:tc>
          <w:tcPr>
            <w:tcW w:w="230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FA2BC6" w:rsidRPr="00AB07C6" w:rsidRDefault="00FA2BC6" w:rsidP="00836C51">
            <w:pPr>
              <w:spacing w:line="276" w:lineRule="auto"/>
              <w:jc w:val="center"/>
              <w:rPr>
                <w:rFonts w:eastAsia="Times New Roman" w:cs="Times New Roman"/>
                <w:b/>
                <w:bCs/>
                <w:sz w:val="18"/>
                <w:szCs w:val="18"/>
                <w:lang w:eastAsia="en-US"/>
              </w:rPr>
            </w:pPr>
            <w:r w:rsidRPr="00AB07C6">
              <w:rPr>
                <w:b/>
                <w:bCs/>
                <w:sz w:val="18"/>
                <w:szCs w:val="18"/>
              </w:rPr>
              <w:t>Incidencia en el rendimiento del programa</w:t>
            </w:r>
          </w:p>
        </w:tc>
      </w:tr>
      <w:tr w:rsidR="00FA2BC6" w:rsidRPr="00AB07C6" w:rsidTr="00DC1333">
        <w:trPr>
          <w:trHeight w:val="799"/>
          <w:jc w:val="center"/>
        </w:trPr>
        <w:tc>
          <w:tcPr>
            <w:tcW w:w="2420" w:type="dxa"/>
            <w:tcBorders>
              <w:top w:val="single" w:sz="4" w:space="0" w:color="auto"/>
              <w:left w:val="single" w:sz="4" w:space="0" w:color="auto"/>
              <w:bottom w:val="single" w:sz="4" w:space="0" w:color="auto"/>
              <w:right w:val="nil"/>
            </w:tcBorders>
            <w:tcMar>
              <w:top w:w="113" w:type="dxa"/>
              <w:left w:w="108" w:type="dxa"/>
              <w:bottom w:w="0" w:type="dxa"/>
              <w:right w:w="108" w:type="dxa"/>
            </w:tcMar>
            <w:hideMark/>
          </w:tcPr>
          <w:p w:rsidR="00FA2BC6" w:rsidRPr="00AB07C6" w:rsidRDefault="00FA2BC6">
            <w:pPr>
              <w:autoSpaceDE w:val="0"/>
              <w:autoSpaceDN w:val="0"/>
              <w:adjustRightInd w:val="0"/>
              <w:spacing w:line="276" w:lineRule="auto"/>
              <w:ind w:right="-59"/>
              <w:rPr>
                <w:rFonts w:eastAsia="Times New Roman" w:cs="Times New Roman"/>
                <w:sz w:val="16"/>
                <w:szCs w:val="16"/>
                <w:lang w:eastAsia="en-US"/>
              </w:rPr>
            </w:pPr>
            <w:r w:rsidRPr="00AB07C6">
              <w:rPr>
                <w:rFonts w:eastAsia="Arial Unicode MS"/>
                <w:color w:val="000000"/>
                <w:sz w:val="16"/>
                <w:szCs w:val="16"/>
              </w:rPr>
              <w:t>Las diferencias entre los grupos de países traen aparejada una limitación del desarrollo técnico de las normas técnicas y clasificaciones.</w:t>
            </w:r>
          </w:p>
        </w:tc>
        <w:tc>
          <w:tcPr>
            <w:tcW w:w="2200" w:type="dxa"/>
            <w:tcBorders>
              <w:top w:val="single" w:sz="4" w:space="0" w:color="auto"/>
              <w:left w:val="nil"/>
              <w:bottom w:val="single" w:sz="4" w:space="0" w:color="auto"/>
              <w:right w:val="nil"/>
            </w:tcBorders>
            <w:tcMar>
              <w:top w:w="113" w:type="dxa"/>
              <w:left w:w="108" w:type="dxa"/>
              <w:bottom w:w="0" w:type="dxa"/>
              <w:right w:w="108" w:type="dxa"/>
            </w:tcMar>
            <w:hideMark/>
          </w:tcPr>
          <w:p w:rsidR="00FA2BC6" w:rsidRPr="00AB07C6" w:rsidRDefault="00FA2BC6" w:rsidP="00DC1333">
            <w:pPr>
              <w:autoSpaceDE w:val="0"/>
              <w:autoSpaceDN w:val="0"/>
              <w:adjustRightInd w:val="0"/>
              <w:spacing w:line="276" w:lineRule="auto"/>
              <w:ind w:right="-59"/>
              <w:rPr>
                <w:rFonts w:eastAsia="Arial Unicode MS"/>
                <w:color w:val="000000"/>
                <w:sz w:val="16"/>
                <w:szCs w:val="16"/>
              </w:rPr>
            </w:pPr>
            <w:r w:rsidRPr="00AB07C6">
              <w:rPr>
                <w:rFonts w:eastAsia="Arial Unicode MS"/>
                <w:color w:val="000000"/>
                <w:sz w:val="16"/>
                <w:szCs w:val="16"/>
              </w:rPr>
              <w:t>Examen y solución de las cuestiones al margen de los comités.  Fortalecimiento de los debates técnicos en el seno de estos.  Supervisión de la aplicación de los planes a largo plazo.</w:t>
            </w:r>
          </w:p>
        </w:tc>
        <w:tc>
          <w:tcPr>
            <w:tcW w:w="2310" w:type="dxa"/>
            <w:tcBorders>
              <w:top w:val="single" w:sz="4" w:space="0" w:color="auto"/>
              <w:left w:val="nil"/>
              <w:bottom w:val="single" w:sz="4" w:space="0" w:color="auto"/>
              <w:right w:val="nil"/>
            </w:tcBorders>
            <w:hideMark/>
          </w:tcPr>
          <w:p w:rsidR="00FA2BC6" w:rsidRPr="00AB07C6" w:rsidRDefault="00FA2BC6" w:rsidP="00DC1333">
            <w:pPr>
              <w:autoSpaceDE w:val="0"/>
              <w:autoSpaceDN w:val="0"/>
              <w:adjustRightInd w:val="0"/>
              <w:spacing w:line="276" w:lineRule="auto"/>
              <w:ind w:right="-59"/>
              <w:rPr>
                <w:rFonts w:eastAsia="Arial Unicode MS" w:cs="Times New Roman"/>
                <w:color w:val="000000"/>
                <w:sz w:val="16"/>
                <w:szCs w:val="16"/>
                <w:lang w:eastAsia="en-US"/>
              </w:rPr>
            </w:pPr>
            <w:r w:rsidRPr="00AB07C6">
              <w:rPr>
                <w:rFonts w:eastAsia="Arial Unicode MS"/>
                <w:color w:val="000000"/>
                <w:sz w:val="16"/>
                <w:szCs w:val="16"/>
              </w:rPr>
              <w:t>Se mantuvo el problema relativo a la sesión del CWS a pesar de que se celebraron varias reuniones informales en 2014 y 2015.</w:t>
            </w:r>
          </w:p>
        </w:tc>
        <w:tc>
          <w:tcPr>
            <w:tcW w:w="2306" w:type="dxa"/>
            <w:tcBorders>
              <w:top w:val="single" w:sz="4" w:space="0" w:color="auto"/>
              <w:left w:val="nil"/>
              <w:bottom w:val="single" w:sz="4" w:space="0" w:color="auto"/>
              <w:right w:val="single" w:sz="4" w:space="0" w:color="auto"/>
            </w:tcBorders>
            <w:hideMark/>
          </w:tcPr>
          <w:p w:rsidR="00FA2BC6" w:rsidRPr="00AB07C6" w:rsidRDefault="00FA2BC6" w:rsidP="00DC1333">
            <w:pPr>
              <w:autoSpaceDE w:val="0"/>
              <w:autoSpaceDN w:val="0"/>
              <w:adjustRightInd w:val="0"/>
              <w:spacing w:line="276" w:lineRule="auto"/>
              <w:ind w:right="-59"/>
              <w:rPr>
                <w:rFonts w:eastAsia="Arial Unicode MS" w:cs="Times New Roman"/>
                <w:color w:val="000000"/>
                <w:sz w:val="16"/>
                <w:szCs w:val="16"/>
                <w:lang w:eastAsia="en-US"/>
              </w:rPr>
            </w:pPr>
            <w:r w:rsidRPr="00AB07C6">
              <w:rPr>
                <w:rFonts w:eastAsia="Arial Unicode MS"/>
                <w:color w:val="000000"/>
                <w:sz w:val="16"/>
                <w:szCs w:val="16"/>
              </w:rPr>
              <w:t>El CWS no pudo formalizar la adopción de varias normas técnicas nuevas.  .Sin embargo, la labor informal prosiguió y está previsto que en 2016 se adopten varias normas técnicas.</w:t>
            </w:r>
          </w:p>
        </w:tc>
      </w:tr>
    </w:tbl>
    <w:p w:rsidR="00FA2BC6" w:rsidRPr="00AB07C6" w:rsidRDefault="00FA2BC6" w:rsidP="00DC1333">
      <w:pPr>
        <w:jc w:val="both"/>
        <w:rPr>
          <w:color w:val="000000"/>
          <w:szCs w:val="22"/>
        </w:rPr>
      </w:pPr>
    </w:p>
    <w:p w:rsidR="00FA2BC6" w:rsidRPr="00AB07C6" w:rsidRDefault="00FA2BC6" w:rsidP="00DC1333">
      <w:pPr>
        <w:rPr>
          <w:color w:val="000000"/>
          <w:szCs w:val="22"/>
        </w:rPr>
      </w:pPr>
    </w:p>
    <w:p w:rsidR="00FA2BC6" w:rsidRPr="00AB07C6" w:rsidRDefault="00403D2C" w:rsidP="00DC1333">
      <w:pPr>
        <w:jc w:val="both"/>
        <w:rPr>
          <w:b/>
          <w:sz w:val="18"/>
          <w:szCs w:val="18"/>
        </w:rPr>
      </w:pPr>
      <w:r w:rsidRPr="00403D2C">
        <w:rPr>
          <w:sz w:val="20"/>
          <w:szCs w:val="22"/>
        </w:rPr>
        <w:t>UTILIZACIÓN DE LOS RECURSOS</w:t>
      </w:r>
    </w:p>
    <w:p w:rsidR="00FA2BC6" w:rsidRPr="00AB07C6" w:rsidRDefault="00FA2BC6" w:rsidP="00DC1333">
      <w:pPr>
        <w:jc w:val="both"/>
      </w:pPr>
    </w:p>
    <w:p w:rsidR="00FA2BC6" w:rsidRPr="00AB07C6" w:rsidRDefault="00FA2BC6" w:rsidP="00DC1333">
      <w:pPr>
        <w:pStyle w:val="NormalWeb"/>
        <w:spacing w:before="0" w:beforeAutospacing="0" w:after="0" w:afterAutospacing="0"/>
        <w:jc w:val="center"/>
        <w:rPr>
          <w:sz w:val="20"/>
          <w:szCs w:val="20"/>
          <w:lang w:val="es-ES"/>
        </w:rPr>
      </w:pPr>
      <w:r w:rsidRPr="00AB07C6">
        <w:rPr>
          <w:sz w:val="20"/>
          <w:szCs w:val="20"/>
          <w:lang w:val="es-ES"/>
        </w:rPr>
        <w:t>Presupuesto y gastos reales (por resultado)</w:t>
      </w:r>
    </w:p>
    <w:p w:rsidR="00FA2BC6" w:rsidRPr="00AB07C6" w:rsidRDefault="00FA2BC6" w:rsidP="00DC1333">
      <w:pPr>
        <w:pStyle w:val="NormalWeb"/>
        <w:spacing w:before="0" w:beforeAutospacing="0" w:after="0" w:afterAutospacing="0"/>
        <w:jc w:val="center"/>
        <w:rPr>
          <w:i/>
          <w:iCs/>
          <w:sz w:val="20"/>
          <w:szCs w:val="20"/>
          <w:lang w:val="es-ES"/>
        </w:rPr>
      </w:pPr>
      <w:r w:rsidRPr="00AB07C6">
        <w:rPr>
          <w:i/>
          <w:iCs/>
          <w:sz w:val="20"/>
          <w:szCs w:val="20"/>
          <w:lang w:val="es-ES"/>
        </w:rPr>
        <w:t>(</w:t>
      </w:r>
      <w:proofErr w:type="gramStart"/>
      <w:r w:rsidRPr="00AB07C6">
        <w:rPr>
          <w:i/>
          <w:iCs/>
          <w:sz w:val="20"/>
          <w:szCs w:val="20"/>
          <w:lang w:val="es-ES"/>
        </w:rPr>
        <w:t>en</w:t>
      </w:r>
      <w:proofErr w:type="gramEnd"/>
      <w:r w:rsidRPr="00AB07C6">
        <w:rPr>
          <w:i/>
          <w:iCs/>
          <w:sz w:val="20"/>
          <w:szCs w:val="20"/>
          <w:lang w:val="es-ES"/>
        </w:rPr>
        <w:t xml:space="preserve"> miles de francos suizos)</w:t>
      </w:r>
    </w:p>
    <w:p w:rsidR="00FA2BC6" w:rsidRPr="00AB07C6" w:rsidRDefault="00FA2BC6" w:rsidP="00DC1333">
      <w:pPr>
        <w:pStyle w:val="NormalWeb"/>
        <w:spacing w:before="0" w:beforeAutospacing="0" w:after="0" w:afterAutospacing="0"/>
        <w:jc w:val="both"/>
        <w:rPr>
          <w:sz w:val="20"/>
          <w:szCs w:val="20"/>
          <w:lang w:val="es-ES"/>
        </w:rPr>
      </w:pPr>
    </w:p>
    <w:p w:rsidR="00FA2BC6" w:rsidRPr="00AB07C6" w:rsidRDefault="00FA2BC6" w:rsidP="00DC1333">
      <w:pPr>
        <w:jc w:val="center"/>
      </w:pPr>
      <w:bookmarkStart w:id="119" w:name="Bm12"/>
      <w:bookmarkStart w:id="120" w:name="Punto12"/>
      <w:r>
        <w:rPr>
          <w:noProof/>
          <w:lang w:val="en-US" w:eastAsia="en-US"/>
        </w:rPr>
        <w:drawing>
          <wp:inline distT="0" distB="0" distL="0" distR="0" wp14:anchorId="78F86FA1" wp14:editId="6DDF7915">
            <wp:extent cx="5676900" cy="14573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76900" cy="1457325"/>
                    </a:xfrm>
                    <a:prstGeom prst="rect">
                      <a:avLst/>
                    </a:prstGeom>
                    <a:noFill/>
                    <a:ln>
                      <a:noFill/>
                    </a:ln>
                  </pic:spPr>
                </pic:pic>
              </a:graphicData>
            </a:graphic>
          </wp:inline>
        </w:drawing>
      </w:r>
      <w:bookmarkEnd w:id="119"/>
      <w:bookmarkEnd w:id="120"/>
    </w:p>
    <w:p w:rsidR="00FA2BC6" w:rsidRPr="00AB07C6" w:rsidRDefault="00FA2BC6" w:rsidP="00DC1333">
      <w:pPr>
        <w:jc w:val="both"/>
      </w:pPr>
    </w:p>
    <w:p w:rsidR="00FA2BC6" w:rsidRPr="00AB07C6" w:rsidRDefault="00FA2BC6" w:rsidP="00DC1333">
      <w:pPr>
        <w:pStyle w:val="NormalWeb"/>
        <w:keepNext/>
        <w:keepLines/>
        <w:spacing w:before="0" w:beforeAutospacing="0" w:after="0" w:afterAutospacing="0"/>
        <w:jc w:val="center"/>
        <w:rPr>
          <w:sz w:val="20"/>
          <w:szCs w:val="20"/>
          <w:lang w:val="es-ES"/>
        </w:rPr>
      </w:pPr>
      <w:r w:rsidRPr="00AB07C6">
        <w:rPr>
          <w:sz w:val="20"/>
          <w:szCs w:val="20"/>
          <w:lang w:val="es-ES"/>
        </w:rPr>
        <w:t>Presupuesto y gastos reales (de personal y no relativos a personal)</w:t>
      </w:r>
    </w:p>
    <w:p w:rsidR="00FA2BC6" w:rsidRPr="00AB07C6" w:rsidRDefault="00FA2BC6" w:rsidP="00DC1333">
      <w:pPr>
        <w:pStyle w:val="NormalWeb"/>
        <w:keepNext/>
        <w:keepLines/>
        <w:spacing w:before="0" w:beforeAutospacing="0" w:after="0" w:afterAutospacing="0"/>
        <w:jc w:val="center"/>
        <w:rPr>
          <w:i/>
          <w:iCs/>
          <w:sz w:val="20"/>
          <w:szCs w:val="20"/>
          <w:lang w:val="es-ES"/>
        </w:rPr>
      </w:pPr>
      <w:r w:rsidRPr="00AB07C6">
        <w:rPr>
          <w:i/>
          <w:iCs/>
          <w:sz w:val="20"/>
          <w:szCs w:val="20"/>
          <w:lang w:val="es-ES"/>
        </w:rPr>
        <w:t>(</w:t>
      </w:r>
      <w:proofErr w:type="gramStart"/>
      <w:r w:rsidRPr="00AB07C6">
        <w:rPr>
          <w:i/>
          <w:iCs/>
          <w:sz w:val="20"/>
          <w:szCs w:val="20"/>
          <w:lang w:val="es-ES"/>
        </w:rPr>
        <w:t>en</w:t>
      </w:r>
      <w:proofErr w:type="gramEnd"/>
      <w:r w:rsidRPr="00AB07C6">
        <w:rPr>
          <w:i/>
          <w:iCs/>
          <w:sz w:val="20"/>
          <w:szCs w:val="20"/>
          <w:lang w:val="es-ES"/>
        </w:rPr>
        <w:t xml:space="preserve"> miles de francos suizos)</w:t>
      </w:r>
    </w:p>
    <w:p w:rsidR="00FA2BC6" w:rsidRPr="00AB07C6" w:rsidRDefault="00FA2BC6" w:rsidP="00DC1333">
      <w:pPr>
        <w:pStyle w:val="NormalWeb"/>
        <w:keepNext/>
        <w:keepLines/>
        <w:spacing w:before="0" w:beforeAutospacing="0" w:after="0" w:afterAutospacing="0"/>
        <w:jc w:val="both"/>
        <w:rPr>
          <w:lang w:val="es-ES"/>
        </w:rPr>
      </w:pPr>
    </w:p>
    <w:p w:rsidR="00FA2BC6" w:rsidRPr="00AB07C6" w:rsidRDefault="00FA2BC6" w:rsidP="00DC1333">
      <w:pPr>
        <w:jc w:val="center"/>
      </w:pPr>
      <w:bookmarkStart w:id="121" w:name="Point12"/>
      <w:r>
        <w:rPr>
          <w:noProof/>
          <w:lang w:val="en-US" w:eastAsia="en-US"/>
        </w:rPr>
        <w:drawing>
          <wp:inline distT="0" distB="0" distL="0" distR="0" wp14:anchorId="313515BD" wp14:editId="5C8FB7EB">
            <wp:extent cx="5940425" cy="1045921"/>
            <wp:effectExtent l="0" t="0" r="3175"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425" cy="1045921"/>
                    </a:xfrm>
                    <a:prstGeom prst="rect">
                      <a:avLst/>
                    </a:prstGeom>
                    <a:noFill/>
                    <a:ln>
                      <a:noFill/>
                    </a:ln>
                  </pic:spPr>
                </pic:pic>
              </a:graphicData>
            </a:graphic>
          </wp:inline>
        </w:drawing>
      </w:r>
      <w:bookmarkEnd w:id="121"/>
    </w:p>
    <w:p w:rsidR="00FA2BC6" w:rsidRDefault="00FA2BC6" w:rsidP="00DC1333">
      <w:pPr>
        <w:widowControl w:val="0"/>
        <w:autoSpaceDE w:val="0"/>
        <w:autoSpaceDN w:val="0"/>
        <w:adjustRightInd w:val="0"/>
        <w:jc w:val="both"/>
        <w:rPr>
          <w:sz w:val="20"/>
        </w:rPr>
      </w:pPr>
    </w:p>
    <w:p w:rsidR="00FA2BC6" w:rsidRPr="00AB07C6" w:rsidRDefault="00FA2BC6" w:rsidP="00DC1333">
      <w:pPr>
        <w:widowControl w:val="0"/>
        <w:autoSpaceDE w:val="0"/>
        <w:autoSpaceDN w:val="0"/>
        <w:adjustRightInd w:val="0"/>
        <w:jc w:val="both"/>
        <w:rPr>
          <w:sz w:val="20"/>
        </w:rPr>
      </w:pPr>
    </w:p>
    <w:p w:rsidR="00FA2BC6" w:rsidRPr="00AB07C6" w:rsidRDefault="00403D2C" w:rsidP="0068591B">
      <w:pPr>
        <w:tabs>
          <w:tab w:val="left" w:pos="709"/>
        </w:tabs>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FA2BC6" w:rsidRPr="00AB07C6" w:rsidRDefault="00FA2BC6" w:rsidP="00DC1333">
      <w:pPr>
        <w:jc w:val="both"/>
        <w:rPr>
          <w:sz w:val="20"/>
          <w:u w:val="single"/>
        </w:rPr>
      </w:pPr>
    </w:p>
    <w:p w:rsidR="00FA2BC6" w:rsidRPr="00AB07C6" w:rsidRDefault="00FA2BC6" w:rsidP="00FA2BC6">
      <w:pPr>
        <w:pStyle w:val="ListParagraph"/>
        <w:numPr>
          <w:ilvl w:val="0"/>
          <w:numId w:val="71"/>
        </w:numPr>
        <w:tabs>
          <w:tab w:val="left" w:pos="709"/>
        </w:tabs>
        <w:ind w:left="0" w:firstLine="0"/>
        <w:jc w:val="both"/>
        <w:rPr>
          <w:lang w:val="es-ES"/>
        </w:rPr>
      </w:pPr>
      <w:r w:rsidRPr="00AB07C6">
        <w:rPr>
          <w:lang w:val="es-ES"/>
        </w:rPr>
        <w:t>La leve disminución del presupuesto final de 2014/15 tras las transferencias (recursos de personal) refleja el resultado neto de la reclasificación de puestos.</w:t>
      </w:r>
    </w:p>
    <w:p w:rsidR="00FA2BC6" w:rsidRPr="00AB07C6" w:rsidRDefault="00FA2BC6" w:rsidP="00DC1333">
      <w:pPr>
        <w:pStyle w:val="ListParagraph"/>
        <w:tabs>
          <w:tab w:val="left" w:pos="709"/>
        </w:tabs>
        <w:ind w:left="0"/>
        <w:jc w:val="both"/>
        <w:rPr>
          <w:lang w:val="es-ES"/>
        </w:rPr>
      </w:pPr>
    </w:p>
    <w:p w:rsidR="00FA2BC6" w:rsidRPr="00AB07C6" w:rsidRDefault="00FA2BC6" w:rsidP="00FA2BC6">
      <w:pPr>
        <w:pStyle w:val="ListParagraph"/>
        <w:numPr>
          <w:ilvl w:val="0"/>
          <w:numId w:val="71"/>
        </w:numPr>
        <w:tabs>
          <w:tab w:val="left" w:pos="709"/>
        </w:tabs>
        <w:ind w:left="0" w:firstLine="0"/>
        <w:jc w:val="both"/>
        <w:rPr>
          <w:lang w:val="es-ES"/>
        </w:rPr>
      </w:pPr>
      <w:r w:rsidRPr="00AB07C6">
        <w:rPr>
          <w:lang w:val="es-ES"/>
        </w:rPr>
        <w:t xml:space="preserve">El aumento de los recursos no relativos a personal se debe fundamentalmente a que los costos del desarrollo y alojamiento del </w:t>
      </w:r>
      <w:r w:rsidRPr="00AB07C6">
        <w:rPr>
          <w:i/>
          <w:lang w:val="es-ES"/>
        </w:rPr>
        <w:t xml:space="preserve">software </w:t>
      </w:r>
      <w:r w:rsidRPr="00AB07C6">
        <w:rPr>
          <w:lang w:val="es-ES"/>
        </w:rPr>
        <w:t>de reclasificación de la CIP han sido superiores a lo previsto y al aumento de los gastos de interpretación de los actos organizados en relación con la administración de la Unión de la CIP.</w:t>
      </w:r>
    </w:p>
    <w:p w:rsidR="00FA2BC6" w:rsidRPr="00AB07C6" w:rsidRDefault="00FA2BC6" w:rsidP="00DC1333">
      <w:pPr>
        <w:autoSpaceDE w:val="0"/>
        <w:autoSpaceDN w:val="0"/>
        <w:jc w:val="both"/>
        <w:rPr>
          <w:sz w:val="20"/>
          <w:lang w:eastAsia="ko-KR"/>
        </w:rPr>
      </w:pPr>
    </w:p>
    <w:p w:rsidR="00FA2BC6" w:rsidRPr="00AB07C6" w:rsidRDefault="00403D2C" w:rsidP="0068591B">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2BC6" w:rsidRPr="00AB07C6" w:rsidRDefault="00FA2BC6" w:rsidP="00DC1333">
      <w:pPr>
        <w:tabs>
          <w:tab w:val="left" w:pos="709"/>
        </w:tabs>
        <w:jc w:val="both"/>
        <w:rPr>
          <w:sz w:val="20"/>
          <w:u w:val="single"/>
          <w:lang w:eastAsia="ko-KR"/>
        </w:rPr>
      </w:pPr>
    </w:p>
    <w:p w:rsidR="00FA2BC6" w:rsidRPr="00AB07C6" w:rsidRDefault="00FA2BC6" w:rsidP="00FA2BC6">
      <w:pPr>
        <w:pStyle w:val="ListParagraph"/>
        <w:numPr>
          <w:ilvl w:val="0"/>
          <w:numId w:val="71"/>
        </w:numPr>
        <w:tabs>
          <w:tab w:val="left" w:pos="709"/>
        </w:tabs>
        <w:ind w:left="0" w:firstLine="0"/>
        <w:jc w:val="both"/>
        <w:rPr>
          <w:rFonts w:ascii="Calibri" w:hAnsi="Calibri"/>
          <w:lang w:val="es-ES"/>
        </w:rPr>
      </w:pPr>
      <w:r w:rsidRPr="00AB07C6">
        <w:rPr>
          <w:lang w:val="es-ES" w:eastAsia="zh-CN"/>
        </w:rPr>
        <w:t xml:space="preserve">La utilización del presupuesto se ha mantenido dentro de los límites establecidos </w:t>
      </w:r>
      <w:r w:rsidRPr="00AB07C6">
        <w:rPr>
          <w:lang w:val="es-ES"/>
        </w:rPr>
        <w:t>para el bienio</w:t>
      </w:r>
      <w:r w:rsidRPr="00AB07C6">
        <w:rPr>
          <w:rFonts w:cs="Arial"/>
          <w:lang w:val="es-ES" w:eastAsia="ko-KR"/>
        </w:rPr>
        <w:t>.</w:t>
      </w:r>
    </w:p>
    <w:p w:rsidR="00FA2BC6" w:rsidRDefault="00FA2BC6"/>
    <w:p w:rsidR="00FA2BC6" w:rsidRDefault="00FA2BC6"/>
    <w:p w:rsidR="00FA2BC6" w:rsidRPr="00AB07C6" w:rsidRDefault="00FA2BC6"/>
    <w:p w:rsidR="00FA2BC6" w:rsidRDefault="00FA2BC6">
      <w:pPr>
        <w:rPr>
          <w:b/>
          <w:bCs/>
          <w:iCs/>
          <w:caps/>
          <w:szCs w:val="28"/>
        </w:rPr>
      </w:pPr>
      <w:bookmarkStart w:id="122" w:name="_Toc422927422"/>
      <w:r>
        <w:rPr>
          <w:b/>
        </w:rPr>
        <w:br w:type="page"/>
      </w:r>
    </w:p>
    <w:p w:rsidR="00FA2BC6" w:rsidRPr="00053E42" w:rsidRDefault="00FA2BC6" w:rsidP="00DC1333">
      <w:pPr>
        <w:pStyle w:val="Heading2"/>
        <w:tabs>
          <w:tab w:val="left" w:pos="2410"/>
        </w:tabs>
        <w:rPr>
          <w:b/>
        </w:rPr>
      </w:pPr>
      <w:bookmarkStart w:id="123" w:name="_Toc455159090"/>
      <w:r w:rsidRPr="00053E42">
        <w:rPr>
          <w:b/>
        </w:rPr>
        <w:lastRenderedPageBreak/>
        <w:t>PROGRAMA 13</w:t>
      </w:r>
      <w:r w:rsidRPr="00053E42">
        <w:rPr>
          <w:b/>
        </w:rPr>
        <w:tab/>
        <w:t>BASES MUNDIALES DE DATOS</w:t>
      </w:r>
      <w:bookmarkEnd w:id="122"/>
      <w:bookmarkEnd w:id="123"/>
    </w:p>
    <w:p w:rsidR="00FA2BC6" w:rsidRPr="00053E42" w:rsidRDefault="00FA2BC6" w:rsidP="00DC1333">
      <w:pPr>
        <w:rPr>
          <w:sz w:val="20"/>
        </w:rPr>
      </w:pPr>
    </w:p>
    <w:p w:rsidR="00FA2BC6" w:rsidRPr="00053E42" w:rsidRDefault="00FA2BC6" w:rsidP="00DC1333">
      <w:pPr>
        <w:tabs>
          <w:tab w:val="left" w:pos="2410"/>
        </w:tabs>
        <w:rPr>
          <w:sz w:val="20"/>
        </w:rPr>
      </w:pPr>
      <w:r w:rsidRPr="00053E42">
        <w:rPr>
          <w:b/>
          <w:sz w:val="20"/>
        </w:rPr>
        <w:t>Director de programa</w:t>
      </w:r>
      <w:r w:rsidRPr="00053E42">
        <w:rPr>
          <w:sz w:val="20"/>
        </w:rPr>
        <w:tab/>
      </w:r>
      <w:r w:rsidRPr="00053E42">
        <w:rPr>
          <w:b/>
          <w:sz w:val="20"/>
        </w:rPr>
        <w:t>Sr. Y. Takagi</w:t>
      </w:r>
    </w:p>
    <w:p w:rsidR="00FA2BC6" w:rsidRPr="00053E42" w:rsidRDefault="00FA2BC6" w:rsidP="00DC1333">
      <w:pPr>
        <w:rPr>
          <w:sz w:val="20"/>
        </w:rPr>
      </w:pPr>
    </w:p>
    <w:p w:rsidR="00FA2BC6" w:rsidRPr="00053E42" w:rsidRDefault="00FA2BC6" w:rsidP="00DC1333">
      <w:pPr>
        <w:rPr>
          <w:sz w:val="20"/>
        </w:rPr>
      </w:pPr>
    </w:p>
    <w:p w:rsidR="00FA2BC6" w:rsidRPr="00053E42" w:rsidRDefault="008F7CBE" w:rsidP="00DC1333">
      <w:pPr>
        <w:rPr>
          <w:bCs/>
        </w:rPr>
      </w:pPr>
      <w:r w:rsidRPr="008F7CBE">
        <w:rPr>
          <w:bCs/>
          <w:sz w:val="20"/>
          <w:szCs w:val="22"/>
        </w:rPr>
        <w:t>LOGROS ALCANZADOS EN EL BIENIO 2014/15</w:t>
      </w:r>
    </w:p>
    <w:p w:rsidR="00FA2BC6" w:rsidRPr="00053E42" w:rsidRDefault="00FA2BC6" w:rsidP="00DC1333">
      <w:pPr>
        <w:jc w:val="both"/>
      </w:pPr>
    </w:p>
    <w:p w:rsidR="00FA2BC6" w:rsidRPr="00053E42" w:rsidRDefault="00FA2BC6" w:rsidP="00FA2BC6">
      <w:pPr>
        <w:pStyle w:val="ListParagraph"/>
        <w:numPr>
          <w:ilvl w:val="0"/>
          <w:numId w:val="73"/>
        </w:numPr>
        <w:tabs>
          <w:tab w:val="left" w:pos="709"/>
        </w:tabs>
        <w:ind w:left="0" w:firstLine="0"/>
        <w:jc w:val="both"/>
        <w:rPr>
          <w:lang w:val="es-ES"/>
        </w:rPr>
      </w:pPr>
      <w:r w:rsidRPr="00053E42">
        <w:rPr>
          <w:lang w:val="es-ES"/>
        </w:rPr>
        <w:t>En el bienio 2014/15 se siguió forta</w:t>
      </w:r>
      <w:r>
        <w:rPr>
          <w:lang w:val="es-ES"/>
        </w:rPr>
        <w:t>leciendo el sistema PATENTSCOPE</w:t>
      </w:r>
      <w:r w:rsidRPr="00053E42">
        <w:rPr>
          <w:lang w:val="es-ES"/>
        </w:rPr>
        <w:t xml:space="preserve"> y se prestó atención sobre todo a la mejora del acceso al sistema en las regiones que experimentaban retrasos en las conexiones.  También se consiguieron mejoras demostrables en relación con los usuarios de Asia.  Se incorporaron otros dos idiomas (el danés y el polaco) al sistema de búsqueda plurilingüe </w:t>
      </w:r>
      <w:r w:rsidRPr="00053E42">
        <w:rPr>
          <w:i/>
          <w:lang w:val="es-ES"/>
        </w:rPr>
        <w:t>Cross Lingual Information Retrieval</w:t>
      </w:r>
      <w:r w:rsidRPr="00053E42">
        <w:rPr>
          <w:lang w:val="es-ES"/>
        </w:rPr>
        <w:t xml:space="preserve"> (CLIR) que permite recuperar datos en varios idiomas, con lo que la lista de idiomas existentes se amplía a 14 antes de que finalice el bienio.  Se amplió WIPO Translate,</w:t>
      </w:r>
      <w:r w:rsidRPr="00053E42">
        <w:rPr>
          <w:rStyle w:val="FootnoteReference"/>
          <w:lang w:val="es-ES"/>
        </w:rPr>
        <w:footnoteReference w:id="84"/>
      </w:r>
      <w:r w:rsidRPr="00053E42">
        <w:rPr>
          <w:lang w:val="es-ES"/>
        </w:rPr>
        <w:t xml:space="preserve"> un sistema de traducción asistida por computadora creado en la Organización, para dar cabida antes de que finalice el bienio a otros tres pares de idiomas que ofrecen dificultades, el inglés y el coreano, el inglés y el ruso,</w:t>
      </w:r>
      <w:r w:rsidR="002E6163">
        <w:rPr>
          <w:lang w:val="es-ES"/>
        </w:rPr>
        <w:t xml:space="preserve"> y el inglés y el español,</w:t>
      </w:r>
      <w:r w:rsidRPr="00053E42">
        <w:rPr>
          <w:lang w:val="es-ES"/>
        </w:rPr>
        <w:t xml:space="preserve"> con lo que se eleva a siete el número total de pares de idiomas disponibles</w:t>
      </w:r>
      <w:r w:rsidR="002E6163">
        <w:rPr>
          <w:lang w:val="es-ES"/>
        </w:rPr>
        <w:t>, amén de haber ampliado la cobertura en inglés y chino para abarcar ahora las descripciones y las reivindicaciones</w:t>
      </w:r>
      <w:r w:rsidRPr="00053E42">
        <w:rPr>
          <w:lang w:val="es-ES"/>
        </w:rPr>
        <w:t>.  Durante el bienio se produjo asimismo la introducción de la traducción de descripciones y reivindicaciones completas de patentes en el par de idiomas inglés-chino.  En 2014/15 también se avanzó en la labor de investigación relativa a otras funciones de traducción automática.  WIPO Translate se siguió aplicando en otras organizaciones de las Naciones Unidas, obteniendo excelentes críticas de los expertos y consiguiendo sistemáticamente mejores resultados que otras herramientas de traducción automática como Google Translate.</w:t>
      </w:r>
    </w:p>
    <w:p w:rsidR="00FA2BC6" w:rsidRPr="00053E42" w:rsidRDefault="00FA2BC6" w:rsidP="00DC1333">
      <w:pPr>
        <w:tabs>
          <w:tab w:val="left" w:pos="709"/>
        </w:tabs>
        <w:jc w:val="both"/>
      </w:pPr>
    </w:p>
    <w:p w:rsidR="00FA2BC6" w:rsidRPr="00053E42" w:rsidRDefault="00FA2BC6" w:rsidP="00FA2BC6">
      <w:pPr>
        <w:pStyle w:val="ListParagraph"/>
        <w:numPr>
          <w:ilvl w:val="0"/>
          <w:numId w:val="73"/>
        </w:numPr>
        <w:tabs>
          <w:tab w:val="left" w:pos="709"/>
        </w:tabs>
        <w:ind w:left="0" w:firstLine="0"/>
        <w:jc w:val="both"/>
        <w:rPr>
          <w:lang w:val="es-ES"/>
        </w:rPr>
      </w:pPr>
      <w:r w:rsidRPr="00053E42">
        <w:rPr>
          <w:lang w:val="es-ES"/>
        </w:rPr>
        <w:t>Durante el bienio se produjo un aumento considerable de la cobertura de datos y el nivel de utilización de las bases de datos de la OMPI en materia de P.I.  Entre los hechos acaecidos cabe destacar la puesta en funcionamiento en enero de 2015 de un nuevo servicio, la Base Mundial de Datos sobre Dibujos y Modelos Industriales.  A finales de 2015, solo un año después de haberse puesto en marcha, esta Base de Datos había alcanzado ya la impresionante cantidad de 14.000 visitantes únicos por trimestre.  Además, el número de colecciones nacionales y regionales (indicadas como “Otros” en el gráfico que figura a continuación) había llegado a cinco, con más de 1,5 millones de documentos de dibujos y modelos industriales.</w:t>
      </w:r>
    </w:p>
    <w:p w:rsidR="00FA2BC6" w:rsidRPr="00053E42" w:rsidRDefault="00FA2BC6" w:rsidP="00DC1333">
      <w:pPr>
        <w:jc w:val="both"/>
        <w:rPr>
          <w:sz w:val="20"/>
        </w:rPr>
      </w:pPr>
    </w:p>
    <w:p w:rsidR="00FA2BC6" w:rsidRPr="002E6163" w:rsidRDefault="00FA2BC6" w:rsidP="00DC1333">
      <w:pPr>
        <w:autoSpaceDE w:val="0"/>
        <w:autoSpaceDN w:val="0"/>
        <w:adjustRightInd w:val="0"/>
        <w:jc w:val="center"/>
        <w:rPr>
          <w:bCs/>
          <w:sz w:val="20"/>
        </w:rPr>
      </w:pPr>
      <w:r w:rsidRPr="002E6163">
        <w:rPr>
          <w:bCs/>
          <w:sz w:val="20"/>
        </w:rPr>
        <w:t xml:space="preserve">Número de registros en </w:t>
      </w:r>
      <w:r w:rsidRPr="002E6163">
        <w:rPr>
          <w:sz w:val="20"/>
        </w:rPr>
        <w:t>la Base Mundial de Datos sobre Dibujos y Modelos Industriales</w:t>
      </w:r>
      <w:r w:rsidRPr="002E6163">
        <w:rPr>
          <w:bCs/>
          <w:sz w:val="20"/>
        </w:rPr>
        <w:t xml:space="preserve"> en 2015</w:t>
      </w:r>
    </w:p>
    <w:p w:rsidR="00FA2BC6" w:rsidRPr="00053E42" w:rsidRDefault="00FA2BC6" w:rsidP="00DC1333">
      <w:pPr>
        <w:jc w:val="both"/>
        <w:rPr>
          <w:sz w:val="20"/>
        </w:rPr>
      </w:pPr>
    </w:p>
    <w:p w:rsidR="00FA2BC6" w:rsidRPr="00053E42" w:rsidRDefault="00FA2BC6" w:rsidP="00DC1333">
      <w:pPr>
        <w:pStyle w:val="ListParagraph"/>
        <w:tabs>
          <w:tab w:val="left" w:pos="709"/>
        </w:tabs>
        <w:ind w:left="0"/>
        <w:jc w:val="center"/>
        <w:rPr>
          <w:rFonts w:eastAsia="MS Mincho"/>
          <w:lang w:val="es-ES" w:eastAsia="ja-JP" w:bidi="th-TH"/>
        </w:rPr>
      </w:pPr>
      <w:r w:rsidRPr="00572028">
        <w:rPr>
          <w:rFonts w:eastAsia="MS Mincho"/>
          <w:noProof/>
        </w:rPr>
        <w:drawing>
          <wp:inline distT="0" distB="0" distL="0" distR="0" wp14:anchorId="108F9E6C" wp14:editId="70BD45DC">
            <wp:extent cx="4338084" cy="2843599"/>
            <wp:effectExtent l="0" t="0" r="571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340864" cy="2845421"/>
                    </a:xfrm>
                    <a:prstGeom prst="rect">
                      <a:avLst/>
                    </a:prstGeom>
                    <a:noFill/>
                    <a:ln>
                      <a:noFill/>
                    </a:ln>
                  </pic:spPr>
                </pic:pic>
              </a:graphicData>
            </a:graphic>
          </wp:inline>
        </w:drawing>
      </w:r>
    </w:p>
    <w:p w:rsidR="00FA2BC6" w:rsidRPr="00053E42" w:rsidRDefault="00FA2BC6" w:rsidP="00DC1333">
      <w:pPr>
        <w:jc w:val="both"/>
        <w:rPr>
          <w:bCs/>
          <w:sz w:val="20"/>
        </w:rPr>
      </w:pPr>
    </w:p>
    <w:p w:rsidR="00FA2BC6" w:rsidRPr="00053E42" w:rsidRDefault="00FA2BC6" w:rsidP="00FA2BC6">
      <w:pPr>
        <w:pStyle w:val="ListParagraph"/>
        <w:numPr>
          <w:ilvl w:val="0"/>
          <w:numId w:val="73"/>
        </w:numPr>
        <w:tabs>
          <w:tab w:val="left" w:pos="709"/>
        </w:tabs>
        <w:ind w:left="0" w:firstLine="0"/>
        <w:jc w:val="both"/>
        <w:rPr>
          <w:bCs/>
          <w:lang w:val="es-ES"/>
        </w:rPr>
      </w:pPr>
      <w:r w:rsidRPr="00053E42">
        <w:rPr>
          <w:bCs/>
          <w:lang w:val="es-ES"/>
        </w:rPr>
        <w:t xml:space="preserve">Gracias a la introducción de una potente función de búsqueda de imágenes similares, la primera de este tipo que se utiliza en un sistema público de búsqueda de P.I., en el bienio 2014/15 el uso de la </w:t>
      </w:r>
      <w:r w:rsidRPr="00053E42">
        <w:rPr>
          <w:bCs/>
          <w:lang w:val="es-ES"/>
        </w:rPr>
        <w:lastRenderedPageBreak/>
        <w:t xml:space="preserve">Base Mundial de Datos sobre Marcas superó las expectativas, al cuadruplicarse el número de visitantes únicos por trimestre, superando los 80.000 en comparación con los 23.000 </w:t>
      </w:r>
      <w:r w:rsidR="0099649E">
        <w:rPr>
          <w:bCs/>
          <w:lang w:val="es-ES"/>
        </w:rPr>
        <w:t>contabilizados al finalizar </w:t>
      </w:r>
      <w:r w:rsidRPr="00053E42">
        <w:rPr>
          <w:bCs/>
          <w:lang w:val="es-ES"/>
        </w:rPr>
        <w:t>2013.  El número de colecciones nacionales (indicadas como “Otros” en el gráfico que figura a continuación) fue más del doble, pasando de 12 al finalizar 2013 a 26 al término de 2015.  Asimismo, el número total de registros contenidos en el sistema también fue más del doble durante el bienio, y pasó de 12 millones a más de 24 millones.</w:t>
      </w:r>
    </w:p>
    <w:p w:rsidR="00FA2BC6" w:rsidRPr="00053E42" w:rsidRDefault="00FA2BC6" w:rsidP="00DC1333">
      <w:pPr>
        <w:pStyle w:val="Style1"/>
        <w:keepNext/>
        <w:keepLines/>
        <w:numPr>
          <w:ilvl w:val="0"/>
          <w:numId w:val="0"/>
        </w:numPr>
        <w:ind w:left="720"/>
        <w:jc w:val="center"/>
        <w:rPr>
          <w:sz w:val="22"/>
          <w:szCs w:val="22"/>
          <w:lang w:val="es-ES"/>
        </w:rPr>
      </w:pPr>
    </w:p>
    <w:p w:rsidR="00FA2BC6" w:rsidRPr="00053E42" w:rsidRDefault="00FA2BC6" w:rsidP="00DC1333">
      <w:pPr>
        <w:pStyle w:val="Style1"/>
        <w:keepNext/>
        <w:keepLines/>
        <w:numPr>
          <w:ilvl w:val="0"/>
          <w:numId w:val="0"/>
        </w:numPr>
        <w:ind w:left="720"/>
        <w:jc w:val="center"/>
        <w:rPr>
          <w:szCs w:val="20"/>
          <w:lang w:val="es-ES"/>
        </w:rPr>
      </w:pPr>
      <w:r w:rsidRPr="00053E42">
        <w:rPr>
          <w:szCs w:val="20"/>
          <w:lang w:val="es-ES"/>
        </w:rPr>
        <w:t>Número de registros en la Base Mundial de Datos sobre Marcas en 2014/15</w:t>
      </w:r>
    </w:p>
    <w:p w:rsidR="00FA2BC6" w:rsidRPr="00053E42" w:rsidRDefault="00FA2BC6" w:rsidP="00DC1333">
      <w:pPr>
        <w:keepNext/>
        <w:keepLines/>
        <w:rPr>
          <w:bCs/>
          <w:sz w:val="20"/>
        </w:rPr>
      </w:pPr>
    </w:p>
    <w:p w:rsidR="00FA2BC6" w:rsidRPr="00053E42" w:rsidRDefault="00FA2BC6" w:rsidP="00DC1333">
      <w:pPr>
        <w:pStyle w:val="ListParagraph"/>
        <w:keepNext/>
        <w:keepLines/>
        <w:tabs>
          <w:tab w:val="left" w:pos="709"/>
        </w:tabs>
        <w:ind w:left="0"/>
        <w:jc w:val="center"/>
        <w:rPr>
          <w:rFonts w:eastAsia="MS Mincho"/>
          <w:b/>
          <w:lang w:val="es-ES" w:eastAsia="ja-JP" w:bidi="th-TH"/>
        </w:rPr>
      </w:pPr>
      <w:r w:rsidRPr="00BB0899">
        <w:rPr>
          <w:rFonts w:eastAsia="MS Mincho"/>
          <w:noProof/>
        </w:rPr>
        <w:drawing>
          <wp:inline distT="0" distB="0" distL="0" distR="0" wp14:anchorId="282E04B5" wp14:editId="087749EE">
            <wp:extent cx="4989278" cy="2647507"/>
            <wp:effectExtent l="0" t="0" r="190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97182" cy="2651701"/>
                    </a:xfrm>
                    <a:prstGeom prst="rect">
                      <a:avLst/>
                    </a:prstGeom>
                    <a:noFill/>
                    <a:ln>
                      <a:noFill/>
                    </a:ln>
                  </pic:spPr>
                </pic:pic>
              </a:graphicData>
            </a:graphic>
          </wp:inline>
        </w:drawing>
      </w:r>
    </w:p>
    <w:p w:rsidR="00FA2BC6" w:rsidRPr="00053E42" w:rsidRDefault="00FA2BC6" w:rsidP="00DC1333">
      <w:pPr>
        <w:keepNext/>
        <w:keepLines/>
        <w:rPr>
          <w:bCs/>
          <w:sz w:val="20"/>
        </w:rPr>
      </w:pPr>
    </w:p>
    <w:p w:rsidR="00FA2BC6" w:rsidRPr="00053E42" w:rsidRDefault="00FA2BC6" w:rsidP="00FA2BC6">
      <w:pPr>
        <w:pStyle w:val="ListParagraph"/>
        <w:numPr>
          <w:ilvl w:val="0"/>
          <w:numId w:val="73"/>
        </w:numPr>
        <w:tabs>
          <w:tab w:val="left" w:pos="709"/>
        </w:tabs>
        <w:ind w:left="0" w:firstLine="0"/>
        <w:jc w:val="both"/>
        <w:rPr>
          <w:bCs/>
          <w:lang w:val="es-ES"/>
        </w:rPr>
      </w:pPr>
      <w:r w:rsidRPr="00053E42">
        <w:rPr>
          <w:bCs/>
          <w:lang w:val="es-ES"/>
        </w:rPr>
        <w:t>El servicio PATENTSCOPE siguió mostrando un índice elevado de utilización</w:t>
      </w:r>
      <w:r>
        <w:rPr>
          <w:bCs/>
          <w:lang w:val="es-ES"/>
        </w:rPr>
        <w:t>,</w:t>
      </w:r>
      <w:r w:rsidR="001F3376">
        <w:rPr>
          <w:bCs/>
          <w:lang w:val="es-ES"/>
        </w:rPr>
        <w:t xml:space="preserve"> con una media de </w:t>
      </w:r>
      <w:r w:rsidRPr="00053E42">
        <w:rPr>
          <w:bCs/>
          <w:lang w:val="es-ES"/>
        </w:rPr>
        <w:t>500.000 visitas únicas diarias a la página.  El número de visitantes únicos se mantuvo estable</w:t>
      </w:r>
      <w:r>
        <w:rPr>
          <w:bCs/>
          <w:lang w:val="es-ES"/>
        </w:rPr>
        <w:t>,</w:t>
      </w:r>
      <w:r w:rsidRPr="00053E42">
        <w:rPr>
          <w:bCs/>
          <w:lang w:val="es-ES"/>
        </w:rPr>
        <w:t xml:space="preserve"> con más de 221.000 visitantes únicos por trimestre al final del bienio, lo que pone de manifiesto que los niveles de servicio del motor de búsqueda PATENTSCOPE han alcanzado el desarrollo necesario para llegar a un punto de rendimiento decreciente.  Se produjo también un aumento del 19% en el número de colecciones contenidas en PATENTSCOPE con respecto a 2103, </w:t>
      </w:r>
      <w:r w:rsidRPr="00053E42">
        <w:rPr>
          <w:lang w:val="es-ES"/>
        </w:rPr>
        <w:t>con lo que se eleva a 43 el número total de colecciones nacionales y regionales (indicadas como “Otros” en el gráfico que figura a continuación), en comparación con las 36 de finales de 2013, y el número total de registros contenidos en ellas supera los 50 millones, en comparación con los 34 millones registrados a finales de 2013, lo que representa un aumento del 47%.</w:t>
      </w:r>
    </w:p>
    <w:p w:rsidR="00FA2BC6" w:rsidRPr="00053E42" w:rsidRDefault="00FA2BC6" w:rsidP="00DC1333">
      <w:pPr>
        <w:pStyle w:val="ListParagraph"/>
        <w:tabs>
          <w:tab w:val="left" w:pos="709"/>
        </w:tabs>
        <w:ind w:left="0"/>
        <w:jc w:val="both"/>
        <w:rPr>
          <w:bCs/>
          <w:lang w:val="es-ES"/>
        </w:rPr>
      </w:pPr>
    </w:p>
    <w:p w:rsidR="00FA2BC6" w:rsidRPr="00C269FE" w:rsidRDefault="00FA2BC6" w:rsidP="00DC1333">
      <w:pPr>
        <w:pStyle w:val="ListParagraph"/>
        <w:tabs>
          <w:tab w:val="left" w:pos="709"/>
        </w:tabs>
        <w:ind w:left="0"/>
        <w:jc w:val="center"/>
        <w:rPr>
          <w:bCs/>
          <w:lang w:val="es-ES"/>
        </w:rPr>
      </w:pPr>
      <w:r w:rsidRPr="00C269FE">
        <w:rPr>
          <w:bCs/>
          <w:lang w:val="es-ES"/>
        </w:rPr>
        <w:t>Número de registros en PATENTSCOPE en 2014/15</w:t>
      </w:r>
    </w:p>
    <w:p w:rsidR="00FA2BC6" w:rsidRPr="00053E42" w:rsidRDefault="00FA2BC6" w:rsidP="00DC1333">
      <w:pPr>
        <w:pStyle w:val="ListParagraph"/>
        <w:tabs>
          <w:tab w:val="left" w:pos="709"/>
        </w:tabs>
        <w:ind w:left="0"/>
        <w:jc w:val="both"/>
        <w:rPr>
          <w:bCs/>
          <w:lang w:val="es-ES"/>
        </w:rPr>
      </w:pPr>
    </w:p>
    <w:p w:rsidR="00FA2BC6" w:rsidRPr="00053E42" w:rsidRDefault="00FA2BC6" w:rsidP="00DC1333">
      <w:pPr>
        <w:pStyle w:val="ListParagraph"/>
        <w:tabs>
          <w:tab w:val="left" w:pos="709"/>
        </w:tabs>
        <w:ind w:left="0"/>
        <w:jc w:val="center"/>
        <w:rPr>
          <w:rFonts w:eastAsia="MS Mincho"/>
          <w:lang w:val="es-ES" w:eastAsia="ja-JP" w:bidi="th-TH"/>
        </w:rPr>
      </w:pPr>
      <w:r w:rsidRPr="00F74686">
        <w:rPr>
          <w:rFonts w:eastAsia="MS Mincho"/>
          <w:noProof/>
        </w:rPr>
        <w:drawing>
          <wp:inline distT="0" distB="0" distL="0" distR="0" wp14:anchorId="635BEF73" wp14:editId="58FDED43">
            <wp:extent cx="4886840" cy="2721935"/>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89867" cy="2723621"/>
                    </a:xfrm>
                    <a:prstGeom prst="rect">
                      <a:avLst/>
                    </a:prstGeom>
                    <a:noFill/>
                    <a:ln>
                      <a:noFill/>
                    </a:ln>
                  </pic:spPr>
                </pic:pic>
              </a:graphicData>
            </a:graphic>
          </wp:inline>
        </w:drawing>
      </w:r>
    </w:p>
    <w:p w:rsidR="00FA2BC6" w:rsidRPr="00053E42" w:rsidRDefault="00FA2BC6" w:rsidP="00DC1333">
      <w:pPr>
        <w:pStyle w:val="ListParagraph"/>
        <w:tabs>
          <w:tab w:val="left" w:pos="709"/>
        </w:tabs>
        <w:ind w:left="0"/>
        <w:jc w:val="both"/>
        <w:rPr>
          <w:bCs/>
          <w:lang w:val="es-ES"/>
        </w:rPr>
      </w:pPr>
    </w:p>
    <w:p w:rsidR="00FA2BC6" w:rsidRPr="00053E42" w:rsidRDefault="00FA2BC6" w:rsidP="00FA2BC6">
      <w:pPr>
        <w:pStyle w:val="ListParagraph"/>
        <w:numPr>
          <w:ilvl w:val="0"/>
          <w:numId w:val="73"/>
        </w:numPr>
        <w:tabs>
          <w:tab w:val="left" w:pos="709"/>
        </w:tabs>
        <w:ind w:left="0" w:firstLine="0"/>
        <w:jc w:val="both"/>
        <w:rPr>
          <w:bCs/>
          <w:lang w:val="es-ES"/>
        </w:rPr>
      </w:pPr>
      <w:r w:rsidRPr="00053E42">
        <w:rPr>
          <w:bCs/>
          <w:lang w:val="es-ES"/>
        </w:rPr>
        <w:lastRenderedPageBreak/>
        <w:t>El programa 13 siguió contribuyendo a las recomendaciones 24 y 31 de la Agenda para el Desarrollo, colmando la brecha digital y facilitando un mayor acceso a la información publicada sobre P.I. mediante el constante aumento de los datos sobre P.I. disponibles para consulta y la ampliación de las funciones de apoyo a otros idiomas.</w:t>
      </w:r>
    </w:p>
    <w:p w:rsidR="00FA2BC6" w:rsidRPr="00053E42" w:rsidRDefault="00FA2BC6" w:rsidP="00DC1333">
      <w:pPr>
        <w:rPr>
          <w:bCs/>
          <w:sz w:val="20"/>
        </w:rPr>
      </w:pPr>
    </w:p>
    <w:p w:rsidR="00FA2BC6" w:rsidRPr="00053E42" w:rsidRDefault="00FA2BC6" w:rsidP="00DC1333">
      <w:pPr>
        <w:rPr>
          <w:bCs/>
          <w:sz w:val="20"/>
        </w:rPr>
      </w:pPr>
    </w:p>
    <w:p w:rsidR="00FA2BC6" w:rsidRPr="00053E42" w:rsidRDefault="008F7CBE" w:rsidP="00DC1333">
      <w:pPr>
        <w:keepNext/>
        <w:rPr>
          <w:szCs w:val="22"/>
        </w:rPr>
      </w:pPr>
      <w:r w:rsidRPr="008F7CBE">
        <w:rPr>
          <w:sz w:val="20"/>
          <w:szCs w:val="22"/>
        </w:rPr>
        <w:t>DATOS SOBRE EL RENDIMIENTO</w:t>
      </w:r>
    </w:p>
    <w:p w:rsidR="00FA2BC6" w:rsidRPr="00053E42" w:rsidRDefault="00FA2BC6" w:rsidP="00DC1333">
      <w:pPr>
        <w:keepNext/>
        <w:rPr>
          <w:bCs/>
          <w:szCs w:val="22"/>
        </w:rPr>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9"/>
        <w:gridCol w:w="2393"/>
        <w:gridCol w:w="1407"/>
        <w:gridCol w:w="2249"/>
        <w:gridCol w:w="142"/>
        <w:gridCol w:w="1131"/>
      </w:tblGrid>
      <w:tr w:rsidR="00FA2BC6" w:rsidRPr="00053E42" w:rsidTr="00DC1333">
        <w:trPr>
          <w:cantSplit/>
        </w:trPr>
        <w:tc>
          <w:tcPr>
            <w:tcW w:w="5000" w:type="pct"/>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A2BC6" w:rsidRPr="00053E42" w:rsidRDefault="00FA2BC6" w:rsidP="00DC1333">
            <w:pPr>
              <w:keepNext/>
              <w:keepLines/>
              <w:spacing w:before="120" w:after="120"/>
              <w:ind w:left="2019" w:hanging="2019"/>
              <w:rPr>
                <w:b/>
                <w:bCs/>
                <w:sz w:val="16"/>
                <w:szCs w:val="16"/>
              </w:rPr>
            </w:pPr>
            <w:r w:rsidRPr="00053E42">
              <w:rPr>
                <w:b/>
                <w:bCs/>
                <w:sz w:val="16"/>
                <w:szCs w:val="16"/>
              </w:rPr>
              <w:t>Resultado previsto:</w:t>
            </w:r>
            <w:r w:rsidRPr="00053E42">
              <w:rPr>
                <w:b/>
                <w:bCs/>
                <w:sz w:val="16"/>
                <w:szCs w:val="16"/>
              </w:rPr>
              <w:tab/>
            </w:r>
            <w:r w:rsidRPr="00053E42">
              <w:rPr>
                <w:bCs/>
                <w:sz w:val="16"/>
                <w:szCs w:val="16"/>
              </w:rPr>
              <w:t>IV.2 Mejora del acceso y uso de información de P.I. por parte de instituciones de P.I. y el público para fomentar la innovación y la creatividad</w:t>
            </w:r>
          </w:p>
        </w:tc>
      </w:tr>
      <w:tr w:rsidR="00FA2BC6" w:rsidRPr="00053E42" w:rsidTr="00DC1333">
        <w:trPr>
          <w:cantSplit/>
        </w:trPr>
        <w:tc>
          <w:tcPr>
            <w:tcW w:w="1175" w:type="pct"/>
            <w:tcBorders>
              <w:top w:val="single" w:sz="4" w:space="0" w:color="auto"/>
              <w:left w:val="single" w:sz="4" w:space="0" w:color="auto"/>
              <w:bottom w:val="nil"/>
            </w:tcBorders>
            <w:shd w:val="clear" w:color="auto" w:fill="auto"/>
            <w:vAlign w:val="center"/>
          </w:tcPr>
          <w:p w:rsidR="00FA2BC6" w:rsidRPr="00053E42" w:rsidRDefault="00FA2BC6" w:rsidP="00DC1333">
            <w:pPr>
              <w:keepNext/>
              <w:rPr>
                <w:sz w:val="16"/>
                <w:szCs w:val="16"/>
              </w:rPr>
            </w:pPr>
            <w:r w:rsidRPr="00053E42">
              <w:rPr>
                <w:b/>
                <w:sz w:val="16"/>
                <w:szCs w:val="16"/>
              </w:rPr>
              <w:t>Indicadores de rendimiento</w:t>
            </w:r>
          </w:p>
        </w:tc>
        <w:tc>
          <w:tcPr>
            <w:tcW w:w="1250" w:type="pct"/>
            <w:tcBorders>
              <w:top w:val="single" w:sz="4" w:space="0" w:color="auto"/>
              <w:bottom w:val="nil"/>
            </w:tcBorders>
            <w:shd w:val="clear" w:color="auto" w:fill="auto"/>
            <w:vAlign w:val="center"/>
          </w:tcPr>
          <w:p w:rsidR="00FA2BC6" w:rsidRPr="00053E42" w:rsidRDefault="00FA2BC6" w:rsidP="00DC1333">
            <w:pPr>
              <w:keepNext/>
              <w:rPr>
                <w:b/>
                <w:bCs/>
                <w:sz w:val="16"/>
                <w:szCs w:val="16"/>
              </w:rPr>
            </w:pPr>
            <w:r w:rsidRPr="00053E42">
              <w:rPr>
                <w:b/>
                <w:bCs/>
                <w:sz w:val="16"/>
                <w:szCs w:val="16"/>
              </w:rPr>
              <w:t>Referencia</w:t>
            </w:r>
          </w:p>
        </w:tc>
        <w:tc>
          <w:tcPr>
            <w:tcW w:w="735" w:type="pct"/>
            <w:tcBorders>
              <w:top w:val="single" w:sz="4" w:space="0" w:color="auto"/>
              <w:bottom w:val="nil"/>
            </w:tcBorders>
            <w:shd w:val="clear" w:color="auto" w:fill="auto"/>
            <w:tcMar>
              <w:top w:w="110" w:type="dxa"/>
            </w:tcMar>
            <w:vAlign w:val="center"/>
          </w:tcPr>
          <w:p w:rsidR="00FA2BC6" w:rsidRPr="00053E42" w:rsidRDefault="00FA2BC6" w:rsidP="00DC1333">
            <w:pPr>
              <w:keepNext/>
              <w:rPr>
                <w:b/>
                <w:sz w:val="16"/>
                <w:szCs w:val="16"/>
              </w:rPr>
            </w:pPr>
            <w:r w:rsidRPr="00053E42">
              <w:rPr>
                <w:b/>
                <w:sz w:val="16"/>
                <w:szCs w:val="16"/>
              </w:rPr>
              <w:t>Objetivos</w:t>
            </w:r>
          </w:p>
        </w:tc>
        <w:tc>
          <w:tcPr>
            <w:tcW w:w="1175" w:type="pct"/>
            <w:tcBorders>
              <w:top w:val="single" w:sz="4" w:space="0" w:color="auto"/>
              <w:bottom w:val="nil"/>
            </w:tcBorders>
            <w:shd w:val="clear" w:color="auto" w:fill="FFFFFF"/>
            <w:tcMar>
              <w:top w:w="110" w:type="dxa"/>
            </w:tcMar>
            <w:vAlign w:val="center"/>
          </w:tcPr>
          <w:p w:rsidR="00FA2BC6" w:rsidRPr="00053E42" w:rsidRDefault="00FA2BC6" w:rsidP="00DC1333">
            <w:pPr>
              <w:keepNext/>
              <w:rPr>
                <w:sz w:val="16"/>
                <w:szCs w:val="16"/>
              </w:rPr>
            </w:pPr>
            <w:r w:rsidRPr="00053E42">
              <w:rPr>
                <w:b/>
                <w:sz w:val="16"/>
                <w:szCs w:val="16"/>
              </w:rPr>
              <w:t>Datos sobre el rendimiento</w:t>
            </w:r>
          </w:p>
        </w:tc>
        <w:tc>
          <w:tcPr>
            <w:tcW w:w="665" w:type="pct"/>
            <w:gridSpan w:val="2"/>
            <w:tcBorders>
              <w:top w:val="single" w:sz="4" w:space="0" w:color="auto"/>
              <w:bottom w:val="nil"/>
              <w:right w:val="single" w:sz="4" w:space="0" w:color="auto"/>
            </w:tcBorders>
            <w:shd w:val="clear" w:color="auto" w:fill="auto"/>
            <w:tcMar>
              <w:top w:w="110" w:type="dxa"/>
            </w:tcMar>
            <w:vAlign w:val="center"/>
          </w:tcPr>
          <w:p w:rsidR="00FA2BC6" w:rsidRPr="00053E42" w:rsidRDefault="00FA2BC6" w:rsidP="00DC1333">
            <w:pPr>
              <w:keepNext/>
              <w:keepLines/>
              <w:ind w:left="-110"/>
              <w:jc w:val="center"/>
              <w:rPr>
                <w:b/>
                <w:bCs/>
                <w:sz w:val="16"/>
                <w:szCs w:val="16"/>
              </w:rPr>
            </w:pPr>
            <w:r w:rsidRPr="00053E42">
              <w:rPr>
                <w:b/>
                <w:bCs/>
                <w:sz w:val="16"/>
                <w:szCs w:val="16"/>
              </w:rPr>
              <w:t>Clave de colores</w:t>
            </w:r>
          </w:p>
        </w:tc>
      </w:tr>
      <w:tr w:rsidR="00FA2BC6" w:rsidRPr="00053E42" w:rsidTr="00DC1333">
        <w:trPr>
          <w:cantSplit/>
        </w:trPr>
        <w:tc>
          <w:tcPr>
            <w:tcW w:w="1175" w:type="pct"/>
            <w:tcBorders>
              <w:top w:val="nil"/>
              <w:left w:val="single" w:sz="4" w:space="0" w:color="auto"/>
              <w:bottom w:val="nil"/>
            </w:tcBorders>
            <w:shd w:val="clear" w:color="auto" w:fill="auto"/>
          </w:tcPr>
          <w:p w:rsidR="00FA2BC6" w:rsidRPr="00053E42" w:rsidRDefault="00FA2BC6" w:rsidP="00DC1333">
            <w:pPr>
              <w:keepNext/>
              <w:rPr>
                <w:sz w:val="16"/>
                <w:szCs w:val="16"/>
              </w:rPr>
            </w:pPr>
            <w:r w:rsidRPr="00053E42">
              <w:rPr>
                <w:sz w:val="16"/>
                <w:szCs w:val="16"/>
              </w:rPr>
              <w:t>Número de usuarios por trimestre en todos los sistemas (PATENTSCOPE/Base Mundial de Datos sobre Marcas)</w:t>
            </w:r>
            <w:r w:rsidRPr="00053E42">
              <w:rPr>
                <w:rStyle w:val="FootnoteReference"/>
                <w:sz w:val="16"/>
                <w:szCs w:val="16"/>
              </w:rPr>
              <w:footnoteReference w:id="85"/>
            </w:r>
          </w:p>
        </w:tc>
        <w:tc>
          <w:tcPr>
            <w:tcW w:w="1250" w:type="pct"/>
            <w:tcBorders>
              <w:top w:val="nil"/>
              <w:bottom w:val="nil"/>
            </w:tcBorders>
            <w:shd w:val="clear" w:color="auto" w:fill="auto"/>
          </w:tcPr>
          <w:p w:rsidR="00FA2BC6" w:rsidRPr="00053E42" w:rsidRDefault="00FA2BC6" w:rsidP="00DC1333">
            <w:pPr>
              <w:keepNext/>
              <w:rPr>
                <w:color w:val="002060"/>
                <w:sz w:val="16"/>
                <w:szCs w:val="16"/>
              </w:rPr>
            </w:pPr>
            <w:r w:rsidRPr="00053E42">
              <w:rPr>
                <w:i/>
                <w:color w:val="002060"/>
                <w:sz w:val="16"/>
                <w:szCs w:val="16"/>
              </w:rPr>
              <w:t xml:space="preserve">Referencia actualizada a fines de 2013: </w:t>
            </w:r>
            <w:r w:rsidRPr="00053E42">
              <w:rPr>
                <w:i/>
                <w:color w:val="002060"/>
                <w:sz w:val="16"/>
                <w:szCs w:val="16"/>
              </w:rPr>
              <w:br/>
            </w:r>
            <w:r w:rsidRPr="00053E42">
              <w:rPr>
                <w:color w:val="002060"/>
                <w:sz w:val="16"/>
                <w:szCs w:val="16"/>
              </w:rPr>
              <w:t>PATENTSCOPE 237.446 Base Mundial de Datos sobre Marcas 23.000</w:t>
            </w:r>
            <w:r w:rsidRPr="00053E42">
              <w:rPr>
                <w:i/>
                <w:color w:val="002060"/>
                <w:sz w:val="16"/>
                <w:szCs w:val="16"/>
              </w:rPr>
              <w:br/>
            </w:r>
          </w:p>
          <w:p w:rsidR="00FA2BC6" w:rsidRPr="00053E42" w:rsidRDefault="00FA2BC6" w:rsidP="00DC1333">
            <w:pPr>
              <w:keepNext/>
              <w:rPr>
                <w:sz w:val="16"/>
                <w:szCs w:val="16"/>
              </w:rPr>
            </w:pPr>
            <w:r w:rsidRPr="00053E42">
              <w:rPr>
                <w:i/>
                <w:sz w:val="16"/>
                <w:szCs w:val="16"/>
                <w:lang w:bidi="th-TH"/>
              </w:rPr>
              <w:t>Referencia original en el presupuesto de 2014/15</w:t>
            </w:r>
            <w:r w:rsidRPr="00053E42">
              <w:rPr>
                <w:i/>
                <w:sz w:val="16"/>
                <w:szCs w:val="16"/>
              </w:rPr>
              <w:t xml:space="preserve">: </w:t>
            </w:r>
            <w:r w:rsidRPr="00053E42">
              <w:rPr>
                <w:i/>
                <w:sz w:val="16"/>
                <w:szCs w:val="16"/>
              </w:rPr>
              <w:br/>
            </w:r>
            <w:r w:rsidRPr="00053E42">
              <w:rPr>
                <w:sz w:val="16"/>
                <w:szCs w:val="16"/>
              </w:rPr>
              <w:t>PATENTSCOPE 566.782 Base Mundial de Datos sobre Marcas 13.339 visitantes únicos (4</w:t>
            </w:r>
            <w:r w:rsidRPr="00053E42">
              <w:rPr>
                <w:sz w:val="16"/>
                <w:szCs w:val="16"/>
                <w:vertAlign w:val="superscript"/>
              </w:rPr>
              <w:t>º</w:t>
            </w:r>
            <w:r w:rsidRPr="00053E42">
              <w:rPr>
                <w:sz w:val="16"/>
                <w:szCs w:val="16"/>
              </w:rPr>
              <w:t xml:space="preserve"> trimestre 2012)</w:t>
            </w:r>
          </w:p>
          <w:p w:rsidR="00FA2BC6" w:rsidRPr="00053E42" w:rsidRDefault="00FA2BC6" w:rsidP="00DC1333">
            <w:pPr>
              <w:keepNext/>
              <w:rPr>
                <w:sz w:val="16"/>
                <w:szCs w:val="16"/>
              </w:rPr>
            </w:pPr>
          </w:p>
        </w:tc>
        <w:tc>
          <w:tcPr>
            <w:tcW w:w="735" w:type="pct"/>
            <w:tcBorders>
              <w:top w:val="nil"/>
              <w:bottom w:val="nil"/>
            </w:tcBorders>
            <w:shd w:val="clear" w:color="auto" w:fill="auto"/>
            <w:tcMar>
              <w:top w:w="110" w:type="dxa"/>
            </w:tcMar>
          </w:tcPr>
          <w:p w:rsidR="00FA2BC6" w:rsidRPr="00053E42" w:rsidRDefault="00FA2BC6" w:rsidP="00DC1333">
            <w:pPr>
              <w:keepNext/>
              <w:rPr>
                <w:sz w:val="16"/>
                <w:szCs w:val="16"/>
              </w:rPr>
            </w:pPr>
            <w:r w:rsidRPr="00053E42">
              <w:rPr>
                <w:sz w:val="14"/>
                <w:szCs w:val="14"/>
              </w:rPr>
              <w:t>PATENTSCOPE</w:t>
            </w:r>
            <w:r w:rsidRPr="00053E42">
              <w:rPr>
                <w:sz w:val="16"/>
                <w:szCs w:val="16"/>
              </w:rPr>
              <w:t xml:space="preserve">: </w:t>
            </w:r>
            <w:r>
              <w:rPr>
                <w:sz w:val="16"/>
                <w:szCs w:val="16"/>
              </w:rPr>
              <w:t xml:space="preserve"> </w:t>
            </w:r>
            <w:r w:rsidRPr="00053E42">
              <w:rPr>
                <w:sz w:val="16"/>
                <w:szCs w:val="16"/>
              </w:rPr>
              <w:t>650.000</w:t>
            </w:r>
          </w:p>
          <w:p w:rsidR="00FA2BC6" w:rsidRPr="00053E42" w:rsidRDefault="00FA2BC6" w:rsidP="00DC1333">
            <w:pPr>
              <w:keepNext/>
              <w:rPr>
                <w:sz w:val="16"/>
                <w:szCs w:val="16"/>
              </w:rPr>
            </w:pPr>
          </w:p>
          <w:p w:rsidR="00FA2BC6" w:rsidRPr="00053E42" w:rsidRDefault="00FA2BC6" w:rsidP="00DC1333">
            <w:pPr>
              <w:keepNext/>
              <w:rPr>
                <w:sz w:val="16"/>
                <w:szCs w:val="16"/>
              </w:rPr>
            </w:pPr>
          </w:p>
          <w:p w:rsidR="00FA2BC6" w:rsidRPr="00053E42" w:rsidRDefault="00FA2BC6" w:rsidP="00DC1333">
            <w:pPr>
              <w:keepNext/>
              <w:rPr>
                <w:sz w:val="16"/>
                <w:szCs w:val="16"/>
              </w:rPr>
            </w:pPr>
            <w:r w:rsidRPr="00053E42">
              <w:rPr>
                <w:sz w:val="16"/>
                <w:szCs w:val="16"/>
              </w:rPr>
              <w:t xml:space="preserve">Base Mundial de Datos sobre Marcas: </w:t>
            </w:r>
            <w:r>
              <w:rPr>
                <w:sz w:val="16"/>
                <w:szCs w:val="16"/>
              </w:rPr>
              <w:t xml:space="preserve"> </w:t>
            </w:r>
            <w:r w:rsidRPr="00053E42">
              <w:rPr>
                <w:sz w:val="16"/>
                <w:szCs w:val="16"/>
              </w:rPr>
              <w:t>20.000 usuarios distintos por trimestre</w:t>
            </w:r>
            <w:r w:rsidRPr="00053E42">
              <w:rPr>
                <w:rStyle w:val="FootnoteReference"/>
                <w:sz w:val="16"/>
                <w:szCs w:val="16"/>
              </w:rPr>
              <w:footnoteReference w:id="86"/>
            </w:r>
          </w:p>
        </w:tc>
        <w:tc>
          <w:tcPr>
            <w:tcW w:w="1175" w:type="pct"/>
            <w:tcBorders>
              <w:top w:val="nil"/>
              <w:bottom w:val="nil"/>
            </w:tcBorders>
            <w:shd w:val="clear" w:color="auto" w:fill="FFFFFF"/>
            <w:tcMar>
              <w:top w:w="110" w:type="dxa"/>
            </w:tcMar>
          </w:tcPr>
          <w:p w:rsidR="00FA2BC6" w:rsidRPr="00053E42" w:rsidRDefault="00FA2BC6" w:rsidP="00DC1333">
            <w:pPr>
              <w:keepNext/>
              <w:rPr>
                <w:sz w:val="16"/>
                <w:szCs w:val="16"/>
              </w:rPr>
            </w:pPr>
            <w:r w:rsidRPr="00053E42">
              <w:rPr>
                <w:sz w:val="16"/>
                <w:szCs w:val="16"/>
              </w:rPr>
              <w:t>PATENTSCOPE:  245.769 (2014)</w:t>
            </w:r>
          </w:p>
          <w:p w:rsidR="00FA2BC6" w:rsidRPr="00053E42" w:rsidRDefault="00FA2BC6" w:rsidP="00DC1333">
            <w:pPr>
              <w:keepNext/>
              <w:rPr>
                <w:sz w:val="16"/>
                <w:szCs w:val="16"/>
              </w:rPr>
            </w:pPr>
            <w:r w:rsidRPr="00053E42">
              <w:rPr>
                <w:sz w:val="16"/>
                <w:szCs w:val="16"/>
              </w:rPr>
              <w:t>221.981 (2015)</w:t>
            </w:r>
          </w:p>
          <w:p w:rsidR="00FA2BC6" w:rsidRPr="00053E42" w:rsidRDefault="00FA2BC6" w:rsidP="00DC1333">
            <w:pPr>
              <w:keepNext/>
              <w:rPr>
                <w:sz w:val="16"/>
                <w:szCs w:val="16"/>
              </w:rPr>
            </w:pPr>
          </w:p>
          <w:p w:rsidR="00FA2BC6" w:rsidRPr="00053E42" w:rsidRDefault="00FA2BC6" w:rsidP="00DC1333">
            <w:pPr>
              <w:keepNext/>
              <w:rPr>
                <w:sz w:val="16"/>
                <w:szCs w:val="16"/>
              </w:rPr>
            </w:pPr>
            <w:r w:rsidRPr="00053E42">
              <w:rPr>
                <w:sz w:val="16"/>
                <w:szCs w:val="16"/>
              </w:rPr>
              <w:t xml:space="preserve">Base Mundial de Datos sobre Marcas:  </w:t>
            </w:r>
          </w:p>
          <w:p w:rsidR="00FA2BC6" w:rsidRPr="00053E42" w:rsidRDefault="00FA2BC6" w:rsidP="00DC1333">
            <w:pPr>
              <w:keepNext/>
              <w:rPr>
                <w:sz w:val="16"/>
                <w:szCs w:val="16"/>
              </w:rPr>
            </w:pPr>
            <w:r w:rsidRPr="00053E42">
              <w:rPr>
                <w:sz w:val="16"/>
                <w:szCs w:val="16"/>
              </w:rPr>
              <w:t>49.977 (2014)</w:t>
            </w:r>
          </w:p>
          <w:p w:rsidR="00FA2BC6" w:rsidRPr="00053E42" w:rsidRDefault="00FA2BC6" w:rsidP="00DC1333">
            <w:pPr>
              <w:keepNext/>
              <w:rPr>
                <w:sz w:val="16"/>
                <w:szCs w:val="16"/>
              </w:rPr>
            </w:pPr>
            <w:r w:rsidRPr="00053E42">
              <w:rPr>
                <w:sz w:val="16"/>
                <w:szCs w:val="16"/>
              </w:rPr>
              <w:t>80.490 (2015)</w:t>
            </w:r>
          </w:p>
          <w:p w:rsidR="00FA2BC6" w:rsidRPr="00053E42" w:rsidRDefault="00FA2BC6" w:rsidP="00DC1333">
            <w:pPr>
              <w:keepNext/>
              <w:rPr>
                <w:sz w:val="16"/>
                <w:szCs w:val="16"/>
              </w:rPr>
            </w:pPr>
          </w:p>
          <w:p w:rsidR="00FA2BC6" w:rsidRPr="00053E42" w:rsidRDefault="00FA2BC6" w:rsidP="00DC1333">
            <w:pPr>
              <w:keepNext/>
              <w:rPr>
                <w:sz w:val="16"/>
                <w:szCs w:val="16"/>
              </w:rPr>
            </w:pPr>
            <w:r w:rsidRPr="00053E42">
              <w:rPr>
                <w:sz w:val="16"/>
                <w:szCs w:val="16"/>
              </w:rPr>
              <w:t xml:space="preserve">Base Mundial de Datos sobre Dibujos y Modelos Industriales:  </w:t>
            </w:r>
          </w:p>
          <w:p w:rsidR="00FA2BC6" w:rsidRPr="00053E42" w:rsidRDefault="00FA2BC6" w:rsidP="00DC1333">
            <w:pPr>
              <w:keepNext/>
              <w:rPr>
                <w:sz w:val="16"/>
                <w:szCs w:val="16"/>
              </w:rPr>
            </w:pPr>
            <w:r w:rsidRPr="00053E42">
              <w:rPr>
                <w:sz w:val="16"/>
                <w:szCs w:val="16"/>
              </w:rPr>
              <w:t>13.490 (2015)</w:t>
            </w:r>
          </w:p>
        </w:tc>
        <w:tc>
          <w:tcPr>
            <w:tcW w:w="665" w:type="pct"/>
            <w:gridSpan w:val="2"/>
            <w:tcBorders>
              <w:top w:val="nil"/>
              <w:bottom w:val="nil"/>
              <w:right w:val="single" w:sz="4" w:space="0" w:color="auto"/>
            </w:tcBorders>
            <w:shd w:val="clear" w:color="auto" w:fill="auto"/>
            <w:tcMar>
              <w:top w:w="110" w:type="dxa"/>
            </w:tcMar>
          </w:tcPr>
          <w:p w:rsidR="00FA2BC6" w:rsidRPr="00053E42" w:rsidRDefault="00FA2BC6" w:rsidP="00DC1333">
            <w:pPr>
              <w:keepNext/>
              <w:keepLines/>
              <w:ind w:left="-110"/>
              <w:jc w:val="center"/>
              <w:rPr>
                <w:rStyle w:val="Style5"/>
                <w:b/>
                <w:color w:val="00B050"/>
                <w:sz w:val="16"/>
                <w:szCs w:val="16"/>
              </w:rPr>
            </w:pPr>
            <w:r w:rsidRPr="00053E42">
              <w:rPr>
                <w:b/>
                <w:bCs/>
                <w:color w:val="E36C0A" w:themeColor="accent6" w:themeShade="BF"/>
                <w:sz w:val="16"/>
                <w:szCs w:val="16"/>
              </w:rPr>
              <w:t>Parcialmente logrado</w:t>
            </w:r>
          </w:p>
          <w:p w:rsidR="00FA2BC6" w:rsidRPr="00053E42" w:rsidRDefault="00FA2BC6" w:rsidP="00DC1333">
            <w:pPr>
              <w:keepNext/>
              <w:keepLines/>
              <w:jc w:val="center"/>
              <w:rPr>
                <w:rStyle w:val="Style5"/>
                <w:b/>
                <w:color w:val="00B050"/>
                <w:sz w:val="16"/>
                <w:szCs w:val="16"/>
              </w:rPr>
            </w:pPr>
          </w:p>
          <w:p w:rsidR="00FA2BC6" w:rsidRPr="00053E42" w:rsidRDefault="00FA2BC6" w:rsidP="00DC1333">
            <w:pPr>
              <w:keepNext/>
              <w:keepLines/>
              <w:jc w:val="center"/>
              <w:rPr>
                <w:rStyle w:val="Style5"/>
                <w:b/>
                <w:color w:val="00B050"/>
                <w:sz w:val="16"/>
                <w:szCs w:val="16"/>
              </w:rPr>
            </w:pPr>
          </w:p>
          <w:p w:rsidR="00FA2BC6" w:rsidRPr="00053E42" w:rsidRDefault="00FA2BC6" w:rsidP="00DC1333">
            <w:pPr>
              <w:keepNext/>
              <w:keepLines/>
              <w:ind w:left="-110"/>
              <w:jc w:val="center"/>
              <w:rPr>
                <w:b/>
                <w:bCs/>
                <w:color w:val="00B050"/>
                <w:sz w:val="16"/>
                <w:szCs w:val="16"/>
              </w:rPr>
            </w:pPr>
            <w:r w:rsidRPr="00053E42">
              <w:rPr>
                <w:b/>
                <w:bCs/>
                <w:color w:val="00B050"/>
                <w:sz w:val="16"/>
                <w:szCs w:val="16"/>
              </w:rPr>
              <w:t>Plenamente logrado</w:t>
            </w:r>
          </w:p>
          <w:p w:rsidR="00FA2BC6" w:rsidRPr="00053E42" w:rsidRDefault="00FA2BC6" w:rsidP="00DC1333">
            <w:pPr>
              <w:keepNext/>
              <w:keepLines/>
              <w:ind w:left="-110"/>
              <w:jc w:val="center"/>
              <w:rPr>
                <w:b/>
                <w:bCs/>
                <w:color w:val="00B050"/>
                <w:sz w:val="16"/>
                <w:szCs w:val="16"/>
              </w:rPr>
            </w:pPr>
          </w:p>
          <w:p w:rsidR="00FA2BC6" w:rsidRPr="00053E42" w:rsidRDefault="00FA2BC6" w:rsidP="00DC1333">
            <w:pPr>
              <w:keepNext/>
              <w:keepLines/>
              <w:ind w:left="-110"/>
              <w:jc w:val="center"/>
              <w:rPr>
                <w:b/>
                <w:bCs/>
                <w:color w:val="00B050"/>
                <w:sz w:val="16"/>
                <w:szCs w:val="16"/>
              </w:rPr>
            </w:pPr>
          </w:p>
          <w:p w:rsidR="00FA2BC6" w:rsidRPr="00053E42" w:rsidRDefault="00FA2BC6" w:rsidP="00DC1333">
            <w:pPr>
              <w:keepNext/>
              <w:keepLines/>
              <w:ind w:left="-110"/>
              <w:jc w:val="center"/>
              <w:rPr>
                <w:b/>
                <w:bCs/>
                <w:color w:val="00B050"/>
                <w:sz w:val="16"/>
                <w:szCs w:val="16"/>
              </w:rPr>
            </w:pPr>
          </w:p>
          <w:p w:rsidR="00FA2BC6" w:rsidRPr="00053E42" w:rsidRDefault="00FA2BC6" w:rsidP="00DC1333">
            <w:pPr>
              <w:keepNext/>
              <w:keepLines/>
              <w:ind w:left="-110"/>
              <w:jc w:val="center"/>
              <w:rPr>
                <w:b/>
                <w:bCs/>
                <w:color w:val="00B050"/>
                <w:sz w:val="16"/>
                <w:szCs w:val="16"/>
              </w:rPr>
            </w:pPr>
            <w:r w:rsidRPr="00053E42">
              <w:rPr>
                <w:rStyle w:val="Style5"/>
                <w:b/>
                <w:color w:val="808080"/>
                <w:sz w:val="16"/>
                <w:szCs w:val="16"/>
              </w:rPr>
              <w:t>No mensurable</w:t>
            </w:r>
          </w:p>
        </w:tc>
      </w:tr>
      <w:tr w:rsidR="00FA2BC6" w:rsidRPr="00053E42" w:rsidTr="00DC1333">
        <w:trPr>
          <w:cantSplit/>
        </w:trPr>
        <w:tc>
          <w:tcPr>
            <w:tcW w:w="1175" w:type="pct"/>
            <w:tcBorders>
              <w:top w:val="nil"/>
              <w:left w:val="single" w:sz="4" w:space="0" w:color="auto"/>
              <w:bottom w:val="nil"/>
            </w:tcBorders>
            <w:shd w:val="clear" w:color="auto" w:fill="FFFFFF"/>
          </w:tcPr>
          <w:p w:rsidR="00FA2BC6" w:rsidRPr="00053E42" w:rsidRDefault="00FA2BC6" w:rsidP="00DC1333">
            <w:pPr>
              <w:rPr>
                <w:sz w:val="16"/>
                <w:szCs w:val="16"/>
                <w:lang w:bidi="th-TH"/>
              </w:rPr>
            </w:pPr>
            <w:r w:rsidRPr="00053E42">
              <w:rPr>
                <w:sz w:val="16"/>
                <w:szCs w:val="16"/>
                <w:lang w:bidi="th-TH"/>
              </w:rPr>
              <w:t>Número de idiomas en los que se pueden efectuar búsquedas plurilingües.</w:t>
            </w:r>
          </w:p>
        </w:tc>
        <w:tc>
          <w:tcPr>
            <w:tcW w:w="1250" w:type="pct"/>
            <w:tcBorders>
              <w:top w:val="nil"/>
              <w:bottom w:val="nil"/>
            </w:tcBorders>
            <w:shd w:val="clear" w:color="auto" w:fill="auto"/>
          </w:tcPr>
          <w:p w:rsidR="00FA2BC6" w:rsidRPr="00053E42" w:rsidRDefault="00FA2BC6" w:rsidP="00DC1333">
            <w:pPr>
              <w:autoSpaceDE w:val="0"/>
              <w:autoSpaceDN w:val="0"/>
              <w:adjustRightInd w:val="0"/>
              <w:rPr>
                <w:i/>
                <w:color w:val="002060"/>
                <w:sz w:val="16"/>
                <w:szCs w:val="16"/>
              </w:rPr>
            </w:pPr>
            <w:r w:rsidRPr="00053E42">
              <w:rPr>
                <w:i/>
                <w:color w:val="002060"/>
                <w:sz w:val="16"/>
                <w:szCs w:val="16"/>
              </w:rPr>
              <w:t xml:space="preserve">Referencia actualizada a fines de 2013:  </w:t>
            </w:r>
            <w:r w:rsidRPr="00053E42">
              <w:rPr>
                <w:color w:val="002060"/>
                <w:sz w:val="16"/>
                <w:szCs w:val="16"/>
              </w:rPr>
              <w:t>12</w:t>
            </w:r>
          </w:p>
          <w:p w:rsidR="00FA2BC6" w:rsidRPr="00053E42" w:rsidRDefault="00FA2BC6" w:rsidP="00DC1333">
            <w:pPr>
              <w:autoSpaceDE w:val="0"/>
              <w:autoSpaceDN w:val="0"/>
              <w:adjustRightInd w:val="0"/>
              <w:rPr>
                <w:i/>
                <w:color w:val="002060"/>
                <w:sz w:val="16"/>
                <w:szCs w:val="16"/>
              </w:rPr>
            </w:pPr>
          </w:p>
          <w:p w:rsidR="00FA2BC6" w:rsidRPr="00053E42" w:rsidRDefault="00FA2BC6" w:rsidP="00DC1333">
            <w:pPr>
              <w:autoSpaceDE w:val="0"/>
              <w:autoSpaceDN w:val="0"/>
              <w:adjustRightInd w:val="0"/>
              <w:rPr>
                <w:sz w:val="16"/>
                <w:szCs w:val="16"/>
              </w:rPr>
            </w:pPr>
            <w:r w:rsidRPr="00053E42">
              <w:rPr>
                <w:i/>
                <w:sz w:val="16"/>
                <w:szCs w:val="16"/>
                <w:lang w:bidi="th-TH"/>
              </w:rPr>
              <w:t xml:space="preserve">Referencia original en el presupuesto de </w:t>
            </w:r>
            <w:r w:rsidRPr="00053E42">
              <w:rPr>
                <w:i/>
                <w:sz w:val="16"/>
                <w:szCs w:val="16"/>
              </w:rPr>
              <w:t xml:space="preserve">2014/15: </w:t>
            </w:r>
            <w:r>
              <w:rPr>
                <w:i/>
                <w:sz w:val="16"/>
                <w:szCs w:val="16"/>
              </w:rPr>
              <w:t xml:space="preserve"> </w:t>
            </w:r>
            <w:r w:rsidRPr="00053E42">
              <w:rPr>
                <w:sz w:val="16"/>
                <w:szCs w:val="16"/>
              </w:rPr>
              <w:t>12 (feb. 2013)</w:t>
            </w:r>
          </w:p>
        </w:tc>
        <w:tc>
          <w:tcPr>
            <w:tcW w:w="735" w:type="pct"/>
            <w:tcBorders>
              <w:top w:val="nil"/>
              <w:bottom w:val="nil"/>
            </w:tcBorders>
            <w:shd w:val="clear" w:color="auto" w:fill="auto"/>
            <w:tcMar>
              <w:top w:w="110" w:type="dxa"/>
            </w:tcMar>
          </w:tcPr>
          <w:p w:rsidR="00FA2BC6" w:rsidRPr="00053E42" w:rsidRDefault="00FA2BC6" w:rsidP="00DC1333">
            <w:pPr>
              <w:rPr>
                <w:sz w:val="16"/>
                <w:szCs w:val="16"/>
                <w:lang w:bidi="th-TH"/>
              </w:rPr>
            </w:pPr>
            <w:r w:rsidRPr="00053E42">
              <w:rPr>
                <w:sz w:val="16"/>
                <w:szCs w:val="16"/>
              </w:rPr>
              <w:t>13</w:t>
            </w:r>
          </w:p>
        </w:tc>
        <w:tc>
          <w:tcPr>
            <w:tcW w:w="1175" w:type="pct"/>
            <w:tcBorders>
              <w:top w:val="nil"/>
              <w:bottom w:val="nil"/>
            </w:tcBorders>
            <w:shd w:val="clear" w:color="auto" w:fill="FFFFFF"/>
            <w:tcMar>
              <w:top w:w="110" w:type="dxa"/>
            </w:tcMar>
          </w:tcPr>
          <w:p w:rsidR="00FA2BC6" w:rsidRPr="00053E42" w:rsidRDefault="00FA2BC6" w:rsidP="00DC1333">
            <w:pPr>
              <w:rPr>
                <w:sz w:val="16"/>
                <w:szCs w:val="16"/>
                <w:lang w:bidi="th-TH"/>
              </w:rPr>
            </w:pPr>
            <w:r w:rsidRPr="00053E42">
              <w:rPr>
                <w:sz w:val="16"/>
                <w:szCs w:val="16"/>
                <w:lang w:bidi="th-TH"/>
              </w:rPr>
              <w:t xml:space="preserve">En 2014/15 se incorporaron otros dos idiomas (el danés y el polaco) al sistema de búsqueda plurilingüe </w:t>
            </w:r>
            <w:r w:rsidRPr="00053E42">
              <w:rPr>
                <w:i/>
                <w:sz w:val="16"/>
                <w:szCs w:val="16"/>
                <w:lang w:bidi="th-TH"/>
              </w:rPr>
              <w:t>Cross Lingual Information Retrieval</w:t>
            </w:r>
            <w:r w:rsidRPr="00053E42">
              <w:rPr>
                <w:sz w:val="16"/>
                <w:szCs w:val="16"/>
                <w:lang w:bidi="th-TH"/>
              </w:rPr>
              <w:t xml:space="preserve"> (CLIR) que permite recuperar datos en varios idiomas, con lo que la lista de idiomas existentes se amplía a 14.</w:t>
            </w:r>
          </w:p>
          <w:p w:rsidR="00FA2BC6" w:rsidRPr="00053E42" w:rsidRDefault="00FA2BC6" w:rsidP="00DC1333">
            <w:pPr>
              <w:rPr>
                <w:sz w:val="16"/>
                <w:szCs w:val="16"/>
                <w:lang w:bidi="th-TH"/>
              </w:rPr>
            </w:pPr>
          </w:p>
        </w:tc>
        <w:tc>
          <w:tcPr>
            <w:tcW w:w="665" w:type="pct"/>
            <w:gridSpan w:val="2"/>
            <w:tcBorders>
              <w:top w:val="nil"/>
              <w:bottom w:val="nil"/>
              <w:right w:val="single" w:sz="4" w:space="0" w:color="auto"/>
            </w:tcBorders>
            <w:shd w:val="clear" w:color="auto" w:fill="auto"/>
            <w:tcMar>
              <w:top w:w="110" w:type="dxa"/>
            </w:tcMar>
          </w:tcPr>
          <w:p w:rsidR="00FA2BC6" w:rsidRPr="00053E42" w:rsidRDefault="00FA2BC6" w:rsidP="00DC1333">
            <w:pPr>
              <w:keepNext/>
              <w:keepLines/>
              <w:ind w:left="-110"/>
              <w:jc w:val="center"/>
              <w:rPr>
                <w:rStyle w:val="Style5"/>
                <w:b/>
                <w:color w:val="00B050"/>
                <w:sz w:val="16"/>
              </w:rPr>
            </w:pPr>
            <w:r w:rsidRPr="00053E42">
              <w:rPr>
                <w:b/>
                <w:bCs/>
                <w:color w:val="00B050"/>
                <w:sz w:val="16"/>
                <w:szCs w:val="16"/>
              </w:rPr>
              <w:t>Plenamente logrado</w:t>
            </w:r>
          </w:p>
        </w:tc>
      </w:tr>
      <w:tr w:rsidR="00FA2BC6" w:rsidRPr="00053E42" w:rsidTr="00DC1333">
        <w:trPr>
          <w:cantSplit/>
        </w:trPr>
        <w:tc>
          <w:tcPr>
            <w:tcW w:w="1175" w:type="pct"/>
            <w:tcBorders>
              <w:top w:val="nil"/>
              <w:left w:val="single" w:sz="4" w:space="0" w:color="auto"/>
              <w:bottom w:val="single" w:sz="4" w:space="0" w:color="auto"/>
            </w:tcBorders>
            <w:shd w:val="clear" w:color="auto" w:fill="FFFFFF"/>
          </w:tcPr>
          <w:p w:rsidR="00FA2BC6" w:rsidRPr="00053E42" w:rsidRDefault="00FA2BC6" w:rsidP="00DC1333">
            <w:pPr>
              <w:rPr>
                <w:sz w:val="16"/>
                <w:szCs w:val="16"/>
              </w:rPr>
            </w:pPr>
            <w:r w:rsidRPr="00053E42">
              <w:rPr>
                <w:sz w:val="16"/>
                <w:szCs w:val="16"/>
              </w:rPr>
              <w:t>Número de pares de idiomas disponibles para la traducción automática de títulos y resúmenes.</w:t>
            </w:r>
          </w:p>
        </w:tc>
        <w:tc>
          <w:tcPr>
            <w:tcW w:w="1250" w:type="pct"/>
            <w:tcBorders>
              <w:top w:val="nil"/>
              <w:bottom w:val="single" w:sz="4" w:space="0" w:color="auto"/>
            </w:tcBorders>
            <w:shd w:val="clear" w:color="auto" w:fill="auto"/>
          </w:tcPr>
          <w:p w:rsidR="00FA2BC6" w:rsidRPr="00053E42" w:rsidRDefault="00FA2BC6" w:rsidP="00DC1333">
            <w:pPr>
              <w:rPr>
                <w:color w:val="002060"/>
                <w:sz w:val="16"/>
                <w:szCs w:val="16"/>
              </w:rPr>
            </w:pPr>
            <w:r w:rsidRPr="00053E42">
              <w:rPr>
                <w:i/>
                <w:color w:val="002060"/>
                <w:sz w:val="16"/>
                <w:szCs w:val="16"/>
              </w:rPr>
              <w:t>Referencia actualizada a fines de 2013:</w:t>
            </w:r>
            <w:r>
              <w:rPr>
                <w:i/>
                <w:color w:val="002060"/>
                <w:sz w:val="16"/>
                <w:szCs w:val="16"/>
              </w:rPr>
              <w:t xml:space="preserve"> </w:t>
            </w:r>
            <w:r w:rsidRPr="00053E42">
              <w:rPr>
                <w:i/>
                <w:color w:val="002060"/>
                <w:sz w:val="16"/>
                <w:szCs w:val="16"/>
              </w:rPr>
              <w:t xml:space="preserve"> </w:t>
            </w:r>
            <w:r w:rsidRPr="00053E42">
              <w:rPr>
                <w:color w:val="002060"/>
                <w:sz w:val="16"/>
                <w:szCs w:val="16"/>
              </w:rPr>
              <w:t>4 (en total)</w:t>
            </w:r>
          </w:p>
          <w:p w:rsidR="00FA2BC6" w:rsidRPr="00053E42" w:rsidRDefault="00FA2BC6" w:rsidP="00DC1333">
            <w:pPr>
              <w:rPr>
                <w:color w:val="002060"/>
                <w:sz w:val="16"/>
                <w:szCs w:val="16"/>
              </w:rPr>
            </w:pPr>
          </w:p>
          <w:p w:rsidR="00FA2BC6" w:rsidRPr="00053E42" w:rsidRDefault="00FA2BC6" w:rsidP="00DC1333">
            <w:pPr>
              <w:rPr>
                <w:i/>
                <w:sz w:val="16"/>
                <w:szCs w:val="16"/>
              </w:rPr>
            </w:pPr>
            <w:r w:rsidRPr="00053E42">
              <w:rPr>
                <w:i/>
                <w:sz w:val="16"/>
                <w:szCs w:val="16"/>
                <w:lang w:bidi="th-TH"/>
              </w:rPr>
              <w:t xml:space="preserve">Referencia original en el presupuesto de </w:t>
            </w:r>
            <w:r w:rsidRPr="00053E42">
              <w:rPr>
                <w:i/>
                <w:sz w:val="16"/>
                <w:szCs w:val="16"/>
              </w:rPr>
              <w:t xml:space="preserve">2014/15: </w:t>
            </w:r>
            <w:r>
              <w:rPr>
                <w:i/>
                <w:sz w:val="16"/>
                <w:szCs w:val="16"/>
              </w:rPr>
              <w:t xml:space="preserve"> </w:t>
            </w:r>
            <w:r w:rsidRPr="00053E42">
              <w:rPr>
                <w:sz w:val="16"/>
                <w:szCs w:val="16"/>
              </w:rPr>
              <w:t>2 (feb. 2013)</w:t>
            </w:r>
            <w:r w:rsidRPr="00053E42">
              <w:rPr>
                <w:sz w:val="16"/>
                <w:szCs w:val="16"/>
              </w:rPr>
              <w:br/>
            </w:r>
          </w:p>
        </w:tc>
        <w:tc>
          <w:tcPr>
            <w:tcW w:w="735" w:type="pct"/>
            <w:tcBorders>
              <w:top w:val="nil"/>
              <w:bottom w:val="single" w:sz="4" w:space="0" w:color="auto"/>
            </w:tcBorders>
            <w:shd w:val="clear" w:color="auto" w:fill="auto"/>
            <w:tcMar>
              <w:top w:w="110" w:type="dxa"/>
            </w:tcMar>
          </w:tcPr>
          <w:p w:rsidR="00FA2BC6" w:rsidRPr="00053E42" w:rsidRDefault="00FA2BC6" w:rsidP="00DC1333">
            <w:pPr>
              <w:rPr>
                <w:sz w:val="16"/>
                <w:szCs w:val="16"/>
              </w:rPr>
            </w:pPr>
            <w:r w:rsidRPr="00053E42">
              <w:rPr>
                <w:sz w:val="16"/>
                <w:szCs w:val="16"/>
              </w:rPr>
              <w:t>5</w:t>
            </w:r>
          </w:p>
        </w:tc>
        <w:tc>
          <w:tcPr>
            <w:tcW w:w="1175" w:type="pct"/>
            <w:tcBorders>
              <w:top w:val="nil"/>
              <w:bottom w:val="single" w:sz="4" w:space="0" w:color="auto"/>
            </w:tcBorders>
            <w:shd w:val="clear" w:color="auto" w:fill="FFFFFF"/>
            <w:tcMar>
              <w:top w:w="110" w:type="dxa"/>
            </w:tcMar>
          </w:tcPr>
          <w:p w:rsidR="00FA2BC6" w:rsidRPr="00053E42" w:rsidRDefault="00FA2BC6" w:rsidP="00DC1333">
            <w:pPr>
              <w:rPr>
                <w:sz w:val="16"/>
                <w:szCs w:val="16"/>
                <w:lang w:bidi="th-TH"/>
              </w:rPr>
            </w:pPr>
            <w:r w:rsidRPr="00053E42">
              <w:rPr>
                <w:sz w:val="16"/>
                <w:szCs w:val="16"/>
                <w:lang w:bidi="th-TH"/>
              </w:rPr>
              <w:t>3 pares de idiomas más (inglés-coreano, inglés-ruso</w:t>
            </w:r>
            <w:r w:rsidR="002E6163">
              <w:rPr>
                <w:sz w:val="16"/>
                <w:szCs w:val="16"/>
                <w:lang w:bidi="th-TH"/>
              </w:rPr>
              <w:t>, inglés-español</w:t>
            </w:r>
            <w:r w:rsidRPr="00053E42">
              <w:rPr>
                <w:sz w:val="16"/>
                <w:szCs w:val="16"/>
                <w:lang w:bidi="th-TH"/>
              </w:rPr>
              <w:t>) en 2014/15</w:t>
            </w:r>
          </w:p>
          <w:p w:rsidR="00FA2BC6" w:rsidRPr="00053E42" w:rsidRDefault="00FA2BC6" w:rsidP="00F00024">
            <w:pPr>
              <w:rPr>
                <w:sz w:val="16"/>
                <w:szCs w:val="16"/>
                <w:lang w:bidi="th-TH"/>
              </w:rPr>
            </w:pPr>
            <w:r w:rsidRPr="00053E42">
              <w:rPr>
                <w:sz w:val="16"/>
                <w:szCs w:val="16"/>
                <w:lang w:bidi="th-TH"/>
              </w:rPr>
              <w:t>7 (total).</w:t>
            </w:r>
            <w:r w:rsidR="002E6163">
              <w:rPr>
                <w:sz w:val="16"/>
                <w:szCs w:val="16"/>
                <w:lang w:bidi="th-TH"/>
              </w:rPr>
              <w:br/>
            </w:r>
            <w:r w:rsidR="002E6163">
              <w:rPr>
                <w:sz w:val="16"/>
                <w:szCs w:val="16"/>
                <w:lang w:bidi="th-TH"/>
              </w:rPr>
              <w:br/>
              <w:t xml:space="preserve">Se ha ampliado la cobertura del par inglés-chino </w:t>
            </w:r>
            <w:r w:rsidR="00F00024">
              <w:rPr>
                <w:sz w:val="16"/>
                <w:szCs w:val="16"/>
                <w:lang w:bidi="th-TH"/>
              </w:rPr>
              <w:t>para</w:t>
            </w:r>
            <w:r w:rsidR="002E6163">
              <w:rPr>
                <w:sz w:val="16"/>
                <w:szCs w:val="16"/>
                <w:lang w:bidi="th-TH"/>
              </w:rPr>
              <w:t xml:space="preserve"> abarca</w:t>
            </w:r>
            <w:r w:rsidR="00F00024">
              <w:rPr>
                <w:sz w:val="16"/>
                <w:szCs w:val="16"/>
                <w:lang w:bidi="th-TH"/>
              </w:rPr>
              <w:t>r</w:t>
            </w:r>
            <w:r w:rsidR="002E6163">
              <w:rPr>
                <w:sz w:val="16"/>
                <w:szCs w:val="16"/>
                <w:lang w:bidi="th-TH"/>
              </w:rPr>
              <w:t xml:space="preserve"> las descripciones y reivindicaciones.</w:t>
            </w:r>
          </w:p>
        </w:tc>
        <w:tc>
          <w:tcPr>
            <w:tcW w:w="665" w:type="pct"/>
            <w:gridSpan w:val="2"/>
            <w:tcBorders>
              <w:top w:val="nil"/>
              <w:bottom w:val="single" w:sz="4" w:space="0" w:color="auto"/>
              <w:right w:val="single" w:sz="4" w:space="0" w:color="auto"/>
            </w:tcBorders>
            <w:shd w:val="clear" w:color="auto" w:fill="auto"/>
            <w:tcMar>
              <w:top w:w="110" w:type="dxa"/>
            </w:tcMar>
          </w:tcPr>
          <w:p w:rsidR="00FA2BC6" w:rsidRPr="00053E42" w:rsidRDefault="00FA2BC6" w:rsidP="00DC1333">
            <w:pPr>
              <w:keepNext/>
              <w:keepLines/>
              <w:ind w:left="-110"/>
              <w:jc w:val="center"/>
              <w:rPr>
                <w:rStyle w:val="Style5"/>
                <w:b/>
                <w:color w:val="00B050"/>
                <w:sz w:val="16"/>
                <w:szCs w:val="16"/>
              </w:rPr>
            </w:pPr>
            <w:r w:rsidRPr="00053E42">
              <w:rPr>
                <w:b/>
                <w:bCs/>
                <w:color w:val="00B050"/>
                <w:sz w:val="16"/>
                <w:szCs w:val="16"/>
              </w:rPr>
              <w:t>Plenamente logrado</w:t>
            </w:r>
          </w:p>
        </w:tc>
      </w:tr>
      <w:tr w:rsidR="00FA2BC6" w:rsidRPr="00053E42" w:rsidTr="00DC1333">
        <w:trPr>
          <w:cantSplit/>
        </w:trPr>
        <w:tc>
          <w:tcPr>
            <w:tcW w:w="5000" w:type="pct"/>
            <w:gridSpan w:val="6"/>
            <w:tcBorders>
              <w:top w:val="single" w:sz="4" w:space="0" w:color="auto"/>
              <w:left w:val="single" w:sz="4" w:space="0" w:color="auto"/>
              <w:bottom w:val="nil"/>
              <w:right w:val="single" w:sz="4" w:space="0" w:color="auto"/>
            </w:tcBorders>
            <w:shd w:val="clear" w:color="auto" w:fill="C6D9F1" w:themeFill="text2" w:themeFillTint="33"/>
            <w:vAlign w:val="center"/>
          </w:tcPr>
          <w:p w:rsidR="00FA2BC6" w:rsidRPr="00053E42" w:rsidRDefault="00FA2BC6" w:rsidP="00DC1333">
            <w:pPr>
              <w:spacing w:before="120" w:after="120"/>
              <w:ind w:left="2019" w:hanging="2019"/>
              <w:rPr>
                <w:b/>
                <w:bCs/>
                <w:sz w:val="16"/>
                <w:szCs w:val="16"/>
              </w:rPr>
            </w:pPr>
            <w:r w:rsidRPr="00053E42">
              <w:rPr>
                <w:b/>
                <w:bCs/>
                <w:sz w:val="16"/>
                <w:szCs w:val="16"/>
              </w:rPr>
              <w:t>Resultado previsto:</w:t>
            </w:r>
            <w:r w:rsidRPr="00053E42">
              <w:rPr>
                <w:b/>
                <w:bCs/>
                <w:sz w:val="16"/>
                <w:szCs w:val="16"/>
              </w:rPr>
              <w:tab/>
            </w:r>
            <w:r w:rsidRPr="00053E42">
              <w:rPr>
                <w:bCs/>
                <w:sz w:val="16"/>
                <w:szCs w:val="16"/>
              </w:rPr>
              <w:t>IV.3 Amplia cobertura geográfica en cuanto al contenido y al uso de las bases de datos mundiales de la OMPI en materia de P.I.</w:t>
            </w:r>
          </w:p>
        </w:tc>
      </w:tr>
      <w:tr w:rsidR="00FA2BC6" w:rsidRPr="00053E42" w:rsidTr="00DC1333">
        <w:trPr>
          <w:cantSplit/>
        </w:trPr>
        <w:tc>
          <w:tcPr>
            <w:tcW w:w="1175" w:type="pct"/>
            <w:tcBorders>
              <w:top w:val="single" w:sz="4" w:space="0" w:color="auto"/>
              <w:left w:val="single" w:sz="4" w:space="0" w:color="auto"/>
              <w:bottom w:val="nil"/>
            </w:tcBorders>
            <w:shd w:val="clear" w:color="auto" w:fill="auto"/>
            <w:vAlign w:val="center"/>
          </w:tcPr>
          <w:p w:rsidR="00FA2BC6" w:rsidRPr="00053E42" w:rsidRDefault="00FA2BC6" w:rsidP="00DC1333">
            <w:pPr>
              <w:rPr>
                <w:sz w:val="16"/>
                <w:szCs w:val="16"/>
              </w:rPr>
            </w:pPr>
            <w:r w:rsidRPr="00053E42">
              <w:rPr>
                <w:b/>
                <w:sz w:val="16"/>
                <w:szCs w:val="16"/>
              </w:rPr>
              <w:t>Indicadores de rendimiento</w:t>
            </w:r>
          </w:p>
        </w:tc>
        <w:tc>
          <w:tcPr>
            <w:tcW w:w="1250" w:type="pct"/>
            <w:tcBorders>
              <w:top w:val="single" w:sz="4" w:space="0" w:color="auto"/>
              <w:bottom w:val="nil"/>
            </w:tcBorders>
            <w:shd w:val="clear" w:color="auto" w:fill="auto"/>
            <w:vAlign w:val="center"/>
          </w:tcPr>
          <w:p w:rsidR="00FA2BC6" w:rsidRPr="00053E42" w:rsidRDefault="00FA2BC6" w:rsidP="00DC1333">
            <w:pPr>
              <w:rPr>
                <w:b/>
                <w:bCs/>
                <w:sz w:val="16"/>
                <w:szCs w:val="16"/>
              </w:rPr>
            </w:pPr>
            <w:r w:rsidRPr="00053E42">
              <w:rPr>
                <w:b/>
                <w:bCs/>
                <w:sz w:val="16"/>
                <w:szCs w:val="16"/>
              </w:rPr>
              <w:t>Referencia</w:t>
            </w:r>
          </w:p>
        </w:tc>
        <w:tc>
          <w:tcPr>
            <w:tcW w:w="735" w:type="pct"/>
            <w:tcBorders>
              <w:top w:val="single" w:sz="4" w:space="0" w:color="auto"/>
              <w:bottom w:val="nil"/>
            </w:tcBorders>
            <w:shd w:val="clear" w:color="auto" w:fill="auto"/>
            <w:tcMar>
              <w:top w:w="110" w:type="dxa"/>
            </w:tcMar>
            <w:vAlign w:val="center"/>
          </w:tcPr>
          <w:p w:rsidR="00FA2BC6" w:rsidRPr="00053E42" w:rsidRDefault="00FA2BC6" w:rsidP="00DC1333">
            <w:pPr>
              <w:rPr>
                <w:b/>
                <w:sz w:val="16"/>
                <w:szCs w:val="16"/>
              </w:rPr>
            </w:pPr>
            <w:r w:rsidRPr="00053E42">
              <w:rPr>
                <w:b/>
                <w:sz w:val="16"/>
                <w:szCs w:val="16"/>
              </w:rPr>
              <w:t>Objetivos</w:t>
            </w:r>
          </w:p>
        </w:tc>
        <w:tc>
          <w:tcPr>
            <w:tcW w:w="1249" w:type="pct"/>
            <w:gridSpan w:val="2"/>
            <w:tcBorders>
              <w:top w:val="single" w:sz="4" w:space="0" w:color="auto"/>
              <w:bottom w:val="nil"/>
            </w:tcBorders>
            <w:shd w:val="clear" w:color="auto" w:fill="FFFFFF"/>
            <w:tcMar>
              <w:top w:w="110" w:type="dxa"/>
            </w:tcMar>
            <w:vAlign w:val="center"/>
          </w:tcPr>
          <w:p w:rsidR="00FA2BC6" w:rsidRPr="00053E42" w:rsidRDefault="00FA2BC6" w:rsidP="00DC1333">
            <w:pPr>
              <w:rPr>
                <w:sz w:val="16"/>
                <w:szCs w:val="16"/>
              </w:rPr>
            </w:pPr>
            <w:r w:rsidRPr="00053E42">
              <w:rPr>
                <w:b/>
                <w:sz w:val="16"/>
                <w:szCs w:val="16"/>
              </w:rPr>
              <w:t>Datos sobre el rendimiento</w:t>
            </w:r>
          </w:p>
        </w:tc>
        <w:tc>
          <w:tcPr>
            <w:tcW w:w="591" w:type="pct"/>
            <w:tcBorders>
              <w:top w:val="single" w:sz="4" w:space="0" w:color="auto"/>
              <w:bottom w:val="nil"/>
              <w:right w:val="single" w:sz="4" w:space="0" w:color="auto"/>
            </w:tcBorders>
            <w:shd w:val="clear" w:color="auto" w:fill="auto"/>
            <w:tcMar>
              <w:top w:w="110" w:type="dxa"/>
            </w:tcMar>
            <w:vAlign w:val="center"/>
          </w:tcPr>
          <w:p w:rsidR="00FA2BC6" w:rsidRPr="00053E42" w:rsidRDefault="00FA2BC6" w:rsidP="00DC1333">
            <w:pPr>
              <w:ind w:left="-110"/>
              <w:jc w:val="center"/>
              <w:rPr>
                <w:b/>
                <w:bCs/>
                <w:sz w:val="16"/>
                <w:szCs w:val="16"/>
              </w:rPr>
            </w:pPr>
            <w:r w:rsidRPr="00053E42">
              <w:rPr>
                <w:b/>
                <w:bCs/>
                <w:sz w:val="16"/>
                <w:szCs w:val="16"/>
              </w:rPr>
              <w:t>Clave de colores</w:t>
            </w:r>
          </w:p>
        </w:tc>
      </w:tr>
      <w:tr w:rsidR="00FA2BC6" w:rsidRPr="00053E42" w:rsidTr="008D3934">
        <w:trPr>
          <w:cantSplit/>
        </w:trPr>
        <w:tc>
          <w:tcPr>
            <w:tcW w:w="1175" w:type="pct"/>
            <w:tcBorders>
              <w:top w:val="nil"/>
              <w:left w:val="single" w:sz="4" w:space="0" w:color="auto"/>
              <w:bottom w:val="nil"/>
            </w:tcBorders>
            <w:shd w:val="clear" w:color="auto" w:fill="auto"/>
          </w:tcPr>
          <w:p w:rsidR="00FA2BC6" w:rsidRPr="00053E42" w:rsidRDefault="00FA2BC6" w:rsidP="00DC1333">
            <w:pPr>
              <w:rPr>
                <w:sz w:val="16"/>
                <w:szCs w:val="16"/>
              </w:rPr>
            </w:pPr>
            <w:r w:rsidRPr="00053E42">
              <w:rPr>
                <w:sz w:val="16"/>
                <w:szCs w:val="16"/>
              </w:rPr>
              <w:t>Número de registros contenidos en PATENSCOPE.</w:t>
            </w:r>
          </w:p>
        </w:tc>
        <w:tc>
          <w:tcPr>
            <w:tcW w:w="1250" w:type="pct"/>
            <w:tcBorders>
              <w:top w:val="nil"/>
              <w:bottom w:val="nil"/>
            </w:tcBorders>
            <w:shd w:val="clear" w:color="auto" w:fill="auto"/>
          </w:tcPr>
          <w:p w:rsidR="00FA2BC6" w:rsidRPr="00053E42" w:rsidRDefault="00FA2BC6" w:rsidP="00DC1333">
            <w:pPr>
              <w:rPr>
                <w:color w:val="002060"/>
                <w:sz w:val="16"/>
                <w:szCs w:val="16"/>
              </w:rPr>
            </w:pPr>
            <w:r w:rsidRPr="00053E42">
              <w:rPr>
                <w:i/>
                <w:color w:val="002060"/>
                <w:sz w:val="16"/>
                <w:szCs w:val="16"/>
              </w:rPr>
              <w:t xml:space="preserve">Referencia actualizada a fines de 2013:  </w:t>
            </w:r>
            <w:r w:rsidRPr="00053E42">
              <w:rPr>
                <w:color w:val="002060"/>
                <w:sz w:val="16"/>
                <w:szCs w:val="16"/>
              </w:rPr>
              <w:t>34.000.000</w:t>
            </w:r>
          </w:p>
          <w:p w:rsidR="00FA2BC6" w:rsidRPr="00053E42" w:rsidRDefault="00FA2BC6" w:rsidP="00DC1333">
            <w:pPr>
              <w:rPr>
                <w:i/>
                <w:sz w:val="8"/>
                <w:szCs w:val="8"/>
                <w:lang w:bidi="th-TH"/>
              </w:rPr>
            </w:pPr>
          </w:p>
          <w:p w:rsidR="00FA2BC6" w:rsidRPr="00053E42" w:rsidRDefault="00FA2BC6" w:rsidP="00DC1333">
            <w:pPr>
              <w:rPr>
                <w:sz w:val="16"/>
                <w:szCs w:val="16"/>
              </w:rPr>
            </w:pPr>
            <w:r w:rsidRPr="00053E42">
              <w:rPr>
                <w:i/>
                <w:sz w:val="16"/>
                <w:szCs w:val="16"/>
                <w:lang w:bidi="th-TH"/>
              </w:rPr>
              <w:t xml:space="preserve">Referencia original en el presupuesto de </w:t>
            </w:r>
            <w:r w:rsidRPr="00053E42">
              <w:rPr>
                <w:i/>
                <w:sz w:val="16"/>
                <w:szCs w:val="16"/>
              </w:rPr>
              <w:t xml:space="preserve">2014/15:  </w:t>
            </w:r>
            <w:r w:rsidRPr="00053E42">
              <w:rPr>
                <w:sz w:val="16"/>
                <w:szCs w:val="16"/>
              </w:rPr>
              <w:t>18.733.406 (feb. 2013)</w:t>
            </w:r>
          </w:p>
          <w:p w:rsidR="00FA2BC6" w:rsidRPr="00053E42" w:rsidRDefault="00FA2BC6" w:rsidP="00DC1333">
            <w:pPr>
              <w:rPr>
                <w:sz w:val="16"/>
                <w:szCs w:val="16"/>
              </w:rPr>
            </w:pPr>
          </w:p>
        </w:tc>
        <w:tc>
          <w:tcPr>
            <w:tcW w:w="735" w:type="pct"/>
            <w:tcBorders>
              <w:top w:val="nil"/>
              <w:bottom w:val="nil"/>
            </w:tcBorders>
            <w:shd w:val="clear" w:color="auto" w:fill="auto"/>
            <w:tcMar>
              <w:top w:w="110" w:type="dxa"/>
            </w:tcMar>
          </w:tcPr>
          <w:p w:rsidR="00FA2BC6" w:rsidRPr="00053E42" w:rsidRDefault="00FA2BC6" w:rsidP="00DC1333">
            <w:pPr>
              <w:rPr>
                <w:sz w:val="16"/>
                <w:szCs w:val="16"/>
                <w:lang w:bidi="th-TH"/>
              </w:rPr>
            </w:pPr>
            <w:r w:rsidRPr="00053E42">
              <w:rPr>
                <w:sz w:val="16"/>
                <w:szCs w:val="16"/>
                <w:lang w:bidi="th-TH"/>
              </w:rPr>
              <w:t>40.000.000</w:t>
            </w:r>
          </w:p>
        </w:tc>
        <w:tc>
          <w:tcPr>
            <w:tcW w:w="1175" w:type="pct"/>
            <w:tcBorders>
              <w:top w:val="nil"/>
              <w:bottom w:val="nil"/>
            </w:tcBorders>
            <w:shd w:val="clear" w:color="auto" w:fill="FFFFFF"/>
            <w:tcMar>
              <w:top w:w="110" w:type="dxa"/>
            </w:tcMar>
          </w:tcPr>
          <w:p w:rsidR="00FA2BC6" w:rsidRPr="00053E42" w:rsidRDefault="00FA2BC6" w:rsidP="00DC1333">
            <w:pPr>
              <w:rPr>
                <w:sz w:val="16"/>
                <w:szCs w:val="16"/>
              </w:rPr>
            </w:pPr>
            <w:r w:rsidRPr="00053E42">
              <w:rPr>
                <w:sz w:val="16"/>
                <w:szCs w:val="16"/>
              </w:rPr>
              <w:t>50.000.000 (total)</w:t>
            </w:r>
          </w:p>
        </w:tc>
        <w:tc>
          <w:tcPr>
            <w:tcW w:w="665" w:type="pct"/>
            <w:gridSpan w:val="2"/>
            <w:tcBorders>
              <w:top w:val="nil"/>
              <w:bottom w:val="nil"/>
              <w:right w:val="single" w:sz="4" w:space="0" w:color="auto"/>
            </w:tcBorders>
            <w:shd w:val="clear" w:color="auto" w:fill="auto"/>
            <w:tcMar>
              <w:top w:w="110" w:type="dxa"/>
            </w:tcMar>
          </w:tcPr>
          <w:p w:rsidR="00FA2BC6" w:rsidRPr="00053E42" w:rsidRDefault="00FA2BC6" w:rsidP="00DC1333">
            <w:pPr>
              <w:ind w:left="-110"/>
              <w:jc w:val="center"/>
              <w:rPr>
                <w:b/>
                <w:bCs/>
                <w:color w:val="00B050"/>
                <w:sz w:val="16"/>
                <w:szCs w:val="16"/>
              </w:rPr>
            </w:pPr>
            <w:r w:rsidRPr="00053E42">
              <w:rPr>
                <w:b/>
                <w:bCs/>
                <w:color w:val="00B050"/>
                <w:sz w:val="16"/>
                <w:szCs w:val="16"/>
              </w:rPr>
              <w:t>Plenamente logrado</w:t>
            </w:r>
          </w:p>
        </w:tc>
      </w:tr>
      <w:tr w:rsidR="00FA2BC6" w:rsidRPr="00053E42" w:rsidTr="008D3934">
        <w:trPr>
          <w:cantSplit/>
        </w:trPr>
        <w:tc>
          <w:tcPr>
            <w:tcW w:w="1175" w:type="pct"/>
            <w:tcBorders>
              <w:top w:val="nil"/>
              <w:left w:val="single" w:sz="4" w:space="0" w:color="auto"/>
              <w:bottom w:val="single" w:sz="4" w:space="0" w:color="auto"/>
            </w:tcBorders>
            <w:shd w:val="clear" w:color="auto" w:fill="auto"/>
          </w:tcPr>
          <w:p w:rsidR="00FA2BC6" w:rsidRPr="00053E42" w:rsidRDefault="00FA2BC6" w:rsidP="00DC1333">
            <w:pPr>
              <w:rPr>
                <w:sz w:val="16"/>
                <w:szCs w:val="16"/>
              </w:rPr>
            </w:pPr>
            <w:r w:rsidRPr="00053E42">
              <w:rPr>
                <w:sz w:val="16"/>
                <w:szCs w:val="16"/>
              </w:rPr>
              <w:t>Número de registros que figuran en la Base Mundial de Datos sobre Marcas.</w:t>
            </w:r>
          </w:p>
        </w:tc>
        <w:tc>
          <w:tcPr>
            <w:tcW w:w="1250" w:type="pct"/>
            <w:tcBorders>
              <w:top w:val="nil"/>
              <w:bottom w:val="single" w:sz="4" w:space="0" w:color="auto"/>
            </w:tcBorders>
            <w:shd w:val="clear" w:color="auto" w:fill="auto"/>
          </w:tcPr>
          <w:p w:rsidR="00FA2BC6" w:rsidRPr="00053E42" w:rsidRDefault="00FA2BC6" w:rsidP="00DC1333">
            <w:pPr>
              <w:rPr>
                <w:i/>
                <w:color w:val="002060"/>
                <w:sz w:val="16"/>
                <w:szCs w:val="16"/>
              </w:rPr>
            </w:pPr>
            <w:r w:rsidRPr="00053E42">
              <w:rPr>
                <w:i/>
                <w:color w:val="002060"/>
                <w:sz w:val="16"/>
                <w:szCs w:val="16"/>
              </w:rPr>
              <w:t>Referencia actualizada a fines de 2013:  12.000.000</w:t>
            </w:r>
          </w:p>
          <w:p w:rsidR="00FA2BC6" w:rsidRPr="00053E42" w:rsidRDefault="00FA2BC6" w:rsidP="00DC1333">
            <w:pPr>
              <w:rPr>
                <w:i/>
                <w:sz w:val="8"/>
                <w:szCs w:val="8"/>
                <w:lang w:bidi="th-TH"/>
              </w:rPr>
            </w:pPr>
          </w:p>
          <w:p w:rsidR="00FA2BC6" w:rsidRPr="00053E42" w:rsidRDefault="00FA2BC6" w:rsidP="00DC1333">
            <w:pPr>
              <w:rPr>
                <w:sz w:val="16"/>
                <w:szCs w:val="16"/>
              </w:rPr>
            </w:pPr>
            <w:r w:rsidRPr="00053E42">
              <w:rPr>
                <w:i/>
                <w:sz w:val="16"/>
                <w:szCs w:val="16"/>
                <w:lang w:bidi="th-TH"/>
              </w:rPr>
              <w:t xml:space="preserve">Referencia original en el presupuesto de </w:t>
            </w:r>
            <w:r w:rsidRPr="00053E42">
              <w:rPr>
                <w:i/>
                <w:sz w:val="16"/>
                <w:szCs w:val="16"/>
              </w:rPr>
              <w:t xml:space="preserve">2014/15:  </w:t>
            </w:r>
            <w:r w:rsidRPr="00053E42">
              <w:rPr>
                <w:sz w:val="16"/>
                <w:szCs w:val="16"/>
              </w:rPr>
              <w:t>10.928.326 (feb. 2013)</w:t>
            </w:r>
          </w:p>
          <w:p w:rsidR="00FA2BC6" w:rsidRPr="00053E42" w:rsidRDefault="00FA2BC6" w:rsidP="00DC1333">
            <w:pPr>
              <w:rPr>
                <w:sz w:val="16"/>
                <w:szCs w:val="16"/>
                <w:lang w:bidi="th-TH"/>
              </w:rPr>
            </w:pPr>
          </w:p>
        </w:tc>
        <w:tc>
          <w:tcPr>
            <w:tcW w:w="735" w:type="pct"/>
            <w:tcBorders>
              <w:top w:val="nil"/>
              <w:bottom w:val="single" w:sz="4" w:space="0" w:color="auto"/>
            </w:tcBorders>
            <w:shd w:val="clear" w:color="auto" w:fill="auto"/>
            <w:tcMar>
              <w:top w:w="110" w:type="dxa"/>
            </w:tcMar>
          </w:tcPr>
          <w:p w:rsidR="00FA2BC6" w:rsidRPr="00053E42" w:rsidRDefault="00FA2BC6" w:rsidP="00DC1333">
            <w:pPr>
              <w:autoSpaceDE w:val="0"/>
              <w:autoSpaceDN w:val="0"/>
              <w:adjustRightInd w:val="0"/>
              <w:rPr>
                <w:sz w:val="16"/>
                <w:szCs w:val="16"/>
              </w:rPr>
            </w:pPr>
          </w:p>
          <w:p w:rsidR="00FA2BC6" w:rsidRPr="00053E42" w:rsidRDefault="00FA2BC6" w:rsidP="00DC1333">
            <w:pPr>
              <w:autoSpaceDE w:val="0"/>
              <w:autoSpaceDN w:val="0"/>
              <w:adjustRightInd w:val="0"/>
              <w:rPr>
                <w:sz w:val="16"/>
                <w:szCs w:val="16"/>
              </w:rPr>
            </w:pPr>
            <w:r w:rsidRPr="00053E42">
              <w:rPr>
                <w:sz w:val="16"/>
                <w:szCs w:val="16"/>
              </w:rPr>
              <w:t>20.000.000</w:t>
            </w:r>
          </w:p>
        </w:tc>
        <w:tc>
          <w:tcPr>
            <w:tcW w:w="1175" w:type="pct"/>
            <w:tcBorders>
              <w:top w:val="nil"/>
              <w:bottom w:val="single" w:sz="4" w:space="0" w:color="auto"/>
            </w:tcBorders>
            <w:shd w:val="clear" w:color="auto" w:fill="FFFFFF"/>
            <w:tcMar>
              <w:top w:w="110" w:type="dxa"/>
            </w:tcMar>
          </w:tcPr>
          <w:p w:rsidR="00FA2BC6" w:rsidRPr="00053E42" w:rsidRDefault="00FA2BC6" w:rsidP="00DC1333">
            <w:pPr>
              <w:rPr>
                <w:sz w:val="16"/>
                <w:szCs w:val="16"/>
                <w:lang w:bidi="th-TH"/>
              </w:rPr>
            </w:pPr>
          </w:p>
          <w:p w:rsidR="00FA2BC6" w:rsidRPr="00053E42" w:rsidRDefault="00FA2BC6" w:rsidP="00DC1333">
            <w:pPr>
              <w:rPr>
                <w:sz w:val="16"/>
                <w:szCs w:val="16"/>
              </w:rPr>
            </w:pPr>
            <w:r w:rsidRPr="00053E42">
              <w:rPr>
                <w:sz w:val="16"/>
                <w:szCs w:val="16"/>
                <w:lang w:bidi="th-TH"/>
              </w:rPr>
              <w:t>24.500.000 (total)</w:t>
            </w:r>
          </w:p>
        </w:tc>
        <w:tc>
          <w:tcPr>
            <w:tcW w:w="665" w:type="pct"/>
            <w:gridSpan w:val="2"/>
            <w:tcBorders>
              <w:top w:val="nil"/>
              <w:bottom w:val="single" w:sz="4" w:space="0" w:color="auto"/>
              <w:right w:val="single" w:sz="4" w:space="0" w:color="auto"/>
            </w:tcBorders>
            <w:shd w:val="clear" w:color="auto" w:fill="auto"/>
            <w:tcMar>
              <w:top w:w="110" w:type="dxa"/>
            </w:tcMar>
          </w:tcPr>
          <w:p w:rsidR="00FA2BC6" w:rsidRPr="00053E42" w:rsidRDefault="00FA2BC6" w:rsidP="00DC1333">
            <w:pPr>
              <w:ind w:left="-110"/>
              <w:jc w:val="center"/>
              <w:rPr>
                <w:bCs/>
                <w:color w:val="00B050"/>
                <w:sz w:val="16"/>
                <w:szCs w:val="16"/>
              </w:rPr>
            </w:pPr>
            <w:r w:rsidRPr="00053E42">
              <w:rPr>
                <w:b/>
                <w:bCs/>
                <w:color w:val="00B050"/>
                <w:sz w:val="16"/>
                <w:szCs w:val="16"/>
              </w:rPr>
              <w:t>Plenamente logrado</w:t>
            </w:r>
          </w:p>
        </w:tc>
      </w:tr>
      <w:tr w:rsidR="00FA2BC6" w:rsidRPr="00053E42" w:rsidTr="008D3934">
        <w:trPr>
          <w:cantSplit/>
        </w:trPr>
        <w:tc>
          <w:tcPr>
            <w:tcW w:w="1175" w:type="pct"/>
            <w:tcBorders>
              <w:top w:val="single" w:sz="4" w:space="0" w:color="auto"/>
              <w:left w:val="single" w:sz="4" w:space="0" w:color="auto"/>
              <w:bottom w:val="nil"/>
            </w:tcBorders>
            <w:shd w:val="clear" w:color="auto" w:fill="auto"/>
          </w:tcPr>
          <w:p w:rsidR="00FA2BC6" w:rsidRPr="00053E42" w:rsidRDefault="00FA2BC6" w:rsidP="00DC1333">
            <w:pPr>
              <w:rPr>
                <w:sz w:val="16"/>
                <w:szCs w:val="16"/>
              </w:rPr>
            </w:pPr>
            <w:r w:rsidRPr="00053E42">
              <w:rPr>
                <w:sz w:val="16"/>
                <w:szCs w:val="16"/>
              </w:rPr>
              <w:lastRenderedPageBreak/>
              <w:t>Número de colecciones nacionales y regionales en PATENTSCOPE.</w:t>
            </w:r>
          </w:p>
        </w:tc>
        <w:tc>
          <w:tcPr>
            <w:tcW w:w="1250" w:type="pct"/>
            <w:tcBorders>
              <w:top w:val="single" w:sz="4" w:space="0" w:color="auto"/>
              <w:bottom w:val="nil"/>
            </w:tcBorders>
            <w:shd w:val="clear" w:color="auto" w:fill="auto"/>
          </w:tcPr>
          <w:p w:rsidR="00FA2BC6" w:rsidRPr="00053E42" w:rsidRDefault="00FA2BC6" w:rsidP="00DC1333">
            <w:pPr>
              <w:rPr>
                <w:i/>
                <w:color w:val="002060"/>
                <w:sz w:val="16"/>
                <w:szCs w:val="16"/>
              </w:rPr>
            </w:pPr>
            <w:r w:rsidRPr="00053E42">
              <w:rPr>
                <w:i/>
                <w:color w:val="002060"/>
                <w:sz w:val="16"/>
                <w:szCs w:val="16"/>
              </w:rPr>
              <w:t>Referencia actualizada a fines de 2013:</w:t>
            </w:r>
            <w:r w:rsidRPr="00053E42">
              <w:rPr>
                <w:color w:val="002060"/>
                <w:sz w:val="16"/>
                <w:szCs w:val="16"/>
                <w:lang w:bidi="th-TH"/>
              </w:rPr>
              <w:t xml:space="preserve">  36 (total)</w:t>
            </w:r>
          </w:p>
          <w:p w:rsidR="00FA2BC6" w:rsidRPr="00053E42" w:rsidRDefault="00FA2BC6" w:rsidP="00DC1333">
            <w:pPr>
              <w:rPr>
                <w:i/>
                <w:sz w:val="8"/>
                <w:szCs w:val="8"/>
                <w:lang w:bidi="th-TH"/>
              </w:rPr>
            </w:pPr>
          </w:p>
          <w:p w:rsidR="00FA2BC6" w:rsidRPr="00053E42" w:rsidRDefault="00FA2BC6" w:rsidP="00DC1333">
            <w:pPr>
              <w:rPr>
                <w:sz w:val="16"/>
                <w:szCs w:val="16"/>
              </w:rPr>
            </w:pPr>
            <w:r w:rsidRPr="00053E42">
              <w:rPr>
                <w:i/>
                <w:sz w:val="16"/>
                <w:szCs w:val="16"/>
                <w:lang w:bidi="th-TH"/>
              </w:rPr>
              <w:t xml:space="preserve">Referencia original </w:t>
            </w:r>
            <w:r w:rsidRPr="00053E42">
              <w:rPr>
                <w:i/>
                <w:sz w:val="16"/>
                <w:szCs w:val="16"/>
              </w:rPr>
              <w:t xml:space="preserve">en el presupuesto de 2014/15: </w:t>
            </w:r>
            <w:r w:rsidRPr="00053E42">
              <w:rPr>
                <w:sz w:val="16"/>
                <w:szCs w:val="16"/>
              </w:rPr>
              <w:t>27 (feb. 2013)</w:t>
            </w:r>
          </w:p>
          <w:p w:rsidR="00FA2BC6" w:rsidRPr="00053E42" w:rsidRDefault="00FA2BC6" w:rsidP="00DC1333">
            <w:pPr>
              <w:ind w:left="1" w:hanging="1"/>
              <w:rPr>
                <w:sz w:val="16"/>
                <w:szCs w:val="16"/>
              </w:rPr>
            </w:pPr>
          </w:p>
        </w:tc>
        <w:tc>
          <w:tcPr>
            <w:tcW w:w="735" w:type="pct"/>
            <w:tcBorders>
              <w:top w:val="single" w:sz="4" w:space="0" w:color="auto"/>
              <w:bottom w:val="nil"/>
            </w:tcBorders>
            <w:shd w:val="clear" w:color="auto" w:fill="auto"/>
            <w:tcMar>
              <w:top w:w="110" w:type="dxa"/>
            </w:tcMar>
          </w:tcPr>
          <w:p w:rsidR="00FA2BC6" w:rsidRPr="00053E42" w:rsidRDefault="00FA2BC6" w:rsidP="00DC1333">
            <w:pPr>
              <w:rPr>
                <w:sz w:val="16"/>
                <w:szCs w:val="16"/>
                <w:lang w:bidi="th-TH"/>
              </w:rPr>
            </w:pPr>
            <w:r w:rsidRPr="00053E42">
              <w:rPr>
                <w:sz w:val="16"/>
                <w:szCs w:val="16"/>
              </w:rPr>
              <w:t>35</w:t>
            </w:r>
          </w:p>
        </w:tc>
        <w:tc>
          <w:tcPr>
            <w:tcW w:w="1175" w:type="pct"/>
            <w:tcBorders>
              <w:top w:val="single" w:sz="4" w:space="0" w:color="auto"/>
              <w:bottom w:val="nil"/>
            </w:tcBorders>
            <w:shd w:val="clear" w:color="auto" w:fill="FFFFFF"/>
            <w:tcMar>
              <w:top w:w="110" w:type="dxa"/>
            </w:tcMar>
          </w:tcPr>
          <w:p w:rsidR="00FA2BC6" w:rsidRPr="00053E42" w:rsidRDefault="00FA2BC6" w:rsidP="00DC1333">
            <w:pPr>
              <w:rPr>
                <w:sz w:val="16"/>
                <w:szCs w:val="16"/>
              </w:rPr>
            </w:pPr>
            <w:r w:rsidRPr="00053E42">
              <w:rPr>
                <w:sz w:val="16"/>
                <w:szCs w:val="16"/>
                <w:lang w:bidi="th-TH"/>
              </w:rPr>
              <w:t>43 (total)</w:t>
            </w:r>
          </w:p>
        </w:tc>
        <w:tc>
          <w:tcPr>
            <w:tcW w:w="665" w:type="pct"/>
            <w:gridSpan w:val="2"/>
            <w:tcBorders>
              <w:top w:val="single" w:sz="4" w:space="0" w:color="auto"/>
              <w:bottom w:val="nil"/>
              <w:right w:val="single" w:sz="4" w:space="0" w:color="auto"/>
            </w:tcBorders>
            <w:shd w:val="clear" w:color="auto" w:fill="auto"/>
            <w:tcMar>
              <w:top w:w="110" w:type="dxa"/>
            </w:tcMar>
          </w:tcPr>
          <w:p w:rsidR="00FA2BC6" w:rsidRPr="00053E42" w:rsidRDefault="00FA2BC6" w:rsidP="00DC1333">
            <w:pPr>
              <w:ind w:left="-110"/>
              <w:jc w:val="center"/>
              <w:rPr>
                <w:rStyle w:val="Style5"/>
                <w:b/>
                <w:color w:val="00B050"/>
                <w:sz w:val="16"/>
              </w:rPr>
            </w:pPr>
            <w:r w:rsidRPr="00053E42">
              <w:rPr>
                <w:b/>
                <w:bCs/>
                <w:color w:val="00B050"/>
                <w:sz w:val="16"/>
                <w:szCs w:val="16"/>
              </w:rPr>
              <w:t>Plenamente logrado</w:t>
            </w:r>
          </w:p>
        </w:tc>
      </w:tr>
      <w:tr w:rsidR="00FA2BC6" w:rsidRPr="00053E42" w:rsidTr="00DC1333">
        <w:trPr>
          <w:cantSplit/>
        </w:trPr>
        <w:tc>
          <w:tcPr>
            <w:tcW w:w="1175" w:type="pct"/>
            <w:tcBorders>
              <w:top w:val="nil"/>
              <w:left w:val="single" w:sz="4" w:space="0" w:color="auto"/>
              <w:bottom w:val="single" w:sz="4" w:space="0" w:color="auto"/>
            </w:tcBorders>
            <w:shd w:val="clear" w:color="auto" w:fill="auto"/>
          </w:tcPr>
          <w:p w:rsidR="00FA2BC6" w:rsidRPr="00053E42" w:rsidRDefault="00FA2BC6" w:rsidP="00DC1333">
            <w:pPr>
              <w:rPr>
                <w:sz w:val="16"/>
                <w:szCs w:val="16"/>
              </w:rPr>
            </w:pPr>
            <w:r w:rsidRPr="00053E42">
              <w:rPr>
                <w:sz w:val="16"/>
                <w:szCs w:val="16"/>
              </w:rPr>
              <w:t>Número de colecciones nacionales y regionales en la Base Mundial de Datos sobre Marcas.</w:t>
            </w:r>
          </w:p>
        </w:tc>
        <w:tc>
          <w:tcPr>
            <w:tcW w:w="1250" w:type="pct"/>
            <w:tcBorders>
              <w:top w:val="nil"/>
              <w:bottom w:val="single" w:sz="4" w:space="0" w:color="auto"/>
            </w:tcBorders>
            <w:shd w:val="clear" w:color="auto" w:fill="auto"/>
          </w:tcPr>
          <w:p w:rsidR="00FA2BC6" w:rsidRPr="00053E42" w:rsidRDefault="00FA2BC6" w:rsidP="00DC1333">
            <w:pPr>
              <w:rPr>
                <w:i/>
                <w:color w:val="002060"/>
                <w:sz w:val="16"/>
                <w:szCs w:val="16"/>
              </w:rPr>
            </w:pPr>
            <w:r w:rsidRPr="00053E42">
              <w:rPr>
                <w:i/>
                <w:color w:val="002060"/>
                <w:sz w:val="16"/>
                <w:szCs w:val="16"/>
              </w:rPr>
              <w:t>Referencia actualizada a fines de 2013:  12</w:t>
            </w:r>
          </w:p>
          <w:p w:rsidR="00FA2BC6" w:rsidRPr="00053E42" w:rsidRDefault="00FA2BC6" w:rsidP="00DC1333">
            <w:pPr>
              <w:rPr>
                <w:i/>
                <w:sz w:val="8"/>
                <w:szCs w:val="8"/>
                <w:lang w:bidi="th-TH"/>
              </w:rPr>
            </w:pPr>
          </w:p>
          <w:p w:rsidR="00FA2BC6" w:rsidRPr="00053E42" w:rsidRDefault="00FA2BC6" w:rsidP="00DC1333">
            <w:pPr>
              <w:rPr>
                <w:i/>
                <w:sz w:val="16"/>
                <w:szCs w:val="16"/>
              </w:rPr>
            </w:pPr>
            <w:r w:rsidRPr="00053E42">
              <w:rPr>
                <w:i/>
                <w:sz w:val="16"/>
                <w:szCs w:val="16"/>
                <w:lang w:bidi="th-TH"/>
              </w:rPr>
              <w:t xml:space="preserve">Referencia original en el presupuesto de </w:t>
            </w:r>
            <w:r w:rsidRPr="00053E42">
              <w:rPr>
                <w:i/>
                <w:sz w:val="16"/>
                <w:szCs w:val="16"/>
              </w:rPr>
              <w:t>2014/15:  9 (feb. 2013)</w:t>
            </w:r>
            <w:r w:rsidRPr="00053E42">
              <w:rPr>
                <w:i/>
                <w:sz w:val="16"/>
                <w:szCs w:val="16"/>
              </w:rPr>
              <w:br/>
            </w:r>
          </w:p>
        </w:tc>
        <w:tc>
          <w:tcPr>
            <w:tcW w:w="735" w:type="pct"/>
            <w:tcBorders>
              <w:top w:val="nil"/>
              <w:bottom w:val="single" w:sz="4" w:space="0" w:color="auto"/>
            </w:tcBorders>
            <w:shd w:val="clear" w:color="auto" w:fill="auto"/>
            <w:tcMar>
              <w:top w:w="110" w:type="dxa"/>
            </w:tcMar>
          </w:tcPr>
          <w:p w:rsidR="00FA2BC6" w:rsidRPr="00053E42" w:rsidRDefault="00FA2BC6" w:rsidP="00DC1333">
            <w:pPr>
              <w:rPr>
                <w:sz w:val="16"/>
                <w:szCs w:val="16"/>
              </w:rPr>
            </w:pPr>
            <w:r w:rsidRPr="00053E42">
              <w:rPr>
                <w:sz w:val="16"/>
                <w:szCs w:val="16"/>
              </w:rPr>
              <w:t>18</w:t>
            </w:r>
          </w:p>
        </w:tc>
        <w:tc>
          <w:tcPr>
            <w:tcW w:w="1175" w:type="pct"/>
            <w:tcBorders>
              <w:top w:val="nil"/>
              <w:bottom w:val="single" w:sz="4" w:space="0" w:color="auto"/>
            </w:tcBorders>
            <w:shd w:val="clear" w:color="auto" w:fill="FFFFFF"/>
            <w:tcMar>
              <w:top w:w="110" w:type="dxa"/>
            </w:tcMar>
          </w:tcPr>
          <w:p w:rsidR="00FA2BC6" w:rsidRPr="00053E42" w:rsidRDefault="00FA2BC6" w:rsidP="00DC1333">
            <w:pPr>
              <w:rPr>
                <w:sz w:val="16"/>
                <w:szCs w:val="16"/>
                <w:lang w:bidi="th-TH"/>
              </w:rPr>
            </w:pPr>
            <w:r w:rsidRPr="00053E42">
              <w:rPr>
                <w:sz w:val="16"/>
                <w:szCs w:val="16"/>
                <w:lang w:bidi="th-TH"/>
              </w:rPr>
              <w:t>26 (total)</w:t>
            </w:r>
          </w:p>
        </w:tc>
        <w:tc>
          <w:tcPr>
            <w:tcW w:w="665" w:type="pct"/>
            <w:gridSpan w:val="2"/>
            <w:tcBorders>
              <w:top w:val="nil"/>
              <w:bottom w:val="single" w:sz="4" w:space="0" w:color="auto"/>
              <w:right w:val="single" w:sz="4" w:space="0" w:color="auto"/>
            </w:tcBorders>
            <w:shd w:val="clear" w:color="auto" w:fill="auto"/>
            <w:tcMar>
              <w:top w:w="110" w:type="dxa"/>
            </w:tcMar>
          </w:tcPr>
          <w:p w:rsidR="00FA2BC6" w:rsidRPr="00053E42" w:rsidRDefault="00FA2BC6" w:rsidP="00DC1333">
            <w:pPr>
              <w:ind w:left="-110"/>
              <w:jc w:val="center"/>
              <w:rPr>
                <w:rStyle w:val="Style5"/>
                <w:b/>
                <w:color w:val="00B050"/>
                <w:sz w:val="16"/>
              </w:rPr>
            </w:pPr>
            <w:r w:rsidRPr="00053E42">
              <w:rPr>
                <w:b/>
                <w:bCs/>
                <w:color w:val="00B050"/>
                <w:sz w:val="16"/>
                <w:szCs w:val="16"/>
              </w:rPr>
              <w:t>Plenamente logrado</w:t>
            </w:r>
          </w:p>
        </w:tc>
      </w:tr>
    </w:tbl>
    <w:p w:rsidR="00FA2BC6" w:rsidRDefault="00FA2BC6" w:rsidP="00DC1333">
      <w:pPr>
        <w:rPr>
          <w:bCs/>
          <w:szCs w:val="22"/>
        </w:rPr>
      </w:pPr>
    </w:p>
    <w:p w:rsidR="004662B3" w:rsidRPr="00053E42" w:rsidRDefault="004662B3" w:rsidP="00DC1333">
      <w:pPr>
        <w:rPr>
          <w:bCs/>
          <w:szCs w:val="22"/>
        </w:rPr>
      </w:pPr>
    </w:p>
    <w:p w:rsidR="00FA2BC6" w:rsidRPr="00053E42" w:rsidRDefault="008F7CBE" w:rsidP="00DC1333">
      <w:pPr>
        <w:keepNext/>
        <w:keepLines/>
        <w:rPr>
          <w:color w:val="000000"/>
          <w:szCs w:val="22"/>
        </w:rPr>
      </w:pPr>
      <w:r w:rsidRPr="008F7CBE">
        <w:rPr>
          <w:sz w:val="20"/>
        </w:rPr>
        <w:t>INFORMACIÓN SOBRE LOS RIESGOS PLANTEADOS EN EL BIENIO</w:t>
      </w:r>
    </w:p>
    <w:p w:rsidR="00FA2BC6" w:rsidRPr="00053E42" w:rsidRDefault="00FA2BC6" w:rsidP="00DC1333">
      <w:pPr>
        <w:keepNext/>
        <w:keepLines/>
      </w:pPr>
    </w:p>
    <w:tbl>
      <w:tblPr>
        <w:tblW w:w="0" w:type="auto"/>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473"/>
        <w:gridCol w:w="2321"/>
      </w:tblGrid>
      <w:tr w:rsidR="00FA2BC6" w:rsidRPr="00053E42" w:rsidTr="00DC1333">
        <w:trPr>
          <w:trHeight w:val="638"/>
          <w:jc w:val="center"/>
        </w:trPr>
        <w:tc>
          <w:tcPr>
            <w:tcW w:w="2420" w:type="dxa"/>
            <w:tcBorders>
              <w:top w:val="single" w:sz="4" w:space="0" w:color="auto"/>
              <w:bottom w:val="single" w:sz="4" w:space="0" w:color="auto"/>
            </w:tcBorders>
            <w:shd w:val="clear" w:color="auto" w:fill="C6D9F1" w:themeFill="text2" w:themeFillTint="33"/>
            <w:vAlign w:val="center"/>
          </w:tcPr>
          <w:p w:rsidR="00FA2BC6" w:rsidRPr="00053E42" w:rsidRDefault="00FA2BC6" w:rsidP="00DC1333">
            <w:pPr>
              <w:keepNext/>
              <w:keepLines/>
              <w:autoSpaceDE w:val="0"/>
              <w:autoSpaceDN w:val="0"/>
              <w:adjustRightInd w:val="0"/>
              <w:ind w:right="-59"/>
              <w:jc w:val="center"/>
              <w:rPr>
                <w:b/>
                <w:bCs/>
                <w:iCs/>
                <w:sz w:val="18"/>
                <w:szCs w:val="18"/>
              </w:rPr>
            </w:pPr>
            <w:r w:rsidRPr="00053E42">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FA2BC6" w:rsidRPr="00053E42" w:rsidRDefault="00FA2BC6" w:rsidP="00DC1333">
            <w:pPr>
              <w:keepNext/>
              <w:keepLines/>
              <w:autoSpaceDE w:val="0"/>
              <w:autoSpaceDN w:val="0"/>
              <w:adjustRightInd w:val="0"/>
              <w:ind w:right="-59"/>
              <w:jc w:val="center"/>
              <w:rPr>
                <w:b/>
                <w:bCs/>
                <w:iCs/>
                <w:sz w:val="18"/>
                <w:szCs w:val="18"/>
              </w:rPr>
            </w:pPr>
            <w:r w:rsidRPr="00053E42">
              <w:rPr>
                <w:b/>
                <w:bCs/>
                <w:iCs/>
                <w:sz w:val="18"/>
                <w:szCs w:val="18"/>
              </w:rPr>
              <w:t>Planes de mitigación ejecutados o en ejecución</w:t>
            </w:r>
          </w:p>
        </w:tc>
        <w:tc>
          <w:tcPr>
            <w:tcW w:w="2473" w:type="dxa"/>
            <w:tcBorders>
              <w:top w:val="single" w:sz="4" w:space="0" w:color="auto"/>
              <w:bottom w:val="single" w:sz="4" w:space="0" w:color="auto"/>
            </w:tcBorders>
            <w:shd w:val="clear" w:color="auto" w:fill="C6D9F1" w:themeFill="text2" w:themeFillTint="33"/>
          </w:tcPr>
          <w:p w:rsidR="00FA2BC6" w:rsidRPr="00053E42" w:rsidRDefault="00FA2BC6" w:rsidP="00DC1333">
            <w:pPr>
              <w:keepNext/>
              <w:keepLines/>
              <w:jc w:val="center"/>
              <w:rPr>
                <w:b/>
                <w:bCs/>
                <w:sz w:val="18"/>
                <w:szCs w:val="18"/>
              </w:rPr>
            </w:pPr>
            <w:r w:rsidRPr="00053E42">
              <w:rPr>
                <w:b/>
                <w:bCs/>
                <w:iCs/>
                <w:sz w:val="18"/>
                <w:szCs w:val="18"/>
              </w:rPr>
              <w:t>Evolución de los riesgos y estrategias de mitigación durante el bienio</w:t>
            </w:r>
          </w:p>
        </w:tc>
        <w:tc>
          <w:tcPr>
            <w:tcW w:w="2321" w:type="dxa"/>
            <w:tcBorders>
              <w:top w:val="single" w:sz="4" w:space="0" w:color="auto"/>
              <w:bottom w:val="single" w:sz="4" w:space="0" w:color="auto"/>
            </w:tcBorders>
            <w:shd w:val="clear" w:color="auto" w:fill="C6D9F1" w:themeFill="text2" w:themeFillTint="33"/>
          </w:tcPr>
          <w:p w:rsidR="00FA2BC6" w:rsidRPr="00053E42" w:rsidRDefault="00FA2BC6" w:rsidP="00DC1333">
            <w:pPr>
              <w:keepNext/>
              <w:keepLines/>
              <w:jc w:val="center"/>
              <w:rPr>
                <w:b/>
                <w:bCs/>
                <w:sz w:val="18"/>
                <w:szCs w:val="18"/>
              </w:rPr>
            </w:pPr>
            <w:r w:rsidRPr="00053E42">
              <w:rPr>
                <w:b/>
                <w:bCs/>
                <w:sz w:val="18"/>
                <w:szCs w:val="18"/>
              </w:rPr>
              <w:t>Incidencia en el rendimiento del programa</w:t>
            </w:r>
          </w:p>
        </w:tc>
      </w:tr>
      <w:tr w:rsidR="00FA2BC6" w:rsidRPr="00053E42" w:rsidTr="00DC1333">
        <w:trPr>
          <w:trHeight w:val="1779"/>
          <w:jc w:val="center"/>
        </w:trPr>
        <w:tc>
          <w:tcPr>
            <w:tcW w:w="2420" w:type="dxa"/>
            <w:tcBorders>
              <w:top w:val="single" w:sz="4" w:space="0" w:color="auto"/>
            </w:tcBorders>
            <w:shd w:val="clear" w:color="auto" w:fill="auto"/>
            <w:tcMar>
              <w:top w:w="113" w:type="dxa"/>
              <w:bottom w:w="113" w:type="dxa"/>
            </w:tcMar>
          </w:tcPr>
          <w:p w:rsidR="00FA2BC6" w:rsidRPr="00053E42" w:rsidRDefault="00FA2BC6" w:rsidP="00DC1333">
            <w:pPr>
              <w:keepNext/>
              <w:keepLines/>
              <w:rPr>
                <w:sz w:val="16"/>
                <w:szCs w:val="16"/>
              </w:rPr>
            </w:pPr>
            <w:r w:rsidRPr="00053E42">
              <w:rPr>
                <w:sz w:val="16"/>
                <w:szCs w:val="16"/>
              </w:rPr>
              <w:t>La imposibilidad temporal o permanente de acceder a las bases de datos mundiales a consecuencia de trastornos en el servicio de Internet o fallos técnicos en la sede de la OMPI en Ginebra.</w:t>
            </w:r>
          </w:p>
          <w:p w:rsidR="00FA2BC6" w:rsidRPr="00053E42" w:rsidRDefault="00FA2BC6" w:rsidP="00DC1333">
            <w:pPr>
              <w:keepNext/>
              <w:keepLines/>
              <w:autoSpaceDE w:val="0"/>
              <w:autoSpaceDN w:val="0"/>
              <w:adjustRightInd w:val="0"/>
              <w:ind w:right="-59"/>
              <w:rPr>
                <w:sz w:val="16"/>
                <w:szCs w:val="16"/>
              </w:rPr>
            </w:pPr>
          </w:p>
        </w:tc>
        <w:tc>
          <w:tcPr>
            <w:tcW w:w="2200" w:type="dxa"/>
            <w:tcBorders>
              <w:top w:val="single" w:sz="4" w:space="0" w:color="auto"/>
            </w:tcBorders>
            <w:shd w:val="clear" w:color="auto" w:fill="auto"/>
            <w:tcMar>
              <w:top w:w="113" w:type="dxa"/>
              <w:bottom w:w="113" w:type="dxa"/>
            </w:tcMar>
          </w:tcPr>
          <w:p w:rsidR="00FA2BC6" w:rsidRPr="00053E42" w:rsidRDefault="00FA2BC6" w:rsidP="00DC1333">
            <w:pPr>
              <w:keepNext/>
              <w:keepLines/>
              <w:rPr>
                <w:sz w:val="16"/>
                <w:szCs w:val="16"/>
              </w:rPr>
            </w:pPr>
            <w:r w:rsidRPr="00053E42">
              <w:rPr>
                <w:sz w:val="16"/>
                <w:szCs w:val="16"/>
              </w:rPr>
              <w:t>La búsqueda de posibles ubicaciones para el alojamiento de datos en las que se creen duplicados de los datos que permitan su recuperación en caso de desastres y su consulta con arreglo a criterios geográficos.  Una indagación sobre la posibilidad de disponer de un sitio espejo para mantener el acceso a los datos durante perturbaciones puntuales de las actividades.</w:t>
            </w:r>
          </w:p>
        </w:tc>
        <w:tc>
          <w:tcPr>
            <w:tcW w:w="2473" w:type="dxa"/>
            <w:tcBorders>
              <w:top w:val="single" w:sz="4" w:space="0" w:color="auto"/>
            </w:tcBorders>
          </w:tcPr>
          <w:p w:rsidR="00FA2BC6" w:rsidRPr="00053E42" w:rsidRDefault="00FA2BC6" w:rsidP="00DC1333">
            <w:pPr>
              <w:keepNext/>
              <w:keepLines/>
              <w:rPr>
                <w:sz w:val="16"/>
                <w:szCs w:val="16"/>
              </w:rPr>
            </w:pPr>
            <w:r w:rsidRPr="00053E42">
              <w:rPr>
                <w:sz w:val="16"/>
                <w:szCs w:val="16"/>
              </w:rPr>
              <w:t>La consulta con arreglo a criterios geográficos del sistema PATENTSCOPE se abordó durante el bienio mediante un sistema espejo en Asia, que ofrece la seguridad de un duplicado remoto y mejor conexión para la región de Asia, con lo que se reduce el riesgo.</w:t>
            </w:r>
          </w:p>
        </w:tc>
        <w:tc>
          <w:tcPr>
            <w:tcW w:w="2321" w:type="dxa"/>
            <w:tcBorders>
              <w:top w:val="single" w:sz="4" w:space="0" w:color="auto"/>
            </w:tcBorders>
          </w:tcPr>
          <w:p w:rsidR="00FA2BC6" w:rsidRPr="00053E42" w:rsidRDefault="00FA2BC6" w:rsidP="00DC1333">
            <w:pPr>
              <w:autoSpaceDE w:val="0"/>
              <w:autoSpaceDN w:val="0"/>
              <w:adjustRightInd w:val="0"/>
              <w:ind w:right="-59"/>
              <w:rPr>
                <w:sz w:val="16"/>
                <w:szCs w:val="16"/>
              </w:rPr>
            </w:pPr>
            <w:r w:rsidRPr="00053E42">
              <w:rPr>
                <w:sz w:val="16"/>
                <w:szCs w:val="16"/>
              </w:rPr>
              <w:t>Este riesgo y su evolución no incidieron sustancialmente en el rendimiento del programa en 2014/15.</w:t>
            </w:r>
          </w:p>
          <w:p w:rsidR="00FA2BC6" w:rsidRPr="00053E42" w:rsidRDefault="00FA2BC6" w:rsidP="00DC1333">
            <w:pPr>
              <w:keepNext/>
              <w:keepLines/>
              <w:rPr>
                <w:sz w:val="16"/>
                <w:szCs w:val="16"/>
              </w:rPr>
            </w:pPr>
          </w:p>
        </w:tc>
      </w:tr>
    </w:tbl>
    <w:p w:rsidR="00FA2BC6" w:rsidRDefault="00FA2BC6" w:rsidP="00DC1333">
      <w:pPr>
        <w:rPr>
          <w:color w:val="000000"/>
          <w:szCs w:val="22"/>
        </w:rPr>
      </w:pPr>
    </w:p>
    <w:p w:rsidR="00FA2BC6" w:rsidRPr="00053E42" w:rsidRDefault="00FA2BC6" w:rsidP="00DC1333">
      <w:pPr>
        <w:rPr>
          <w:color w:val="000000"/>
          <w:szCs w:val="22"/>
        </w:rPr>
      </w:pPr>
    </w:p>
    <w:p w:rsidR="00FA2BC6" w:rsidRPr="00053E42" w:rsidRDefault="00403D2C" w:rsidP="00DC1333">
      <w:pPr>
        <w:rPr>
          <w:b/>
          <w:sz w:val="18"/>
          <w:szCs w:val="18"/>
        </w:rPr>
      </w:pPr>
      <w:r w:rsidRPr="00403D2C">
        <w:rPr>
          <w:sz w:val="20"/>
          <w:szCs w:val="22"/>
        </w:rPr>
        <w:t>UTILIZACIÓN DE LOS RECURSOS</w:t>
      </w:r>
    </w:p>
    <w:p w:rsidR="00FA2BC6" w:rsidRPr="00053E42" w:rsidRDefault="00FA2BC6" w:rsidP="00DC1333"/>
    <w:p w:rsidR="00FA2BC6" w:rsidRPr="00053E42" w:rsidRDefault="00FA2BC6" w:rsidP="00DC1333">
      <w:pPr>
        <w:pStyle w:val="NormalWeb"/>
        <w:spacing w:before="0" w:beforeAutospacing="0" w:after="0" w:afterAutospacing="0"/>
        <w:jc w:val="center"/>
        <w:rPr>
          <w:sz w:val="20"/>
          <w:szCs w:val="20"/>
          <w:lang w:val="es-ES"/>
        </w:rPr>
      </w:pPr>
      <w:r w:rsidRPr="00053E42">
        <w:rPr>
          <w:sz w:val="20"/>
          <w:szCs w:val="20"/>
          <w:lang w:val="es-ES"/>
        </w:rPr>
        <w:t xml:space="preserve">Presupuesto y gastos reales (por resultado) </w:t>
      </w:r>
    </w:p>
    <w:p w:rsidR="00FA2BC6" w:rsidRPr="00053E42" w:rsidRDefault="00FA2BC6" w:rsidP="00DC1333">
      <w:pPr>
        <w:pStyle w:val="NormalWeb"/>
        <w:spacing w:before="0" w:beforeAutospacing="0" w:after="0" w:afterAutospacing="0"/>
        <w:jc w:val="center"/>
        <w:rPr>
          <w:i/>
          <w:iCs/>
          <w:sz w:val="20"/>
          <w:szCs w:val="20"/>
          <w:lang w:val="es-ES"/>
        </w:rPr>
      </w:pPr>
      <w:r w:rsidRPr="00053E42">
        <w:rPr>
          <w:i/>
          <w:iCs/>
          <w:sz w:val="20"/>
          <w:szCs w:val="20"/>
          <w:lang w:val="es-ES"/>
        </w:rPr>
        <w:t>(</w:t>
      </w:r>
      <w:proofErr w:type="gramStart"/>
      <w:r w:rsidRPr="00053E42">
        <w:rPr>
          <w:i/>
          <w:iCs/>
          <w:sz w:val="20"/>
          <w:szCs w:val="20"/>
          <w:lang w:val="es-ES"/>
        </w:rPr>
        <w:t>en</w:t>
      </w:r>
      <w:proofErr w:type="gramEnd"/>
      <w:r w:rsidRPr="00053E42">
        <w:rPr>
          <w:i/>
          <w:iCs/>
          <w:sz w:val="20"/>
          <w:szCs w:val="20"/>
          <w:lang w:val="es-ES"/>
        </w:rPr>
        <w:t xml:space="preserve"> miles de francos suizos)</w:t>
      </w:r>
    </w:p>
    <w:p w:rsidR="00FA2BC6" w:rsidRPr="00053E42" w:rsidRDefault="00FA2BC6" w:rsidP="00DC1333">
      <w:pPr>
        <w:pStyle w:val="NormalWeb"/>
        <w:spacing w:before="0" w:beforeAutospacing="0" w:after="0" w:afterAutospacing="0"/>
        <w:jc w:val="center"/>
        <w:rPr>
          <w:sz w:val="20"/>
          <w:szCs w:val="20"/>
          <w:lang w:val="es-ES"/>
        </w:rPr>
      </w:pPr>
    </w:p>
    <w:p w:rsidR="00FA2BC6" w:rsidRPr="00053E42" w:rsidRDefault="00FA2BC6" w:rsidP="00DC1333">
      <w:pPr>
        <w:jc w:val="center"/>
      </w:pPr>
      <w:bookmarkStart w:id="124" w:name="Bm13"/>
      <w:bookmarkStart w:id="125" w:name="Punto13"/>
      <w:r>
        <w:rPr>
          <w:noProof/>
          <w:lang w:val="en-US" w:eastAsia="en-US"/>
        </w:rPr>
        <w:drawing>
          <wp:inline distT="0" distB="0" distL="0" distR="0" wp14:anchorId="2083FF0E" wp14:editId="02DC7C27">
            <wp:extent cx="5676900" cy="1809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76900" cy="1809750"/>
                    </a:xfrm>
                    <a:prstGeom prst="rect">
                      <a:avLst/>
                    </a:prstGeom>
                    <a:noFill/>
                    <a:ln>
                      <a:noFill/>
                    </a:ln>
                  </pic:spPr>
                </pic:pic>
              </a:graphicData>
            </a:graphic>
          </wp:inline>
        </w:drawing>
      </w:r>
      <w:bookmarkEnd w:id="124"/>
      <w:bookmarkEnd w:id="125"/>
    </w:p>
    <w:p w:rsidR="00FA2BC6" w:rsidRPr="00053E42" w:rsidRDefault="00FA2BC6" w:rsidP="00DC1333"/>
    <w:p w:rsidR="00FA2BC6" w:rsidRPr="00053E42" w:rsidRDefault="00FA2BC6" w:rsidP="00DC1333"/>
    <w:p w:rsidR="00FA2BC6" w:rsidRPr="00053E42" w:rsidRDefault="00FA2BC6" w:rsidP="004662B3">
      <w:pPr>
        <w:pStyle w:val="NormalWeb"/>
        <w:keepNext/>
        <w:spacing w:before="0" w:beforeAutospacing="0" w:after="0" w:afterAutospacing="0"/>
        <w:jc w:val="center"/>
        <w:rPr>
          <w:sz w:val="20"/>
          <w:szCs w:val="20"/>
          <w:lang w:val="es-ES"/>
        </w:rPr>
      </w:pPr>
      <w:r w:rsidRPr="00053E42">
        <w:rPr>
          <w:sz w:val="20"/>
          <w:szCs w:val="20"/>
          <w:lang w:val="es-ES"/>
        </w:rPr>
        <w:lastRenderedPageBreak/>
        <w:t xml:space="preserve">Presupuesto y gastos reales (de personal y no relativos a personal) </w:t>
      </w:r>
    </w:p>
    <w:p w:rsidR="00FA2BC6" w:rsidRPr="00053E42" w:rsidRDefault="00FA2BC6" w:rsidP="004662B3">
      <w:pPr>
        <w:pStyle w:val="NormalWeb"/>
        <w:keepNext/>
        <w:spacing w:before="0" w:beforeAutospacing="0" w:after="0" w:afterAutospacing="0"/>
        <w:jc w:val="center"/>
        <w:rPr>
          <w:i/>
          <w:iCs/>
          <w:sz w:val="20"/>
          <w:szCs w:val="20"/>
          <w:lang w:val="es-ES"/>
        </w:rPr>
      </w:pPr>
      <w:r w:rsidRPr="00053E42">
        <w:rPr>
          <w:i/>
          <w:iCs/>
          <w:sz w:val="20"/>
          <w:szCs w:val="20"/>
          <w:lang w:val="es-ES"/>
        </w:rPr>
        <w:t>(</w:t>
      </w:r>
      <w:proofErr w:type="gramStart"/>
      <w:r w:rsidRPr="00053E42">
        <w:rPr>
          <w:i/>
          <w:iCs/>
          <w:sz w:val="20"/>
          <w:szCs w:val="20"/>
          <w:lang w:val="es-ES"/>
        </w:rPr>
        <w:t>en</w:t>
      </w:r>
      <w:proofErr w:type="gramEnd"/>
      <w:r w:rsidRPr="00053E42">
        <w:rPr>
          <w:i/>
          <w:iCs/>
          <w:sz w:val="20"/>
          <w:szCs w:val="20"/>
          <w:lang w:val="es-ES"/>
        </w:rPr>
        <w:t xml:space="preserve"> miles de francos suizos)</w:t>
      </w:r>
    </w:p>
    <w:p w:rsidR="00FA2BC6" w:rsidRPr="00053E42" w:rsidRDefault="00FA2BC6" w:rsidP="004662B3">
      <w:pPr>
        <w:pStyle w:val="NormalWeb"/>
        <w:keepNext/>
        <w:spacing w:before="0" w:beforeAutospacing="0" w:after="0" w:afterAutospacing="0"/>
        <w:jc w:val="center"/>
        <w:rPr>
          <w:lang w:val="es-ES"/>
        </w:rPr>
      </w:pPr>
    </w:p>
    <w:p w:rsidR="00FA2BC6" w:rsidRPr="00053E42" w:rsidRDefault="00FA2BC6" w:rsidP="004662B3">
      <w:pPr>
        <w:keepNext/>
        <w:jc w:val="center"/>
      </w:pPr>
      <w:bookmarkStart w:id="126" w:name="Point13"/>
      <w:r>
        <w:rPr>
          <w:noProof/>
          <w:lang w:val="en-US" w:eastAsia="en-US"/>
        </w:rPr>
        <w:drawing>
          <wp:inline distT="0" distB="0" distL="0" distR="0" wp14:anchorId="5F93A342" wp14:editId="3DEAF292">
            <wp:extent cx="5940425" cy="1038940"/>
            <wp:effectExtent l="0" t="0" r="3175"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425" cy="1038940"/>
                    </a:xfrm>
                    <a:prstGeom prst="rect">
                      <a:avLst/>
                    </a:prstGeom>
                    <a:noFill/>
                    <a:ln>
                      <a:noFill/>
                    </a:ln>
                  </pic:spPr>
                </pic:pic>
              </a:graphicData>
            </a:graphic>
          </wp:inline>
        </w:drawing>
      </w:r>
      <w:bookmarkEnd w:id="126"/>
    </w:p>
    <w:p w:rsidR="00FA2BC6" w:rsidRDefault="00FA2BC6" w:rsidP="004662B3">
      <w:pPr>
        <w:keepNext/>
        <w:autoSpaceDE w:val="0"/>
        <w:autoSpaceDN w:val="0"/>
        <w:adjustRightInd w:val="0"/>
        <w:rPr>
          <w:sz w:val="20"/>
        </w:rPr>
      </w:pPr>
    </w:p>
    <w:p w:rsidR="00FA2BC6" w:rsidRPr="00053E42" w:rsidRDefault="00FA2BC6" w:rsidP="004662B3">
      <w:pPr>
        <w:keepNext/>
        <w:autoSpaceDE w:val="0"/>
        <w:autoSpaceDN w:val="0"/>
        <w:adjustRightInd w:val="0"/>
        <w:rPr>
          <w:sz w:val="20"/>
        </w:rPr>
      </w:pPr>
    </w:p>
    <w:p w:rsidR="00FA2BC6" w:rsidRPr="00053E42" w:rsidRDefault="00403D2C" w:rsidP="004662B3">
      <w:pPr>
        <w:keepNext/>
        <w:rPr>
          <w:sz w:val="20"/>
          <w:u w:val="single"/>
        </w:rPr>
      </w:pPr>
      <w:r w:rsidRPr="00403D2C">
        <w:rPr>
          <w:sz w:val="20"/>
        </w:rPr>
        <w:t>A.</w:t>
      </w:r>
      <w:r w:rsidRPr="00403D2C">
        <w:rPr>
          <w:sz w:val="20"/>
        </w:rPr>
        <w:tab/>
      </w:r>
      <w:r w:rsidRPr="00403D2C">
        <w:rPr>
          <w:sz w:val="20"/>
          <w:u w:val="single"/>
        </w:rPr>
        <w:t>Presupuesto final de 2014/15 tras las transferencias</w:t>
      </w:r>
    </w:p>
    <w:p w:rsidR="00FA2BC6" w:rsidRPr="00053E42" w:rsidRDefault="00FA2BC6" w:rsidP="00DC1333">
      <w:pPr>
        <w:rPr>
          <w:sz w:val="20"/>
          <w:u w:val="single"/>
        </w:rPr>
      </w:pPr>
    </w:p>
    <w:p w:rsidR="00FA2BC6" w:rsidRPr="00053E42" w:rsidRDefault="00FA2BC6" w:rsidP="00FA2BC6">
      <w:pPr>
        <w:pStyle w:val="ListParagraph"/>
        <w:numPr>
          <w:ilvl w:val="0"/>
          <w:numId w:val="73"/>
        </w:numPr>
        <w:tabs>
          <w:tab w:val="left" w:pos="709"/>
        </w:tabs>
        <w:ind w:left="0" w:firstLine="0"/>
        <w:jc w:val="both"/>
        <w:rPr>
          <w:rFonts w:cs="Arial"/>
          <w:lang w:val="es-ES"/>
        </w:rPr>
      </w:pPr>
      <w:r w:rsidRPr="00053E42">
        <w:rPr>
          <w:rFonts w:cs="Arial"/>
          <w:lang w:val="es-ES"/>
        </w:rPr>
        <w:t>El aumento del presupuesto final de 2014/15 tras las transferencias (recursos de personal) refleja la reclasificación de un puesto y la redistribución en el programa de recursos adicionales relativos a personal para la promoción de las bases de datos mundiales.  Este aumento queda reflejado también en el resultado previsto IV.2 (Mejora del acceso y uso de información de P.I. por parte de instituciones de P.I. y el público para fomentar la innovación y la creatividad).  Además, el aumento registrado en este resultado previsto se debió a la redistribución de recursos de personal en el marco del programa para la elaboración del motor de búsqueda de la base de datos.</w:t>
      </w:r>
    </w:p>
    <w:p w:rsidR="00FA2BC6" w:rsidRPr="00053E42" w:rsidRDefault="00FA2BC6" w:rsidP="00DC1333">
      <w:pPr>
        <w:rPr>
          <w:sz w:val="20"/>
        </w:rPr>
      </w:pPr>
    </w:p>
    <w:p w:rsidR="00FA2BC6" w:rsidRPr="00053E42" w:rsidRDefault="00FA2BC6" w:rsidP="00FA2BC6">
      <w:pPr>
        <w:pStyle w:val="ListParagraph"/>
        <w:numPr>
          <w:ilvl w:val="0"/>
          <w:numId w:val="73"/>
        </w:numPr>
        <w:tabs>
          <w:tab w:val="left" w:pos="709"/>
        </w:tabs>
        <w:ind w:left="0" w:firstLine="0"/>
        <w:jc w:val="both"/>
        <w:rPr>
          <w:rFonts w:cs="Arial"/>
          <w:lang w:val="es-ES"/>
        </w:rPr>
      </w:pPr>
      <w:r w:rsidRPr="00053E42">
        <w:rPr>
          <w:rFonts w:cs="Arial"/>
          <w:lang w:val="es-ES"/>
        </w:rPr>
        <w:t>En los recursos no relativos a personal se ha producido un ajuste al alza motivado fundamentalmente por los costos adicionales derivados de subcontratar la carga de colecciones nacionales a un proveedor externo de servicios y el aumento de los costos de alojamiento del servidor.</w:t>
      </w:r>
    </w:p>
    <w:p w:rsidR="00FA2BC6" w:rsidRPr="00053E42" w:rsidRDefault="00FA2BC6" w:rsidP="00DC1333">
      <w:pPr>
        <w:autoSpaceDE w:val="0"/>
        <w:autoSpaceDN w:val="0"/>
        <w:jc w:val="both"/>
        <w:rPr>
          <w:sz w:val="20"/>
          <w:lang w:eastAsia="ko-KR"/>
        </w:rPr>
      </w:pPr>
    </w:p>
    <w:p w:rsidR="00FA2BC6" w:rsidRPr="00053E42"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2BC6" w:rsidRPr="00053E42" w:rsidRDefault="00FA2BC6" w:rsidP="00DC1333">
      <w:pPr>
        <w:tabs>
          <w:tab w:val="left" w:pos="709"/>
        </w:tabs>
        <w:jc w:val="both"/>
        <w:rPr>
          <w:sz w:val="20"/>
          <w:u w:val="single"/>
          <w:lang w:eastAsia="ko-KR"/>
        </w:rPr>
      </w:pPr>
    </w:p>
    <w:p w:rsidR="00FA2BC6" w:rsidRDefault="00FA2BC6" w:rsidP="00FA2BC6">
      <w:pPr>
        <w:pStyle w:val="ListParagraph"/>
        <w:numPr>
          <w:ilvl w:val="0"/>
          <w:numId w:val="73"/>
        </w:numPr>
        <w:tabs>
          <w:tab w:val="left" w:pos="709"/>
        </w:tabs>
        <w:ind w:left="0" w:firstLine="0"/>
        <w:jc w:val="both"/>
        <w:rPr>
          <w:rFonts w:cs="Arial"/>
          <w:lang w:val="es-ES" w:eastAsia="ko-KR"/>
        </w:rPr>
      </w:pPr>
      <w:r w:rsidRPr="00053E42">
        <w:rPr>
          <w:rFonts w:cs="Arial"/>
          <w:lang w:val="es-ES" w:eastAsia="ko-KR"/>
        </w:rPr>
        <w:t>La utilización del presupuesto se ha mantenido dentro de los límites establecidos para el bienio.</w:t>
      </w:r>
    </w:p>
    <w:p w:rsidR="00FA2BC6" w:rsidRDefault="00FA2BC6" w:rsidP="00DC1333">
      <w:pPr>
        <w:tabs>
          <w:tab w:val="left" w:pos="709"/>
        </w:tabs>
        <w:jc w:val="both"/>
        <w:rPr>
          <w:lang w:eastAsia="ko-KR"/>
        </w:rPr>
      </w:pPr>
    </w:p>
    <w:p w:rsidR="00FA2BC6" w:rsidRDefault="00FA2BC6" w:rsidP="00DC1333">
      <w:pPr>
        <w:tabs>
          <w:tab w:val="left" w:pos="709"/>
        </w:tabs>
        <w:jc w:val="both"/>
        <w:rPr>
          <w:lang w:eastAsia="ko-KR"/>
        </w:rPr>
      </w:pPr>
    </w:p>
    <w:p w:rsidR="00FA2BC6" w:rsidRDefault="00FA2BC6">
      <w:pPr>
        <w:rPr>
          <w:lang w:eastAsia="ko-KR"/>
        </w:rPr>
      </w:pPr>
      <w:r>
        <w:rPr>
          <w:lang w:eastAsia="ko-KR"/>
        </w:rPr>
        <w:br w:type="page"/>
      </w:r>
    </w:p>
    <w:p w:rsidR="00D22903" w:rsidRPr="009E6485" w:rsidRDefault="00D22903" w:rsidP="00D22903">
      <w:pPr>
        <w:pStyle w:val="Heading2"/>
        <w:tabs>
          <w:tab w:val="left" w:pos="2268"/>
        </w:tabs>
        <w:ind w:left="2268" w:hanging="2268"/>
        <w:jc w:val="both"/>
        <w:rPr>
          <w:b/>
          <w:szCs w:val="22"/>
        </w:rPr>
      </w:pPr>
      <w:bookmarkStart w:id="127" w:name="_Toc422927423"/>
      <w:bookmarkStart w:id="128" w:name="_Toc455159091"/>
      <w:bookmarkStart w:id="129" w:name="_Toc422927424"/>
      <w:r w:rsidRPr="009E6485">
        <w:rPr>
          <w:b/>
          <w:szCs w:val="22"/>
        </w:rPr>
        <w:lastRenderedPageBreak/>
        <w:t>PROGRAMA 14</w:t>
      </w:r>
      <w:r w:rsidRPr="009E6485">
        <w:rPr>
          <w:b/>
          <w:szCs w:val="22"/>
        </w:rPr>
        <w:tab/>
        <w:t>SERVICIOS DE ACCESO A LA INFORMACIÓN Y A LOS CONOCIMIENTOS</w:t>
      </w:r>
      <w:bookmarkEnd w:id="127"/>
      <w:bookmarkEnd w:id="128"/>
    </w:p>
    <w:p w:rsidR="00D22903" w:rsidRPr="009E6485" w:rsidRDefault="00D22903" w:rsidP="00D22903">
      <w:pPr>
        <w:jc w:val="both"/>
        <w:rPr>
          <w:sz w:val="20"/>
        </w:rPr>
      </w:pPr>
    </w:p>
    <w:p w:rsidR="00D22903" w:rsidRPr="009E6485" w:rsidRDefault="00D22903" w:rsidP="00D22903">
      <w:pPr>
        <w:tabs>
          <w:tab w:val="left" w:pos="1985"/>
        </w:tabs>
        <w:jc w:val="both"/>
        <w:rPr>
          <w:b/>
          <w:sz w:val="20"/>
        </w:rPr>
      </w:pPr>
      <w:r w:rsidRPr="009E6485">
        <w:rPr>
          <w:b/>
          <w:sz w:val="20"/>
        </w:rPr>
        <w:t>Director de programa</w:t>
      </w:r>
      <w:r w:rsidRPr="009E6485">
        <w:rPr>
          <w:b/>
          <w:sz w:val="20"/>
        </w:rPr>
        <w:tab/>
        <w:t>Sr. Y. Takagi</w:t>
      </w:r>
    </w:p>
    <w:p w:rsidR="00D22903" w:rsidRPr="009E6485" w:rsidRDefault="00D22903" w:rsidP="00D22903">
      <w:pPr>
        <w:jc w:val="both"/>
        <w:rPr>
          <w:sz w:val="20"/>
        </w:rPr>
      </w:pPr>
    </w:p>
    <w:p w:rsidR="00D22903" w:rsidRPr="009E6485" w:rsidRDefault="00D22903" w:rsidP="00D22903">
      <w:pPr>
        <w:jc w:val="both"/>
        <w:rPr>
          <w:sz w:val="20"/>
        </w:rPr>
      </w:pPr>
    </w:p>
    <w:p w:rsidR="00D22903" w:rsidRPr="00952700" w:rsidRDefault="00D22903" w:rsidP="00D22903">
      <w:pPr>
        <w:jc w:val="both"/>
        <w:rPr>
          <w:bCs/>
          <w:sz w:val="20"/>
        </w:rPr>
      </w:pPr>
      <w:r w:rsidRPr="00952700">
        <w:rPr>
          <w:bCs/>
          <w:sz w:val="20"/>
        </w:rPr>
        <w:t>LOGROS ALCANZADOS EN EL BIENIO 2014/15</w:t>
      </w:r>
    </w:p>
    <w:p w:rsidR="00D22903" w:rsidRPr="009E6485" w:rsidRDefault="00D22903" w:rsidP="00D22903">
      <w:pPr>
        <w:jc w:val="both"/>
        <w:rPr>
          <w:bCs/>
          <w:szCs w:val="22"/>
        </w:rPr>
      </w:pPr>
      <w:bookmarkStart w:id="130" w:name="OLE_LINK3"/>
      <w:bookmarkStart w:id="131" w:name="OLE_LINK4"/>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bCs/>
          <w:lang w:val="es-ES"/>
        </w:rPr>
        <w:t>Durante el bienio 2014/15 el número total de Estados miembros que habían establecido oficialmente redes de Centros de Apoyo a la Tecnología y la Innovación (</w:t>
      </w:r>
      <w:r>
        <w:rPr>
          <w:rFonts w:cs="Arial"/>
          <w:bCs/>
          <w:lang w:val="es-ES"/>
        </w:rPr>
        <w:t>CATI) en sus países ascendió a </w:t>
      </w:r>
      <w:r w:rsidRPr="009E6485">
        <w:rPr>
          <w:rFonts w:cs="Arial"/>
          <w:bCs/>
          <w:lang w:val="es-ES"/>
        </w:rPr>
        <w:t>50</w:t>
      </w:r>
      <w:r>
        <w:rPr>
          <w:rFonts w:cs="Arial"/>
          <w:bCs/>
          <w:lang w:val="es-ES"/>
        </w:rPr>
        <w:t>, habiéndose establecido 11 redes nuevas, lo que representa un aumento del 28% en relación con el bienio 2012/13</w:t>
      </w:r>
      <w:r w:rsidRPr="009E6485">
        <w:rPr>
          <w:rFonts w:cs="Arial"/>
          <w:bCs/>
          <w:lang w:val="es-ES"/>
        </w:rPr>
        <w:t>.  Las actividades del programa siguieron centrándose en la consolidación de la sostenibilidad a largo plazo de las redes y, a finales de 2015, se determinó que 25 redes de CATI eran sostenibles.  Además, en 2015 se establecieron asimismo oficialmente dos redes subregionales de CATI</w:t>
      </w:r>
      <w:proofErr w:type="gramStart"/>
      <w:r w:rsidRPr="009E6485">
        <w:rPr>
          <w:rFonts w:cs="Arial"/>
          <w:bCs/>
          <w:lang w:val="es-ES"/>
        </w:rPr>
        <w:t>:  la</w:t>
      </w:r>
      <w:proofErr w:type="gramEnd"/>
      <w:r w:rsidRPr="009E6485">
        <w:rPr>
          <w:rFonts w:cs="Arial"/>
          <w:bCs/>
          <w:lang w:val="es-ES"/>
        </w:rPr>
        <w:t xml:space="preserve"> red de CATI de la ASEAN para los Estados miembros de dicha Asociación y la red CATI CARD para los países de América Central y la República Dominicana.  A finales de 2015 en la Guía de CATI</w:t>
      </w:r>
      <w:r w:rsidRPr="009E6485">
        <w:rPr>
          <w:rStyle w:val="FootnoteReference"/>
          <w:rFonts w:cs="Arial"/>
          <w:bCs/>
          <w:lang w:val="es-ES"/>
        </w:rPr>
        <w:footnoteReference w:id="87"/>
      </w:r>
      <w:r w:rsidRPr="009E6485">
        <w:rPr>
          <w:rFonts w:cs="Arial"/>
          <w:bCs/>
          <w:lang w:val="es-ES"/>
        </w:rPr>
        <w:t xml:space="preserve"> figuraban 331 de esos centros.</w:t>
      </w:r>
    </w:p>
    <w:p w:rsidR="00D22903" w:rsidRPr="009E6485" w:rsidRDefault="00D22903" w:rsidP="00D22903">
      <w:pPr>
        <w:pStyle w:val="ListParagraph"/>
        <w:tabs>
          <w:tab w:val="left" w:pos="0"/>
          <w:tab w:val="left" w:pos="709"/>
        </w:tabs>
        <w:ind w:left="0"/>
        <w:jc w:val="both"/>
        <w:rPr>
          <w:rFonts w:cs="Arial"/>
          <w:bCs/>
          <w:lang w:val="es-ES"/>
        </w:rPr>
      </w:pPr>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lang w:val="es-ES"/>
        </w:rPr>
        <w:t xml:space="preserve">Durante el bienio se reforzó el programa estructurado de creación de capacidad a escala local que engloba actividades </w:t>
      </w:r>
      <w:r w:rsidRPr="009E6485">
        <w:rPr>
          <w:rFonts w:cs="Arial"/>
          <w:i/>
          <w:lang w:val="es-ES"/>
        </w:rPr>
        <w:t>in situ</w:t>
      </w:r>
      <w:r w:rsidRPr="009E6485">
        <w:rPr>
          <w:rFonts w:cs="Arial"/>
          <w:lang w:val="es-ES"/>
        </w:rPr>
        <w:t xml:space="preserve"> de formación y sensibilización, sesiones adicionales de formación de formadores y de planificación de proyectos que se había puesto en marcha en 2013.  Se organizaron 11 reuniones regionales o subregionales en colaboración con 14 organizaciones, y se llevaron a cabo 50 talleres nacionales de planificación y formación docente destinados a fomentar el intercambio de experiencias y de mejores prácticas entre los países a escala regional</w:t>
      </w:r>
      <w:bookmarkEnd w:id="130"/>
      <w:bookmarkEnd w:id="131"/>
      <w:r w:rsidRPr="009E6485">
        <w:rPr>
          <w:rFonts w:cs="Arial"/>
          <w:lang w:val="es-ES"/>
        </w:rPr>
        <w:t>.</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lang w:val="es-ES"/>
        </w:rPr>
        <w:t>La plataforma de gestión de conocimientos eTISC</w:t>
      </w:r>
      <w:r w:rsidRPr="009E6485">
        <w:rPr>
          <w:rStyle w:val="FootnoteReference"/>
          <w:rFonts w:cs="Arial"/>
          <w:lang w:val="es-ES"/>
        </w:rPr>
        <w:footnoteReference w:id="88"/>
      </w:r>
      <w:r w:rsidRPr="009E6485">
        <w:rPr>
          <w:rFonts w:cs="Arial"/>
          <w:lang w:val="es-ES"/>
        </w:rPr>
        <w:t xml:space="preserve"> siguió experimentando un crecimiento notable</w:t>
      </w:r>
      <w:proofErr w:type="gramStart"/>
      <w:r w:rsidRPr="009E6485">
        <w:rPr>
          <w:rFonts w:cs="Arial"/>
          <w:lang w:val="es-ES"/>
        </w:rPr>
        <w:t>:  a</w:t>
      </w:r>
      <w:proofErr w:type="gramEnd"/>
      <w:r w:rsidRPr="009E6485">
        <w:rPr>
          <w:rFonts w:cs="Arial"/>
          <w:lang w:val="es-ES"/>
        </w:rPr>
        <w:t xml:space="preserve"> finales de 2015 prácticamente se había duplicado el número de miembros</w:t>
      </w:r>
      <w:r w:rsidR="006B439D">
        <w:rPr>
          <w:rFonts w:cs="Arial"/>
          <w:lang w:val="es-ES"/>
        </w:rPr>
        <w:t>, llegando a ser casi </w:t>
      </w:r>
      <w:r w:rsidRPr="009E6485">
        <w:rPr>
          <w:rFonts w:cs="Arial"/>
          <w:lang w:val="es-ES"/>
        </w:rPr>
        <w:t>1.500 procedentes de más de 115 países, en comparación con los 700 miembros registrados en el bienio anterior.  Durante el bienio 2014/15 se incorporaron</w:t>
      </w:r>
      <w:r w:rsidRPr="009E6485">
        <w:rPr>
          <w:rFonts w:cs="Arial"/>
          <w:szCs w:val="24"/>
          <w:lang w:val="es-ES"/>
        </w:rPr>
        <w:t xml:space="preserve"> </w:t>
      </w:r>
      <w:r w:rsidRPr="009E6485">
        <w:rPr>
          <w:rFonts w:cs="Arial"/>
          <w:lang w:val="es-ES"/>
        </w:rPr>
        <w:t>a la plataforma 16 nuevos seminarios web de formación y se organizaron 10 sesiones de preguntas y respuestas en directo con expertos en ayuda a la innovación.  Siguió habiendo mucha demanda en relación con la guía electrónica interactiva sobre el uso y la explotación de la información contenida en patentes, disponible en CD-ROM y en línea en inglés</w:t>
      </w:r>
      <w:r w:rsidRPr="009E6485">
        <w:rPr>
          <w:vertAlign w:val="superscript"/>
          <w:lang w:val="es-ES"/>
        </w:rPr>
        <w:footnoteReference w:id="89"/>
      </w:r>
      <w:r w:rsidRPr="009E6485">
        <w:rPr>
          <w:rFonts w:cs="Arial"/>
          <w:lang w:val="es-ES"/>
        </w:rPr>
        <w:t xml:space="preserve"> y en francés</w:t>
      </w:r>
      <w:r w:rsidRPr="009E6485">
        <w:rPr>
          <w:rStyle w:val="FootnoteReference"/>
          <w:rFonts w:cs="Arial"/>
          <w:lang w:val="es-ES"/>
        </w:rPr>
        <w:footnoteReference w:id="90"/>
      </w:r>
      <w:r w:rsidRPr="009E6485">
        <w:rPr>
          <w:rFonts w:cs="Arial"/>
          <w:lang w:val="es-ES"/>
        </w:rPr>
        <w:t>.  A finales de 2015 se ultimó la elaboración de la versión en español.</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bCs/>
          <w:lang w:val="es-ES"/>
        </w:rPr>
        <w:t>En 2015 se puso en marcha el Programa de Asistencia a Inventores (PAI), una iniciativa de colaboración conjunta entre la OMPI y el Foro Económico Mundial, cuya finalidad es reforzar la innovación nacional brindando asistencia jurídica para la presentación de solicitudes de patentes a innovadores y pequeñas empresas de carácter local que no cuenten con suficientes recursos financieros, mediante el comienzo de dos proyectos piloto en Colombia y Marruecos.  En este contexto, se ha puesto a disposición en Internet una guía electrónica interactiva sobre patentes y servicios de asesoramiento jurídico gratuito.</w:t>
      </w:r>
    </w:p>
    <w:p w:rsidR="00D22903" w:rsidRPr="009E6485" w:rsidRDefault="00D22903" w:rsidP="00E16464">
      <w:pPr>
        <w:pStyle w:val="ListParagraph"/>
        <w:ind w:left="0"/>
        <w:rPr>
          <w:rFonts w:cs="Arial"/>
          <w:bCs/>
          <w:lang w:val="es-ES"/>
        </w:rPr>
      </w:pPr>
    </w:p>
    <w:p w:rsidR="00D22903" w:rsidRPr="009E6485" w:rsidRDefault="00D22903" w:rsidP="00D22903">
      <w:pPr>
        <w:pStyle w:val="ListParagraph"/>
        <w:numPr>
          <w:ilvl w:val="0"/>
          <w:numId w:val="75"/>
        </w:numPr>
        <w:tabs>
          <w:tab w:val="left" w:pos="0"/>
          <w:tab w:val="left" w:pos="709"/>
        </w:tabs>
        <w:ind w:left="0" w:firstLine="0"/>
        <w:jc w:val="both"/>
        <w:rPr>
          <w:rFonts w:cs="Arial"/>
          <w:bCs/>
          <w:lang w:val="es-ES"/>
        </w:rPr>
      </w:pPr>
      <w:r w:rsidRPr="009E6485">
        <w:rPr>
          <w:rFonts w:cs="Arial"/>
          <w:bCs/>
          <w:lang w:val="es-ES"/>
        </w:rPr>
        <w:t>Siguió aumentando el volumen de contenido accesible de las publicaciones científicas y técnicas en el Programa de acceso a la investigación para el desarrollo y la innovación (</w:t>
      </w:r>
      <w:r w:rsidRPr="009E6485">
        <w:rPr>
          <w:rFonts w:cs="Arial"/>
          <w:lang w:val="es-ES"/>
        </w:rPr>
        <w:t>ARDI) y en sus programas Research4Life</w:t>
      </w:r>
      <w:r w:rsidRPr="009E6485">
        <w:rPr>
          <w:rFonts w:cs="Arial"/>
          <w:szCs w:val="24"/>
          <w:lang w:val="es-ES"/>
        </w:rPr>
        <w:t xml:space="preserve"> realizados </w:t>
      </w:r>
      <w:r w:rsidRPr="009E6485">
        <w:rPr>
          <w:rFonts w:cs="Arial"/>
          <w:lang w:val="es-ES"/>
        </w:rPr>
        <w:t>con asociados, que comprende 21.243</w:t>
      </w:r>
      <w:r w:rsidR="006B439D">
        <w:rPr>
          <w:rFonts w:cs="Arial"/>
          <w:lang w:val="es-ES"/>
        </w:rPr>
        <w:t xml:space="preserve"> publicaciones periódicas, </w:t>
      </w:r>
      <w:r w:rsidRPr="009E6485">
        <w:rPr>
          <w:rFonts w:cs="Arial"/>
          <w:lang w:val="es-ES"/>
        </w:rPr>
        <w:t xml:space="preserve">48.988 libros electrónicos y 169 obras de referencia y bases de datos.  En el transcurso del bienio 2014/15 se triplicó el número de usuarios activos del programa ARDI, que pasaron a ser 623, frente a los </w:t>
      </w:r>
      <w:r w:rsidRPr="009E6485">
        <w:rPr>
          <w:rFonts w:cs="Arial"/>
          <w:bCs/>
          <w:lang w:val="es-ES"/>
        </w:rPr>
        <w:t xml:space="preserve">207 del bienio anterior.  El número de usuarios inscritos activos del Programa de acceso a la información especializada sobre patentes </w:t>
      </w:r>
      <w:r w:rsidRPr="009E6485">
        <w:rPr>
          <w:rFonts w:cs="Arial"/>
          <w:lang w:val="es-ES"/>
        </w:rPr>
        <w:t>(ASPI), que da acceso a bases de datos comerciales especializada en patentes, fue más del doble durante el bienio 2014/15, alcanzando un total de 42 usuarios institucionales activos, es decir, un aumento del 110% con respecto a 2013.</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lang w:val="es-ES"/>
        </w:rPr>
      </w:pPr>
      <w:r w:rsidRPr="009E6485">
        <w:rPr>
          <w:rFonts w:cs="Arial"/>
          <w:lang w:val="es-ES"/>
        </w:rPr>
        <w:t xml:space="preserve">Durante el bienio 2014/15, la OMPI publicó los cuatro informes de análisis de la actividad de patentamiento (PLR) siguientes:  i) recursos genéticos animales, la primera evaluación cualitativa a gran escala de la información de patente relativa a los recursos genéticos animales, elaborado en colaboración con la Organización de las Naciones Unidas para la Agricultura y la Alimentación (FAO) y </w:t>
      </w:r>
      <w:r w:rsidRPr="009E6485">
        <w:rPr>
          <w:rFonts w:cs="Arial"/>
          <w:lang w:val="es-ES"/>
        </w:rPr>
        <w:lastRenderedPageBreak/>
        <w:t xml:space="preserve">con una importante contribución del programa 4;  ii) dispositivos de asistencia para personas con discapacidad visual y auditiva, elaborado en colaboración con la Organización Mundial de la Salud (OMS), que incluye también la primera publicación de la OMPI en un formato que mejora la accesibilidad;  iii) tecnologías relacionadas con el aceite de palma, elaborado en colaboración con la </w:t>
      </w:r>
      <w:r w:rsidRPr="009E6485">
        <w:rPr>
          <w:rFonts w:cs="Arial"/>
          <w:bCs/>
          <w:lang w:val="es-ES"/>
        </w:rPr>
        <w:t>Oficina de Propiedad Intelectual de Malasia (MyIPO) y el Consejo de Aceite de Palma de Malasia (MPOB)</w:t>
      </w:r>
      <w:r w:rsidRPr="009E6485">
        <w:rPr>
          <w:rFonts w:cs="Arial"/>
          <w:lang w:val="es-ES"/>
        </w:rPr>
        <w:t>, y iv) una versión actualizada del informe PLR sobre determinadas enfermedades desatendidas.</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lang w:val="es-ES"/>
        </w:rPr>
      </w:pPr>
      <w:r w:rsidRPr="009E6485">
        <w:rPr>
          <w:rFonts w:cs="Arial"/>
          <w:lang w:val="es-ES"/>
        </w:rPr>
        <w:t xml:space="preserve">Durante el bienio se logró mantener el enorme interés que han suscitado los informes PLR, en especial los que atañen a las tecnologías del agua y el reciclaje de residuos electrónicos, llegando a alcanzarse 23.634 visitas específicas al sitio web de los informes PLR;  97.172 descargas de la versión PDF de los informes PLR, y 8.189 descargas de infografías.  Se tradujo el sitio web de los informes PLR al español y al francés y se incorporaron al sitio 57 nuevos informes PLR elaborados por diversas organizaciones de los sectores público y privado, con inclusión de publicaciones en ocho idiomas distintos del inglés.  Por otra parte, en agosto de 2015 se publicaron las directrices para elaborar los informes PLR, que habían sido redactadas con un experto externo en 2013 </w:t>
      </w:r>
      <w:r w:rsidR="00C510BD">
        <w:rPr>
          <w:rFonts w:cs="Arial"/>
          <w:lang w:val="es-ES"/>
        </w:rPr>
        <w:t>y se habían finalizado en </w:t>
      </w:r>
      <w:r w:rsidRPr="009E6485">
        <w:rPr>
          <w:rFonts w:cs="Arial"/>
          <w:lang w:val="es-ES"/>
        </w:rPr>
        <w:t>2014.  Asimismo, se empezó a trabajar en un manual en el que se analizan las distintas herramientas gratuitas y de código abierto disponibles, al objeto de que los datos y análisis sobre patentes sean más accesibles para las personas sin conocimientos técnicos.  El manual se redactó en un lenguaje inteligible para las personas que no son programadores, incluso con instrucciones detalladas paso a paso, para hacer frente al problema que plantean los conocimientos de programación que normalmente se necesitan para utilizar las herramientas de código abierto.  Se han puesto a disposición avances no publicados de los capítulos del manual en una plataforma de código abierto</w:t>
      </w:r>
      <w:r w:rsidRPr="009E6485">
        <w:rPr>
          <w:rStyle w:val="FootnoteReference"/>
          <w:rFonts w:cs="Arial"/>
          <w:lang w:val="es-ES"/>
        </w:rPr>
        <w:footnoteReference w:id="91"/>
      </w:r>
      <w:r w:rsidRPr="009E6485">
        <w:rPr>
          <w:rFonts w:cs="Arial"/>
          <w:lang w:val="es-ES"/>
        </w:rPr>
        <w:t xml:space="preserve"> y la versión definitiva se publicará cuando esté terminada en el sitio web sobre actividad de patentamiento.</w:t>
      </w:r>
    </w:p>
    <w:p w:rsidR="00D22903" w:rsidRPr="009E6485" w:rsidRDefault="00D22903" w:rsidP="00D22903">
      <w:pPr>
        <w:tabs>
          <w:tab w:val="left" w:pos="0"/>
          <w:tab w:val="left" w:pos="709"/>
        </w:tabs>
        <w:jc w:val="both"/>
      </w:pPr>
    </w:p>
    <w:p w:rsidR="00D22903" w:rsidRPr="009E6485" w:rsidRDefault="00D22903" w:rsidP="00D22903">
      <w:pPr>
        <w:pStyle w:val="ListParagraph"/>
        <w:numPr>
          <w:ilvl w:val="0"/>
          <w:numId w:val="75"/>
        </w:numPr>
        <w:tabs>
          <w:tab w:val="left" w:pos="0"/>
          <w:tab w:val="left" w:pos="709"/>
        </w:tabs>
        <w:ind w:left="0" w:firstLine="0"/>
        <w:jc w:val="both"/>
        <w:rPr>
          <w:rFonts w:cs="Arial"/>
          <w:lang w:val="es-ES"/>
        </w:rPr>
      </w:pPr>
      <w:r w:rsidRPr="009E6485">
        <w:rPr>
          <w:rFonts w:cs="Arial"/>
          <w:lang w:val="es-ES"/>
        </w:rPr>
        <w:t>El diseño, la planificación y el desarrollo de actividades en el marco del programa 14 se basaron en las recomendaciones pertinentes de la Agenda para el Desarrollo, en concreto las recomendaciones 1, 8, 19, 30 y 31.</w:t>
      </w:r>
    </w:p>
    <w:p w:rsidR="00D22903" w:rsidRPr="00C510BD" w:rsidRDefault="00D22903" w:rsidP="00D22903">
      <w:pPr>
        <w:jc w:val="both"/>
        <w:rPr>
          <w:sz w:val="20"/>
        </w:rPr>
      </w:pPr>
    </w:p>
    <w:p w:rsidR="00D22903" w:rsidRPr="00C510BD" w:rsidRDefault="00D22903" w:rsidP="00D22903">
      <w:pPr>
        <w:jc w:val="both"/>
        <w:rPr>
          <w:sz w:val="20"/>
        </w:rPr>
      </w:pPr>
    </w:p>
    <w:p w:rsidR="00D22903" w:rsidRPr="00C510BD" w:rsidRDefault="00D22903" w:rsidP="00D22903">
      <w:pPr>
        <w:ind w:left="2268" w:hanging="2268"/>
        <w:rPr>
          <w:sz w:val="20"/>
        </w:rPr>
      </w:pPr>
      <w:r w:rsidRPr="00C510BD">
        <w:rPr>
          <w:sz w:val="20"/>
        </w:rPr>
        <w:t>DATOS SOBRE EL RENDIMIENTO</w:t>
      </w:r>
    </w:p>
    <w:p w:rsidR="00D22903" w:rsidRPr="00C510BD" w:rsidRDefault="00D22903" w:rsidP="00D22903">
      <w:pPr>
        <w:jc w:val="both"/>
        <w:rPr>
          <w:sz w:val="20"/>
        </w:rPr>
      </w:pPr>
    </w:p>
    <w:tbl>
      <w:tblPr>
        <w:tblW w:w="4963"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1"/>
        <w:gridCol w:w="19"/>
        <w:gridCol w:w="2377"/>
        <w:gridCol w:w="34"/>
        <w:gridCol w:w="1512"/>
        <w:gridCol w:w="48"/>
        <w:gridCol w:w="2200"/>
        <w:gridCol w:w="65"/>
        <w:gridCol w:w="1134"/>
      </w:tblGrid>
      <w:tr w:rsidR="00D22903" w:rsidRPr="009E6485" w:rsidTr="00044DA1">
        <w:trPr>
          <w:cantSplit/>
        </w:trPr>
        <w:tc>
          <w:tcPr>
            <w:tcW w:w="5000" w:type="pct"/>
            <w:gridSpan w:val="9"/>
            <w:tcBorders>
              <w:top w:val="single" w:sz="4" w:space="0" w:color="auto"/>
              <w:bottom w:val="single" w:sz="4" w:space="0" w:color="auto"/>
            </w:tcBorders>
            <w:shd w:val="clear" w:color="auto" w:fill="C6D9F1" w:themeFill="text2" w:themeFillTint="33"/>
            <w:vAlign w:val="center"/>
          </w:tcPr>
          <w:p w:rsidR="00D22903" w:rsidRPr="009E6485" w:rsidRDefault="00D22903" w:rsidP="00DC1333">
            <w:pPr>
              <w:keepNext/>
              <w:keepLines/>
              <w:tabs>
                <w:tab w:val="left" w:pos="2019"/>
              </w:tabs>
              <w:spacing w:before="120" w:after="120"/>
              <w:ind w:left="2019" w:hanging="2019"/>
              <w:rPr>
                <w:b/>
                <w:bCs/>
                <w:sz w:val="16"/>
                <w:szCs w:val="16"/>
              </w:rPr>
            </w:pPr>
            <w:r w:rsidRPr="009E6485">
              <w:rPr>
                <w:b/>
                <w:bCs/>
                <w:sz w:val="16"/>
                <w:szCs w:val="16"/>
              </w:rPr>
              <w:t>Resultado previsto:</w:t>
            </w:r>
            <w:r w:rsidRPr="009E6485">
              <w:rPr>
                <w:b/>
                <w:bCs/>
                <w:sz w:val="16"/>
                <w:szCs w:val="16"/>
              </w:rPr>
              <w:tab/>
            </w:r>
            <w:r w:rsidRPr="009E6485">
              <w:rPr>
                <w:bCs/>
                <w:sz w:val="16"/>
                <w:szCs w:val="16"/>
              </w:rPr>
              <w:t xml:space="preserve">IV.2 </w:t>
            </w:r>
            <w:r w:rsidRPr="009E6485">
              <w:rPr>
                <w:sz w:val="16"/>
                <w:szCs w:val="16"/>
              </w:rPr>
              <w:t xml:space="preserve">Mejora del acceso y uso de información de P.I. por parte de instituciones de P.I. y el público para fomentar la innovación y la creatividad </w:t>
            </w:r>
          </w:p>
        </w:tc>
      </w:tr>
      <w:tr w:rsidR="00D22903" w:rsidRPr="009E6485" w:rsidTr="00044DA1">
        <w:trPr>
          <w:cantSplit/>
        </w:trPr>
        <w:tc>
          <w:tcPr>
            <w:tcW w:w="1121" w:type="pct"/>
            <w:gridSpan w:val="2"/>
            <w:tcBorders>
              <w:top w:val="single" w:sz="4" w:space="0" w:color="auto"/>
            </w:tcBorders>
            <w:shd w:val="clear" w:color="auto" w:fill="auto"/>
            <w:vAlign w:val="center"/>
          </w:tcPr>
          <w:p w:rsidR="00D22903" w:rsidRPr="009E6485" w:rsidRDefault="00D22903" w:rsidP="00DC1333">
            <w:pPr>
              <w:rPr>
                <w:sz w:val="16"/>
                <w:szCs w:val="16"/>
              </w:rPr>
            </w:pPr>
            <w:r w:rsidRPr="009E6485">
              <w:rPr>
                <w:b/>
                <w:sz w:val="16"/>
                <w:szCs w:val="16"/>
              </w:rPr>
              <w:t>Indicadores de rendimiento</w:t>
            </w:r>
          </w:p>
        </w:tc>
        <w:tc>
          <w:tcPr>
            <w:tcW w:w="1269" w:type="pct"/>
            <w:gridSpan w:val="2"/>
            <w:tcBorders>
              <w:top w:val="single" w:sz="4" w:space="0" w:color="auto"/>
            </w:tcBorders>
            <w:shd w:val="clear" w:color="auto" w:fill="auto"/>
            <w:vAlign w:val="center"/>
          </w:tcPr>
          <w:p w:rsidR="00D22903" w:rsidRPr="009E6485" w:rsidRDefault="00D22903" w:rsidP="00DC1333">
            <w:pPr>
              <w:rPr>
                <w:b/>
                <w:bCs/>
                <w:sz w:val="16"/>
                <w:szCs w:val="16"/>
              </w:rPr>
            </w:pPr>
            <w:r w:rsidRPr="009E6485">
              <w:rPr>
                <w:b/>
                <w:bCs/>
                <w:sz w:val="16"/>
                <w:szCs w:val="16"/>
              </w:rPr>
              <w:t>Referencia</w:t>
            </w:r>
          </w:p>
        </w:tc>
        <w:tc>
          <w:tcPr>
            <w:tcW w:w="821" w:type="pct"/>
            <w:gridSpan w:val="2"/>
            <w:tcBorders>
              <w:top w:val="single" w:sz="4" w:space="0" w:color="auto"/>
            </w:tcBorders>
            <w:shd w:val="clear" w:color="auto" w:fill="auto"/>
            <w:tcMar>
              <w:top w:w="110" w:type="dxa"/>
            </w:tcMar>
            <w:vAlign w:val="center"/>
          </w:tcPr>
          <w:p w:rsidR="00D22903" w:rsidRPr="009E6485" w:rsidRDefault="00D22903" w:rsidP="00DC1333">
            <w:pPr>
              <w:rPr>
                <w:b/>
                <w:sz w:val="16"/>
                <w:szCs w:val="16"/>
              </w:rPr>
            </w:pPr>
            <w:r w:rsidRPr="009E6485">
              <w:rPr>
                <w:b/>
                <w:sz w:val="16"/>
                <w:szCs w:val="16"/>
              </w:rPr>
              <w:t>Objetivos</w:t>
            </w:r>
          </w:p>
        </w:tc>
        <w:tc>
          <w:tcPr>
            <w:tcW w:w="1192" w:type="pct"/>
            <w:gridSpan w:val="2"/>
            <w:tcBorders>
              <w:top w:val="single" w:sz="4" w:space="0" w:color="auto"/>
            </w:tcBorders>
            <w:shd w:val="clear" w:color="auto" w:fill="FFFFFF"/>
            <w:tcMar>
              <w:top w:w="110" w:type="dxa"/>
            </w:tcMar>
            <w:vAlign w:val="center"/>
          </w:tcPr>
          <w:p w:rsidR="00D22903" w:rsidRPr="009E6485" w:rsidRDefault="00D22903" w:rsidP="00DC1333">
            <w:pPr>
              <w:rPr>
                <w:sz w:val="16"/>
                <w:szCs w:val="16"/>
              </w:rPr>
            </w:pPr>
            <w:r w:rsidRPr="009E6485">
              <w:rPr>
                <w:b/>
                <w:sz w:val="16"/>
                <w:szCs w:val="16"/>
              </w:rPr>
              <w:t>Datos sobre el rendimiento</w:t>
            </w:r>
          </w:p>
        </w:tc>
        <w:tc>
          <w:tcPr>
            <w:tcW w:w="596" w:type="pct"/>
            <w:tcBorders>
              <w:top w:val="single" w:sz="4" w:space="0" w:color="auto"/>
            </w:tcBorders>
            <w:shd w:val="clear" w:color="auto" w:fill="auto"/>
            <w:tcMar>
              <w:top w:w="110" w:type="dxa"/>
            </w:tcMar>
            <w:vAlign w:val="center"/>
          </w:tcPr>
          <w:p w:rsidR="00D22903" w:rsidRPr="009E6485" w:rsidRDefault="00D22903" w:rsidP="00DC1333">
            <w:pPr>
              <w:keepNext/>
              <w:keepLines/>
              <w:ind w:left="-111" w:right="-107"/>
              <w:jc w:val="center"/>
              <w:rPr>
                <w:b/>
                <w:bCs/>
                <w:sz w:val="16"/>
                <w:szCs w:val="16"/>
              </w:rPr>
            </w:pPr>
            <w:r w:rsidRPr="009E6485">
              <w:rPr>
                <w:b/>
                <w:bCs/>
                <w:sz w:val="16"/>
                <w:szCs w:val="16"/>
              </w:rPr>
              <w:t>Clave de colores</w:t>
            </w:r>
          </w:p>
        </w:tc>
      </w:tr>
      <w:tr w:rsidR="00D22903" w:rsidRPr="009E6485" w:rsidTr="00044DA1">
        <w:trPr>
          <w:cantSplit/>
        </w:trPr>
        <w:tc>
          <w:tcPr>
            <w:tcW w:w="1121" w:type="pct"/>
            <w:gridSpan w:val="2"/>
            <w:shd w:val="clear" w:color="auto" w:fill="auto"/>
          </w:tcPr>
          <w:p w:rsidR="00D22903" w:rsidRPr="009E6485" w:rsidRDefault="00D22903" w:rsidP="00DC1333">
            <w:pPr>
              <w:rPr>
                <w:sz w:val="16"/>
                <w:szCs w:val="16"/>
              </w:rPr>
            </w:pPr>
            <w:r w:rsidRPr="009E6485">
              <w:rPr>
                <w:sz w:val="16"/>
                <w:szCs w:val="16"/>
              </w:rPr>
              <w:t>Número de redes nacionales sostenibles de CATI.</w:t>
            </w:r>
          </w:p>
        </w:tc>
        <w:tc>
          <w:tcPr>
            <w:tcW w:w="1269" w:type="pct"/>
            <w:gridSpan w:val="2"/>
            <w:shd w:val="clear" w:color="auto" w:fill="auto"/>
          </w:tcPr>
          <w:p w:rsidR="00D22903" w:rsidRPr="009E6485" w:rsidRDefault="00D22903" w:rsidP="00DC1333">
            <w:pPr>
              <w:rPr>
                <w:color w:val="002060"/>
                <w:sz w:val="16"/>
                <w:szCs w:val="16"/>
                <w:lang w:bidi="th-TH"/>
              </w:rPr>
            </w:pPr>
            <w:r w:rsidRPr="009E6485">
              <w:rPr>
                <w:i/>
                <w:color w:val="002060"/>
                <w:sz w:val="16"/>
                <w:szCs w:val="16"/>
              </w:rPr>
              <w:t xml:space="preserve">Referencia actualizada a fines de 2013: </w:t>
            </w:r>
            <w:r w:rsidRPr="009E6485">
              <w:rPr>
                <w:i/>
                <w:sz w:val="16"/>
                <w:szCs w:val="16"/>
              </w:rPr>
              <w:t xml:space="preserve"> </w:t>
            </w:r>
            <w:r w:rsidRPr="009E6485">
              <w:rPr>
                <w:color w:val="002060"/>
                <w:sz w:val="16"/>
                <w:szCs w:val="16"/>
              </w:rPr>
              <w:t xml:space="preserve">15 redes sostenibles de CATI (de las 39 ya establecidas) </w:t>
            </w:r>
            <w:r w:rsidRPr="009E6485">
              <w:rPr>
                <w:color w:val="002060"/>
                <w:sz w:val="16"/>
                <w:szCs w:val="16"/>
              </w:rPr>
              <w:br/>
            </w:r>
          </w:p>
          <w:p w:rsidR="00D22903" w:rsidRPr="009E6485" w:rsidRDefault="00D22903" w:rsidP="00DC1333">
            <w:pPr>
              <w:rPr>
                <w:color w:val="002060"/>
                <w:sz w:val="8"/>
                <w:szCs w:val="8"/>
                <w:lang w:bidi="th-TH"/>
              </w:rPr>
            </w:pPr>
          </w:p>
          <w:p w:rsidR="00D22903" w:rsidRDefault="00D22903" w:rsidP="00DC1333">
            <w:pPr>
              <w:rPr>
                <w:sz w:val="16"/>
                <w:szCs w:val="16"/>
              </w:rPr>
            </w:pPr>
            <w:r w:rsidRPr="009E6485">
              <w:rPr>
                <w:i/>
                <w:sz w:val="16"/>
                <w:szCs w:val="16"/>
                <w:lang w:bidi="th-TH"/>
              </w:rPr>
              <w:t xml:space="preserve">Referencia original en el </w:t>
            </w:r>
            <w:r w:rsidRPr="009E6485">
              <w:rPr>
                <w:i/>
                <w:sz w:val="16"/>
                <w:szCs w:val="16"/>
              </w:rPr>
              <w:t xml:space="preserve">presupuesto de 2014/15: </w:t>
            </w:r>
            <w:r w:rsidRPr="009E6485">
              <w:rPr>
                <w:sz w:val="16"/>
                <w:szCs w:val="16"/>
              </w:rPr>
              <w:t xml:space="preserve">15 redes nacionales de CATI (en total, al final del primer trimestre de 2013):  África: 6;  </w:t>
            </w:r>
          </w:p>
          <w:p w:rsidR="00D22903" w:rsidRPr="009E6485" w:rsidRDefault="00D22903" w:rsidP="00DC1333">
            <w:pPr>
              <w:rPr>
                <w:sz w:val="16"/>
                <w:szCs w:val="16"/>
              </w:rPr>
            </w:pPr>
            <w:r w:rsidRPr="009E6485">
              <w:rPr>
                <w:sz w:val="16"/>
                <w:szCs w:val="16"/>
              </w:rPr>
              <w:t xml:space="preserve">América Latina y el Caribe: 4;  </w:t>
            </w:r>
          </w:p>
          <w:p w:rsidR="00D22903" w:rsidRDefault="00D22903" w:rsidP="00DC1333">
            <w:pPr>
              <w:rPr>
                <w:sz w:val="16"/>
                <w:szCs w:val="16"/>
              </w:rPr>
            </w:pPr>
            <w:r w:rsidRPr="009E6485">
              <w:rPr>
                <w:sz w:val="16"/>
                <w:szCs w:val="16"/>
              </w:rPr>
              <w:t xml:space="preserve">Asia y el Pacífico: 2;  </w:t>
            </w:r>
          </w:p>
          <w:p w:rsidR="00D22903" w:rsidRPr="009E6485" w:rsidRDefault="00D22903" w:rsidP="00DC1333">
            <w:pPr>
              <w:rPr>
                <w:sz w:val="16"/>
                <w:szCs w:val="16"/>
              </w:rPr>
            </w:pPr>
            <w:r w:rsidRPr="009E6485">
              <w:rPr>
                <w:sz w:val="16"/>
                <w:szCs w:val="16"/>
              </w:rPr>
              <w:t>determinados países de Europa y Asia: 1</w:t>
            </w:r>
          </w:p>
          <w:p w:rsidR="00D22903" w:rsidRPr="009E6485" w:rsidRDefault="00D22903" w:rsidP="00DC1333">
            <w:pPr>
              <w:rPr>
                <w:sz w:val="16"/>
                <w:szCs w:val="16"/>
              </w:rPr>
            </w:pPr>
            <w:r w:rsidRPr="009E6485">
              <w:rPr>
                <w:sz w:val="16"/>
                <w:szCs w:val="16"/>
              </w:rPr>
              <w:t xml:space="preserve">región de los países árabes:  2 </w:t>
            </w:r>
          </w:p>
          <w:p w:rsidR="00D22903" w:rsidRPr="009E6485" w:rsidRDefault="00D22903" w:rsidP="00DC1333">
            <w:pPr>
              <w:rPr>
                <w:sz w:val="16"/>
                <w:szCs w:val="16"/>
              </w:rPr>
            </w:pPr>
          </w:p>
        </w:tc>
        <w:tc>
          <w:tcPr>
            <w:tcW w:w="821" w:type="pct"/>
            <w:gridSpan w:val="2"/>
            <w:shd w:val="clear" w:color="auto" w:fill="auto"/>
            <w:tcMar>
              <w:top w:w="110" w:type="dxa"/>
            </w:tcMar>
          </w:tcPr>
          <w:p w:rsidR="00D22903" w:rsidRPr="009E6485" w:rsidRDefault="00D22903" w:rsidP="00DC1333">
            <w:pPr>
              <w:rPr>
                <w:sz w:val="16"/>
                <w:szCs w:val="16"/>
              </w:rPr>
            </w:pPr>
            <w:r w:rsidRPr="009E6485">
              <w:rPr>
                <w:sz w:val="16"/>
                <w:szCs w:val="16"/>
              </w:rPr>
              <w:t xml:space="preserve">25 redes nacionales de CATI (en total): África: 10 (de los que 8 son </w:t>
            </w:r>
            <w:r>
              <w:rPr>
                <w:sz w:val="16"/>
                <w:szCs w:val="16"/>
              </w:rPr>
              <w:t xml:space="preserve">en </w:t>
            </w:r>
            <w:r w:rsidRPr="009E6485">
              <w:rPr>
                <w:sz w:val="16"/>
                <w:szCs w:val="16"/>
              </w:rPr>
              <w:t xml:space="preserve">PMA);  </w:t>
            </w:r>
          </w:p>
          <w:p w:rsidR="00D22903" w:rsidRPr="009E6485" w:rsidRDefault="00D22903" w:rsidP="00DC1333">
            <w:pPr>
              <w:rPr>
                <w:sz w:val="16"/>
                <w:szCs w:val="16"/>
              </w:rPr>
            </w:pPr>
            <w:r w:rsidRPr="009E6485">
              <w:rPr>
                <w:sz w:val="16"/>
                <w:szCs w:val="16"/>
              </w:rPr>
              <w:t xml:space="preserve">América Latina y el Caribe: 6;  </w:t>
            </w:r>
          </w:p>
          <w:p w:rsidR="00D22903" w:rsidRPr="009E6485" w:rsidRDefault="00D22903" w:rsidP="00DC1333">
            <w:pPr>
              <w:rPr>
                <w:sz w:val="16"/>
                <w:szCs w:val="16"/>
              </w:rPr>
            </w:pPr>
            <w:r w:rsidRPr="009E6485">
              <w:rPr>
                <w:sz w:val="16"/>
                <w:szCs w:val="16"/>
              </w:rPr>
              <w:t xml:space="preserve">Asia y el Pacífico: 4 (de los que 2 son </w:t>
            </w:r>
            <w:r>
              <w:rPr>
                <w:sz w:val="16"/>
                <w:szCs w:val="16"/>
              </w:rPr>
              <w:t xml:space="preserve">en </w:t>
            </w:r>
            <w:r w:rsidRPr="009E6485">
              <w:rPr>
                <w:sz w:val="16"/>
                <w:szCs w:val="16"/>
              </w:rPr>
              <w:t xml:space="preserve">PMA); </w:t>
            </w:r>
          </w:p>
          <w:p w:rsidR="00D22903" w:rsidRPr="00ED016A" w:rsidRDefault="00D22903" w:rsidP="00DC1333">
            <w:pPr>
              <w:rPr>
                <w:sz w:val="16"/>
                <w:szCs w:val="16"/>
              </w:rPr>
            </w:pPr>
            <w:r w:rsidRPr="00ED016A">
              <w:rPr>
                <w:sz w:val="16"/>
                <w:szCs w:val="16"/>
              </w:rPr>
              <w:t>determinados países de Europa y Asia: 2</w:t>
            </w:r>
          </w:p>
          <w:p w:rsidR="00D22903" w:rsidRPr="009E6485" w:rsidRDefault="00D22903" w:rsidP="00DC1333">
            <w:pPr>
              <w:rPr>
                <w:sz w:val="16"/>
                <w:szCs w:val="16"/>
              </w:rPr>
            </w:pPr>
            <w:r w:rsidRPr="009E6485">
              <w:rPr>
                <w:sz w:val="16"/>
                <w:szCs w:val="16"/>
              </w:rPr>
              <w:t xml:space="preserve">región de los países árabes: 3,  </w:t>
            </w:r>
          </w:p>
          <w:p w:rsidR="00D22903" w:rsidRPr="009E6485" w:rsidRDefault="00D22903" w:rsidP="00DC1333">
            <w:pPr>
              <w:rPr>
                <w:i/>
                <w:sz w:val="16"/>
                <w:szCs w:val="16"/>
              </w:rPr>
            </w:pPr>
          </w:p>
        </w:tc>
        <w:tc>
          <w:tcPr>
            <w:tcW w:w="1192" w:type="pct"/>
            <w:gridSpan w:val="2"/>
            <w:shd w:val="clear" w:color="auto" w:fill="FFFFFF"/>
            <w:tcMar>
              <w:top w:w="110" w:type="dxa"/>
            </w:tcMar>
          </w:tcPr>
          <w:p w:rsidR="00D22903" w:rsidRPr="009E6485" w:rsidRDefault="00D22903" w:rsidP="00DC1333">
            <w:pPr>
              <w:rPr>
                <w:sz w:val="16"/>
                <w:szCs w:val="16"/>
              </w:rPr>
            </w:pPr>
            <w:r w:rsidRPr="009E6485">
              <w:rPr>
                <w:sz w:val="16"/>
                <w:szCs w:val="16"/>
              </w:rPr>
              <w:t>25 redes nacionales sostenibles de las 50 establecidas oficialmente (en total):  África:  10 (de las que 8 son en PMA);</w:t>
            </w:r>
          </w:p>
          <w:p w:rsidR="00D22903" w:rsidRPr="009E6485" w:rsidRDefault="00D22903" w:rsidP="00DC1333">
            <w:pPr>
              <w:rPr>
                <w:sz w:val="16"/>
                <w:szCs w:val="16"/>
              </w:rPr>
            </w:pPr>
            <w:r w:rsidRPr="009E6485">
              <w:rPr>
                <w:sz w:val="16"/>
                <w:szCs w:val="16"/>
              </w:rPr>
              <w:t>América Latina y el Caribe:  7;</w:t>
            </w:r>
          </w:p>
          <w:p w:rsidR="00D22903" w:rsidRPr="009E6485" w:rsidRDefault="00D22903" w:rsidP="00DC1333">
            <w:pPr>
              <w:rPr>
                <w:sz w:val="16"/>
                <w:szCs w:val="16"/>
              </w:rPr>
            </w:pPr>
            <w:r w:rsidRPr="009E6485">
              <w:rPr>
                <w:sz w:val="16"/>
                <w:szCs w:val="16"/>
              </w:rPr>
              <w:t>Asia y el Pacífico:  4 (de las que 1 es en un PMA);</w:t>
            </w:r>
          </w:p>
          <w:p w:rsidR="00D22903" w:rsidRPr="009E6485" w:rsidRDefault="00D22903" w:rsidP="00DC1333">
            <w:pPr>
              <w:rPr>
                <w:sz w:val="16"/>
                <w:szCs w:val="16"/>
              </w:rPr>
            </w:pPr>
            <w:r w:rsidRPr="009E6485">
              <w:rPr>
                <w:sz w:val="16"/>
                <w:szCs w:val="16"/>
              </w:rPr>
              <w:t>determinados países de Europa y Asia:  1;</w:t>
            </w:r>
          </w:p>
          <w:p w:rsidR="00D22903" w:rsidRPr="009E6485" w:rsidRDefault="00D22903" w:rsidP="00DC1333">
            <w:pPr>
              <w:rPr>
                <w:sz w:val="16"/>
                <w:szCs w:val="16"/>
              </w:rPr>
            </w:pPr>
            <w:r w:rsidRPr="009E6485">
              <w:rPr>
                <w:sz w:val="16"/>
                <w:szCs w:val="16"/>
              </w:rPr>
              <w:t>países árabes:  3</w:t>
            </w:r>
          </w:p>
        </w:tc>
        <w:tc>
          <w:tcPr>
            <w:tcW w:w="596" w:type="pct"/>
            <w:shd w:val="clear" w:color="auto" w:fill="auto"/>
            <w:tcMar>
              <w:top w:w="110" w:type="dxa"/>
            </w:tcMar>
          </w:tcPr>
          <w:p w:rsidR="00D22903" w:rsidRPr="009E6485" w:rsidRDefault="00D22903" w:rsidP="00DC1333">
            <w:pPr>
              <w:keepNext/>
              <w:keepLines/>
              <w:ind w:left="-111" w:right="-108"/>
              <w:jc w:val="center"/>
              <w:rPr>
                <w:b/>
                <w:bCs/>
                <w:color w:val="008000"/>
                <w:sz w:val="16"/>
                <w:szCs w:val="16"/>
              </w:rPr>
            </w:pPr>
            <w:r w:rsidRPr="009E6485">
              <w:rPr>
                <w:b/>
                <w:bCs/>
                <w:color w:val="00B050"/>
                <w:sz w:val="16"/>
                <w:szCs w:val="16"/>
              </w:rPr>
              <w:t>Plenamente logrado</w:t>
            </w:r>
          </w:p>
        </w:tc>
      </w:tr>
      <w:tr w:rsidR="00D22903" w:rsidRPr="009E6485" w:rsidTr="00044DA1">
        <w:trPr>
          <w:cantSplit/>
        </w:trPr>
        <w:tc>
          <w:tcPr>
            <w:tcW w:w="1121" w:type="pct"/>
            <w:gridSpan w:val="2"/>
            <w:shd w:val="clear" w:color="auto" w:fill="auto"/>
          </w:tcPr>
          <w:p w:rsidR="00D22903" w:rsidRPr="009E6485" w:rsidRDefault="00D22903" w:rsidP="00DC1333">
            <w:pPr>
              <w:rPr>
                <w:sz w:val="16"/>
                <w:szCs w:val="16"/>
              </w:rPr>
            </w:pPr>
            <w:r w:rsidRPr="009E6485">
              <w:rPr>
                <w:sz w:val="16"/>
                <w:szCs w:val="16"/>
              </w:rPr>
              <w:t>Promedio de usuarios que utilizan los servicios de los CATI por trimestre y por país.</w:t>
            </w:r>
          </w:p>
        </w:tc>
        <w:tc>
          <w:tcPr>
            <w:tcW w:w="1269" w:type="pct"/>
            <w:gridSpan w:val="2"/>
            <w:shd w:val="clear" w:color="auto" w:fill="auto"/>
          </w:tcPr>
          <w:p w:rsidR="00D22903" w:rsidRPr="009E6485" w:rsidRDefault="00D22903" w:rsidP="00DC1333">
            <w:pPr>
              <w:rPr>
                <w:color w:val="002060"/>
                <w:sz w:val="16"/>
                <w:szCs w:val="16"/>
                <w:lang w:bidi="th-TH"/>
              </w:rPr>
            </w:pPr>
            <w:r w:rsidRPr="009E6485">
              <w:rPr>
                <w:i/>
                <w:color w:val="002060"/>
                <w:sz w:val="16"/>
                <w:szCs w:val="16"/>
              </w:rPr>
              <w:t>Referencia actualizada a fines de 2013:</w:t>
            </w:r>
            <w:r w:rsidRPr="009E6485">
              <w:t xml:space="preserve"> </w:t>
            </w:r>
            <w:r w:rsidRPr="009E6485">
              <w:rPr>
                <w:color w:val="002060"/>
                <w:sz w:val="16"/>
                <w:szCs w:val="16"/>
              </w:rPr>
              <w:t>Entre 532 y 1.370 usuarios diarios en promedio atendidos por los CATI en 2013</w:t>
            </w:r>
            <w:r w:rsidRPr="009E6485">
              <w:rPr>
                <w:color w:val="002060"/>
                <w:sz w:val="16"/>
                <w:szCs w:val="16"/>
              </w:rPr>
              <w:br/>
            </w:r>
          </w:p>
          <w:p w:rsidR="00D22903" w:rsidRPr="009E6485" w:rsidRDefault="00D22903" w:rsidP="00DC1333">
            <w:pPr>
              <w:rPr>
                <w:i/>
                <w:sz w:val="16"/>
                <w:szCs w:val="16"/>
                <w:lang w:bidi="th-TH"/>
              </w:rPr>
            </w:pPr>
            <w:r w:rsidRPr="009E6485">
              <w:rPr>
                <w:i/>
                <w:sz w:val="16"/>
                <w:szCs w:val="16"/>
                <w:lang w:bidi="th-TH"/>
              </w:rPr>
              <w:t>Referencia original en el</w:t>
            </w:r>
          </w:p>
          <w:p w:rsidR="00D22903" w:rsidRPr="009E6485" w:rsidRDefault="00D22903" w:rsidP="00DC1333">
            <w:pPr>
              <w:rPr>
                <w:sz w:val="16"/>
                <w:szCs w:val="16"/>
              </w:rPr>
            </w:pPr>
            <w:r w:rsidRPr="009E6485">
              <w:rPr>
                <w:i/>
                <w:sz w:val="16"/>
                <w:szCs w:val="16"/>
                <w:lang w:bidi="th-TH"/>
              </w:rPr>
              <w:t>presupuesto de 2014/15</w:t>
            </w:r>
            <w:r w:rsidRPr="009E6485">
              <w:rPr>
                <w:i/>
                <w:color w:val="008000"/>
                <w:sz w:val="16"/>
                <w:szCs w:val="16"/>
              </w:rPr>
              <w:t xml:space="preserve">: </w:t>
            </w:r>
            <w:r w:rsidRPr="009E6485">
              <w:rPr>
                <w:sz w:val="16"/>
                <w:szCs w:val="16"/>
              </w:rPr>
              <w:t>Entre 200 y 630</w:t>
            </w:r>
          </w:p>
          <w:p w:rsidR="00D22903" w:rsidRPr="009E6485" w:rsidRDefault="00D22903" w:rsidP="00DC1333">
            <w:pPr>
              <w:rPr>
                <w:sz w:val="16"/>
                <w:szCs w:val="16"/>
              </w:rPr>
            </w:pPr>
          </w:p>
        </w:tc>
        <w:tc>
          <w:tcPr>
            <w:tcW w:w="821" w:type="pct"/>
            <w:gridSpan w:val="2"/>
            <w:shd w:val="clear" w:color="auto" w:fill="auto"/>
            <w:tcMar>
              <w:top w:w="110" w:type="dxa"/>
            </w:tcMar>
          </w:tcPr>
          <w:p w:rsidR="00D22903" w:rsidRPr="009E6485" w:rsidRDefault="00D22903" w:rsidP="00DC1333">
            <w:pPr>
              <w:rPr>
                <w:sz w:val="16"/>
                <w:szCs w:val="16"/>
              </w:rPr>
            </w:pPr>
            <w:r w:rsidRPr="009E6485">
              <w:rPr>
                <w:sz w:val="16"/>
                <w:szCs w:val="16"/>
              </w:rPr>
              <w:t>Entre 300 y 750</w:t>
            </w:r>
          </w:p>
        </w:tc>
        <w:tc>
          <w:tcPr>
            <w:tcW w:w="1192" w:type="pct"/>
            <w:gridSpan w:val="2"/>
            <w:shd w:val="clear" w:color="auto" w:fill="FFFFFF"/>
            <w:tcMar>
              <w:top w:w="110" w:type="dxa"/>
            </w:tcMar>
          </w:tcPr>
          <w:p w:rsidR="00D22903" w:rsidRPr="009E6485" w:rsidRDefault="00D22903" w:rsidP="00DC1333">
            <w:pPr>
              <w:rPr>
                <w:sz w:val="16"/>
                <w:szCs w:val="16"/>
              </w:rPr>
            </w:pPr>
            <w:r w:rsidRPr="009E6485">
              <w:rPr>
                <w:sz w:val="16"/>
                <w:szCs w:val="16"/>
                <w:lang w:bidi="th-TH"/>
              </w:rPr>
              <w:t>Entre 874 y 2.631</w:t>
            </w:r>
          </w:p>
        </w:tc>
        <w:tc>
          <w:tcPr>
            <w:tcW w:w="596" w:type="pct"/>
            <w:shd w:val="clear" w:color="auto" w:fill="auto"/>
            <w:tcMar>
              <w:top w:w="110" w:type="dxa"/>
            </w:tcMar>
          </w:tcPr>
          <w:p w:rsidR="00D22903" w:rsidRPr="009E6485" w:rsidRDefault="00D22903" w:rsidP="00DC1333">
            <w:pPr>
              <w:keepNext/>
              <w:keepLines/>
              <w:ind w:left="-112"/>
              <w:jc w:val="center"/>
              <w:rPr>
                <w:b/>
                <w:bCs/>
                <w:color w:val="008000"/>
                <w:sz w:val="16"/>
                <w:szCs w:val="16"/>
              </w:rPr>
            </w:pPr>
            <w:r w:rsidRPr="009E6485">
              <w:rPr>
                <w:b/>
                <w:bCs/>
                <w:color w:val="00B050"/>
                <w:sz w:val="16"/>
                <w:szCs w:val="16"/>
              </w:rPr>
              <w:t>Plenamente logrado</w:t>
            </w:r>
          </w:p>
        </w:tc>
      </w:tr>
      <w:tr w:rsidR="00D22903" w:rsidRPr="009E6485" w:rsidTr="00044DA1">
        <w:trPr>
          <w:cantSplit/>
        </w:trPr>
        <w:tc>
          <w:tcPr>
            <w:tcW w:w="1121" w:type="pct"/>
            <w:gridSpan w:val="2"/>
            <w:shd w:val="clear" w:color="auto" w:fill="auto"/>
          </w:tcPr>
          <w:p w:rsidR="00D22903" w:rsidRPr="009E6485" w:rsidRDefault="00D22903" w:rsidP="00DC1333">
            <w:pPr>
              <w:rPr>
                <w:sz w:val="16"/>
                <w:szCs w:val="16"/>
              </w:rPr>
            </w:pPr>
            <w:r w:rsidRPr="009E6485">
              <w:rPr>
                <w:sz w:val="16"/>
                <w:szCs w:val="16"/>
              </w:rPr>
              <w:lastRenderedPageBreak/>
              <w:t>Número de usuarios inscritos en ARDI y ASPI que utilizan dichos instrumentos.</w:t>
            </w:r>
          </w:p>
        </w:tc>
        <w:tc>
          <w:tcPr>
            <w:tcW w:w="1269" w:type="pct"/>
            <w:gridSpan w:val="2"/>
            <w:shd w:val="clear" w:color="auto" w:fill="auto"/>
          </w:tcPr>
          <w:p w:rsidR="00D22903" w:rsidRPr="009E6485" w:rsidRDefault="00D22903" w:rsidP="00DC1333">
            <w:pPr>
              <w:rPr>
                <w:color w:val="002060"/>
                <w:sz w:val="16"/>
                <w:szCs w:val="16"/>
              </w:rPr>
            </w:pPr>
            <w:r w:rsidRPr="009E6485">
              <w:rPr>
                <w:i/>
                <w:color w:val="002060"/>
                <w:sz w:val="16"/>
                <w:szCs w:val="16"/>
              </w:rPr>
              <w:t>Referencia actualizada a fines de 2013:</w:t>
            </w:r>
            <w:r w:rsidRPr="009E6485">
              <w:rPr>
                <w:color w:val="008000"/>
                <w:sz w:val="16"/>
                <w:szCs w:val="16"/>
              </w:rPr>
              <w:t xml:space="preserve">  </w:t>
            </w:r>
            <w:r w:rsidRPr="009E6485">
              <w:rPr>
                <w:color w:val="002060"/>
                <w:sz w:val="16"/>
                <w:szCs w:val="16"/>
              </w:rPr>
              <w:t>ARDI (207 usuarios activos)</w:t>
            </w:r>
          </w:p>
          <w:p w:rsidR="00D22903" w:rsidRPr="009E6485" w:rsidRDefault="00D22903" w:rsidP="00DC1333">
            <w:pPr>
              <w:rPr>
                <w:color w:val="002060"/>
                <w:sz w:val="16"/>
                <w:szCs w:val="16"/>
              </w:rPr>
            </w:pPr>
            <w:r w:rsidRPr="009E6485">
              <w:rPr>
                <w:color w:val="002060"/>
                <w:sz w:val="16"/>
                <w:szCs w:val="16"/>
              </w:rPr>
              <w:t>ASPI (20 usuarios activos)</w:t>
            </w:r>
          </w:p>
          <w:p w:rsidR="00D22903" w:rsidRPr="009E6485" w:rsidRDefault="00D22903" w:rsidP="00DC1333">
            <w:pPr>
              <w:rPr>
                <w:color w:val="002060"/>
                <w:sz w:val="16"/>
                <w:szCs w:val="16"/>
              </w:rPr>
            </w:pPr>
          </w:p>
          <w:p w:rsidR="00D22903" w:rsidRPr="009E6485" w:rsidRDefault="00D22903" w:rsidP="00DC1333">
            <w:pPr>
              <w:rPr>
                <w:i/>
                <w:sz w:val="16"/>
                <w:szCs w:val="16"/>
                <w:lang w:bidi="th-TH"/>
              </w:rPr>
            </w:pPr>
            <w:r w:rsidRPr="009E6485">
              <w:rPr>
                <w:i/>
                <w:sz w:val="16"/>
                <w:szCs w:val="16"/>
                <w:lang w:bidi="th-TH"/>
              </w:rPr>
              <w:t>Referencia original en el</w:t>
            </w:r>
          </w:p>
          <w:p w:rsidR="00D22903" w:rsidRPr="009E6485" w:rsidRDefault="00D22903" w:rsidP="00DC1333">
            <w:pPr>
              <w:rPr>
                <w:i/>
                <w:sz w:val="16"/>
                <w:szCs w:val="16"/>
                <w:lang w:bidi="th-TH"/>
              </w:rPr>
            </w:pPr>
            <w:r w:rsidRPr="009E6485">
              <w:rPr>
                <w:i/>
                <w:sz w:val="16"/>
                <w:szCs w:val="16"/>
                <w:lang w:bidi="th-TH"/>
              </w:rPr>
              <w:t xml:space="preserve">presupuesto de 2014/15: </w:t>
            </w:r>
          </w:p>
          <w:p w:rsidR="00D22903" w:rsidRPr="009E6485" w:rsidRDefault="00D22903" w:rsidP="00DC1333">
            <w:pPr>
              <w:rPr>
                <w:sz w:val="16"/>
                <w:szCs w:val="16"/>
              </w:rPr>
            </w:pPr>
            <w:r w:rsidRPr="009E6485">
              <w:rPr>
                <w:sz w:val="16"/>
                <w:szCs w:val="16"/>
              </w:rPr>
              <w:t>ARDI:  50</w:t>
            </w:r>
          </w:p>
          <w:p w:rsidR="00D22903" w:rsidRPr="009E6485" w:rsidRDefault="00D22903" w:rsidP="00DC1333">
            <w:pPr>
              <w:rPr>
                <w:sz w:val="16"/>
                <w:szCs w:val="16"/>
              </w:rPr>
            </w:pPr>
            <w:r w:rsidRPr="009E6485">
              <w:rPr>
                <w:sz w:val="16"/>
                <w:szCs w:val="16"/>
              </w:rPr>
              <w:t>ASPI:  20</w:t>
            </w:r>
          </w:p>
          <w:p w:rsidR="00D22903" w:rsidRPr="009E6485" w:rsidRDefault="00D22903" w:rsidP="00DC1333">
            <w:pPr>
              <w:rPr>
                <w:sz w:val="16"/>
                <w:szCs w:val="16"/>
              </w:rPr>
            </w:pPr>
          </w:p>
        </w:tc>
        <w:tc>
          <w:tcPr>
            <w:tcW w:w="821" w:type="pct"/>
            <w:gridSpan w:val="2"/>
            <w:shd w:val="clear" w:color="auto" w:fill="auto"/>
            <w:tcMar>
              <w:top w:w="110" w:type="dxa"/>
            </w:tcMar>
          </w:tcPr>
          <w:p w:rsidR="00D22903" w:rsidRPr="009E6485" w:rsidRDefault="00D22903" w:rsidP="00DC1333">
            <w:pPr>
              <w:rPr>
                <w:sz w:val="16"/>
                <w:szCs w:val="16"/>
              </w:rPr>
            </w:pPr>
            <w:r w:rsidRPr="009E6485">
              <w:rPr>
                <w:sz w:val="16"/>
                <w:szCs w:val="16"/>
              </w:rPr>
              <w:t>ARDI:  300</w:t>
            </w:r>
          </w:p>
          <w:p w:rsidR="00D22903" w:rsidRPr="009E6485" w:rsidRDefault="00D22903" w:rsidP="00DC1333">
            <w:pPr>
              <w:rPr>
                <w:sz w:val="16"/>
                <w:szCs w:val="16"/>
              </w:rPr>
            </w:pPr>
            <w:r w:rsidRPr="009E6485">
              <w:rPr>
                <w:sz w:val="16"/>
                <w:szCs w:val="16"/>
              </w:rPr>
              <w:t>ASPI:  30</w:t>
            </w:r>
          </w:p>
        </w:tc>
        <w:tc>
          <w:tcPr>
            <w:tcW w:w="1192" w:type="pct"/>
            <w:gridSpan w:val="2"/>
            <w:shd w:val="clear" w:color="auto" w:fill="FFFFFF"/>
            <w:tcMar>
              <w:top w:w="110" w:type="dxa"/>
            </w:tcMar>
          </w:tcPr>
          <w:p w:rsidR="00D22903" w:rsidRPr="009E6485" w:rsidRDefault="00D22903" w:rsidP="00DC1333">
            <w:pPr>
              <w:rPr>
                <w:sz w:val="16"/>
                <w:szCs w:val="16"/>
              </w:rPr>
            </w:pPr>
            <w:r w:rsidRPr="009E6485">
              <w:rPr>
                <w:sz w:val="16"/>
                <w:szCs w:val="16"/>
              </w:rPr>
              <w:t>ARDI:  623</w:t>
            </w:r>
          </w:p>
          <w:p w:rsidR="00D22903" w:rsidRPr="009E6485" w:rsidRDefault="00D22903" w:rsidP="00DC1333">
            <w:pPr>
              <w:rPr>
                <w:lang w:bidi="th-TH"/>
              </w:rPr>
            </w:pPr>
            <w:r w:rsidRPr="009E6485">
              <w:rPr>
                <w:sz w:val="16"/>
                <w:szCs w:val="16"/>
              </w:rPr>
              <w:t>ASPI:  42</w:t>
            </w:r>
          </w:p>
        </w:tc>
        <w:tc>
          <w:tcPr>
            <w:tcW w:w="596" w:type="pct"/>
            <w:shd w:val="clear" w:color="auto" w:fill="auto"/>
            <w:tcMar>
              <w:top w:w="110" w:type="dxa"/>
            </w:tcMar>
          </w:tcPr>
          <w:p w:rsidR="00D22903" w:rsidRPr="009E6485" w:rsidRDefault="00D22903" w:rsidP="00DC1333">
            <w:pPr>
              <w:keepNext/>
              <w:keepLines/>
              <w:ind w:right="-108"/>
              <w:jc w:val="center"/>
              <w:rPr>
                <w:b/>
                <w:bCs/>
                <w:color w:val="008000"/>
                <w:sz w:val="16"/>
                <w:szCs w:val="16"/>
              </w:rPr>
            </w:pPr>
            <w:r w:rsidRPr="009E6485">
              <w:rPr>
                <w:b/>
                <w:bCs/>
                <w:color w:val="00B050"/>
                <w:sz w:val="16"/>
                <w:szCs w:val="16"/>
              </w:rPr>
              <w:t>Plenamente logrado</w:t>
            </w:r>
          </w:p>
          <w:p w:rsidR="00D22903" w:rsidRPr="009E6485" w:rsidRDefault="00D22903" w:rsidP="00DC1333">
            <w:pPr>
              <w:keepNext/>
              <w:keepLines/>
              <w:jc w:val="center"/>
              <w:rPr>
                <w:bCs/>
                <w:color w:val="008000"/>
                <w:sz w:val="16"/>
                <w:szCs w:val="16"/>
              </w:rPr>
            </w:pPr>
          </w:p>
          <w:p w:rsidR="00D22903" w:rsidRPr="009E6485" w:rsidRDefault="00D22903" w:rsidP="00DC1333">
            <w:pPr>
              <w:keepNext/>
              <w:keepLines/>
              <w:jc w:val="center"/>
              <w:rPr>
                <w:bCs/>
                <w:color w:val="008000"/>
                <w:sz w:val="16"/>
                <w:szCs w:val="16"/>
              </w:rPr>
            </w:pPr>
          </w:p>
          <w:p w:rsidR="00D22903" w:rsidRPr="009E6485" w:rsidRDefault="00D22903" w:rsidP="00DC1333">
            <w:pPr>
              <w:keepNext/>
              <w:keepLines/>
              <w:jc w:val="center"/>
              <w:rPr>
                <w:bCs/>
                <w:color w:val="008000"/>
                <w:sz w:val="16"/>
                <w:szCs w:val="16"/>
              </w:rPr>
            </w:pPr>
          </w:p>
          <w:p w:rsidR="00D22903" w:rsidRPr="009E6485" w:rsidRDefault="00D22903" w:rsidP="00DC1333">
            <w:pPr>
              <w:keepNext/>
              <w:keepLines/>
              <w:jc w:val="center"/>
              <w:rPr>
                <w:bCs/>
                <w:color w:val="008000"/>
                <w:sz w:val="16"/>
                <w:szCs w:val="16"/>
              </w:rPr>
            </w:pPr>
          </w:p>
        </w:tc>
      </w:tr>
      <w:tr w:rsidR="00D22903" w:rsidRPr="009E6485" w:rsidTr="00044DA1">
        <w:trPr>
          <w:cantSplit/>
        </w:trPr>
        <w:tc>
          <w:tcPr>
            <w:tcW w:w="1111" w:type="pct"/>
            <w:shd w:val="clear" w:color="auto" w:fill="auto"/>
          </w:tcPr>
          <w:p w:rsidR="00D22903" w:rsidRPr="009E6485" w:rsidRDefault="00D22903" w:rsidP="00DC1333">
            <w:pPr>
              <w:rPr>
                <w:sz w:val="16"/>
                <w:szCs w:val="16"/>
              </w:rPr>
            </w:pPr>
            <w:r w:rsidRPr="009E6485">
              <w:rPr>
                <w:sz w:val="16"/>
                <w:szCs w:val="16"/>
              </w:rPr>
              <w:t>Porcentaje de usuarios satisfechos con la prestación de servicios de información sobre patentes con valor añadido (WPIS, cooperación internacional en el examen, familias de patentes y servicio de consulta sobre la situación jurídica).</w:t>
            </w:r>
          </w:p>
        </w:tc>
        <w:tc>
          <w:tcPr>
            <w:tcW w:w="1261" w:type="pct"/>
            <w:gridSpan w:val="2"/>
            <w:shd w:val="clear" w:color="auto" w:fill="auto"/>
          </w:tcPr>
          <w:p w:rsidR="00D22903" w:rsidRPr="009E6485" w:rsidRDefault="00D22903" w:rsidP="00DC1333">
            <w:pPr>
              <w:rPr>
                <w:color w:val="002060"/>
                <w:sz w:val="16"/>
                <w:szCs w:val="16"/>
              </w:rPr>
            </w:pPr>
            <w:r w:rsidRPr="009E6485">
              <w:rPr>
                <w:i/>
                <w:color w:val="002060"/>
                <w:sz w:val="16"/>
                <w:szCs w:val="16"/>
              </w:rPr>
              <w:t>Referencia actualizada a fines de 2013:</w:t>
            </w:r>
            <w:r w:rsidRPr="009E6485">
              <w:t xml:space="preserve"> </w:t>
            </w:r>
            <w:r w:rsidRPr="009E6485">
              <w:rPr>
                <w:color w:val="002060"/>
                <w:sz w:val="16"/>
                <w:szCs w:val="16"/>
              </w:rPr>
              <w:t>No se llevaron a cabo encuestas relativas al servicio de cooperación internacional en el examen y a los servicios de la OMPI de información sobre patentes.  Se está negociando con las oficinas donantes cómo evaluar y recuperar los comentarios de usuarios sobre la labor realizada</w:t>
            </w:r>
          </w:p>
          <w:p w:rsidR="00D22903" w:rsidRPr="009E6485" w:rsidRDefault="00D22903" w:rsidP="00DC1333">
            <w:pPr>
              <w:rPr>
                <w:color w:val="002060"/>
                <w:sz w:val="16"/>
                <w:szCs w:val="16"/>
              </w:rPr>
            </w:pPr>
          </w:p>
          <w:p w:rsidR="00D22903" w:rsidRPr="009E6485" w:rsidRDefault="00D22903" w:rsidP="00DC1333">
            <w:pPr>
              <w:rPr>
                <w:i/>
                <w:sz w:val="16"/>
                <w:szCs w:val="16"/>
                <w:lang w:bidi="th-TH"/>
              </w:rPr>
            </w:pPr>
            <w:r w:rsidRPr="009E6485">
              <w:rPr>
                <w:i/>
                <w:sz w:val="16"/>
                <w:szCs w:val="16"/>
                <w:lang w:bidi="th-TH"/>
              </w:rPr>
              <w:t>Referencia original en el</w:t>
            </w:r>
          </w:p>
          <w:p w:rsidR="00D22903" w:rsidRPr="009E6485" w:rsidRDefault="00D22903" w:rsidP="00DC1333">
            <w:pPr>
              <w:rPr>
                <w:sz w:val="16"/>
                <w:szCs w:val="16"/>
              </w:rPr>
            </w:pPr>
            <w:proofErr w:type="gramStart"/>
            <w:r w:rsidRPr="009E6485">
              <w:rPr>
                <w:i/>
                <w:sz w:val="16"/>
                <w:szCs w:val="16"/>
                <w:lang w:bidi="th-TH"/>
              </w:rPr>
              <w:t>presupuesto</w:t>
            </w:r>
            <w:proofErr w:type="gramEnd"/>
            <w:r w:rsidRPr="009E6485">
              <w:rPr>
                <w:i/>
                <w:sz w:val="16"/>
                <w:szCs w:val="16"/>
                <w:lang w:bidi="th-TH"/>
              </w:rPr>
              <w:t xml:space="preserve"> de 2014/15</w:t>
            </w:r>
            <w:r w:rsidRPr="009E6485">
              <w:rPr>
                <w:i/>
                <w:sz w:val="16"/>
                <w:szCs w:val="16"/>
              </w:rPr>
              <w:t xml:space="preserve">: </w:t>
            </w:r>
            <w:r>
              <w:rPr>
                <w:sz w:val="16"/>
                <w:szCs w:val="16"/>
              </w:rPr>
              <w:t xml:space="preserve">No </w:t>
            </w:r>
            <w:r w:rsidRPr="009E6485">
              <w:rPr>
                <w:sz w:val="16"/>
                <w:szCs w:val="16"/>
              </w:rPr>
              <w:t>disponible.</w:t>
            </w:r>
            <w:r w:rsidRPr="009E6485">
              <w:rPr>
                <w:sz w:val="16"/>
                <w:szCs w:val="16"/>
              </w:rPr>
              <w:br/>
            </w:r>
          </w:p>
        </w:tc>
        <w:tc>
          <w:tcPr>
            <w:tcW w:w="814" w:type="pct"/>
            <w:gridSpan w:val="2"/>
            <w:shd w:val="clear" w:color="auto" w:fill="auto"/>
            <w:tcMar>
              <w:top w:w="110" w:type="dxa"/>
            </w:tcMar>
          </w:tcPr>
          <w:p w:rsidR="00D22903" w:rsidRPr="009E6485" w:rsidRDefault="00D22903" w:rsidP="00DC1333">
            <w:pPr>
              <w:rPr>
                <w:i/>
                <w:sz w:val="16"/>
                <w:szCs w:val="16"/>
              </w:rPr>
            </w:pPr>
            <w:r w:rsidRPr="009E6485">
              <w:rPr>
                <w:sz w:val="16"/>
                <w:szCs w:val="16"/>
              </w:rPr>
              <w:t>75%</w:t>
            </w:r>
          </w:p>
        </w:tc>
        <w:tc>
          <w:tcPr>
            <w:tcW w:w="1183" w:type="pct"/>
            <w:gridSpan w:val="2"/>
            <w:shd w:val="clear" w:color="auto" w:fill="FFFFFF"/>
            <w:tcMar>
              <w:top w:w="110" w:type="dxa"/>
            </w:tcMar>
          </w:tcPr>
          <w:p w:rsidR="00D22903" w:rsidRPr="009E6485" w:rsidRDefault="00D22903" w:rsidP="00DC1333">
            <w:pPr>
              <w:rPr>
                <w:sz w:val="16"/>
                <w:szCs w:val="16"/>
              </w:rPr>
            </w:pPr>
            <w:r w:rsidRPr="009E6485">
              <w:rPr>
                <w:sz w:val="16"/>
                <w:szCs w:val="16"/>
              </w:rPr>
              <w:t>Este indicador se interrumpió debido a la reorganización de los servicios de información sobre patentes.</w:t>
            </w:r>
          </w:p>
        </w:tc>
        <w:tc>
          <w:tcPr>
            <w:tcW w:w="631" w:type="pct"/>
            <w:gridSpan w:val="2"/>
            <w:shd w:val="clear" w:color="auto" w:fill="auto"/>
            <w:tcMar>
              <w:top w:w="110" w:type="dxa"/>
            </w:tcMar>
          </w:tcPr>
          <w:p w:rsidR="00D22903" w:rsidRPr="00044DA1" w:rsidRDefault="00044DA1" w:rsidP="00044DA1">
            <w:pPr>
              <w:keepNext/>
              <w:keepLines/>
              <w:ind w:right="-108"/>
              <w:jc w:val="center"/>
              <w:rPr>
                <w:b/>
                <w:bCs/>
                <w:color w:val="0070C0"/>
                <w:sz w:val="14"/>
                <w:szCs w:val="14"/>
              </w:rPr>
            </w:pPr>
            <w:r w:rsidRPr="00044DA1">
              <w:rPr>
                <w:b/>
                <w:sz w:val="14"/>
                <w:szCs w:val="14"/>
              </w:rPr>
              <w:t>Discontinuado</w:t>
            </w:r>
          </w:p>
        </w:tc>
      </w:tr>
      <w:tr w:rsidR="00D22903" w:rsidRPr="009E6485" w:rsidTr="00044DA1">
        <w:trPr>
          <w:cantSplit/>
        </w:trPr>
        <w:tc>
          <w:tcPr>
            <w:tcW w:w="1111" w:type="pct"/>
            <w:shd w:val="clear" w:color="auto" w:fill="auto"/>
          </w:tcPr>
          <w:p w:rsidR="00D22903" w:rsidRPr="009E6485" w:rsidRDefault="00D22903" w:rsidP="00DC1333">
            <w:pPr>
              <w:rPr>
                <w:sz w:val="16"/>
                <w:szCs w:val="16"/>
              </w:rPr>
            </w:pPr>
            <w:r w:rsidRPr="009E6485">
              <w:rPr>
                <w:sz w:val="16"/>
                <w:szCs w:val="16"/>
              </w:rPr>
              <w:t>Porcentaje de usuarios satisfechos con los informes sobre la actividad de patentamiento</w:t>
            </w:r>
            <w:r w:rsidRPr="009E6485">
              <w:rPr>
                <w:color w:val="008000"/>
                <w:sz w:val="16"/>
                <w:szCs w:val="16"/>
              </w:rPr>
              <w:t>.</w:t>
            </w:r>
          </w:p>
        </w:tc>
        <w:tc>
          <w:tcPr>
            <w:tcW w:w="1261" w:type="pct"/>
            <w:gridSpan w:val="2"/>
            <w:shd w:val="clear" w:color="auto" w:fill="auto"/>
          </w:tcPr>
          <w:p w:rsidR="00D22903" w:rsidRPr="009E6485" w:rsidRDefault="00D22903" w:rsidP="00DC1333">
            <w:pPr>
              <w:rPr>
                <w:color w:val="002060"/>
                <w:sz w:val="16"/>
                <w:szCs w:val="16"/>
              </w:rPr>
            </w:pPr>
            <w:r w:rsidRPr="009E6485">
              <w:rPr>
                <w:i/>
                <w:color w:val="002060"/>
                <w:sz w:val="16"/>
                <w:szCs w:val="16"/>
              </w:rPr>
              <w:t>Referencia actualizada a fines de 2013</w:t>
            </w:r>
            <w:proofErr w:type="gramStart"/>
            <w:r w:rsidRPr="009E6485">
              <w:rPr>
                <w:color w:val="002060"/>
                <w:sz w:val="16"/>
                <w:szCs w:val="16"/>
              </w:rPr>
              <w:t>:  En</w:t>
            </w:r>
            <w:proofErr w:type="gramEnd"/>
            <w:r w:rsidRPr="009E6485">
              <w:rPr>
                <w:color w:val="002060"/>
                <w:sz w:val="16"/>
                <w:szCs w:val="16"/>
              </w:rPr>
              <w:t xml:space="preserve"> marzo de 2014 se realizó una encuesta de satisfacción sobre los informes PLR. </w:t>
            </w:r>
            <w:r>
              <w:rPr>
                <w:color w:val="002060"/>
                <w:sz w:val="16"/>
                <w:szCs w:val="16"/>
              </w:rPr>
              <w:t xml:space="preserve"> </w:t>
            </w:r>
            <w:r w:rsidRPr="009E6485">
              <w:rPr>
                <w:color w:val="002060"/>
                <w:sz w:val="16"/>
                <w:szCs w:val="16"/>
              </w:rPr>
              <w:t>Se recibieron 39 respuestas (3 usuarios de primer nivel; 36 usuarios de segundo nivel).  Los resultados indican que aproximadamente el 70% de los usuarios estaban satisfechos con la calidad de los informes</w:t>
            </w:r>
          </w:p>
          <w:p w:rsidR="00D22903" w:rsidRPr="009E6485" w:rsidRDefault="00D22903" w:rsidP="00DC1333">
            <w:pPr>
              <w:rPr>
                <w:color w:val="002060"/>
                <w:sz w:val="16"/>
                <w:szCs w:val="16"/>
              </w:rPr>
            </w:pPr>
          </w:p>
          <w:p w:rsidR="00D22903" w:rsidRPr="009E6485" w:rsidRDefault="00D22903" w:rsidP="00DC1333">
            <w:pPr>
              <w:rPr>
                <w:i/>
                <w:color w:val="002060"/>
                <w:sz w:val="16"/>
                <w:szCs w:val="16"/>
              </w:rPr>
            </w:pPr>
            <w:r w:rsidRPr="009E6485">
              <w:rPr>
                <w:i/>
                <w:color w:val="000000"/>
                <w:sz w:val="16"/>
                <w:szCs w:val="16"/>
                <w:lang w:bidi="th-TH"/>
              </w:rPr>
              <w:t>Referencia original en el presupuesto de 2014/15</w:t>
            </w:r>
            <w:proofErr w:type="gramStart"/>
            <w:r w:rsidRPr="009E6485">
              <w:rPr>
                <w:i/>
                <w:sz w:val="16"/>
                <w:szCs w:val="16"/>
              </w:rPr>
              <w:t>:</w:t>
            </w:r>
            <w:r w:rsidRPr="009E6485">
              <w:t xml:space="preserve">  </w:t>
            </w:r>
            <w:r>
              <w:rPr>
                <w:sz w:val="16"/>
                <w:szCs w:val="16"/>
              </w:rPr>
              <w:t>No</w:t>
            </w:r>
            <w:proofErr w:type="gramEnd"/>
            <w:r>
              <w:rPr>
                <w:sz w:val="16"/>
                <w:szCs w:val="16"/>
              </w:rPr>
              <w:t xml:space="preserve"> </w:t>
            </w:r>
            <w:r w:rsidRPr="009E6485">
              <w:rPr>
                <w:sz w:val="16"/>
                <w:szCs w:val="16"/>
              </w:rPr>
              <w:t>disponible.</w:t>
            </w:r>
          </w:p>
        </w:tc>
        <w:tc>
          <w:tcPr>
            <w:tcW w:w="814" w:type="pct"/>
            <w:gridSpan w:val="2"/>
            <w:shd w:val="clear" w:color="auto" w:fill="auto"/>
            <w:tcMar>
              <w:top w:w="110" w:type="dxa"/>
            </w:tcMar>
          </w:tcPr>
          <w:p w:rsidR="00D22903" w:rsidRPr="009E6485" w:rsidRDefault="00D22903" w:rsidP="00DC1333">
            <w:pPr>
              <w:rPr>
                <w:sz w:val="16"/>
                <w:szCs w:val="16"/>
              </w:rPr>
            </w:pPr>
            <w:r w:rsidRPr="009E6485">
              <w:rPr>
                <w:sz w:val="16"/>
                <w:szCs w:val="16"/>
              </w:rPr>
              <w:t>75%</w:t>
            </w:r>
          </w:p>
        </w:tc>
        <w:tc>
          <w:tcPr>
            <w:tcW w:w="1183" w:type="pct"/>
            <w:gridSpan w:val="2"/>
            <w:shd w:val="clear" w:color="auto" w:fill="FFFFFF"/>
            <w:tcMar>
              <w:top w:w="110" w:type="dxa"/>
            </w:tcMar>
          </w:tcPr>
          <w:p w:rsidR="00D22903" w:rsidRPr="009E6485" w:rsidRDefault="00D22903" w:rsidP="00DC1333">
            <w:pPr>
              <w:rPr>
                <w:sz w:val="16"/>
                <w:szCs w:val="16"/>
              </w:rPr>
            </w:pPr>
            <w:r w:rsidRPr="009E6485">
              <w:rPr>
                <w:sz w:val="16"/>
                <w:szCs w:val="16"/>
              </w:rPr>
              <w:t>En 2015 no se llevó a cabo ninguna encuesta comparable de seguimiento de la satisfacción.</w:t>
            </w:r>
          </w:p>
        </w:tc>
        <w:tc>
          <w:tcPr>
            <w:tcW w:w="631" w:type="pct"/>
            <w:gridSpan w:val="2"/>
            <w:shd w:val="clear" w:color="auto" w:fill="auto"/>
            <w:tcMar>
              <w:top w:w="110" w:type="dxa"/>
            </w:tcMar>
          </w:tcPr>
          <w:p w:rsidR="00D22903" w:rsidRPr="009E6485" w:rsidRDefault="00D22903" w:rsidP="00DC1333">
            <w:pPr>
              <w:keepNext/>
              <w:keepLines/>
              <w:jc w:val="center"/>
              <w:rPr>
                <w:bCs/>
                <w:color w:val="0070C0"/>
                <w:sz w:val="16"/>
                <w:szCs w:val="16"/>
              </w:rPr>
            </w:pPr>
            <w:r w:rsidRPr="009E6485">
              <w:rPr>
                <w:b/>
                <w:bCs/>
                <w:color w:val="808080"/>
                <w:sz w:val="16"/>
                <w:szCs w:val="16"/>
              </w:rPr>
              <w:t>No mensurable</w:t>
            </w:r>
          </w:p>
        </w:tc>
      </w:tr>
    </w:tbl>
    <w:p w:rsidR="00D22903" w:rsidRPr="001F740E" w:rsidRDefault="00D22903" w:rsidP="00D22903">
      <w:pPr>
        <w:jc w:val="both"/>
        <w:rPr>
          <w:sz w:val="20"/>
        </w:rPr>
      </w:pPr>
    </w:p>
    <w:p w:rsidR="001F740E" w:rsidRPr="001F740E" w:rsidRDefault="001F740E" w:rsidP="00D22903">
      <w:pPr>
        <w:jc w:val="both"/>
        <w:rPr>
          <w:sz w:val="20"/>
        </w:rPr>
      </w:pPr>
    </w:p>
    <w:p w:rsidR="00D22903" w:rsidRPr="001F740E" w:rsidRDefault="00D22903" w:rsidP="00D22903">
      <w:pPr>
        <w:rPr>
          <w:color w:val="000000"/>
          <w:sz w:val="20"/>
        </w:rPr>
      </w:pPr>
      <w:r w:rsidRPr="001F740E">
        <w:rPr>
          <w:color w:val="000000"/>
          <w:sz w:val="20"/>
        </w:rPr>
        <w:t>INFORMACIÓN SOBRE LOS RIESGOS PLANTEADOS EN EL BIENIO</w:t>
      </w:r>
    </w:p>
    <w:p w:rsidR="00D22903" w:rsidRPr="001F740E" w:rsidRDefault="00D22903" w:rsidP="00D22903">
      <w:pPr>
        <w:rPr>
          <w:sz w:val="20"/>
        </w:rPr>
      </w:pPr>
    </w:p>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835"/>
        <w:gridCol w:w="2552"/>
        <w:gridCol w:w="1984"/>
      </w:tblGrid>
      <w:tr w:rsidR="00D22903" w:rsidRPr="009E6485" w:rsidTr="00871CBF">
        <w:trPr>
          <w:trHeight w:val="380"/>
          <w:tblHeader/>
        </w:trPr>
        <w:tc>
          <w:tcPr>
            <w:tcW w:w="2268" w:type="dxa"/>
            <w:tcBorders>
              <w:top w:val="single" w:sz="4" w:space="0" w:color="auto"/>
              <w:bottom w:val="single" w:sz="4" w:space="0" w:color="auto"/>
            </w:tcBorders>
            <w:shd w:val="clear" w:color="auto" w:fill="C6D9F1" w:themeFill="text2" w:themeFillTint="33"/>
            <w:tcMar>
              <w:top w:w="113" w:type="dxa"/>
              <w:bottom w:w="113" w:type="dxa"/>
            </w:tcMar>
            <w:vAlign w:val="center"/>
          </w:tcPr>
          <w:p w:rsidR="00D22903" w:rsidRPr="009E6485" w:rsidRDefault="00D22903" w:rsidP="00DC1333">
            <w:pPr>
              <w:keepNext/>
              <w:keepLines/>
              <w:autoSpaceDE w:val="0"/>
              <w:autoSpaceDN w:val="0"/>
              <w:adjustRightInd w:val="0"/>
              <w:ind w:right="-59"/>
              <w:jc w:val="center"/>
              <w:rPr>
                <w:b/>
                <w:bCs/>
                <w:sz w:val="18"/>
                <w:szCs w:val="18"/>
              </w:rPr>
            </w:pPr>
            <w:r w:rsidRPr="009E6485">
              <w:rPr>
                <w:b/>
                <w:bCs/>
                <w:iCs/>
                <w:sz w:val="18"/>
                <w:szCs w:val="18"/>
              </w:rPr>
              <w:t>Riesgos en el logro de los resultados del programa</w:t>
            </w:r>
          </w:p>
        </w:tc>
        <w:tc>
          <w:tcPr>
            <w:tcW w:w="2835" w:type="dxa"/>
            <w:tcBorders>
              <w:top w:val="single" w:sz="4" w:space="0" w:color="auto"/>
              <w:bottom w:val="single" w:sz="4" w:space="0" w:color="auto"/>
            </w:tcBorders>
            <w:shd w:val="clear" w:color="auto" w:fill="C6D9F1" w:themeFill="text2" w:themeFillTint="33"/>
            <w:tcMar>
              <w:top w:w="113" w:type="dxa"/>
              <w:bottom w:w="113" w:type="dxa"/>
            </w:tcMar>
            <w:vAlign w:val="center"/>
          </w:tcPr>
          <w:p w:rsidR="00D22903" w:rsidRPr="009E6485" w:rsidRDefault="00D22903" w:rsidP="00DC1333">
            <w:pPr>
              <w:keepNext/>
              <w:keepLines/>
              <w:autoSpaceDE w:val="0"/>
              <w:autoSpaceDN w:val="0"/>
              <w:adjustRightInd w:val="0"/>
              <w:ind w:right="-59"/>
              <w:jc w:val="center"/>
              <w:rPr>
                <w:b/>
                <w:bCs/>
                <w:sz w:val="18"/>
                <w:szCs w:val="18"/>
              </w:rPr>
            </w:pPr>
            <w:r w:rsidRPr="009E6485">
              <w:rPr>
                <w:b/>
                <w:bCs/>
                <w:iCs/>
                <w:sz w:val="18"/>
                <w:szCs w:val="18"/>
              </w:rPr>
              <w:t>Planes de mitigación ejecutados o en ejecución</w:t>
            </w:r>
          </w:p>
        </w:tc>
        <w:tc>
          <w:tcPr>
            <w:tcW w:w="2552" w:type="dxa"/>
            <w:tcBorders>
              <w:top w:val="single" w:sz="4" w:space="0" w:color="auto"/>
              <w:bottom w:val="single" w:sz="4" w:space="0" w:color="auto"/>
            </w:tcBorders>
            <w:shd w:val="clear" w:color="auto" w:fill="C6D9F1" w:themeFill="text2" w:themeFillTint="33"/>
          </w:tcPr>
          <w:p w:rsidR="00D22903" w:rsidRPr="009E6485" w:rsidRDefault="00D22903" w:rsidP="00DC1333">
            <w:pPr>
              <w:keepNext/>
              <w:keepLines/>
              <w:jc w:val="center"/>
              <w:rPr>
                <w:b/>
                <w:bCs/>
                <w:sz w:val="18"/>
                <w:szCs w:val="18"/>
              </w:rPr>
            </w:pPr>
            <w:r w:rsidRPr="009E6485">
              <w:rPr>
                <w:b/>
                <w:bCs/>
                <w:iCs/>
                <w:sz w:val="18"/>
                <w:szCs w:val="18"/>
              </w:rPr>
              <w:t>Evolución de los riesgos y estrategias de mitigación durante el bienio</w:t>
            </w:r>
          </w:p>
        </w:tc>
        <w:tc>
          <w:tcPr>
            <w:tcW w:w="1984" w:type="dxa"/>
            <w:tcBorders>
              <w:top w:val="single" w:sz="4" w:space="0" w:color="auto"/>
              <w:bottom w:val="single" w:sz="4" w:space="0" w:color="auto"/>
            </w:tcBorders>
            <w:shd w:val="clear" w:color="auto" w:fill="C6D9F1" w:themeFill="text2" w:themeFillTint="33"/>
          </w:tcPr>
          <w:p w:rsidR="00D22903" w:rsidRPr="009E6485" w:rsidRDefault="00D22903" w:rsidP="00DC1333">
            <w:pPr>
              <w:keepNext/>
              <w:keepLines/>
              <w:jc w:val="center"/>
              <w:rPr>
                <w:b/>
                <w:bCs/>
                <w:sz w:val="18"/>
                <w:szCs w:val="18"/>
              </w:rPr>
            </w:pPr>
            <w:r w:rsidRPr="009E6485">
              <w:rPr>
                <w:b/>
                <w:bCs/>
                <w:sz w:val="18"/>
                <w:szCs w:val="18"/>
              </w:rPr>
              <w:t>Incidencia en el rendimiento del programa</w:t>
            </w:r>
          </w:p>
        </w:tc>
      </w:tr>
      <w:tr w:rsidR="00D22903" w:rsidRPr="009E6485" w:rsidTr="00871CBF">
        <w:trPr>
          <w:trHeight w:val="785"/>
        </w:trPr>
        <w:tc>
          <w:tcPr>
            <w:tcW w:w="2268" w:type="dxa"/>
            <w:tcBorders>
              <w:top w:val="single" w:sz="4" w:space="0" w:color="auto"/>
            </w:tcBorders>
            <w:shd w:val="clear" w:color="auto" w:fill="auto"/>
            <w:tcMar>
              <w:top w:w="113" w:type="dxa"/>
              <w:bottom w:w="113" w:type="dxa"/>
            </w:tcMar>
          </w:tcPr>
          <w:p w:rsidR="00D22903" w:rsidRPr="009E6485" w:rsidRDefault="00D22903" w:rsidP="00DC1333">
            <w:pPr>
              <w:rPr>
                <w:sz w:val="16"/>
                <w:szCs w:val="16"/>
              </w:rPr>
            </w:pPr>
            <w:r w:rsidRPr="009E6485">
              <w:rPr>
                <w:sz w:val="16"/>
                <w:szCs w:val="16"/>
              </w:rPr>
              <w:t>La incapacidad para mantener y continuar apoyando el funcionamiento autónomo de la red de CATI.  Esta incapacidad podría tener como consecuencia el cierre de ciertas redes de CATI, lo que privaría de acceso a servicios de información sobre tecnología a ciertos inversores, pymes y otras partes interesadas pertinentes</w:t>
            </w:r>
          </w:p>
        </w:tc>
        <w:tc>
          <w:tcPr>
            <w:tcW w:w="2835" w:type="dxa"/>
            <w:tcBorders>
              <w:top w:val="single" w:sz="4" w:space="0" w:color="auto"/>
            </w:tcBorders>
            <w:shd w:val="clear" w:color="auto" w:fill="auto"/>
            <w:tcMar>
              <w:top w:w="113" w:type="dxa"/>
              <w:bottom w:w="113" w:type="dxa"/>
            </w:tcMar>
          </w:tcPr>
          <w:p w:rsidR="00D22903" w:rsidRPr="009E6485" w:rsidRDefault="00D22903" w:rsidP="00DC1333">
            <w:pPr>
              <w:autoSpaceDE w:val="0"/>
              <w:autoSpaceDN w:val="0"/>
              <w:adjustRightInd w:val="0"/>
              <w:ind w:right="-59"/>
              <w:rPr>
                <w:sz w:val="16"/>
                <w:szCs w:val="16"/>
              </w:rPr>
            </w:pPr>
            <w:r w:rsidRPr="009E6485">
              <w:rPr>
                <w:sz w:val="16"/>
                <w:szCs w:val="16"/>
              </w:rPr>
              <w:t>Una mayor colaboración con los países en los que se han establecido CATI en lo relativo a la planificación y ejecución del proyecto de CATI</w:t>
            </w:r>
          </w:p>
          <w:p w:rsidR="00D22903" w:rsidRPr="009E6485" w:rsidRDefault="00D22903" w:rsidP="00DC1333">
            <w:pPr>
              <w:autoSpaceDE w:val="0"/>
              <w:autoSpaceDN w:val="0"/>
              <w:adjustRightInd w:val="0"/>
              <w:ind w:right="-59"/>
              <w:rPr>
                <w:sz w:val="16"/>
                <w:szCs w:val="16"/>
              </w:rPr>
            </w:pPr>
          </w:p>
        </w:tc>
        <w:tc>
          <w:tcPr>
            <w:tcW w:w="2552" w:type="dxa"/>
            <w:tcBorders>
              <w:top w:val="single" w:sz="4" w:space="0" w:color="auto"/>
            </w:tcBorders>
          </w:tcPr>
          <w:p w:rsidR="00D22903" w:rsidRPr="009E6485" w:rsidRDefault="00D22903" w:rsidP="00DC1333">
            <w:pPr>
              <w:autoSpaceDE w:val="0"/>
              <w:autoSpaceDN w:val="0"/>
              <w:adjustRightInd w:val="0"/>
              <w:ind w:right="-59"/>
              <w:rPr>
                <w:sz w:val="16"/>
                <w:szCs w:val="16"/>
              </w:rPr>
            </w:pPr>
            <w:r w:rsidRPr="009E6485">
              <w:rPr>
                <w:sz w:val="16"/>
                <w:szCs w:val="16"/>
              </w:rPr>
              <w:t>Los centros nacionales de coordinación y las instituciones anfitrionas desempeñaron una función cada vez más activa en la planificación y ejecución del proyecto de CATI, en lugar de confiar exclusivamente en el apoyo de la OMPI.</w:t>
            </w:r>
          </w:p>
        </w:tc>
        <w:tc>
          <w:tcPr>
            <w:tcW w:w="1984" w:type="dxa"/>
            <w:tcBorders>
              <w:top w:val="single" w:sz="4" w:space="0" w:color="auto"/>
            </w:tcBorders>
          </w:tcPr>
          <w:p w:rsidR="00D22903" w:rsidRPr="009E6485" w:rsidRDefault="00D22903" w:rsidP="00DC1333">
            <w:pPr>
              <w:autoSpaceDE w:val="0"/>
              <w:autoSpaceDN w:val="0"/>
              <w:adjustRightInd w:val="0"/>
              <w:ind w:right="-59"/>
              <w:rPr>
                <w:sz w:val="16"/>
                <w:szCs w:val="16"/>
              </w:rPr>
            </w:pPr>
            <w:r w:rsidRPr="009E6485">
              <w:rPr>
                <w:sz w:val="16"/>
                <w:szCs w:val="16"/>
                <w:lang w:eastAsia="en-GB"/>
              </w:rPr>
              <w:t>La estrategia de mitigación contribuyó a mejorar la coordinación con los países anfitriones, los centros nacionales de coordinación y las instituciones anfitrionas, aumentando así la sostenibilidad.</w:t>
            </w:r>
          </w:p>
        </w:tc>
      </w:tr>
      <w:tr w:rsidR="00D22903" w:rsidRPr="009E6485" w:rsidTr="00871CBF">
        <w:trPr>
          <w:trHeight w:val="781"/>
        </w:trPr>
        <w:tc>
          <w:tcPr>
            <w:tcW w:w="2268" w:type="dxa"/>
            <w:shd w:val="clear" w:color="auto" w:fill="auto"/>
            <w:tcMar>
              <w:top w:w="113" w:type="dxa"/>
              <w:bottom w:w="113" w:type="dxa"/>
            </w:tcMar>
          </w:tcPr>
          <w:p w:rsidR="00D22903" w:rsidRPr="009E6485" w:rsidRDefault="00D22903" w:rsidP="00DC1333">
            <w:pPr>
              <w:rPr>
                <w:sz w:val="16"/>
                <w:szCs w:val="16"/>
              </w:rPr>
            </w:pPr>
            <w:r w:rsidRPr="009E6485">
              <w:rPr>
                <w:sz w:val="16"/>
                <w:szCs w:val="16"/>
              </w:rPr>
              <w:t xml:space="preserve">La falta de utilización de los informes publicados sobre la actividad de patentamiento por el público al que están dirigidos (inventores, </w:t>
            </w:r>
            <w:r w:rsidRPr="009E6485">
              <w:rPr>
                <w:sz w:val="16"/>
                <w:szCs w:val="16"/>
              </w:rPr>
              <w:lastRenderedPageBreak/>
              <w:t>investigadores, el sector de la P.I., los círculos académicos y los encargados de la formulación de políticas y de la toma de decisiones en la esfera de la I+D).</w:t>
            </w:r>
          </w:p>
        </w:tc>
        <w:tc>
          <w:tcPr>
            <w:tcW w:w="2835" w:type="dxa"/>
            <w:shd w:val="clear" w:color="auto" w:fill="auto"/>
            <w:tcMar>
              <w:top w:w="113" w:type="dxa"/>
              <w:bottom w:w="113" w:type="dxa"/>
            </w:tcMar>
          </w:tcPr>
          <w:p w:rsidR="00D22903" w:rsidRPr="009E6485" w:rsidRDefault="00D22903" w:rsidP="00DC1333">
            <w:pPr>
              <w:autoSpaceDE w:val="0"/>
              <w:autoSpaceDN w:val="0"/>
              <w:adjustRightInd w:val="0"/>
              <w:ind w:right="-59"/>
              <w:rPr>
                <w:sz w:val="16"/>
                <w:szCs w:val="16"/>
              </w:rPr>
            </w:pPr>
            <w:r w:rsidRPr="009E6485">
              <w:rPr>
                <w:sz w:val="16"/>
                <w:szCs w:val="16"/>
              </w:rPr>
              <w:lastRenderedPageBreak/>
              <w:t xml:space="preserve">Una elección cuidadosa de los temas de los informes sobre la actividad de patentamiento y mejora de su difusión, así como una mejor coordinación con las partes </w:t>
            </w:r>
            <w:r w:rsidRPr="009E6485">
              <w:rPr>
                <w:sz w:val="16"/>
                <w:szCs w:val="16"/>
              </w:rPr>
              <w:lastRenderedPageBreak/>
              <w:t>interesadas a las que van dirigidos</w:t>
            </w:r>
          </w:p>
          <w:p w:rsidR="00D22903" w:rsidRPr="009E6485" w:rsidRDefault="00D22903" w:rsidP="00DC1333">
            <w:pPr>
              <w:autoSpaceDE w:val="0"/>
              <w:autoSpaceDN w:val="0"/>
              <w:adjustRightInd w:val="0"/>
              <w:ind w:right="-59"/>
              <w:rPr>
                <w:sz w:val="16"/>
                <w:szCs w:val="16"/>
              </w:rPr>
            </w:pPr>
          </w:p>
        </w:tc>
        <w:tc>
          <w:tcPr>
            <w:tcW w:w="2552" w:type="dxa"/>
          </w:tcPr>
          <w:p w:rsidR="00D22903" w:rsidRPr="009E6485" w:rsidRDefault="00D22903" w:rsidP="00DC1333">
            <w:pPr>
              <w:autoSpaceDE w:val="0"/>
              <w:autoSpaceDN w:val="0"/>
              <w:adjustRightInd w:val="0"/>
              <w:ind w:right="-59"/>
              <w:rPr>
                <w:sz w:val="16"/>
                <w:szCs w:val="16"/>
              </w:rPr>
            </w:pPr>
            <w:r w:rsidRPr="009E6485">
              <w:rPr>
                <w:sz w:val="16"/>
                <w:szCs w:val="16"/>
                <w:lang w:eastAsia="en-GB"/>
              </w:rPr>
              <w:lastRenderedPageBreak/>
              <w:t xml:space="preserve">El riesgo no se materializó, ya que, gracias a las estrategias específicas de mitigación, se consiguió reducir la probabilidad de que se produjera.  La mejora </w:t>
            </w:r>
            <w:r w:rsidRPr="009E6485">
              <w:rPr>
                <w:sz w:val="16"/>
                <w:szCs w:val="16"/>
                <w:lang w:eastAsia="en-GB"/>
              </w:rPr>
              <w:lastRenderedPageBreak/>
              <w:t xml:space="preserve">de las estrategias de difusión a través de las redes sociales, así como reuniones específicas </w:t>
            </w:r>
            <w:r>
              <w:rPr>
                <w:sz w:val="16"/>
                <w:szCs w:val="16"/>
                <w:lang w:eastAsia="en-GB"/>
              </w:rPr>
              <w:t>con</w:t>
            </w:r>
            <w:r w:rsidRPr="009E6485">
              <w:rPr>
                <w:sz w:val="16"/>
                <w:szCs w:val="16"/>
                <w:lang w:eastAsia="en-GB"/>
              </w:rPr>
              <w:t xml:space="preserve"> e</w:t>
            </w:r>
            <w:r>
              <w:rPr>
                <w:sz w:val="16"/>
                <w:szCs w:val="16"/>
                <w:lang w:eastAsia="en-GB"/>
              </w:rPr>
              <w:t>l público destinatario, permitieron</w:t>
            </w:r>
            <w:r w:rsidRPr="009E6485">
              <w:rPr>
                <w:sz w:val="16"/>
                <w:szCs w:val="16"/>
                <w:lang w:eastAsia="en-GB"/>
              </w:rPr>
              <w:t xml:space="preserve"> llegar a un público que normalmente no estaría al corriente de la labor que lleva a cabo la OMPI, con lo que aumentó el número de beneficiarios del informe</w:t>
            </w:r>
            <w:r>
              <w:rPr>
                <w:sz w:val="16"/>
                <w:szCs w:val="16"/>
                <w:lang w:eastAsia="en-GB"/>
              </w:rPr>
              <w:t>.</w:t>
            </w:r>
          </w:p>
        </w:tc>
        <w:tc>
          <w:tcPr>
            <w:tcW w:w="1984" w:type="dxa"/>
          </w:tcPr>
          <w:p w:rsidR="00D22903" w:rsidRPr="009E6485" w:rsidRDefault="00D22903" w:rsidP="00DC1333">
            <w:pPr>
              <w:autoSpaceDE w:val="0"/>
              <w:autoSpaceDN w:val="0"/>
              <w:adjustRightInd w:val="0"/>
              <w:ind w:right="-59"/>
              <w:rPr>
                <w:sz w:val="16"/>
                <w:szCs w:val="16"/>
              </w:rPr>
            </w:pPr>
            <w:r w:rsidRPr="009E6485">
              <w:rPr>
                <w:sz w:val="16"/>
                <w:szCs w:val="16"/>
                <w:lang w:eastAsia="en-GB"/>
              </w:rPr>
              <w:lastRenderedPageBreak/>
              <w:t xml:space="preserve">Las estrategias de mitigación contribuyeron a aumentar la sensibilización del público en relación con </w:t>
            </w:r>
            <w:r w:rsidRPr="009E6485">
              <w:rPr>
                <w:sz w:val="16"/>
                <w:szCs w:val="16"/>
                <w:lang w:eastAsia="en-GB"/>
              </w:rPr>
              <w:lastRenderedPageBreak/>
              <w:t>los informes PLR, el acceso a estos y su utilización.</w:t>
            </w:r>
          </w:p>
        </w:tc>
      </w:tr>
      <w:tr w:rsidR="00D22903" w:rsidRPr="009E6485" w:rsidTr="00871CBF">
        <w:trPr>
          <w:trHeight w:val="339"/>
        </w:trPr>
        <w:tc>
          <w:tcPr>
            <w:tcW w:w="2268" w:type="dxa"/>
            <w:shd w:val="clear" w:color="auto" w:fill="auto"/>
            <w:tcMar>
              <w:top w:w="113" w:type="dxa"/>
              <w:bottom w:w="113" w:type="dxa"/>
            </w:tcMar>
          </w:tcPr>
          <w:p w:rsidR="00D22903" w:rsidRPr="009E6485" w:rsidRDefault="00D22903" w:rsidP="00DC1333">
            <w:pPr>
              <w:rPr>
                <w:sz w:val="16"/>
                <w:szCs w:val="16"/>
              </w:rPr>
            </w:pPr>
            <w:r w:rsidRPr="009E6485">
              <w:rPr>
                <w:sz w:val="16"/>
                <w:szCs w:val="16"/>
              </w:rPr>
              <w:lastRenderedPageBreak/>
              <w:t>En la prestación de servicios de información sobre patentes puede producirse un desajuste entre la oferta y la demanda, sobre todo entre la calidad y la cantidad esperadas y efectivas de esos servicios, así como la rapidez con que se prestan cuando los recursos disponibles son escasos, y habida cuenta de que la participación de las oficinas que proporcionan esos servicios es voluntaria y gratuita.</w:t>
            </w:r>
          </w:p>
        </w:tc>
        <w:tc>
          <w:tcPr>
            <w:tcW w:w="2835" w:type="dxa"/>
            <w:shd w:val="clear" w:color="auto" w:fill="auto"/>
            <w:tcMar>
              <w:top w:w="113" w:type="dxa"/>
              <w:bottom w:w="113" w:type="dxa"/>
            </w:tcMar>
          </w:tcPr>
          <w:p w:rsidR="00D22903" w:rsidRPr="009E6485" w:rsidRDefault="00D22903" w:rsidP="00DC1333">
            <w:pPr>
              <w:autoSpaceDE w:val="0"/>
              <w:autoSpaceDN w:val="0"/>
              <w:adjustRightInd w:val="0"/>
              <w:ind w:right="-59"/>
              <w:rPr>
                <w:sz w:val="16"/>
                <w:szCs w:val="16"/>
              </w:rPr>
            </w:pPr>
            <w:r w:rsidRPr="009E6485">
              <w:rPr>
                <w:sz w:val="16"/>
                <w:szCs w:val="16"/>
              </w:rPr>
              <w:t>La OMPI mitigará los riesgos por medio de la supervisión de la puntualidad y la calidad de los servicios prestados por las oficinas participantes, la colaboración en la preparación de informes sobre análisis de la actividad de patentamiento con instituciones asociadas externas que han expresado un interés especial y han demostrado unas necesidades particulares, la petición y evaluación de comentarios de los usuarios de los servicios, el establecimiento de prioridades respecto de las peticiones en caso de que se reciba un volumen excesivo, y la promoción de los servicios si esa demanda fuera escasa.</w:t>
            </w:r>
          </w:p>
        </w:tc>
        <w:tc>
          <w:tcPr>
            <w:tcW w:w="2552" w:type="dxa"/>
          </w:tcPr>
          <w:p w:rsidR="00D22903" w:rsidRPr="009E6485" w:rsidRDefault="00D22903" w:rsidP="00DC1333">
            <w:pPr>
              <w:autoSpaceDE w:val="0"/>
              <w:autoSpaceDN w:val="0"/>
              <w:adjustRightInd w:val="0"/>
              <w:ind w:right="-59"/>
              <w:rPr>
                <w:sz w:val="16"/>
                <w:szCs w:val="16"/>
              </w:rPr>
            </w:pPr>
            <w:r w:rsidRPr="009E6485">
              <w:rPr>
                <w:sz w:val="16"/>
                <w:szCs w:val="16"/>
                <w:lang w:eastAsia="en-GB"/>
              </w:rPr>
              <w:t>El riesgo no se materializó gracias a las medidas de mitigación puestas en práctica por el programa.</w:t>
            </w:r>
          </w:p>
        </w:tc>
        <w:tc>
          <w:tcPr>
            <w:tcW w:w="1984" w:type="dxa"/>
          </w:tcPr>
          <w:p w:rsidR="00D22903" w:rsidRPr="009E6485" w:rsidRDefault="00D22903" w:rsidP="00DC1333">
            <w:pPr>
              <w:autoSpaceDE w:val="0"/>
              <w:autoSpaceDN w:val="0"/>
              <w:adjustRightInd w:val="0"/>
              <w:ind w:right="-59"/>
              <w:rPr>
                <w:sz w:val="16"/>
                <w:szCs w:val="16"/>
              </w:rPr>
            </w:pPr>
            <w:r w:rsidRPr="009E6485">
              <w:rPr>
                <w:sz w:val="16"/>
                <w:szCs w:val="16"/>
              </w:rPr>
              <w:t>No hubo incidencia sustancial alguna en el rendimiento del programa.</w:t>
            </w:r>
          </w:p>
        </w:tc>
      </w:tr>
    </w:tbl>
    <w:p w:rsidR="00D22903" w:rsidRPr="00871CBF" w:rsidRDefault="00D22903" w:rsidP="00D22903">
      <w:pPr>
        <w:rPr>
          <w:color w:val="000000"/>
          <w:sz w:val="20"/>
        </w:rPr>
      </w:pPr>
    </w:p>
    <w:p w:rsidR="00871CBF" w:rsidRPr="00871CBF" w:rsidRDefault="00871CBF" w:rsidP="00D22903">
      <w:pPr>
        <w:rPr>
          <w:color w:val="000000"/>
          <w:sz w:val="20"/>
        </w:rPr>
      </w:pPr>
    </w:p>
    <w:p w:rsidR="00D22903" w:rsidRPr="00871CBF" w:rsidRDefault="00D22903" w:rsidP="00D22903">
      <w:pPr>
        <w:jc w:val="both"/>
        <w:rPr>
          <w:b/>
          <w:sz w:val="20"/>
        </w:rPr>
      </w:pPr>
      <w:r w:rsidRPr="00871CBF">
        <w:rPr>
          <w:sz w:val="20"/>
        </w:rPr>
        <w:t>UTILIZACIÓN DE LOS RECURSOS</w:t>
      </w:r>
    </w:p>
    <w:p w:rsidR="00D22903" w:rsidRPr="00871CBF" w:rsidRDefault="00D22903" w:rsidP="00D22903">
      <w:pPr>
        <w:jc w:val="both"/>
        <w:rPr>
          <w:sz w:val="20"/>
        </w:rPr>
      </w:pPr>
    </w:p>
    <w:p w:rsidR="00D22903" w:rsidRPr="00871CBF" w:rsidRDefault="00D22903" w:rsidP="00D22903">
      <w:pPr>
        <w:pStyle w:val="NormalWeb"/>
        <w:spacing w:before="0" w:beforeAutospacing="0" w:after="0" w:afterAutospacing="0"/>
        <w:jc w:val="center"/>
        <w:rPr>
          <w:sz w:val="20"/>
          <w:szCs w:val="20"/>
          <w:lang w:val="es-ES"/>
        </w:rPr>
      </w:pPr>
      <w:r w:rsidRPr="00871CBF">
        <w:rPr>
          <w:sz w:val="20"/>
          <w:szCs w:val="20"/>
          <w:lang w:val="es-ES"/>
        </w:rPr>
        <w:t>Presupuesto y gastos reales (por resultado)</w:t>
      </w:r>
    </w:p>
    <w:p w:rsidR="00D22903" w:rsidRPr="00871CBF" w:rsidRDefault="00D22903" w:rsidP="00D22903">
      <w:pPr>
        <w:pStyle w:val="NormalWeb"/>
        <w:spacing w:before="0" w:beforeAutospacing="0" w:after="0" w:afterAutospacing="0"/>
        <w:jc w:val="center"/>
        <w:rPr>
          <w:i/>
          <w:iCs/>
          <w:sz w:val="20"/>
          <w:szCs w:val="20"/>
          <w:lang w:val="es-ES"/>
        </w:rPr>
      </w:pPr>
      <w:r w:rsidRPr="00871CBF">
        <w:rPr>
          <w:i/>
          <w:iCs/>
          <w:sz w:val="20"/>
          <w:szCs w:val="20"/>
          <w:lang w:val="es-ES"/>
        </w:rPr>
        <w:t>(</w:t>
      </w:r>
      <w:proofErr w:type="gramStart"/>
      <w:r w:rsidRPr="00871CBF">
        <w:rPr>
          <w:i/>
          <w:iCs/>
          <w:sz w:val="20"/>
          <w:szCs w:val="20"/>
          <w:lang w:val="es-ES"/>
        </w:rPr>
        <w:t>en</w:t>
      </w:r>
      <w:proofErr w:type="gramEnd"/>
      <w:r w:rsidRPr="00871CBF">
        <w:rPr>
          <w:i/>
          <w:iCs/>
          <w:sz w:val="20"/>
          <w:szCs w:val="20"/>
          <w:lang w:val="es-ES"/>
        </w:rPr>
        <w:t xml:space="preserve"> miles de francos suizos)</w:t>
      </w:r>
    </w:p>
    <w:p w:rsidR="00D22903" w:rsidRPr="00871CBF" w:rsidRDefault="00D22903" w:rsidP="00D22903">
      <w:pPr>
        <w:jc w:val="both"/>
        <w:rPr>
          <w:sz w:val="20"/>
        </w:rPr>
      </w:pPr>
    </w:p>
    <w:p w:rsidR="00D22903" w:rsidRPr="009E6485" w:rsidRDefault="00BE5A79" w:rsidP="00D22903">
      <w:pPr>
        <w:jc w:val="center"/>
      </w:pPr>
      <w:r>
        <w:rPr>
          <w:noProof/>
          <w:lang w:val="en-US" w:eastAsia="en-US"/>
        </w:rPr>
        <w:drawing>
          <wp:inline distT="0" distB="0" distL="0" distR="0" wp14:anchorId="7968A27A" wp14:editId="3E2E218D">
            <wp:extent cx="5676900" cy="1362075"/>
            <wp:effectExtent l="0" t="0" r="0" b="9525"/>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76900" cy="1362075"/>
                    </a:xfrm>
                    <a:prstGeom prst="rect">
                      <a:avLst/>
                    </a:prstGeom>
                    <a:noFill/>
                    <a:ln>
                      <a:noFill/>
                    </a:ln>
                  </pic:spPr>
                </pic:pic>
              </a:graphicData>
            </a:graphic>
          </wp:inline>
        </w:drawing>
      </w:r>
    </w:p>
    <w:p w:rsidR="00D22903" w:rsidRPr="009E6485" w:rsidRDefault="00D22903" w:rsidP="00D22903">
      <w:pPr>
        <w:jc w:val="both"/>
      </w:pPr>
    </w:p>
    <w:p w:rsidR="00D22903" w:rsidRPr="009E6485" w:rsidRDefault="00D22903" w:rsidP="00D22903">
      <w:pPr>
        <w:pStyle w:val="NormalWeb"/>
        <w:keepLines/>
        <w:spacing w:before="0" w:beforeAutospacing="0" w:after="0" w:afterAutospacing="0"/>
        <w:jc w:val="center"/>
        <w:rPr>
          <w:sz w:val="20"/>
          <w:szCs w:val="20"/>
          <w:lang w:val="es-ES"/>
        </w:rPr>
      </w:pPr>
      <w:r w:rsidRPr="009E6485">
        <w:rPr>
          <w:sz w:val="20"/>
          <w:szCs w:val="20"/>
          <w:lang w:val="es-ES"/>
        </w:rPr>
        <w:t>Presupuesto y gastos reales (de personal y no relativos a personal)</w:t>
      </w:r>
    </w:p>
    <w:p w:rsidR="00D22903" w:rsidRPr="009E6485" w:rsidRDefault="00D22903" w:rsidP="00D22903">
      <w:pPr>
        <w:pStyle w:val="NormalWeb"/>
        <w:keepLines/>
        <w:spacing w:before="0" w:beforeAutospacing="0" w:after="0" w:afterAutospacing="0"/>
        <w:jc w:val="center"/>
        <w:rPr>
          <w:i/>
          <w:iCs/>
          <w:sz w:val="20"/>
          <w:szCs w:val="20"/>
          <w:lang w:val="es-ES"/>
        </w:rPr>
      </w:pPr>
      <w:r w:rsidRPr="009E6485">
        <w:rPr>
          <w:i/>
          <w:iCs/>
          <w:sz w:val="20"/>
          <w:szCs w:val="20"/>
          <w:lang w:val="es-ES"/>
        </w:rPr>
        <w:t>(</w:t>
      </w:r>
      <w:proofErr w:type="gramStart"/>
      <w:r w:rsidRPr="009E6485">
        <w:rPr>
          <w:i/>
          <w:iCs/>
          <w:sz w:val="20"/>
          <w:szCs w:val="20"/>
          <w:lang w:val="es-ES"/>
        </w:rPr>
        <w:t>en</w:t>
      </w:r>
      <w:proofErr w:type="gramEnd"/>
      <w:r w:rsidRPr="009E6485">
        <w:rPr>
          <w:i/>
          <w:iCs/>
          <w:sz w:val="20"/>
          <w:szCs w:val="20"/>
          <w:lang w:val="es-ES"/>
        </w:rPr>
        <w:t xml:space="preserve"> miles de francos suizos)</w:t>
      </w:r>
    </w:p>
    <w:p w:rsidR="00D22903" w:rsidRPr="009E6485" w:rsidRDefault="00D22903" w:rsidP="00D22903">
      <w:pPr>
        <w:pStyle w:val="NormalWeb"/>
        <w:keepLines/>
        <w:spacing w:before="0" w:beforeAutospacing="0" w:after="0" w:afterAutospacing="0"/>
        <w:jc w:val="both"/>
        <w:rPr>
          <w:sz w:val="20"/>
          <w:szCs w:val="20"/>
          <w:lang w:val="es-ES"/>
        </w:rPr>
      </w:pPr>
    </w:p>
    <w:p w:rsidR="00D22903" w:rsidRPr="009E6485" w:rsidRDefault="00BE5A79" w:rsidP="00D22903">
      <w:pPr>
        <w:jc w:val="center"/>
      </w:pPr>
      <w:bookmarkStart w:id="132" w:name="Punto14"/>
      <w:r>
        <w:rPr>
          <w:noProof/>
          <w:lang w:val="en-US" w:eastAsia="en-US"/>
        </w:rPr>
        <w:drawing>
          <wp:inline distT="0" distB="0" distL="0" distR="0" wp14:anchorId="0AC9E209" wp14:editId="7DF13581">
            <wp:extent cx="5743575" cy="101157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40507" cy="1011035"/>
                    </a:xfrm>
                    <a:prstGeom prst="rect">
                      <a:avLst/>
                    </a:prstGeom>
                    <a:noFill/>
                    <a:ln>
                      <a:noFill/>
                    </a:ln>
                  </pic:spPr>
                </pic:pic>
              </a:graphicData>
            </a:graphic>
          </wp:inline>
        </w:drawing>
      </w:r>
      <w:bookmarkEnd w:id="132"/>
    </w:p>
    <w:p w:rsidR="00D22903" w:rsidRPr="009E6485" w:rsidRDefault="00D22903" w:rsidP="00D22903">
      <w:pPr>
        <w:widowControl w:val="0"/>
        <w:autoSpaceDE w:val="0"/>
        <w:autoSpaceDN w:val="0"/>
        <w:adjustRightInd w:val="0"/>
        <w:jc w:val="both"/>
        <w:rPr>
          <w:sz w:val="20"/>
        </w:rPr>
      </w:pPr>
    </w:p>
    <w:p w:rsidR="00D22903" w:rsidRPr="009E6485" w:rsidRDefault="00D22903" w:rsidP="000B53F0">
      <w:pPr>
        <w:keepNext/>
        <w:keepLines/>
        <w:tabs>
          <w:tab w:val="left" w:pos="709"/>
        </w:tabs>
        <w:jc w:val="both"/>
        <w:rPr>
          <w:sz w:val="20"/>
          <w:u w:val="single"/>
        </w:rPr>
      </w:pPr>
      <w:r w:rsidRPr="009E6485">
        <w:rPr>
          <w:sz w:val="20"/>
        </w:rPr>
        <w:lastRenderedPageBreak/>
        <w:t>A.</w:t>
      </w:r>
      <w:r w:rsidRPr="009E6485">
        <w:rPr>
          <w:sz w:val="20"/>
        </w:rPr>
        <w:tab/>
      </w:r>
      <w:r w:rsidRPr="009E6485">
        <w:rPr>
          <w:sz w:val="20"/>
          <w:u w:val="single"/>
        </w:rPr>
        <w:t>Presupuesto final de 2014/15 tras las transferencias</w:t>
      </w:r>
    </w:p>
    <w:p w:rsidR="00D22903" w:rsidRPr="009E6485" w:rsidRDefault="00D22903" w:rsidP="000B53F0">
      <w:pPr>
        <w:keepNext/>
        <w:keepLines/>
        <w:jc w:val="both"/>
        <w:rPr>
          <w:sz w:val="20"/>
          <w:u w:val="single"/>
        </w:rPr>
      </w:pPr>
    </w:p>
    <w:p w:rsidR="00D22903" w:rsidRPr="009E6485" w:rsidRDefault="00D22903" w:rsidP="000B53F0">
      <w:pPr>
        <w:pStyle w:val="ListParagraph"/>
        <w:keepNext/>
        <w:keepLines/>
        <w:numPr>
          <w:ilvl w:val="0"/>
          <w:numId w:val="75"/>
        </w:numPr>
        <w:tabs>
          <w:tab w:val="left" w:pos="0"/>
          <w:tab w:val="left" w:pos="709"/>
        </w:tabs>
        <w:ind w:left="0" w:firstLine="0"/>
        <w:jc w:val="both"/>
        <w:rPr>
          <w:rFonts w:cs="Arial"/>
          <w:lang w:val="es-ES"/>
        </w:rPr>
      </w:pPr>
      <w:r w:rsidRPr="009E6485">
        <w:rPr>
          <w:rFonts w:cs="Arial"/>
          <w:lang w:val="es-ES"/>
        </w:rPr>
        <w:t>La disminución general que se observa en el presupuesto final de 2014/15 tras las transferencias (recursos de personal) se debe fundamentalmente a dos circunstancias, a saber, la regularización de las funciones continuas y la reasignación de puestos para apoyar la labor de la Oficina de la OMPI en China (programa 20) y la relativa a Pymes y Capacidad Empresarial (programa 30).</w:t>
      </w:r>
    </w:p>
    <w:p w:rsidR="00D22903" w:rsidRPr="009E6485" w:rsidRDefault="00D22903" w:rsidP="000B53F0">
      <w:pPr>
        <w:keepNext/>
        <w:keepLines/>
        <w:autoSpaceDE w:val="0"/>
        <w:autoSpaceDN w:val="0"/>
        <w:jc w:val="both"/>
        <w:rPr>
          <w:sz w:val="20"/>
          <w:lang w:eastAsia="ko-KR"/>
        </w:rPr>
      </w:pPr>
    </w:p>
    <w:p w:rsidR="00D22903" w:rsidRPr="009E6485" w:rsidRDefault="00D22903" w:rsidP="000B53F0">
      <w:pPr>
        <w:pStyle w:val="ListParagraph"/>
        <w:keepNext/>
        <w:keepLines/>
        <w:numPr>
          <w:ilvl w:val="0"/>
          <w:numId w:val="75"/>
        </w:numPr>
        <w:tabs>
          <w:tab w:val="left" w:pos="0"/>
          <w:tab w:val="left" w:pos="709"/>
        </w:tabs>
        <w:ind w:left="0" w:firstLine="0"/>
        <w:jc w:val="both"/>
        <w:rPr>
          <w:rFonts w:cs="Arial"/>
          <w:lang w:val="es-ES"/>
        </w:rPr>
      </w:pPr>
      <w:r w:rsidRPr="009E6485">
        <w:rPr>
          <w:rFonts w:cs="Arial"/>
          <w:lang w:val="es-ES"/>
        </w:rPr>
        <w:t>La disminución de los recursos no relativos a personal es un reflejo fundamentalmente de la transferencia de recursos al programa 13 (Bases Mundiales de Datos) para incorporar a PATENTSCOPE funciones de búsqueda de productos químicos</w:t>
      </w:r>
      <w:r>
        <w:rPr>
          <w:rFonts w:cs="Arial"/>
          <w:lang w:val="es-ES"/>
        </w:rPr>
        <w:t>,</w:t>
      </w:r>
      <w:r w:rsidRPr="009E6485">
        <w:rPr>
          <w:rFonts w:cs="Arial"/>
          <w:lang w:val="es-ES"/>
        </w:rPr>
        <w:t xml:space="preserve"> y al programa 12 (Clasificaciones y Normas Técnicas) para financiar costos superiores a los previstos para el desarrollo y alojamiento de </w:t>
      </w:r>
      <w:r w:rsidRPr="009E6485">
        <w:rPr>
          <w:rFonts w:cs="Arial"/>
          <w:i/>
          <w:lang w:val="es-ES"/>
        </w:rPr>
        <w:t>software</w:t>
      </w:r>
      <w:r w:rsidRPr="009E6485">
        <w:rPr>
          <w:rFonts w:cs="Arial"/>
          <w:lang w:val="es-ES"/>
        </w:rPr>
        <w:t xml:space="preserve"> de reclasificación de la CIP.</w:t>
      </w:r>
    </w:p>
    <w:p w:rsidR="00D22903" w:rsidRPr="009E6485" w:rsidRDefault="00D22903" w:rsidP="00D22903">
      <w:pPr>
        <w:autoSpaceDE w:val="0"/>
        <w:autoSpaceDN w:val="0"/>
        <w:jc w:val="both"/>
        <w:rPr>
          <w:sz w:val="20"/>
          <w:lang w:eastAsia="ko-KR"/>
        </w:rPr>
      </w:pPr>
    </w:p>
    <w:p w:rsidR="00D22903" w:rsidRPr="009E6485" w:rsidRDefault="00D22903" w:rsidP="005A3674">
      <w:pPr>
        <w:keepNext/>
        <w:keepLines/>
        <w:tabs>
          <w:tab w:val="left" w:pos="709"/>
        </w:tabs>
        <w:jc w:val="both"/>
        <w:rPr>
          <w:sz w:val="20"/>
          <w:u w:val="single"/>
          <w:lang w:eastAsia="ko-KR"/>
        </w:rPr>
      </w:pPr>
      <w:r w:rsidRPr="009E6485">
        <w:rPr>
          <w:sz w:val="20"/>
          <w:lang w:eastAsia="ko-KR"/>
        </w:rPr>
        <w:t>B.</w:t>
      </w:r>
      <w:r w:rsidRPr="009E6485">
        <w:rPr>
          <w:sz w:val="20"/>
          <w:lang w:eastAsia="ko-KR"/>
        </w:rPr>
        <w:tab/>
      </w:r>
      <w:r w:rsidRPr="009E6485">
        <w:rPr>
          <w:sz w:val="20"/>
          <w:u w:val="single"/>
          <w:lang w:eastAsia="ko-KR"/>
        </w:rPr>
        <w:t>Utilización del presupuesto en 2014/15</w:t>
      </w:r>
    </w:p>
    <w:p w:rsidR="00D22903" w:rsidRPr="009E6485" w:rsidRDefault="00D22903" w:rsidP="00D22903">
      <w:pPr>
        <w:keepNext/>
        <w:keepLines/>
        <w:jc w:val="both"/>
        <w:rPr>
          <w:sz w:val="20"/>
          <w:u w:val="single"/>
          <w:lang w:eastAsia="ko-KR"/>
        </w:rPr>
      </w:pPr>
    </w:p>
    <w:p w:rsidR="00D22903" w:rsidRPr="00BF5A44" w:rsidRDefault="00D22903" w:rsidP="00D22903">
      <w:pPr>
        <w:pStyle w:val="ListParagraph"/>
        <w:numPr>
          <w:ilvl w:val="0"/>
          <w:numId w:val="75"/>
        </w:numPr>
        <w:tabs>
          <w:tab w:val="left" w:pos="0"/>
          <w:tab w:val="left" w:pos="709"/>
        </w:tabs>
        <w:ind w:left="0" w:firstLine="0"/>
        <w:jc w:val="both"/>
        <w:rPr>
          <w:lang w:val="es-ES"/>
        </w:rPr>
      </w:pPr>
      <w:r w:rsidRPr="009E6485">
        <w:rPr>
          <w:rFonts w:cs="Arial"/>
          <w:lang w:val="es-ES"/>
        </w:rPr>
        <w:t>La utilización del presupuesto se mantuvo dentro de los límites establecidos para el bienio.</w:t>
      </w:r>
    </w:p>
    <w:p w:rsidR="00BF5A44" w:rsidRPr="009E6485" w:rsidRDefault="00BF5A44" w:rsidP="00BF5A44">
      <w:pPr>
        <w:pStyle w:val="ListParagraph"/>
        <w:tabs>
          <w:tab w:val="left" w:pos="0"/>
          <w:tab w:val="left" w:pos="709"/>
        </w:tabs>
        <w:ind w:left="0"/>
        <w:jc w:val="both"/>
        <w:rPr>
          <w:lang w:val="es-ES"/>
        </w:rPr>
      </w:pPr>
    </w:p>
    <w:p w:rsidR="00FA2BC6" w:rsidRPr="00D22903" w:rsidRDefault="00FA2BC6">
      <w:pPr>
        <w:rPr>
          <w:b/>
          <w:bCs/>
          <w:iCs/>
          <w:caps/>
          <w:szCs w:val="22"/>
        </w:rPr>
      </w:pPr>
      <w:r w:rsidRPr="00D22903">
        <w:rPr>
          <w:b/>
          <w:szCs w:val="22"/>
        </w:rPr>
        <w:br w:type="page"/>
      </w:r>
    </w:p>
    <w:p w:rsidR="00FA2BC6" w:rsidRPr="00526311" w:rsidRDefault="00FA2BC6" w:rsidP="00DC1333">
      <w:pPr>
        <w:pStyle w:val="Heading2"/>
        <w:ind w:left="2410" w:hanging="2410"/>
        <w:jc w:val="both"/>
        <w:rPr>
          <w:b/>
          <w:szCs w:val="22"/>
        </w:rPr>
      </w:pPr>
      <w:bookmarkStart w:id="133" w:name="_Toc455159092"/>
      <w:r w:rsidRPr="00526311">
        <w:rPr>
          <w:b/>
          <w:szCs w:val="22"/>
        </w:rPr>
        <w:lastRenderedPageBreak/>
        <w:t>PROGRAMA 15</w:t>
      </w:r>
      <w:r w:rsidRPr="00526311">
        <w:rPr>
          <w:b/>
          <w:szCs w:val="22"/>
        </w:rPr>
        <w:tab/>
        <w:t>SOLUCIONES OPERATIVAS PARA LAS OFICINAS DE P.I.</w:t>
      </w:r>
      <w:bookmarkEnd w:id="129"/>
      <w:bookmarkEnd w:id="133"/>
    </w:p>
    <w:p w:rsidR="00FA2BC6" w:rsidRPr="00526311" w:rsidRDefault="00FA2BC6" w:rsidP="00DC1333">
      <w:pPr>
        <w:jc w:val="both"/>
        <w:rPr>
          <w:sz w:val="20"/>
        </w:rPr>
      </w:pPr>
    </w:p>
    <w:p w:rsidR="00FA2BC6" w:rsidRPr="00526311" w:rsidRDefault="00FA2BC6" w:rsidP="00DC1333">
      <w:pPr>
        <w:tabs>
          <w:tab w:val="left" w:pos="2410"/>
        </w:tabs>
        <w:jc w:val="both"/>
        <w:rPr>
          <w:b/>
          <w:sz w:val="20"/>
        </w:rPr>
      </w:pPr>
      <w:r w:rsidRPr="00526311">
        <w:rPr>
          <w:b/>
          <w:sz w:val="20"/>
        </w:rPr>
        <w:t>Director de programa</w:t>
      </w:r>
      <w:r w:rsidRPr="00526311">
        <w:rPr>
          <w:b/>
          <w:sz w:val="20"/>
        </w:rPr>
        <w:tab/>
        <w:t>Sr. Y.</w:t>
      </w:r>
      <w:r w:rsidRPr="00526311">
        <w:rPr>
          <w:sz w:val="20"/>
        </w:rPr>
        <w:t xml:space="preserve"> </w:t>
      </w:r>
      <w:r w:rsidRPr="00526311">
        <w:rPr>
          <w:b/>
          <w:sz w:val="20"/>
        </w:rPr>
        <w:t>Takagi</w:t>
      </w:r>
    </w:p>
    <w:p w:rsidR="00FA2BC6" w:rsidRPr="00526311" w:rsidRDefault="00FA2BC6" w:rsidP="00DC1333">
      <w:pPr>
        <w:jc w:val="both"/>
        <w:rPr>
          <w:sz w:val="20"/>
        </w:rPr>
      </w:pPr>
    </w:p>
    <w:p w:rsidR="00FA2BC6" w:rsidRPr="00526311" w:rsidRDefault="00FA2BC6" w:rsidP="00DC1333">
      <w:pPr>
        <w:jc w:val="both"/>
        <w:rPr>
          <w:sz w:val="20"/>
        </w:rPr>
      </w:pPr>
    </w:p>
    <w:p w:rsidR="00FA2BC6" w:rsidRPr="00526311" w:rsidRDefault="008F7CBE" w:rsidP="00DC1333">
      <w:pPr>
        <w:jc w:val="both"/>
        <w:rPr>
          <w:bCs/>
          <w:szCs w:val="22"/>
        </w:rPr>
      </w:pPr>
      <w:r w:rsidRPr="008F7CBE">
        <w:rPr>
          <w:bCs/>
          <w:sz w:val="20"/>
          <w:szCs w:val="22"/>
        </w:rPr>
        <w:t>LOGROS ALCANZADOS EN EL BIENIO 2014/15</w:t>
      </w:r>
    </w:p>
    <w:p w:rsidR="00FA2BC6" w:rsidRPr="00526311" w:rsidRDefault="00FA2BC6" w:rsidP="00DC1333">
      <w:pPr>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sidRPr="00526311">
        <w:rPr>
          <w:rFonts w:cs="Arial"/>
          <w:lang w:val="es-ES"/>
        </w:rPr>
        <w:t>A lo largo de</w:t>
      </w:r>
      <w:r>
        <w:rPr>
          <w:rFonts w:cs="Arial"/>
          <w:lang w:val="es-ES"/>
        </w:rPr>
        <w:t>l</w:t>
      </w:r>
      <w:r w:rsidRPr="00526311">
        <w:rPr>
          <w:rFonts w:cs="Arial"/>
          <w:lang w:val="es-ES"/>
        </w:rPr>
        <w:t xml:space="preserve"> </w:t>
      </w:r>
      <w:r>
        <w:rPr>
          <w:rFonts w:cs="Arial"/>
          <w:lang w:val="es-ES"/>
        </w:rPr>
        <w:t xml:space="preserve">bienio </w:t>
      </w:r>
      <w:r w:rsidRPr="00526311">
        <w:rPr>
          <w:rFonts w:cs="Arial"/>
          <w:lang w:val="es-ES"/>
        </w:rPr>
        <w:t>2014</w:t>
      </w:r>
      <w:r>
        <w:rPr>
          <w:rFonts w:cs="Arial"/>
          <w:lang w:val="es-ES"/>
        </w:rPr>
        <w:t>/15</w:t>
      </w:r>
      <w:r w:rsidRPr="00526311">
        <w:rPr>
          <w:rFonts w:cs="Arial"/>
          <w:lang w:val="es-ES"/>
        </w:rPr>
        <w:t xml:space="preserve"> s</w:t>
      </w:r>
      <w:r>
        <w:rPr>
          <w:rFonts w:cs="Arial"/>
          <w:lang w:val="es-ES"/>
        </w:rPr>
        <w:t>e produjo un aument</w:t>
      </w:r>
      <w:r w:rsidRPr="00526311">
        <w:rPr>
          <w:rFonts w:cs="Arial"/>
          <w:lang w:val="es-ES"/>
        </w:rPr>
        <w:t xml:space="preserve">o </w:t>
      </w:r>
      <w:r>
        <w:rPr>
          <w:rFonts w:cs="Arial"/>
          <w:lang w:val="es-ES"/>
        </w:rPr>
        <w:t xml:space="preserve">de </w:t>
      </w:r>
      <w:r w:rsidRPr="00526311">
        <w:rPr>
          <w:rFonts w:cs="Arial"/>
          <w:lang w:val="es-ES"/>
        </w:rPr>
        <w:t>la demanda de asistencia técnica por parte de las Oficinas de P.I., tanto en lo que respecta al número de oficinas que pid</w:t>
      </w:r>
      <w:r>
        <w:rPr>
          <w:rFonts w:cs="Arial"/>
          <w:lang w:val="es-ES"/>
        </w:rPr>
        <w:t>i</w:t>
      </w:r>
      <w:r w:rsidRPr="00526311">
        <w:rPr>
          <w:rFonts w:cs="Arial"/>
          <w:lang w:val="es-ES"/>
        </w:rPr>
        <w:t>e</w:t>
      </w:r>
      <w:r>
        <w:rPr>
          <w:rFonts w:cs="Arial"/>
          <w:lang w:val="es-ES"/>
        </w:rPr>
        <w:t>ro</w:t>
      </w:r>
      <w:r w:rsidRPr="00526311">
        <w:rPr>
          <w:rFonts w:cs="Arial"/>
          <w:lang w:val="es-ES"/>
        </w:rPr>
        <w:t>n asistencia técnica como al tipo de asistencia solicitada, en particular, en lo tocante a la gestión electrónica de documentos, la presentación de solicitudes por Internet y la publicación en Internet.</w:t>
      </w:r>
    </w:p>
    <w:p w:rsidR="00FA2BC6" w:rsidRPr="00526311" w:rsidRDefault="00FA2BC6" w:rsidP="00DC1333">
      <w:pPr>
        <w:tabs>
          <w:tab w:val="left" w:pos="709"/>
        </w:tabs>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Pr>
          <w:rFonts w:cs="Arial"/>
          <w:lang w:val="es-ES"/>
        </w:rPr>
        <w:t>Para dar respuesta a la demanda</w:t>
      </w:r>
      <w:r w:rsidRPr="00526311">
        <w:rPr>
          <w:rFonts w:cs="Arial"/>
          <w:lang w:val="es-ES"/>
        </w:rPr>
        <w:t xml:space="preserve"> la Oficina Internacional siguió elaborando instrumentos para dar apoyo a los procesos operacionales de las Oficinas de P.I., en particular, el Sistema de Automatización de la Propiedad Industrial (IPAS)</w:t>
      </w:r>
      <w:r>
        <w:rPr>
          <w:rFonts w:cs="Arial"/>
          <w:lang w:val="es-ES"/>
        </w:rPr>
        <w:t xml:space="preserve"> y los módulos de apoyo.</w:t>
      </w:r>
      <w:r w:rsidRPr="00526311">
        <w:rPr>
          <w:rFonts w:cs="Arial"/>
          <w:lang w:val="es-ES"/>
        </w:rPr>
        <w:t xml:space="preserve">  Entre las principales funciones </w:t>
      </w:r>
      <w:r>
        <w:rPr>
          <w:rFonts w:cs="Arial"/>
          <w:lang w:val="es-ES"/>
        </w:rPr>
        <w:t>empleadas durante el bienio</w:t>
      </w:r>
      <w:r w:rsidRPr="00526311">
        <w:rPr>
          <w:rFonts w:cs="Arial"/>
          <w:lang w:val="es-ES"/>
        </w:rPr>
        <w:t xml:space="preserve"> cabe citar un apoyo más sólido a la gestión electrónica de documentos y apoyo a las opera</w:t>
      </w:r>
      <w:r>
        <w:rPr>
          <w:rFonts w:cs="Arial"/>
          <w:lang w:val="es-ES"/>
        </w:rPr>
        <w:t>ciones bilingües, en particular</w:t>
      </w:r>
      <w:r w:rsidRPr="00526311">
        <w:rPr>
          <w:rFonts w:cs="Arial"/>
          <w:lang w:val="es-ES"/>
        </w:rPr>
        <w:t xml:space="preserve"> para las oficinas que trabajan en el idioma árabe.</w:t>
      </w:r>
    </w:p>
    <w:p w:rsidR="00FA2BC6" w:rsidRPr="00526311" w:rsidRDefault="00FA2BC6" w:rsidP="00DC1333">
      <w:pPr>
        <w:tabs>
          <w:tab w:val="left" w:pos="709"/>
        </w:tabs>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sidRPr="00526311">
        <w:rPr>
          <w:rFonts w:cs="Arial"/>
          <w:lang w:val="es-ES"/>
        </w:rPr>
        <w:t xml:space="preserve">Se </w:t>
      </w:r>
      <w:r>
        <w:rPr>
          <w:rFonts w:cs="Arial"/>
          <w:lang w:val="es-ES"/>
        </w:rPr>
        <w:t>desarrollaron</w:t>
      </w:r>
      <w:r w:rsidRPr="00526311">
        <w:rPr>
          <w:rFonts w:cs="Arial"/>
          <w:lang w:val="es-ES"/>
        </w:rPr>
        <w:t xml:space="preserve"> do</w:t>
      </w:r>
      <w:r>
        <w:rPr>
          <w:rFonts w:cs="Arial"/>
          <w:lang w:val="es-ES"/>
        </w:rPr>
        <w:t>s nuevos módulos que se</w:t>
      </w:r>
      <w:r w:rsidRPr="00526311">
        <w:rPr>
          <w:rFonts w:cs="Arial"/>
          <w:lang w:val="es-ES"/>
        </w:rPr>
        <w:t xml:space="preserve"> p</w:t>
      </w:r>
      <w:r>
        <w:rPr>
          <w:rFonts w:cs="Arial"/>
          <w:lang w:val="es-ES"/>
        </w:rPr>
        <w:t>usieron a prueba en diversas o</w:t>
      </w:r>
      <w:r w:rsidRPr="00526311">
        <w:rPr>
          <w:rFonts w:cs="Arial"/>
          <w:lang w:val="es-ES"/>
        </w:rPr>
        <w:t>ficinas de P.I.:</w:t>
      </w:r>
    </w:p>
    <w:p w:rsidR="00FA2BC6" w:rsidRPr="00526311" w:rsidRDefault="00FA2BC6" w:rsidP="00DC1333">
      <w:pPr>
        <w:jc w:val="both"/>
      </w:pPr>
    </w:p>
    <w:p w:rsidR="00FA2BC6" w:rsidRPr="00526311" w:rsidRDefault="00FA2BC6" w:rsidP="00FA2BC6">
      <w:pPr>
        <w:pStyle w:val="ListParagraph"/>
        <w:numPr>
          <w:ilvl w:val="0"/>
          <w:numId w:val="4"/>
        </w:numPr>
        <w:ind w:left="1134" w:hanging="425"/>
        <w:jc w:val="both"/>
        <w:rPr>
          <w:rFonts w:cs="Arial"/>
          <w:lang w:val="es-ES"/>
        </w:rPr>
      </w:pPr>
      <w:r w:rsidRPr="00526311">
        <w:rPr>
          <w:rFonts w:cs="Arial"/>
          <w:i/>
          <w:lang w:val="es-ES"/>
        </w:rPr>
        <w:t>WIPO Publish</w:t>
      </w:r>
      <w:r w:rsidRPr="00526311">
        <w:rPr>
          <w:rFonts w:cs="Arial"/>
          <w:lang w:val="es-ES"/>
        </w:rPr>
        <w:t xml:space="preserve"> fue diseñado para satisfacer las necesidades de las oficinas en lo que respecta a la publicación en Internet de datos de P.I., documentos, información sobre la situación jurídica y los expedientes, así como las necesidades de intercambio de datos (lo que incluye el intercambio de datos de las bases mundiales de datos de la OMPI). </w:t>
      </w:r>
      <w:r>
        <w:rPr>
          <w:rFonts w:cs="Arial"/>
          <w:lang w:val="es-ES"/>
        </w:rPr>
        <w:t xml:space="preserve"> Se puso en práctica en más de diez oficinas para utilización interna y en muchas otras para difundir información sobre la P.I.</w:t>
      </w:r>
    </w:p>
    <w:p w:rsidR="00FA2BC6" w:rsidRPr="00526311" w:rsidRDefault="00FA2BC6" w:rsidP="00DC1333">
      <w:pPr>
        <w:jc w:val="both"/>
      </w:pPr>
    </w:p>
    <w:p w:rsidR="00FA2BC6" w:rsidRPr="00526311" w:rsidRDefault="00FA2BC6" w:rsidP="00FA2BC6">
      <w:pPr>
        <w:pStyle w:val="ListParagraph"/>
        <w:numPr>
          <w:ilvl w:val="0"/>
          <w:numId w:val="4"/>
        </w:numPr>
        <w:ind w:left="1134" w:hanging="425"/>
        <w:jc w:val="both"/>
        <w:rPr>
          <w:rFonts w:cs="Arial"/>
          <w:lang w:val="es-ES"/>
        </w:rPr>
      </w:pPr>
      <w:r w:rsidRPr="00526311">
        <w:rPr>
          <w:rFonts w:cs="Arial"/>
          <w:i/>
          <w:lang w:val="es-ES"/>
        </w:rPr>
        <w:t>WIPO File</w:t>
      </w:r>
      <w:r w:rsidRPr="00526311">
        <w:rPr>
          <w:rFonts w:cs="Arial"/>
          <w:lang w:val="es-ES"/>
        </w:rPr>
        <w:t xml:space="preserve"> fue diseñado para facilitar una solución electrónica de presentación de solicitudes a las oficinas pequeñas y medianas, sin olvidar la flexibilidad para permitir una amplia adaptación a las condiciones locales (por ejemplo, a los sistemas de pago locales).</w:t>
      </w:r>
      <w:r>
        <w:rPr>
          <w:rFonts w:cs="Arial"/>
          <w:lang w:val="es-ES"/>
        </w:rPr>
        <w:t xml:space="preserve">  Se puso a prueba con éxito en una oficina de P.I., que lo está utilizando para la presentación de solicitudes por Internet.</w:t>
      </w:r>
    </w:p>
    <w:p w:rsidR="00FA2BC6" w:rsidRPr="00526311" w:rsidRDefault="00FA2BC6" w:rsidP="00DC1333">
      <w:pPr>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Pr>
          <w:rFonts w:cs="Arial"/>
          <w:lang w:val="es-ES"/>
        </w:rPr>
        <w:t>Durante el</w:t>
      </w:r>
      <w:r w:rsidRPr="00526311">
        <w:rPr>
          <w:rFonts w:cs="Arial"/>
          <w:lang w:val="es-ES"/>
        </w:rPr>
        <w:t xml:space="preserve"> </w:t>
      </w:r>
      <w:r>
        <w:rPr>
          <w:rFonts w:cs="Arial"/>
          <w:lang w:val="es-ES"/>
        </w:rPr>
        <w:t>bienio se aplicó,</w:t>
      </w:r>
      <w:r w:rsidRPr="00526311">
        <w:rPr>
          <w:rFonts w:cs="Arial"/>
          <w:lang w:val="es-ES"/>
        </w:rPr>
        <w:t xml:space="preserve"> en el marco del programa, una nueva estrategia</w:t>
      </w:r>
      <w:r>
        <w:rPr>
          <w:rFonts w:cs="Arial"/>
          <w:lang w:val="es-ES"/>
        </w:rPr>
        <w:t xml:space="preserve"> </w:t>
      </w:r>
      <w:r w:rsidRPr="00526311">
        <w:rPr>
          <w:rFonts w:cs="Arial"/>
          <w:lang w:val="es-ES"/>
        </w:rPr>
        <w:t xml:space="preserve">para fomentar los niveles de apoyo, la transferencia de </w:t>
      </w:r>
      <w:r>
        <w:rPr>
          <w:rFonts w:cs="Arial"/>
          <w:lang w:val="es-ES"/>
        </w:rPr>
        <w:t>conocimientos</w:t>
      </w:r>
      <w:r w:rsidRPr="00526311">
        <w:rPr>
          <w:rFonts w:cs="Arial"/>
          <w:lang w:val="es-ES"/>
        </w:rPr>
        <w:t xml:space="preserve"> y la formación.  Como parte de la estrategia se aplicó un nuevo modelo de apoyo, que presenta un servicio de asistencia para el IPAS (“</w:t>
      </w:r>
      <w:r w:rsidRPr="00526311">
        <w:rPr>
          <w:rFonts w:cs="Arial"/>
          <w:i/>
          <w:lang w:val="es-ES"/>
        </w:rPr>
        <w:t>IPAS Helpdesk</w:t>
      </w:r>
      <w:r w:rsidRPr="00526311">
        <w:rPr>
          <w:rFonts w:cs="Arial"/>
          <w:lang w:val="es-ES"/>
        </w:rPr>
        <w:t xml:space="preserve">”) </w:t>
      </w:r>
      <w:r>
        <w:rPr>
          <w:rFonts w:cs="Arial"/>
          <w:lang w:val="es-ES"/>
        </w:rPr>
        <w:t>dotado de recursos específicos para prestar apoyo a las oficinas de P.I. siguiendo los procedimientos estándar de la industria</w:t>
      </w:r>
      <w:r w:rsidRPr="00526311">
        <w:rPr>
          <w:rFonts w:cs="Arial"/>
          <w:lang w:val="es-ES"/>
        </w:rPr>
        <w:t xml:space="preserve">.  </w:t>
      </w:r>
      <w:r>
        <w:rPr>
          <w:rFonts w:cs="Arial"/>
          <w:lang w:val="es-ES"/>
        </w:rPr>
        <w:t>Se celebraron</w:t>
      </w:r>
      <w:r w:rsidRPr="00526311">
        <w:rPr>
          <w:rFonts w:cs="Arial"/>
          <w:lang w:val="es-ES"/>
        </w:rPr>
        <w:t xml:space="preserve"> </w:t>
      </w:r>
      <w:r>
        <w:rPr>
          <w:rFonts w:cs="Arial"/>
          <w:lang w:val="es-ES"/>
        </w:rPr>
        <w:t>ocho talleres de formación técnica en todas las regiones, al objeto de transferir conocimientos al personal de las oficinas de P.I. con la finalidad de mejorar su autonomía.  Igualmente, como parte de la nueva estrategia de apoyo, se recurrió a una pequeña cantidad de expertos formados de las oficinas de P.I. para prestar apoyo a otras oficinas de la misma región, aumentando así la cooperación y el apoyo entre las oficinas y potenciando aún más la autonomía de estas mediante el fortalecimiento de capacidades de los expertos.</w:t>
      </w:r>
    </w:p>
    <w:p w:rsidR="00FA2BC6" w:rsidRPr="00526311" w:rsidRDefault="00FA2BC6" w:rsidP="00DC1333">
      <w:pPr>
        <w:tabs>
          <w:tab w:val="left" w:pos="709"/>
        </w:tabs>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sidRPr="00526311">
        <w:rPr>
          <w:rFonts w:cs="Arial"/>
          <w:lang w:val="es-ES"/>
        </w:rPr>
        <w:t xml:space="preserve">Con la ayuda del Gobierno del Japón mediante </w:t>
      </w:r>
      <w:r>
        <w:rPr>
          <w:rFonts w:cs="Arial"/>
          <w:lang w:val="es-ES"/>
        </w:rPr>
        <w:t>los fondos en fideicomiso</w:t>
      </w:r>
      <w:r w:rsidRPr="00526311">
        <w:rPr>
          <w:rFonts w:cs="Arial"/>
          <w:lang w:val="es-ES"/>
        </w:rPr>
        <w:t xml:space="preserve">, en el marco del programa se impulsaron proyectos de digitalización en las Oficinas de P.I., </w:t>
      </w:r>
      <w:r>
        <w:rPr>
          <w:rFonts w:cs="Arial"/>
          <w:lang w:val="es-ES"/>
        </w:rPr>
        <w:t xml:space="preserve">entre ellos algunos en ejecución, </w:t>
      </w:r>
      <w:r w:rsidRPr="00526311">
        <w:rPr>
          <w:rFonts w:cs="Arial"/>
          <w:lang w:val="es-ES"/>
        </w:rPr>
        <w:t xml:space="preserve">en particular en África (ARIPO, Etiopía, </w:t>
      </w:r>
      <w:r>
        <w:rPr>
          <w:rFonts w:cs="Arial"/>
          <w:lang w:val="es-ES"/>
        </w:rPr>
        <w:t xml:space="preserve">Kenya, </w:t>
      </w:r>
      <w:r w:rsidRPr="00526311">
        <w:rPr>
          <w:rFonts w:cs="Arial"/>
          <w:lang w:val="es-ES"/>
        </w:rPr>
        <w:t>Nigeria, OAPI</w:t>
      </w:r>
      <w:r>
        <w:rPr>
          <w:rFonts w:cs="Arial"/>
          <w:lang w:val="es-ES"/>
        </w:rPr>
        <w:t>, Zimbabwe</w:t>
      </w:r>
      <w:r w:rsidRPr="00526311">
        <w:rPr>
          <w:rFonts w:cs="Arial"/>
          <w:lang w:val="es-ES"/>
        </w:rPr>
        <w:t>) y Asia y el Pacífico (Brunei Darussalam, Camboya</w:t>
      </w:r>
      <w:r>
        <w:rPr>
          <w:rFonts w:cs="Arial"/>
          <w:lang w:val="es-ES"/>
        </w:rPr>
        <w:t xml:space="preserve">, </w:t>
      </w:r>
      <w:r w:rsidRPr="00A0474A">
        <w:rPr>
          <w:rFonts w:cs="Arial"/>
          <w:bCs/>
          <w:lang w:val="es-ES"/>
        </w:rPr>
        <w:t>República Democrática Popular Lao</w:t>
      </w:r>
      <w:r w:rsidRPr="00526311">
        <w:rPr>
          <w:rFonts w:cs="Arial"/>
          <w:lang w:val="es-ES"/>
        </w:rPr>
        <w:t xml:space="preserve">).  </w:t>
      </w:r>
      <w:r>
        <w:rPr>
          <w:rFonts w:cs="Arial"/>
          <w:lang w:val="es-ES"/>
        </w:rPr>
        <w:t xml:space="preserve">Tanto en 2014 como en 2015 se organizaron talleres </w:t>
      </w:r>
      <w:r w:rsidRPr="00526311">
        <w:rPr>
          <w:rFonts w:cs="Arial"/>
          <w:lang w:val="es-ES"/>
        </w:rPr>
        <w:t xml:space="preserve">sobre requisitos técnicos para facilitar el programa de Cooperación para el Examen de Patentes de la ASEAN (ASPEC) y el portal de P.I. de la ASEAN.  </w:t>
      </w:r>
      <w:r>
        <w:rPr>
          <w:rFonts w:cs="Arial"/>
          <w:lang w:val="es-ES"/>
        </w:rPr>
        <w:t xml:space="preserve">Se logró avanzar de forma importante en la incorporación de nuevas oficinas proveedoras a </w:t>
      </w:r>
      <w:r w:rsidRPr="00526311">
        <w:rPr>
          <w:rFonts w:cs="Arial"/>
          <w:i/>
          <w:lang w:val="es-ES"/>
        </w:rPr>
        <w:t>WIPO CASE</w:t>
      </w:r>
      <w:r>
        <w:rPr>
          <w:rFonts w:cs="Arial"/>
          <w:lang w:val="es-ES"/>
        </w:rPr>
        <w:t xml:space="preserve"> con la finalidad de que al final del bienio hubiera diez oficinas proveedoras, entre ellas la Oficina Internacional (información del expediente del PCT) </w:t>
      </w:r>
      <w:r w:rsidRPr="007F7575">
        <w:rPr>
          <w:rFonts w:cs="Arial"/>
          <w:lang w:val="es-ES"/>
        </w:rPr>
        <w:t>y</w:t>
      </w:r>
      <w:r>
        <w:rPr>
          <w:rFonts w:cs="Arial"/>
          <w:lang w:val="es-ES"/>
        </w:rPr>
        <w:t xml:space="preserve"> las cuatro oficinas de patentes más importantes.</w:t>
      </w:r>
    </w:p>
    <w:p w:rsidR="00FA2BC6" w:rsidRPr="00526311" w:rsidRDefault="00FA2BC6" w:rsidP="00DC1333">
      <w:pPr>
        <w:jc w:val="both"/>
      </w:pPr>
    </w:p>
    <w:p w:rsidR="00FA2BC6" w:rsidRPr="00526311" w:rsidRDefault="00FA2BC6" w:rsidP="00FA2BC6">
      <w:pPr>
        <w:pStyle w:val="ListParagraph"/>
        <w:numPr>
          <w:ilvl w:val="0"/>
          <w:numId w:val="74"/>
        </w:numPr>
        <w:tabs>
          <w:tab w:val="left" w:pos="709"/>
        </w:tabs>
        <w:ind w:left="0" w:firstLine="0"/>
        <w:jc w:val="both"/>
        <w:rPr>
          <w:rFonts w:cs="Arial"/>
          <w:lang w:val="es-ES"/>
        </w:rPr>
      </w:pPr>
      <w:r w:rsidRPr="00526311">
        <w:rPr>
          <w:rFonts w:cs="Arial"/>
          <w:lang w:val="es-ES"/>
        </w:rPr>
        <w:t>En 2014 se puso en marcha el proyecto “Conexión de Derecho de Autor de la OMPI” (WCC) (que ha sustituido al proyecto WIPOCOS)</w:t>
      </w:r>
      <w:r>
        <w:rPr>
          <w:rFonts w:cs="Arial"/>
          <w:lang w:val="es-ES"/>
        </w:rPr>
        <w:t>,</w:t>
      </w:r>
      <w:r w:rsidRPr="00526311">
        <w:rPr>
          <w:rFonts w:cs="Arial"/>
          <w:lang w:val="es-ES"/>
        </w:rPr>
        <w:t xml:space="preserve"> a fin de disponer de un sistema interconectado para la gestión de los derechos de autor y derechos conexos.  </w:t>
      </w:r>
      <w:r>
        <w:rPr>
          <w:rFonts w:cs="Arial"/>
          <w:lang w:val="es-ES"/>
        </w:rPr>
        <w:t>U</w:t>
      </w:r>
      <w:r w:rsidRPr="00526311">
        <w:rPr>
          <w:rFonts w:cs="Arial"/>
          <w:lang w:val="es-ES"/>
        </w:rPr>
        <w:t xml:space="preserve">n grupo de expertos para el funcionamiento de la WCC constituido por representantes de organizaciones de gestión colectiva y otros </w:t>
      </w:r>
      <w:r>
        <w:rPr>
          <w:rFonts w:cs="Arial"/>
          <w:lang w:val="es-ES"/>
        </w:rPr>
        <w:t>a</w:t>
      </w:r>
      <w:r w:rsidRPr="00526311">
        <w:rPr>
          <w:rFonts w:cs="Arial"/>
          <w:lang w:val="es-ES"/>
        </w:rPr>
        <w:t>soci</w:t>
      </w:r>
      <w:r>
        <w:rPr>
          <w:rFonts w:cs="Arial"/>
          <w:lang w:val="es-ES"/>
        </w:rPr>
        <w:t>ad</w:t>
      </w:r>
      <w:r w:rsidRPr="00526311">
        <w:rPr>
          <w:rFonts w:cs="Arial"/>
          <w:lang w:val="es-ES"/>
        </w:rPr>
        <w:t>os (representantes de organizaciones internac</w:t>
      </w:r>
      <w:r>
        <w:rPr>
          <w:rFonts w:cs="Arial"/>
          <w:lang w:val="es-ES"/>
        </w:rPr>
        <w:t xml:space="preserve">ionales y empresas interesadas) que se prestaron </w:t>
      </w:r>
      <w:r w:rsidRPr="00526311">
        <w:rPr>
          <w:rFonts w:cs="Arial"/>
          <w:lang w:val="es-ES"/>
        </w:rPr>
        <w:t xml:space="preserve">voluntariamente, </w:t>
      </w:r>
      <w:r>
        <w:rPr>
          <w:rFonts w:cs="Arial"/>
          <w:lang w:val="es-ES"/>
        </w:rPr>
        <w:t>se encargó de</w:t>
      </w:r>
      <w:r w:rsidRPr="00526311">
        <w:rPr>
          <w:rFonts w:cs="Arial"/>
          <w:lang w:val="es-ES"/>
        </w:rPr>
        <w:t xml:space="preserve"> definir las necesidades operativas del sistema.  A finales de 2014 se contrató a un contratista </w:t>
      </w:r>
      <w:r w:rsidRPr="00526311">
        <w:rPr>
          <w:rFonts w:cs="Arial"/>
          <w:lang w:val="es-ES"/>
        </w:rPr>
        <w:lastRenderedPageBreak/>
        <w:t xml:space="preserve">externo y </w:t>
      </w:r>
      <w:r>
        <w:rPr>
          <w:rFonts w:cs="Arial"/>
          <w:lang w:val="es-ES"/>
        </w:rPr>
        <w:t>a mediados de 2015</w:t>
      </w:r>
      <w:r w:rsidRPr="00526311">
        <w:rPr>
          <w:rFonts w:cs="Arial"/>
          <w:lang w:val="es-ES"/>
        </w:rPr>
        <w:t xml:space="preserve"> </w:t>
      </w:r>
      <w:r>
        <w:rPr>
          <w:rFonts w:cs="Arial"/>
          <w:lang w:val="es-ES"/>
        </w:rPr>
        <w:t xml:space="preserve">se obtuvo </w:t>
      </w:r>
      <w:r w:rsidRPr="00526311">
        <w:rPr>
          <w:rFonts w:cs="Arial"/>
          <w:lang w:val="es-ES"/>
        </w:rPr>
        <w:t>una prueba de concepto técnica.  E</w:t>
      </w:r>
      <w:r>
        <w:rPr>
          <w:rFonts w:cs="Arial"/>
          <w:lang w:val="es-ES"/>
        </w:rPr>
        <w:t>l sistema se encontraba en su fase final de desarrollo a finales del bienio 2014/15 y se empezará a poner</w:t>
      </w:r>
      <w:r w:rsidRPr="00526311">
        <w:rPr>
          <w:rFonts w:cs="Arial"/>
          <w:lang w:val="es-ES"/>
        </w:rPr>
        <w:t xml:space="preserve"> en </w:t>
      </w:r>
      <w:r>
        <w:rPr>
          <w:rFonts w:cs="Arial"/>
          <w:lang w:val="es-ES"/>
        </w:rPr>
        <w:t>funcionamiento a partir de</w:t>
      </w:r>
      <w:r w:rsidRPr="00526311">
        <w:rPr>
          <w:rFonts w:cs="Arial"/>
          <w:lang w:val="es-ES"/>
        </w:rPr>
        <w:t xml:space="preserve"> 2016</w:t>
      </w:r>
      <w:r>
        <w:rPr>
          <w:rFonts w:cs="Arial"/>
          <w:lang w:val="es-ES"/>
        </w:rPr>
        <w:t xml:space="preserve"> </w:t>
      </w:r>
      <w:r w:rsidRPr="00526311">
        <w:rPr>
          <w:rFonts w:cs="Arial"/>
          <w:lang w:val="es-ES"/>
        </w:rPr>
        <w:t xml:space="preserve">en </w:t>
      </w:r>
      <w:r>
        <w:rPr>
          <w:rFonts w:cs="Arial"/>
          <w:lang w:val="es-ES"/>
        </w:rPr>
        <w:t xml:space="preserve">las organizaciones de gestión colectiva de </w:t>
      </w:r>
      <w:r w:rsidRPr="00526311">
        <w:rPr>
          <w:rFonts w:cs="Arial"/>
          <w:lang w:val="es-ES"/>
        </w:rPr>
        <w:t>los países en desarrollo y PMA.</w:t>
      </w:r>
    </w:p>
    <w:p w:rsidR="00FA2BC6" w:rsidRPr="00526311" w:rsidRDefault="00FA2BC6" w:rsidP="00DC1333">
      <w:pPr>
        <w:jc w:val="both"/>
      </w:pPr>
    </w:p>
    <w:p w:rsidR="00FA2BC6" w:rsidRPr="00EC7EEB" w:rsidRDefault="00FA2BC6" w:rsidP="00DC1333">
      <w:pPr>
        <w:keepNext/>
        <w:keepLines/>
        <w:rPr>
          <w:b/>
          <w:sz w:val="20"/>
        </w:rPr>
      </w:pPr>
      <w:r w:rsidRPr="00EC7EEB">
        <w:rPr>
          <w:b/>
          <w:sz w:val="20"/>
        </w:rPr>
        <w:t>Sistemas informáticos de las Oficinas de P.I.</w:t>
      </w:r>
    </w:p>
    <w:p w:rsidR="00FA2BC6" w:rsidRPr="00526311" w:rsidRDefault="00FA2BC6" w:rsidP="00DC1333">
      <w:pPr>
        <w:keepNext/>
        <w:keepLines/>
        <w:jc w:val="both"/>
        <w:rPr>
          <w:sz w:val="20"/>
        </w:rPr>
      </w:pPr>
    </w:p>
    <w:p w:rsidR="00FA2BC6" w:rsidRPr="00526311" w:rsidRDefault="00FA2BC6" w:rsidP="00FA2BC6">
      <w:pPr>
        <w:pStyle w:val="ListParagraph"/>
        <w:keepNext/>
        <w:keepLines/>
        <w:numPr>
          <w:ilvl w:val="0"/>
          <w:numId w:val="74"/>
        </w:numPr>
        <w:tabs>
          <w:tab w:val="left" w:pos="709"/>
        </w:tabs>
        <w:ind w:left="0" w:firstLine="0"/>
        <w:jc w:val="both"/>
        <w:rPr>
          <w:rFonts w:cs="Arial"/>
          <w:lang w:val="es-ES"/>
        </w:rPr>
      </w:pPr>
      <w:r w:rsidRPr="00526311">
        <w:rPr>
          <w:rFonts w:cs="Arial"/>
          <w:lang w:val="es-ES"/>
        </w:rPr>
        <w:t xml:space="preserve">En el siguiente gráfico se ofrece un panorama general del incremento constante en el uso de los sistemas de la OMPI para las Oficinas de P.I. en los últimos </w:t>
      </w:r>
      <w:r>
        <w:rPr>
          <w:rFonts w:cs="Arial"/>
          <w:lang w:val="es-ES"/>
        </w:rPr>
        <w:t>seis</w:t>
      </w:r>
      <w:r w:rsidRPr="00526311">
        <w:rPr>
          <w:rFonts w:cs="Arial"/>
          <w:lang w:val="es-ES"/>
        </w:rPr>
        <w:t xml:space="preserve"> años.  A finales de 201</w:t>
      </w:r>
      <w:r>
        <w:rPr>
          <w:rFonts w:cs="Arial"/>
          <w:lang w:val="es-ES"/>
        </w:rPr>
        <w:t>5</w:t>
      </w:r>
      <w:r w:rsidRPr="00526311">
        <w:rPr>
          <w:rFonts w:cs="Arial"/>
          <w:lang w:val="es-ES"/>
        </w:rPr>
        <w:t xml:space="preserve"> unas </w:t>
      </w:r>
      <w:r>
        <w:rPr>
          <w:rFonts w:cs="Arial"/>
          <w:lang w:val="es-ES"/>
        </w:rPr>
        <w:t>77</w:t>
      </w:r>
      <w:r w:rsidRPr="00526311">
        <w:rPr>
          <w:rFonts w:cs="Arial"/>
          <w:lang w:val="es-ES"/>
        </w:rPr>
        <w:t xml:space="preserve"> Oficinas de P.I. estaban utilizando los sistemas de la OMPI para las Oficinas de P.I. (que comprenden el sistema IPAS, el Sistema de Gestión de la Propiedad Industrial de la OMPI en Árabe (AIPMS), el EDMS, WIPOScan y el módulo Madrid de la OMPI).</w:t>
      </w:r>
      <w:r>
        <w:rPr>
          <w:rStyle w:val="FootnoteReference"/>
          <w:rFonts w:cs="Arial"/>
          <w:lang w:val="es-ES"/>
        </w:rPr>
        <w:footnoteReference w:id="92"/>
      </w:r>
    </w:p>
    <w:p w:rsidR="00FA2BC6" w:rsidRPr="00526311" w:rsidRDefault="00FA2BC6" w:rsidP="00DC1333">
      <w:pPr>
        <w:keepNext/>
        <w:keepLines/>
        <w:jc w:val="both"/>
      </w:pPr>
    </w:p>
    <w:p w:rsidR="00FA2BC6" w:rsidRPr="00526311" w:rsidRDefault="00FA2BC6" w:rsidP="00EF5483">
      <w:pPr>
        <w:autoSpaceDE w:val="0"/>
        <w:autoSpaceDN w:val="0"/>
        <w:adjustRightInd w:val="0"/>
        <w:jc w:val="center"/>
        <w:rPr>
          <w:sz w:val="20"/>
        </w:rPr>
      </w:pPr>
      <w:r w:rsidRPr="00652A54">
        <w:rPr>
          <w:noProof/>
          <w:lang w:val="en-US" w:eastAsia="en-US"/>
        </w:rPr>
        <w:drawing>
          <wp:inline distT="0" distB="0" distL="0" distR="0" wp14:anchorId="299E8595" wp14:editId="41777860">
            <wp:extent cx="5230869" cy="3476846"/>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235899" cy="3480189"/>
                    </a:xfrm>
                    <a:prstGeom prst="rect">
                      <a:avLst/>
                    </a:prstGeom>
                    <a:noFill/>
                    <a:ln>
                      <a:noFill/>
                    </a:ln>
                  </pic:spPr>
                </pic:pic>
              </a:graphicData>
            </a:graphic>
          </wp:inline>
        </w:drawing>
      </w:r>
    </w:p>
    <w:p w:rsidR="00FA2BC6" w:rsidRDefault="00FA2BC6" w:rsidP="00DC1333">
      <w:pPr>
        <w:keepNext/>
        <w:keepLines/>
        <w:rPr>
          <w:sz w:val="20"/>
        </w:rPr>
      </w:pPr>
    </w:p>
    <w:p w:rsidR="00FA2BC6" w:rsidRDefault="00FA2BC6" w:rsidP="00DC1333">
      <w:pPr>
        <w:keepNext/>
        <w:keepLines/>
        <w:rPr>
          <w:sz w:val="20"/>
        </w:rPr>
      </w:pPr>
    </w:p>
    <w:p w:rsidR="00FA2BC6" w:rsidRPr="00A717BE" w:rsidRDefault="00FA2BC6" w:rsidP="00DC1333">
      <w:pPr>
        <w:keepNext/>
        <w:keepLines/>
        <w:rPr>
          <w:b/>
          <w:sz w:val="20"/>
        </w:rPr>
      </w:pPr>
      <w:r w:rsidRPr="00A717BE">
        <w:rPr>
          <w:b/>
          <w:sz w:val="20"/>
        </w:rPr>
        <w:t>Plataformas de intercambio de recursos</w:t>
      </w:r>
    </w:p>
    <w:p w:rsidR="00FA2BC6" w:rsidRPr="00526311" w:rsidRDefault="00FA2BC6" w:rsidP="00DC1333">
      <w:pPr>
        <w:jc w:val="both"/>
        <w:rPr>
          <w:sz w:val="20"/>
        </w:rPr>
      </w:pPr>
    </w:p>
    <w:tbl>
      <w:tblPr>
        <w:tblW w:w="0" w:type="auto"/>
        <w:tblLook w:val="01E0" w:firstRow="1" w:lastRow="1" w:firstColumn="1" w:lastColumn="1" w:noHBand="0" w:noVBand="0"/>
      </w:tblPr>
      <w:tblGrid>
        <w:gridCol w:w="1951"/>
        <w:gridCol w:w="7371"/>
      </w:tblGrid>
      <w:tr w:rsidR="00FA2BC6" w:rsidRPr="00526311" w:rsidTr="00DC1333">
        <w:tc>
          <w:tcPr>
            <w:tcW w:w="1951" w:type="dxa"/>
            <w:shd w:val="clear" w:color="auto" w:fill="auto"/>
          </w:tcPr>
          <w:p w:rsidR="00FA2BC6" w:rsidRPr="00526311" w:rsidRDefault="00FA2BC6" w:rsidP="00DC1333">
            <w:pPr>
              <w:tabs>
                <w:tab w:val="center" w:pos="4320"/>
                <w:tab w:val="right" w:pos="8640"/>
              </w:tabs>
              <w:jc w:val="both"/>
              <w:rPr>
                <w:i/>
                <w:sz w:val="20"/>
              </w:rPr>
            </w:pPr>
            <w:r w:rsidRPr="00526311">
              <w:rPr>
                <w:i/>
                <w:sz w:val="20"/>
              </w:rPr>
              <w:t xml:space="preserve">WIPO DAS </w:t>
            </w:r>
          </w:p>
        </w:tc>
        <w:tc>
          <w:tcPr>
            <w:tcW w:w="7371" w:type="dxa"/>
            <w:shd w:val="clear" w:color="auto" w:fill="auto"/>
          </w:tcPr>
          <w:p w:rsidR="00FA2BC6" w:rsidRPr="00526311" w:rsidRDefault="00FA2BC6" w:rsidP="00DC1333">
            <w:pPr>
              <w:shd w:val="clear" w:color="auto" w:fill="FFFFFF"/>
              <w:jc w:val="both"/>
              <w:rPr>
                <w:sz w:val="20"/>
              </w:rPr>
            </w:pPr>
            <w:r w:rsidRPr="00526311">
              <w:rPr>
                <w:sz w:val="20"/>
              </w:rPr>
              <w:t xml:space="preserve">Sobre la base de un proceso de especificación y examen realizado con las Oficinas participantes, se publicó una nueva versión del portal del servicio de acceso digital (DAS) que fortalece el marco revisado de DAS 2.0.  </w:t>
            </w:r>
            <w:r>
              <w:rPr>
                <w:sz w:val="20"/>
              </w:rPr>
              <w:t>El número de o</w:t>
            </w:r>
            <w:r w:rsidRPr="00526311">
              <w:rPr>
                <w:sz w:val="20"/>
              </w:rPr>
              <w:t xml:space="preserve">ficinas participantes </w:t>
            </w:r>
            <w:r>
              <w:rPr>
                <w:sz w:val="20"/>
              </w:rPr>
              <w:t>se mantuvo</w:t>
            </w:r>
            <w:r w:rsidRPr="00526311">
              <w:rPr>
                <w:sz w:val="20"/>
              </w:rPr>
              <w:t xml:space="preserve"> en 11.</w:t>
            </w:r>
          </w:p>
          <w:p w:rsidR="00FA2BC6" w:rsidRPr="00526311" w:rsidRDefault="00FA2BC6" w:rsidP="00DC1333">
            <w:pPr>
              <w:tabs>
                <w:tab w:val="center" w:pos="4320"/>
                <w:tab w:val="right" w:pos="8640"/>
              </w:tabs>
              <w:jc w:val="both"/>
              <w:rPr>
                <w:sz w:val="20"/>
              </w:rPr>
            </w:pPr>
          </w:p>
        </w:tc>
      </w:tr>
      <w:tr w:rsidR="00FA2BC6" w:rsidRPr="00526311" w:rsidTr="00DC1333">
        <w:tc>
          <w:tcPr>
            <w:tcW w:w="1951" w:type="dxa"/>
            <w:shd w:val="clear" w:color="auto" w:fill="auto"/>
          </w:tcPr>
          <w:p w:rsidR="00FA2BC6" w:rsidRPr="00526311" w:rsidRDefault="00FA2BC6" w:rsidP="00DC1333">
            <w:pPr>
              <w:tabs>
                <w:tab w:val="center" w:pos="4320"/>
                <w:tab w:val="right" w:pos="8640"/>
              </w:tabs>
              <w:jc w:val="both"/>
              <w:rPr>
                <w:i/>
                <w:sz w:val="20"/>
              </w:rPr>
            </w:pPr>
            <w:r w:rsidRPr="00526311">
              <w:rPr>
                <w:i/>
                <w:sz w:val="20"/>
              </w:rPr>
              <w:t>WIPO CASE</w:t>
            </w:r>
          </w:p>
        </w:tc>
        <w:tc>
          <w:tcPr>
            <w:tcW w:w="7371" w:type="dxa"/>
            <w:shd w:val="clear" w:color="auto" w:fill="auto"/>
          </w:tcPr>
          <w:p w:rsidR="00FA2BC6" w:rsidRPr="00526311" w:rsidRDefault="00FA2BC6" w:rsidP="00DC1333">
            <w:pPr>
              <w:tabs>
                <w:tab w:val="center" w:pos="4320"/>
                <w:tab w:val="right" w:pos="8640"/>
              </w:tabs>
              <w:jc w:val="both"/>
              <w:rPr>
                <w:sz w:val="20"/>
              </w:rPr>
            </w:pPr>
            <w:r w:rsidRPr="00526311">
              <w:rPr>
                <w:sz w:val="20"/>
              </w:rPr>
              <w:t xml:space="preserve">En abril de 2014, el acceso centralizado a documentos de búsqueda y examen de la OMPI (CASE) se vinculó con la plataforma </w:t>
            </w:r>
            <w:r w:rsidRPr="00526311">
              <w:rPr>
                <w:i/>
                <w:sz w:val="20"/>
              </w:rPr>
              <w:t>One Portal Dossier</w:t>
            </w:r>
            <w:r w:rsidRPr="00526311">
              <w:rPr>
                <w:sz w:val="20"/>
              </w:rPr>
              <w:t xml:space="preserve"> de la Cooperación Pentalateral (IP5), que permite el intercambio recíproco de información sobre expedientes entre el sistema CASE y las Oficinas de la Cooperación Pentalateral.  </w:t>
            </w:r>
            <w:r>
              <w:rPr>
                <w:sz w:val="20"/>
              </w:rPr>
              <w:t>Durante el bienio se inscribieron varias oficinas nuevas</w:t>
            </w:r>
            <w:r w:rsidRPr="00526311">
              <w:rPr>
                <w:sz w:val="20"/>
              </w:rPr>
              <w:t xml:space="preserve"> para utilizar </w:t>
            </w:r>
            <w:r w:rsidRPr="00526311">
              <w:rPr>
                <w:i/>
                <w:sz w:val="20"/>
              </w:rPr>
              <w:t>WIPO CASE</w:t>
            </w:r>
            <w:r w:rsidRPr="00526311">
              <w:rPr>
                <w:sz w:val="20"/>
              </w:rPr>
              <w:t>, lo que eleva el número total de oficinas p</w:t>
            </w:r>
            <w:r>
              <w:rPr>
                <w:sz w:val="20"/>
              </w:rPr>
              <w:t>articipantes en el proyecto a 21, de las que 10 se han mostrado de acuerdo con proporcionar la información contenida en sus expedientes a otras.</w:t>
            </w:r>
          </w:p>
        </w:tc>
      </w:tr>
    </w:tbl>
    <w:p w:rsidR="00FA2BC6" w:rsidRPr="00526311" w:rsidRDefault="00FA2BC6" w:rsidP="00DC1333">
      <w:pPr>
        <w:jc w:val="both"/>
        <w:rPr>
          <w:bCs/>
          <w:sz w:val="20"/>
        </w:rPr>
      </w:pPr>
    </w:p>
    <w:p w:rsidR="00FA2BC6" w:rsidRPr="00526311" w:rsidRDefault="00FA2BC6" w:rsidP="00FA2BC6">
      <w:pPr>
        <w:pStyle w:val="ListParagraph"/>
        <w:numPr>
          <w:ilvl w:val="0"/>
          <w:numId w:val="74"/>
        </w:numPr>
        <w:tabs>
          <w:tab w:val="left" w:pos="709"/>
        </w:tabs>
        <w:ind w:left="0" w:firstLine="0"/>
        <w:jc w:val="both"/>
        <w:rPr>
          <w:rFonts w:cs="Arial"/>
          <w:bCs/>
          <w:lang w:val="es-ES"/>
        </w:rPr>
      </w:pPr>
      <w:r w:rsidRPr="00526311">
        <w:rPr>
          <w:rFonts w:cs="Arial"/>
          <w:bCs/>
          <w:lang w:val="es-ES"/>
        </w:rPr>
        <w:t>En el diseño, la planificación y el desarrollo de las actividades emprendidas por el programa 15 se tuvieron en cuenta las recomendaciones pertinentes de la Agenda para el Desarrollo, en particular las recomendaciones 1, 2 y 10.</w:t>
      </w:r>
    </w:p>
    <w:p w:rsidR="00FA2BC6" w:rsidRPr="00526311" w:rsidRDefault="00FA2BC6" w:rsidP="00DC1333">
      <w:pPr>
        <w:tabs>
          <w:tab w:val="left" w:pos="709"/>
        </w:tabs>
        <w:jc w:val="both"/>
        <w:rPr>
          <w:bCs/>
          <w:sz w:val="20"/>
        </w:rPr>
      </w:pPr>
    </w:p>
    <w:p w:rsidR="00FA2BC6" w:rsidRPr="00526311" w:rsidRDefault="00FA2BC6" w:rsidP="00DC1333">
      <w:pPr>
        <w:rPr>
          <w:szCs w:val="22"/>
        </w:rPr>
      </w:pPr>
    </w:p>
    <w:p w:rsidR="00FA2BC6" w:rsidRPr="00526311" w:rsidRDefault="008F7CBE" w:rsidP="00DC1333">
      <w:pPr>
        <w:keepNext/>
        <w:rPr>
          <w:szCs w:val="22"/>
        </w:rPr>
      </w:pPr>
      <w:r w:rsidRPr="008F7CBE">
        <w:rPr>
          <w:sz w:val="20"/>
          <w:szCs w:val="22"/>
        </w:rPr>
        <w:t>DATOS SOBRE EL RENDIMIENTO</w:t>
      </w:r>
    </w:p>
    <w:p w:rsidR="00FA2BC6" w:rsidRPr="00526311" w:rsidRDefault="00FA2BC6" w:rsidP="00DC1333">
      <w:pPr>
        <w:keepNext/>
        <w:tabs>
          <w:tab w:val="left" w:pos="709"/>
        </w:tabs>
        <w:jc w:val="both"/>
        <w:rPr>
          <w:bCs/>
        </w:rPr>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409"/>
        <w:gridCol w:w="1276"/>
        <w:gridCol w:w="2411"/>
        <w:gridCol w:w="1128"/>
      </w:tblGrid>
      <w:tr w:rsidR="00FA2BC6" w:rsidRPr="00526311" w:rsidTr="00DC1333">
        <w:tc>
          <w:tcPr>
            <w:tcW w:w="5000" w:type="pct"/>
            <w:gridSpan w:val="5"/>
            <w:tcBorders>
              <w:top w:val="single" w:sz="4" w:space="0" w:color="auto"/>
              <w:bottom w:val="single" w:sz="4" w:space="0" w:color="auto"/>
            </w:tcBorders>
            <w:shd w:val="clear" w:color="auto" w:fill="C6D9F1" w:themeFill="text2" w:themeFillTint="33"/>
            <w:vAlign w:val="center"/>
          </w:tcPr>
          <w:p w:rsidR="00FA2BC6" w:rsidRPr="00526311" w:rsidRDefault="00FA2BC6" w:rsidP="00DC1333">
            <w:pPr>
              <w:keepNext/>
              <w:keepLines/>
              <w:spacing w:before="120" w:after="120"/>
              <w:ind w:left="2019" w:hanging="2019"/>
              <w:rPr>
                <w:b/>
                <w:bCs/>
                <w:sz w:val="16"/>
                <w:szCs w:val="16"/>
              </w:rPr>
            </w:pPr>
            <w:r w:rsidRPr="00526311">
              <w:rPr>
                <w:b/>
                <w:bCs/>
                <w:sz w:val="16"/>
                <w:szCs w:val="16"/>
              </w:rPr>
              <w:t>Resultado previsto:</w:t>
            </w:r>
            <w:r w:rsidRPr="00526311">
              <w:rPr>
                <w:b/>
                <w:bCs/>
                <w:sz w:val="16"/>
                <w:szCs w:val="16"/>
              </w:rPr>
              <w:tab/>
            </w:r>
            <w:r w:rsidRPr="00526311">
              <w:rPr>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FA2BC6" w:rsidRPr="00526311" w:rsidTr="00DC1333">
        <w:tc>
          <w:tcPr>
            <w:tcW w:w="1195" w:type="pct"/>
            <w:tcBorders>
              <w:top w:val="single" w:sz="4" w:space="0" w:color="auto"/>
            </w:tcBorders>
            <w:shd w:val="clear" w:color="auto" w:fill="auto"/>
            <w:vAlign w:val="center"/>
          </w:tcPr>
          <w:p w:rsidR="00FA2BC6" w:rsidRPr="00526311" w:rsidRDefault="00FA2BC6" w:rsidP="00DC1333">
            <w:pPr>
              <w:keepNext/>
              <w:spacing w:after="40"/>
              <w:rPr>
                <w:sz w:val="16"/>
                <w:szCs w:val="16"/>
              </w:rPr>
            </w:pPr>
            <w:r w:rsidRPr="00526311">
              <w:rPr>
                <w:b/>
                <w:sz w:val="16"/>
                <w:szCs w:val="16"/>
              </w:rPr>
              <w:t>Indicadores de rendimiento</w:t>
            </w:r>
          </w:p>
        </w:tc>
        <w:tc>
          <w:tcPr>
            <w:tcW w:w="1269" w:type="pct"/>
            <w:tcBorders>
              <w:top w:val="single" w:sz="4" w:space="0" w:color="auto"/>
            </w:tcBorders>
            <w:shd w:val="clear" w:color="auto" w:fill="auto"/>
            <w:vAlign w:val="center"/>
          </w:tcPr>
          <w:p w:rsidR="00FA2BC6" w:rsidRPr="00526311" w:rsidRDefault="00FA2BC6" w:rsidP="00DC1333">
            <w:pPr>
              <w:keepNext/>
              <w:spacing w:after="40"/>
              <w:rPr>
                <w:b/>
                <w:bCs/>
                <w:sz w:val="16"/>
                <w:szCs w:val="16"/>
              </w:rPr>
            </w:pPr>
            <w:r w:rsidRPr="00526311">
              <w:rPr>
                <w:b/>
                <w:bCs/>
                <w:sz w:val="16"/>
                <w:szCs w:val="16"/>
              </w:rPr>
              <w:t>Referencia</w:t>
            </w:r>
          </w:p>
        </w:tc>
        <w:tc>
          <w:tcPr>
            <w:tcW w:w="672" w:type="pct"/>
            <w:tcBorders>
              <w:top w:val="single" w:sz="4" w:space="0" w:color="auto"/>
            </w:tcBorders>
            <w:shd w:val="clear" w:color="auto" w:fill="auto"/>
            <w:tcMar>
              <w:top w:w="110" w:type="dxa"/>
            </w:tcMar>
            <w:vAlign w:val="center"/>
          </w:tcPr>
          <w:p w:rsidR="00FA2BC6" w:rsidRPr="00526311" w:rsidRDefault="00FA2BC6" w:rsidP="00DC1333">
            <w:pPr>
              <w:keepNext/>
              <w:spacing w:after="40"/>
              <w:rPr>
                <w:b/>
                <w:sz w:val="16"/>
                <w:szCs w:val="16"/>
              </w:rPr>
            </w:pPr>
            <w:r w:rsidRPr="00526311">
              <w:rPr>
                <w:b/>
                <w:sz w:val="16"/>
                <w:szCs w:val="16"/>
              </w:rPr>
              <w:t>Objetivos</w:t>
            </w:r>
          </w:p>
        </w:tc>
        <w:tc>
          <w:tcPr>
            <w:tcW w:w="1270" w:type="pct"/>
            <w:tcBorders>
              <w:top w:val="single" w:sz="4" w:space="0" w:color="auto"/>
            </w:tcBorders>
            <w:shd w:val="clear" w:color="auto" w:fill="FFFFFF"/>
            <w:tcMar>
              <w:top w:w="110" w:type="dxa"/>
            </w:tcMar>
            <w:vAlign w:val="center"/>
          </w:tcPr>
          <w:p w:rsidR="00FA2BC6" w:rsidRPr="00526311" w:rsidRDefault="00FA2BC6" w:rsidP="00DC1333">
            <w:pPr>
              <w:keepNext/>
              <w:spacing w:after="40"/>
              <w:rPr>
                <w:sz w:val="16"/>
                <w:szCs w:val="16"/>
              </w:rPr>
            </w:pPr>
            <w:r w:rsidRPr="00526311">
              <w:rPr>
                <w:b/>
                <w:sz w:val="16"/>
                <w:szCs w:val="16"/>
              </w:rPr>
              <w:t>Datos sobre el rendimiento</w:t>
            </w:r>
          </w:p>
        </w:tc>
        <w:tc>
          <w:tcPr>
            <w:tcW w:w="594" w:type="pct"/>
            <w:tcBorders>
              <w:top w:val="single" w:sz="4" w:space="0" w:color="auto"/>
            </w:tcBorders>
            <w:shd w:val="clear" w:color="auto" w:fill="auto"/>
            <w:tcMar>
              <w:top w:w="110" w:type="dxa"/>
            </w:tcMar>
            <w:vAlign w:val="center"/>
          </w:tcPr>
          <w:p w:rsidR="00FA2BC6" w:rsidRPr="00526311" w:rsidRDefault="00FA2BC6" w:rsidP="00DC1333">
            <w:pPr>
              <w:keepNext/>
              <w:keepLines/>
              <w:spacing w:after="40"/>
              <w:jc w:val="center"/>
              <w:rPr>
                <w:b/>
                <w:bCs/>
                <w:sz w:val="16"/>
                <w:szCs w:val="16"/>
              </w:rPr>
            </w:pPr>
            <w:r w:rsidRPr="00526311">
              <w:rPr>
                <w:b/>
                <w:bCs/>
                <w:sz w:val="16"/>
                <w:szCs w:val="16"/>
              </w:rPr>
              <w:t>Clave de colores</w:t>
            </w:r>
          </w:p>
        </w:tc>
      </w:tr>
      <w:tr w:rsidR="00FA2BC6" w:rsidRPr="00526311" w:rsidTr="00DC1333">
        <w:tc>
          <w:tcPr>
            <w:tcW w:w="1195" w:type="pct"/>
            <w:shd w:val="clear" w:color="auto" w:fill="auto"/>
          </w:tcPr>
          <w:p w:rsidR="00FA2BC6" w:rsidRPr="00526311" w:rsidRDefault="00FA2BC6" w:rsidP="00DC1333">
            <w:pPr>
              <w:rPr>
                <w:sz w:val="16"/>
                <w:szCs w:val="16"/>
              </w:rPr>
            </w:pPr>
            <w:r w:rsidRPr="00526311">
              <w:rPr>
                <w:sz w:val="16"/>
                <w:szCs w:val="16"/>
              </w:rPr>
              <w:t>Número de oficinas que utilizan las plataformas de infraestructura de la OMPI.</w:t>
            </w:r>
          </w:p>
        </w:tc>
        <w:tc>
          <w:tcPr>
            <w:tcW w:w="1269" w:type="pct"/>
            <w:shd w:val="clear" w:color="auto" w:fill="auto"/>
          </w:tcPr>
          <w:p w:rsidR="00FA2BC6" w:rsidRPr="00526311" w:rsidRDefault="00FA2BC6" w:rsidP="00DC1333">
            <w:pPr>
              <w:rPr>
                <w:i/>
                <w:color w:val="002060"/>
                <w:sz w:val="16"/>
                <w:szCs w:val="16"/>
              </w:rPr>
            </w:pPr>
            <w:r w:rsidRPr="00526311">
              <w:rPr>
                <w:i/>
                <w:color w:val="002060"/>
                <w:sz w:val="16"/>
                <w:szCs w:val="16"/>
              </w:rPr>
              <w:t xml:space="preserve">Referencia actualizada a fines de 2013:  </w:t>
            </w:r>
          </w:p>
          <w:p w:rsidR="00FA2BC6" w:rsidRPr="00526311" w:rsidRDefault="00FA2BC6" w:rsidP="00DC1333">
            <w:pPr>
              <w:spacing w:after="120"/>
              <w:rPr>
                <w:color w:val="002060"/>
                <w:sz w:val="16"/>
                <w:szCs w:val="16"/>
              </w:rPr>
            </w:pPr>
            <w:r>
              <w:rPr>
                <w:color w:val="002060"/>
                <w:sz w:val="16"/>
                <w:szCs w:val="16"/>
              </w:rPr>
              <w:t>Asia y el Pacífico (5</w:t>
            </w:r>
            <w:r w:rsidRPr="00526311">
              <w:rPr>
                <w:color w:val="002060"/>
                <w:sz w:val="16"/>
                <w:szCs w:val="16"/>
              </w:rPr>
              <w:t xml:space="preserve">): China, Mongolia, </w:t>
            </w:r>
            <w:r>
              <w:rPr>
                <w:color w:val="002060"/>
                <w:sz w:val="16"/>
                <w:szCs w:val="16"/>
              </w:rPr>
              <w:t>República de Corea,</w:t>
            </w:r>
            <w:r>
              <w:rPr>
                <w:rStyle w:val="FootnoteReference"/>
                <w:color w:val="002060"/>
                <w:sz w:val="16"/>
                <w:szCs w:val="16"/>
              </w:rPr>
              <w:footnoteReference w:id="93"/>
            </w:r>
            <w:r>
              <w:rPr>
                <w:color w:val="002060"/>
                <w:sz w:val="16"/>
                <w:szCs w:val="16"/>
              </w:rPr>
              <w:t xml:space="preserve"> </w:t>
            </w:r>
            <w:r w:rsidRPr="00526311">
              <w:rPr>
                <w:color w:val="002060"/>
                <w:sz w:val="16"/>
                <w:szCs w:val="16"/>
              </w:rPr>
              <w:t>Singapur, Viet Nam</w:t>
            </w:r>
          </w:p>
          <w:p w:rsidR="00FA2BC6" w:rsidRPr="00526311" w:rsidRDefault="00FA2BC6" w:rsidP="00DC1333">
            <w:pPr>
              <w:rPr>
                <w:color w:val="002060"/>
                <w:sz w:val="16"/>
                <w:szCs w:val="16"/>
              </w:rPr>
            </w:pPr>
            <w:r>
              <w:rPr>
                <w:color w:val="002060"/>
                <w:sz w:val="16"/>
                <w:szCs w:val="16"/>
              </w:rPr>
              <w:t>Otras (11</w:t>
            </w:r>
            <w:r w:rsidRPr="00526311">
              <w:rPr>
                <w:color w:val="002060"/>
                <w:sz w:val="16"/>
                <w:szCs w:val="16"/>
              </w:rPr>
              <w:t xml:space="preserve">): </w:t>
            </w:r>
            <w:r>
              <w:rPr>
                <w:color w:val="002060"/>
                <w:sz w:val="16"/>
                <w:szCs w:val="16"/>
              </w:rPr>
              <w:t xml:space="preserve"> </w:t>
            </w:r>
            <w:r w:rsidRPr="00526311">
              <w:rPr>
                <w:color w:val="002060"/>
                <w:sz w:val="16"/>
                <w:szCs w:val="16"/>
              </w:rPr>
              <w:t>Australia, Canadá, Dinamarca, España, Estados Unidos de América, Finlandia, Israel, Japón, Nueva Zelandia,</w:t>
            </w:r>
            <w:r>
              <w:rPr>
                <w:color w:val="002060"/>
                <w:sz w:val="16"/>
                <w:szCs w:val="16"/>
              </w:rPr>
              <w:t xml:space="preserve"> Reino Unido, Suecia (16 en total</w:t>
            </w:r>
            <w:r w:rsidRPr="00526311">
              <w:rPr>
                <w:color w:val="002060"/>
                <w:sz w:val="16"/>
                <w:szCs w:val="16"/>
              </w:rPr>
              <w:t>)</w:t>
            </w:r>
          </w:p>
          <w:p w:rsidR="00FA2BC6" w:rsidRPr="00526311" w:rsidRDefault="00FA2BC6" w:rsidP="00DC1333">
            <w:pPr>
              <w:rPr>
                <w:i/>
                <w:sz w:val="8"/>
                <w:szCs w:val="8"/>
              </w:rPr>
            </w:pPr>
          </w:p>
          <w:p w:rsidR="00FA2BC6" w:rsidRPr="00526311" w:rsidRDefault="00FA2BC6" w:rsidP="00DC1333">
            <w:pPr>
              <w:rPr>
                <w:sz w:val="16"/>
                <w:szCs w:val="16"/>
              </w:rPr>
            </w:pPr>
            <w:r w:rsidRPr="00526311">
              <w:rPr>
                <w:i/>
                <w:sz w:val="16"/>
                <w:szCs w:val="16"/>
              </w:rPr>
              <w:t>Referencia original en el presupuesto de 2014/15:</w:t>
            </w:r>
            <w:r w:rsidRPr="00526311">
              <w:rPr>
                <w:sz w:val="16"/>
                <w:szCs w:val="16"/>
              </w:rPr>
              <w:t xml:space="preserve">  </w:t>
            </w:r>
            <w:r>
              <w:rPr>
                <w:sz w:val="16"/>
                <w:szCs w:val="16"/>
              </w:rPr>
              <w:t>América del Norte</w:t>
            </w:r>
            <w:r w:rsidRPr="00526311">
              <w:rPr>
                <w:sz w:val="16"/>
                <w:szCs w:val="16"/>
              </w:rPr>
              <w:t xml:space="preserve">2  </w:t>
            </w:r>
          </w:p>
          <w:p w:rsidR="00FA2BC6" w:rsidRPr="00526311" w:rsidRDefault="00FA2BC6" w:rsidP="00DC1333">
            <w:pPr>
              <w:rPr>
                <w:sz w:val="16"/>
                <w:szCs w:val="16"/>
              </w:rPr>
            </w:pPr>
            <w:r w:rsidRPr="00526311">
              <w:rPr>
                <w:sz w:val="16"/>
                <w:szCs w:val="16"/>
              </w:rPr>
              <w:t xml:space="preserve">Europa Occidental - 7  </w:t>
            </w:r>
          </w:p>
          <w:p w:rsidR="00FA2BC6" w:rsidRPr="00526311" w:rsidRDefault="00FA2BC6" w:rsidP="00DC1333">
            <w:pPr>
              <w:rPr>
                <w:sz w:val="16"/>
                <w:szCs w:val="16"/>
              </w:rPr>
            </w:pPr>
            <w:r w:rsidRPr="00526311">
              <w:rPr>
                <w:sz w:val="16"/>
                <w:szCs w:val="16"/>
              </w:rPr>
              <w:t xml:space="preserve">Asia y el Pacífico - 6 </w:t>
            </w:r>
          </w:p>
        </w:tc>
        <w:tc>
          <w:tcPr>
            <w:tcW w:w="672" w:type="pct"/>
            <w:shd w:val="clear" w:color="auto" w:fill="auto"/>
            <w:tcMar>
              <w:top w:w="110" w:type="dxa"/>
            </w:tcMar>
          </w:tcPr>
          <w:p w:rsidR="00FA2BC6" w:rsidRPr="00526311" w:rsidRDefault="00FA2BC6" w:rsidP="00DC1333">
            <w:pPr>
              <w:rPr>
                <w:color w:val="000000" w:themeColor="text1"/>
                <w:sz w:val="16"/>
                <w:szCs w:val="16"/>
              </w:rPr>
            </w:pPr>
            <w:r w:rsidRPr="00526311">
              <w:rPr>
                <w:sz w:val="16"/>
                <w:szCs w:val="16"/>
              </w:rPr>
              <w:t>25 (desglose por región)</w:t>
            </w:r>
          </w:p>
        </w:tc>
        <w:tc>
          <w:tcPr>
            <w:tcW w:w="1270" w:type="pct"/>
            <w:shd w:val="clear" w:color="auto" w:fill="FFFFFF"/>
            <w:tcMar>
              <w:top w:w="110" w:type="dxa"/>
            </w:tcMar>
          </w:tcPr>
          <w:p w:rsidR="00FA2BC6" w:rsidRDefault="00FA2BC6" w:rsidP="00DC1333">
            <w:pPr>
              <w:rPr>
                <w:color w:val="000000" w:themeColor="text1"/>
                <w:sz w:val="16"/>
                <w:szCs w:val="16"/>
                <w:lang w:bidi="th-TH"/>
              </w:rPr>
            </w:pPr>
            <w:r>
              <w:rPr>
                <w:color w:val="000000" w:themeColor="text1"/>
                <w:sz w:val="16"/>
                <w:szCs w:val="16"/>
                <w:lang w:bidi="th-TH"/>
              </w:rPr>
              <w:t>9</w:t>
            </w:r>
            <w:r w:rsidRPr="00526311">
              <w:rPr>
                <w:color w:val="000000" w:themeColor="text1"/>
                <w:sz w:val="16"/>
                <w:szCs w:val="16"/>
                <w:lang w:bidi="th-TH"/>
              </w:rPr>
              <w:t xml:space="preserve"> oficinas más en </w:t>
            </w:r>
            <w:r>
              <w:rPr>
                <w:color w:val="000000" w:themeColor="text1"/>
                <w:sz w:val="16"/>
                <w:szCs w:val="16"/>
                <w:lang w:bidi="th-TH"/>
              </w:rPr>
              <w:t>2014/15:</w:t>
            </w:r>
          </w:p>
          <w:p w:rsidR="00FA2BC6" w:rsidRPr="00526311" w:rsidRDefault="00FA2BC6" w:rsidP="00DC1333">
            <w:pPr>
              <w:rPr>
                <w:color w:val="000000" w:themeColor="text1"/>
                <w:sz w:val="16"/>
                <w:szCs w:val="16"/>
              </w:rPr>
            </w:pPr>
          </w:p>
          <w:p w:rsidR="00FA2BC6" w:rsidRDefault="00FA2BC6" w:rsidP="00FA2BC6">
            <w:pPr>
              <w:pStyle w:val="ListParagraph"/>
              <w:numPr>
                <w:ilvl w:val="0"/>
                <w:numId w:val="54"/>
              </w:numPr>
              <w:rPr>
                <w:sz w:val="16"/>
                <w:szCs w:val="16"/>
                <w:lang w:val="es-ES"/>
              </w:rPr>
            </w:pPr>
            <w:r>
              <w:rPr>
                <w:sz w:val="16"/>
                <w:szCs w:val="16"/>
                <w:lang w:val="es-ES"/>
              </w:rPr>
              <w:t>7 oficinas más en Asia y el Pacífico (12 en total):  Brunei Darussalam, Filipinas, India, Indonesia, Malasia, República Popular Lao, Tailandia</w:t>
            </w:r>
          </w:p>
          <w:p w:rsidR="00FA2BC6" w:rsidRDefault="00FA2BC6" w:rsidP="00DC1333">
            <w:pPr>
              <w:pStyle w:val="ListParagraph"/>
              <w:ind w:left="360"/>
              <w:rPr>
                <w:sz w:val="16"/>
                <w:szCs w:val="16"/>
                <w:lang w:val="es-ES"/>
              </w:rPr>
            </w:pPr>
          </w:p>
          <w:p w:rsidR="00FA2BC6" w:rsidRDefault="00FA2BC6" w:rsidP="00FA2BC6">
            <w:pPr>
              <w:pStyle w:val="ListParagraph"/>
              <w:numPr>
                <w:ilvl w:val="0"/>
                <w:numId w:val="54"/>
              </w:numPr>
              <w:rPr>
                <w:sz w:val="16"/>
                <w:szCs w:val="16"/>
                <w:lang w:val="es-ES"/>
              </w:rPr>
            </w:pPr>
            <w:r>
              <w:rPr>
                <w:sz w:val="16"/>
                <w:szCs w:val="16"/>
                <w:lang w:val="es-ES"/>
              </w:rPr>
              <w:t>1 oficina más en América Latina y el Caribe (1 en total):  Chile</w:t>
            </w:r>
          </w:p>
          <w:p w:rsidR="00FA2BC6" w:rsidRPr="001B5B4A" w:rsidRDefault="00FA2BC6" w:rsidP="00DC1333">
            <w:pPr>
              <w:pStyle w:val="ListParagraph"/>
              <w:rPr>
                <w:sz w:val="16"/>
                <w:szCs w:val="16"/>
                <w:lang w:val="es-ES"/>
              </w:rPr>
            </w:pPr>
          </w:p>
          <w:p w:rsidR="00FA2BC6" w:rsidRPr="001B5B4A" w:rsidRDefault="00FA2BC6" w:rsidP="00FA2BC6">
            <w:pPr>
              <w:pStyle w:val="ListParagraph"/>
              <w:numPr>
                <w:ilvl w:val="0"/>
                <w:numId w:val="54"/>
              </w:numPr>
              <w:rPr>
                <w:sz w:val="16"/>
                <w:szCs w:val="16"/>
                <w:lang w:val="es-ES"/>
              </w:rPr>
            </w:pPr>
            <w:r>
              <w:rPr>
                <w:sz w:val="16"/>
                <w:szCs w:val="16"/>
                <w:lang w:val="es-ES"/>
              </w:rPr>
              <w:t>1 oficina más en otros países (17 en total):  la Oficina Internacional</w:t>
            </w:r>
          </w:p>
          <w:p w:rsidR="00FA2BC6" w:rsidRPr="00526311" w:rsidRDefault="00FA2BC6" w:rsidP="00DC1333">
            <w:pPr>
              <w:ind w:left="422"/>
              <w:rPr>
                <w:color w:val="000000" w:themeColor="text1"/>
                <w:sz w:val="16"/>
                <w:szCs w:val="16"/>
              </w:rPr>
            </w:pPr>
            <w:r>
              <w:rPr>
                <w:sz w:val="16"/>
                <w:szCs w:val="16"/>
              </w:rPr>
              <w:t>(</w:t>
            </w:r>
            <w:r w:rsidRPr="00526311">
              <w:rPr>
                <w:sz w:val="16"/>
                <w:szCs w:val="16"/>
              </w:rPr>
              <w:t>2</w:t>
            </w:r>
            <w:r>
              <w:rPr>
                <w:sz w:val="16"/>
                <w:szCs w:val="16"/>
              </w:rPr>
              <w:t xml:space="preserve">5 oficinas </w:t>
            </w:r>
            <w:r w:rsidRPr="00526311">
              <w:rPr>
                <w:sz w:val="16"/>
                <w:szCs w:val="16"/>
              </w:rPr>
              <w:t>en total)</w:t>
            </w:r>
          </w:p>
        </w:tc>
        <w:tc>
          <w:tcPr>
            <w:tcW w:w="594" w:type="pct"/>
            <w:shd w:val="clear" w:color="auto" w:fill="auto"/>
            <w:tcMar>
              <w:top w:w="110" w:type="dxa"/>
            </w:tcMar>
          </w:tcPr>
          <w:p w:rsidR="00FA2BC6" w:rsidRPr="00526311" w:rsidRDefault="00FA2BC6" w:rsidP="00DC1333">
            <w:pPr>
              <w:keepNext/>
              <w:keepLines/>
              <w:ind w:left="-107"/>
              <w:jc w:val="center"/>
              <w:rPr>
                <w:b/>
                <w:bCs/>
                <w:color w:val="00B050"/>
                <w:sz w:val="16"/>
                <w:szCs w:val="16"/>
              </w:rPr>
            </w:pPr>
            <w:r>
              <w:rPr>
                <w:b/>
                <w:bCs/>
                <w:color w:val="00B050"/>
                <w:sz w:val="16"/>
                <w:szCs w:val="16"/>
              </w:rPr>
              <w:t>Plenamente logrado</w:t>
            </w:r>
          </w:p>
        </w:tc>
      </w:tr>
      <w:tr w:rsidR="00FA2BC6" w:rsidRPr="00526311" w:rsidTr="00DC1333">
        <w:tc>
          <w:tcPr>
            <w:tcW w:w="1195" w:type="pct"/>
            <w:shd w:val="clear" w:color="auto" w:fill="auto"/>
          </w:tcPr>
          <w:p w:rsidR="00FA2BC6" w:rsidRPr="00526311" w:rsidRDefault="00FA2BC6" w:rsidP="00DC1333">
            <w:pPr>
              <w:ind w:firstLineChars="3" w:firstLine="5"/>
              <w:rPr>
                <w:sz w:val="16"/>
                <w:szCs w:val="16"/>
              </w:rPr>
            </w:pPr>
            <w:r w:rsidRPr="00526311">
              <w:rPr>
                <w:sz w:val="16"/>
                <w:szCs w:val="16"/>
              </w:rPr>
              <w:t>Media del nivel de los servicios prestados por las Oficinas de P.I. que reciben asistencia (en una escala del 1 al 5).</w:t>
            </w:r>
          </w:p>
        </w:tc>
        <w:tc>
          <w:tcPr>
            <w:tcW w:w="1269" w:type="pct"/>
            <w:shd w:val="clear" w:color="auto" w:fill="auto"/>
          </w:tcPr>
          <w:p w:rsidR="00FA2BC6" w:rsidRPr="00526311" w:rsidRDefault="00FA2BC6" w:rsidP="00DC1333">
            <w:pPr>
              <w:rPr>
                <w:color w:val="002060"/>
                <w:sz w:val="16"/>
                <w:szCs w:val="16"/>
              </w:rPr>
            </w:pPr>
            <w:r w:rsidRPr="00526311">
              <w:rPr>
                <w:i/>
                <w:color w:val="002060"/>
                <w:sz w:val="16"/>
                <w:szCs w:val="16"/>
              </w:rPr>
              <w:t>Referencia actualizada a fines de 2013:</w:t>
            </w:r>
            <w:r w:rsidRPr="00526311">
              <w:rPr>
                <w:color w:val="002060"/>
                <w:sz w:val="16"/>
                <w:szCs w:val="16"/>
              </w:rPr>
              <w:t xml:space="preserve">  </w:t>
            </w:r>
            <w:r w:rsidRPr="00526311">
              <w:rPr>
                <w:color w:val="000000" w:themeColor="text1"/>
                <w:sz w:val="16"/>
                <w:szCs w:val="16"/>
              </w:rPr>
              <w:t>2,8</w:t>
            </w:r>
          </w:p>
          <w:p w:rsidR="00FA2BC6" w:rsidRPr="00526311" w:rsidRDefault="00FA2BC6" w:rsidP="00DC1333">
            <w:pPr>
              <w:rPr>
                <w:i/>
                <w:sz w:val="8"/>
                <w:szCs w:val="8"/>
              </w:rPr>
            </w:pPr>
          </w:p>
          <w:p w:rsidR="00FA2BC6" w:rsidRPr="00526311" w:rsidRDefault="00FA2BC6" w:rsidP="00DC1333">
            <w:pPr>
              <w:rPr>
                <w:sz w:val="16"/>
                <w:szCs w:val="16"/>
              </w:rPr>
            </w:pPr>
            <w:r w:rsidRPr="00526311">
              <w:rPr>
                <w:i/>
                <w:sz w:val="16"/>
                <w:szCs w:val="16"/>
              </w:rPr>
              <w:t>Referencia original en el presupuesto de 2014/15:</w:t>
            </w:r>
            <w:r w:rsidRPr="00526311">
              <w:rPr>
                <w:sz w:val="16"/>
                <w:szCs w:val="16"/>
              </w:rPr>
              <w:t xml:space="preserve">  por determinar</w:t>
            </w:r>
          </w:p>
          <w:p w:rsidR="00FA2BC6" w:rsidRPr="00526311" w:rsidRDefault="00FA2BC6" w:rsidP="00DC1333">
            <w:pPr>
              <w:rPr>
                <w:sz w:val="16"/>
                <w:szCs w:val="16"/>
              </w:rPr>
            </w:pPr>
          </w:p>
        </w:tc>
        <w:tc>
          <w:tcPr>
            <w:tcW w:w="672" w:type="pct"/>
            <w:shd w:val="clear" w:color="auto" w:fill="auto"/>
            <w:tcMar>
              <w:top w:w="110" w:type="dxa"/>
            </w:tcMar>
          </w:tcPr>
          <w:p w:rsidR="00FA2BC6" w:rsidRPr="00526311" w:rsidRDefault="00FA2BC6" w:rsidP="00DC1333">
            <w:pPr>
              <w:pStyle w:val="Default"/>
              <w:rPr>
                <w:rFonts w:eastAsia="Times New Roman"/>
                <w:color w:val="002060"/>
                <w:sz w:val="16"/>
                <w:szCs w:val="16"/>
                <w:lang w:val="es-ES" w:eastAsia="en-US"/>
              </w:rPr>
            </w:pPr>
            <w:r w:rsidRPr="00526311">
              <w:rPr>
                <w:rFonts w:eastAsia="Times New Roman"/>
                <w:i/>
                <w:color w:val="002060"/>
                <w:sz w:val="16"/>
                <w:szCs w:val="16"/>
                <w:lang w:val="es-ES" w:eastAsia="en-US"/>
              </w:rPr>
              <w:t xml:space="preserve">Objetivo definido: </w:t>
            </w:r>
            <w:r w:rsidRPr="00526311">
              <w:rPr>
                <w:rFonts w:eastAsia="Times New Roman"/>
                <w:color w:val="002060"/>
                <w:sz w:val="16"/>
                <w:szCs w:val="16"/>
                <w:lang w:val="es-ES" w:eastAsia="en-US"/>
              </w:rPr>
              <w:t>3</w:t>
            </w:r>
          </w:p>
          <w:p w:rsidR="00FA2BC6" w:rsidRPr="00526311" w:rsidRDefault="00FA2BC6" w:rsidP="00DC1333">
            <w:pPr>
              <w:pStyle w:val="Default"/>
              <w:rPr>
                <w:rFonts w:eastAsia="Times New Roman"/>
                <w:color w:val="002060"/>
                <w:sz w:val="16"/>
                <w:szCs w:val="16"/>
                <w:lang w:val="es-ES" w:eastAsia="en-US"/>
              </w:rPr>
            </w:pPr>
          </w:p>
          <w:p w:rsidR="00FA2BC6" w:rsidRPr="00526311" w:rsidRDefault="00FA2BC6" w:rsidP="00DC1333">
            <w:pPr>
              <w:pStyle w:val="Default"/>
              <w:rPr>
                <w:color w:val="000000" w:themeColor="text1"/>
                <w:sz w:val="16"/>
                <w:szCs w:val="16"/>
                <w:lang w:val="es-ES"/>
              </w:rPr>
            </w:pPr>
            <w:r w:rsidRPr="00526311">
              <w:rPr>
                <w:rFonts w:eastAsia="Times New Roman"/>
                <w:i/>
                <w:color w:val="002060"/>
                <w:sz w:val="16"/>
                <w:szCs w:val="16"/>
                <w:lang w:val="es-ES" w:eastAsia="en-US"/>
              </w:rPr>
              <w:t xml:space="preserve">Objetivo original en el presup. de 2014/15:  </w:t>
            </w:r>
            <w:r w:rsidRPr="00526311">
              <w:rPr>
                <w:rFonts w:eastAsia="Times New Roman"/>
                <w:color w:val="002060"/>
                <w:sz w:val="16"/>
                <w:szCs w:val="16"/>
                <w:lang w:val="es-ES" w:eastAsia="en-US"/>
              </w:rPr>
              <w:t>por determinar</w:t>
            </w:r>
          </w:p>
        </w:tc>
        <w:tc>
          <w:tcPr>
            <w:tcW w:w="1270" w:type="pct"/>
            <w:shd w:val="clear" w:color="auto" w:fill="FFFFFF"/>
            <w:tcMar>
              <w:top w:w="110" w:type="dxa"/>
            </w:tcMar>
          </w:tcPr>
          <w:p w:rsidR="00FA2BC6" w:rsidRPr="00526311" w:rsidRDefault="00FA2BC6" w:rsidP="00DC1333">
            <w:pPr>
              <w:rPr>
                <w:color w:val="000000" w:themeColor="text1"/>
                <w:sz w:val="16"/>
                <w:szCs w:val="16"/>
              </w:rPr>
            </w:pPr>
            <w:r w:rsidRPr="00526311">
              <w:rPr>
                <w:color w:val="000000" w:themeColor="text1"/>
                <w:sz w:val="16"/>
                <w:szCs w:val="16"/>
              </w:rPr>
              <w:t>Promedio general: 2,9</w:t>
            </w:r>
          </w:p>
          <w:p w:rsidR="00FA2BC6" w:rsidRPr="00526311" w:rsidRDefault="00FA2BC6" w:rsidP="00FA2BC6">
            <w:pPr>
              <w:pStyle w:val="ListParagraph"/>
              <w:numPr>
                <w:ilvl w:val="0"/>
                <w:numId w:val="54"/>
              </w:numPr>
              <w:rPr>
                <w:sz w:val="16"/>
                <w:szCs w:val="16"/>
                <w:lang w:val="es-ES"/>
              </w:rPr>
            </w:pPr>
            <w:r>
              <w:rPr>
                <w:sz w:val="16"/>
                <w:szCs w:val="16"/>
                <w:lang w:val="es-ES"/>
              </w:rPr>
              <w:t>África:  2,9</w:t>
            </w:r>
          </w:p>
          <w:p w:rsidR="00FA2BC6" w:rsidRPr="00526311" w:rsidRDefault="00FA2BC6" w:rsidP="00FA2BC6">
            <w:pPr>
              <w:pStyle w:val="ListParagraph"/>
              <w:numPr>
                <w:ilvl w:val="0"/>
                <w:numId w:val="54"/>
              </w:numPr>
              <w:rPr>
                <w:sz w:val="16"/>
                <w:szCs w:val="16"/>
                <w:lang w:val="es-ES"/>
              </w:rPr>
            </w:pPr>
            <w:r w:rsidRPr="00526311">
              <w:rPr>
                <w:sz w:val="16"/>
                <w:szCs w:val="16"/>
                <w:lang w:val="es-ES"/>
              </w:rPr>
              <w:t>R</w:t>
            </w:r>
            <w:r>
              <w:rPr>
                <w:sz w:val="16"/>
                <w:szCs w:val="16"/>
                <w:lang w:val="es-ES"/>
              </w:rPr>
              <w:t>egión de los países árabes:  2,8</w:t>
            </w:r>
          </w:p>
          <w:p w:rsidR="00FA2BC6" w:rsidRPr="00526311" w:rsidRDefault="00FA2BC6" w:rsidP="00FA2BC6">
            <w:pPr>
              <w:pStyle w:val="ListParagraph"/>
              <w:numPr>
                <w:ilvl w:val="0"/>
                <w:numId w:val="54"/>
              </w:numPr>
              <w:rPr>
                <w:sz w:val="16"/>
                <w:szCs w:val="16"/>
                <w:lang w:val="es-ES"/>
              </w:rPr>
            </w:pPr>
            <w:r w:rsidRPr="00526311">
              <w:rPr>
                <w:sz w:val="16"/>
                <w:szCs w:val="16"/>
                <w:lang w:val="es-ES"/>
              </w:rPr>
              <w:t>Asia y el Pacífico:  2,7</w:t>
            </w:r>
          </w:p>
          <w:p w:rsidR="00FA2BC6" w:rsidRPr="00526311" w:rsidRDefault="00FA2BC6" w:rsidP="00FA2BC6">
            <w:pPr>
              <w:pStyle w:val="ListParagraph"/>
              <w:numPr>
                <w:ilvl w:val="0"/>
                <w:numId w:val="54"/>
              </w:numPr>
              <w:rPr>
                <w:sz w:val="16"/>
                <w:szCs w:val="16"/>
                <w:lang w:val="es-ES"/>
              </w:rPr>
            </w:pPr>
            <w:r w:rsidRPr="00526311">
              <w:rPr>
                <w:sz w:val="16"/>
                <w:szCs w:val="16"/>
                <w:lang w:val="es-ES"/>
              </w:rPr>
              <w:t>Determinad</w:t>
            </w:r>
            <w:r>
              <w:rPr>
                <w:sz w:val="16"/>
                <w:szCs w:val="16"/>
                <w:lang w:val="es-ES"/>
              </w:rPr>
              <w:t>os países de Europa y Asia:  3,3</w:t>
            </w:r>
          </w:p>
          <w:p w:rsidR="00FA2BC6" w:rsidRPr="00526311" w:rsidRDefault="00FA2BC6" w:rsidP="00FA2BC6">
            <w:pPr>
              <w:pStyle w:val="ListParagraph"/>
              <w:numPr>
                <w:ilvl w:val="0"/>
                <w:numId w:val="54"/>
              </w:numPr>
              <w:rPr>
                <w:sz w:val="16"/>
                <w:szCs w:val="16"/>
                <w:lang w:val="es-ES"/>
              </w:rPr>
            </w:pPr>
            <w:r w:rsidRPr="00526311">
              <w:rPr>
                <w:sz w:val="16"/>
                <w:szCs w:val="16"/>
                <w:lang w:val="es-ES"/>
              </w:rPr>
              <w:t xml:space="preserve">América Latina y el </w:t>
            </w:r>
            <w:r>
              <w:rPr>
                <w:sz w:val="16"/>
                <w:szCs w:val="16"/>
                <w:lang w:val="es-ES"/>
              </w:rPr>
              <w:t>Caribe:  3</w:t>
            </w:r>
          </w:p>
          <w:p w:rsidR="00FA2BC6" w:rsidRPr="00526311" w:rsidRDefault="00FA2BC6" w:rsidP="00FA2BC6">
            <w:pPr>
              <w:pStyle w:val="ListParagraph"/>
              <w:numPr>
                <w:ilvl w:val="0"/>
                <w:numId w:val="54"/>
              </w:numPr>
              <w:rPr>
                <w:sz w:val="16"/>
                <w:szCs w:val="16"/>
                <w:lang w:val="es-ES"/>
              </w:rPr>
            </w:pPr>
            <w:r>
              <w:rPr>
                <w:sz w:val="16"/>
                <w:szCs w:val="16"/>
                <w:lang w:val="es-ES"/>
              </w:rPr>
              <w:t>Otros:  2,5</w:t>
            </w:r>
          </w:p>
          <w:p w:rsidR="00FA2BC6" w:rsidRPr="00526311" w:rsidRDefault="00FA2BC6" w:rsidP="00DC1333">
            <w:pPr>
              <w:rPr>
                <w:color w:val="000000" w:themeColor="text1"/>
                <w:sz w:val="16"/>
                <w:szCs w:val="16"/>
              </w:rPr>
            </w:pPr>
          </w:p>
        </w:tc>
        <w:tc>
          <w:tcPr>
            <w:tcW w:w="594" w:type="pct"/>
            <w:shd w:val="clear" w:color="auto" w:fill="auto"/>
            <w:tcMar>
              <w:top w:w="110" w:type="dxa"/>
            </w:tcMar>
          </w:tcPr>
          <w:p w:rsidR="00FA2BC6" w:rsidRPr="00526311" w:rsidRDefault="00FA2BC6" w:rsidP="00DC1333">
            <w:pPr>
              <w:keepNext/>
              <w:keepLines/>
              <w:ind w:left="-107"/>
              <w:jc w:val="center"/>
              <w:rPr>
                <w:rStyle w:val="StyleStyleHeading3ComplexItalicLatin12ptChar"/>
                <w:color w:val="00B050"/>
                <w:sz w:val="16"/>
                <w:szCs w:val="16"/>
              </w:rPr>
            </w:pPr>
            <w:r>
              <w:rPr>
                <w:b/>
                <w:bCs/>
                <w:color w:val="00B050"/>
                <w:sz w:val="16"/>
                <w:szCs w:val="16"/>
              </w:rPr>
              <w:t>Plenamente logrado</w:t>
            </w:r>
          </w:p>
        </w:tc>
      </w:tr>
      <w:tr w:rsidR="00FA2BC6" w:rsidRPr="00526311" w:rsidTr="00DC1333">
        <w:tc>
          <w:tcPr>
            <w:tcW w:w="1195" w:type="pct"/>
            <w:shd w:val="clear" w:color="auto" w:fill="auto"/>
          </w:tcPr>
          <w:p w:rsidR="00FA2BC6" w:rsidRPr="00526311" w:rsidRDefault="00FA2BC6" w:rsidP="00DC1333">
            <w:pPr>
              <w:ind w:firstLineChars="3" w:firstLine="5"/>
              <w:rPr>
                <w:sz w:val="16"/>
                <w:szCs w:val="16"/>
              </w:rPr>
            </w:pPr>
            <w:r w:rsidRPr="00526311">
              <w:rPr>
                <w:sz w:val="16"/>
                <w:szCs w:val="16"/>
              </w:rPr>
              <w:t xml:space="preserve">Número de OGC de países en desarrollo y PMA que participan en las redes regionales y mundiales facilitadas por la OMPI. </w:t>
            </w:r>
          </w:p>
          <w:p w:rsidR="00FA2BC6" w:rsidRPr="00526311" w:rsidRDefault="00FA2BC6" w:rsidP="00DC1333">
            <w:pPr>
              <w:ind w:firstLineChars="3" w:firstLine="5"/>
              <w:rPr>
                <w:sz w:val="16"/>
                <w:szCs w:val="16"/>
              </w:rPr>
            </w:pPr>
          </w:p>
        </w:tc>
        <w:tc>
          <w:tcPr>
            <w:tcW w:w="1269" w:type="pct"/>
            <w:shd w:val="clear" w:color="auto" w:fill="auto"/>
          </w:tcPr>
          <w:p w:rsidR="00FA2BC6" w:rsidRPr="00526311" w:rsidRDefault="00FA2BC6" w:rsidP="00DC1333">
            <w:pPr>
              <w:rPr>
                <w:i/>
                <w:sz w:val="16"/>
                <w:szCs w:val="16"/>
              </w:rPr>
            </w:pPr>
            <w:r w:rsidRPr="00526311">
              <w:rPr>
                <w:sz w:val="16"/>
                <w:szCs w:val="16"/>
              </w:rPr>
              <w:t>0</w:t>
            </w:r>
          </w:p>
        </w:tc>
        <w:tc>
          <w:tcPr>
            <w:tcW w:w="672" w:type="pct"/>
            <w:shd w:val="clear" w:color="auto" w:fill="auto"/>
            <w:tcMar>
              <w:top w:w="110" w:type="dxa"/>
            </w:tcMar>
          </w:tcPr>
          <w:p w:rsidR="00FA2BC6" w:rsidRPr="00526311" w:rsidRDefault="00FA2BC6" w:rsidP="00DC1333">
            <w:pPr>
              <w:pStyle w:val="Default"/>
              <w:rPr>
                <w:i/>
                <w:color w:val="auto"/>
                <w:sz w:val="16"/>
                <w:szCs w:val="16"/>
                <w:lang w:val="es-ES"/>
              </w:rPr>
            </w:pPr>
            <w:r w:rsidRPr="00526311">
              <w:rPr>
                <w:color w:val="auto"/>
                <w:sz w:val="16"/>
                <w:szCs w:val="16"/>
                <w:lang w:val="es-ES"/>
              </w:rPr>
              <w:t>10</w:t>
            </w:r>
          </w:p>
        </w:tc>
        <w:tc>
          <w:tcPr>
            <w:tcW w:w="1270" w:type="pct"/>
            <w:shd w:val="clear" w:color="auto" w:fill="FFFFFF"/>
            <w:tcMar>
              <w:top w:w="110" w:type="dxa"/>
            </w:tcMar>
          </w:tcPr>
          <w:p w:rsidR="00FA2BC6" w:rsidRPr="00526311" w:rsidRDefault="00FA2BC6" w:rsidP="00DC1333">
            <w:pPr>
              <w:rPr>
                <w:color w:val="000000" w:themeColor="text1"/>
                <w:sz w:val="16"/>
                <w:szCs w:val="16"/>
              </w:rPr>
            </w:pPr>
            <w:r>
              <w:rPr>
                <w:color w:val="000000" w:themeColor="text1"/>
                <w:sz w:val="16"/>
                <w:szCs w:val="16"/>
                <w:lang w:bidi="th-TH"/>
              </w:rPr>
              <w:t>E</w:t>
            </w:r>
            <w:r w:rsidRPr="00526311">
              <w:rPr>
                <w:color w:val="000000" w:themeColor="text1"/>
                <w:sz w:val="16"/>
                <w:szCs w:val="16"/>
                <w:lang w:bidi="th-TH"/>
              </w:rPr>
              <w:t xml:space="preserve">l sistema WCC </w:t>
            </w:r>
            <w:r>
              <w:rPr>
                <w:color w:val="000000" w:themeColor="text1"/>
                <w:sz w:val="16"/>
                <w:szCs w:val="16"/>
                <w:lang w:bidi="th-TH"/>
              </w:rPr>
              <w:t xml:space="preserve">se encontraba en su fase final de desarrollo a finales </w:t>
            </w:r>
            <w:r w:rsidRPr="00002D92">
              <w:rPr>
                <w:color w:val="000000" w:themeColor="text1"/>
                <w:sz w:val="16"/>
                <w:szCs w:val="16"/>
                <w:lang w:bidi="th-TH"/>
              </w:rPr>
              <w:t>del bienio</w:t>
            </w:r>
            <w:r>
              <w:rPr>
                <w:color w:val="000000" w:themeColor="text1"/>
                <w:sz w:val="16"/>
                <w:szCs w:val="16"/>
                <w:lang w:bidi="th-TH"/>
              </w:rPr>
              <w:t xml:space="preserve"> 2014/15 </w:t>
            </w:r>
            <w:r w:rsidRPr="00526311">
              <w:rPr>
                <w:color w:val="000000" w:themeColor="text1"/>
                <w:sz w:val="16"/>
                <w:szCs w:val="16"/>
                <w:lang w:bidi="th-TH"/>
              </w:rPr>
              <w:t xml:space="preserve">y </w:t>
            </w:r>
            <w:r>
              <w:rPr>
                <w:color w:val="000000" w:themeColor="text1"/>
                <w:sz w:val="16"/>
                <w:szCs w:val="16"/>
                <w:lang w:bidi="th-TH"/>
              </w:rPr>
              <w:t xml:space="preserve">se pondrá </w:t>
            </w:r>
            <w:r w:rsidRPr="00526311">
              <w:rPr>
                <w:color w:val="000000" w:themeColor="text1"/>
                <w:sz w:val="16"/>
                <w:szCs w:val="16"/>
                <w:lang w:bidi="th-TH"/>
              </w:rPr>
              <w:t xml:space="preserve">en funcionamiento </w:t>
            </w:r>
            <w:r w:rsidRPr="00002D92">
              <w:rPr>
                <w:color w:val="000000" w:themeColor="text1"/>
                <w:sz w:val="16"/>
                <w:szCs w:val="16"/>
                <w:lang w:bidi="th-TH"/>
              </w:rPr>
              <w:t>a partir de 2016 en las organizaciones de gestión colectiva de los países en desarrollo y PMA</w:t>
            </w:r>
            <w:r w:rsidRPr="00526311">
              <w:rPr>
                <w:color w:val="000000" w:themeColor="text1"/>
                <w:sz w:val="16"/>
                <w:szCs w:val="16"/>
                <w:lang w:bidi="th-TH"/>
              </w:rPr>
              <w:t>.</w:t>
            </w:r>
          </w:p>
        </w:tc>
        <w:tc>
          <w:tcPr>
            <w:tcW w:w="594" w:type="pct"/>
            <w:shd w:val="clear" w:color="auto" w:fill="auto"/>
            <w:tcMar>
              <w:top w:w="110" w:type="dxa"/>
            </w:tcMar>
          </w:tcPr>
          <w:p w:rsidR="00FA2BC6" w:rsidRPr="00526311" w:rsidRDefault="00FA2BC6" w:rsidP="00DC1333">
            <w:pPr>
              <w:rPr>
                <w:b/>
                <w:color w:val="808080"/>
                <w:sz w:val="16"/>
                <w:szCs w:val="16"/>
              </w:rPr>
            </w:pPr>
            <w:r>
              <w:rPr>
                <w:b/>
                <w:bCs/>
                <w:color w:val="FF0000"/>
                <w:sz w:val="16"/>
                <w:szCs w:val="16"/>
              </w:rPr>
              <w:t>No logrado</w:t>
            </w:r>
          </w:p>
        </w:tc>
      </w:tr>
    </w:tbl>
    <w:p w:rsidR="00FA2BC6" w:rsidRPr="00526311" w:rsidRDefault="00FA2BC6" w:rsidP="00DC1333">
      <w:pPr>
        <w:jc w:val="both"/>
        <w:rPr>
          <w:bCs/>
        </w:rPr>
      </w:pPr>
    </w:p>
    <w:p w:rsidR="00FA2BC6" w:rsidRDefault="008F7CBE" w:rsidP="00DC1333">
      <w:pPr>
        <w:keepNext/>
        <w:keepLines/>
        <w:rPr>
          <w:color w:val="000000"/>
          <w:szCs w:val="22"/>
        </w:rPr>
      </w:pPr>
      <w:r w:rsidRPr="008F7CBE">
        <w:rPr>
          <w:color w:val="000000"/>
          <w:sz w:val="20"/>
          <w:szCs w:val="22"/>
        </w:rPr>
        <w:lastRenderedPageBreak/>
        <w:t>INFORMACIÓN SOBRE LOS RIESGOS PLANTEADOS EN EL BIENIO</w:t>
      </w:r>
    </w:p>
    <w:p w:rsidR="00FA2BC6" w:rsidRDefault="00FA2BC6"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2181"/>
        <w:gridCol w:w="2310"/>
        <w:gridCol w:w="2306"/>
      </w:tblGrid>
      <w:tr w:rsidR="00FA2BC6" w:rsidRPr="00CC4BA1" w:rsidTr="00DC1333">
        <w:trPr>
          <w:trHeight w:val="437"/>
          <w:tblHeader/>
        </w:trPr>
        <w:tc>
          <w:tcPr>
            <w:tcW w:w="2439"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2BC6" w:rsidRPr="00CC4BA1" w:rsidRDefault="00FA2BC6" w:rsidP="00DC1333">
            <w:pPr>
              <w:keepNext/>
              <w:keepLines/>
              <w:autoSpaceDE w:val="0"/>
              <w:autoSpaceDN w:val="0"/>
              <w:adjustRightInd w:val="0"/>
              <w:ind w:right="-59"/>
              <w:jc w:val="center"/>
              <w:rPr>
                <w:b/>
                <w:bCs/>
                <w:iCs/>
                <w:sz w:val="18"/>
                <w:szCs w:val="18"/>
              </w:rPr>
            </w:pPr>
            <w:r w:rsidRPr="00D10B62">
              <w:rPr>
                <w:b/>
                <w:bCs/>
                <w:iCs/>
                <w:sz w:val="18"/>
                <w:szCs w:val="18"/>
              </w:rPr>
              <w:t>Riesgos en el logro de los resultados del programa</w:t>
            </w:r>
          </w:p>
        </w:tc>
        <w:tc>
          <w:tcPr>
            <w:tcW w:w="2181" w:type="dxa"/>
            <w:tcBorders>
              <w:top w:val="single" w:sz="4" w:space="0" w:color="auto"/>
              <w:bottom w:val="single" w:sz="4" w:space="0" w:color="auto"/>
            </w:tcBorders>
            <w:shd w:val="clear" w:color="auto" w:fill="C6D9F1" w:themeFill="text2" w:themeFillTint="33"/>
            <w:tcMar>
              <w:top w:w="113" w:type="dxa"/>
              <w:bottom w:w="85" w:type="dxa"/>
            </w:tcMar>
            <w:vAlign w:val="center"/>
          </w:tcPr>
          <w:p w:rsidR="00FA2BC6" w:rsidRPr="00CC4BA1" w:rsidRDefault="00FA2BC6" w:rsidP="00DC1333">
            <w:pPr>
              <w:keepNext/>
              <w:keepLines/>
              <w:autoSpaceDE w:val="0"/>
              <w:autoSpaceDN w:val="0"/>
              <w:adjustRightInd w:val="0"/>
              <w:ind w:right="-59"/>
              <w:jc w:val="center"/>
              <w:rPr>
                <w:b/>
                <w:bCs/>
                <w:iCs/>
                <w:sz w:val="18"/>
                <w:szCs w:val="18"/>
              </w:rPr>
            </w:pPr>
            <w:r w:rsidRPr="00D10B62">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FA2BC6" w:rsidRPr="00CC4BA1" w:rsidRDefault="00FA2BC6" w:rsidP="00DC1333">
            <w:pPr>
              <w:keepNext/>
              <w:keepLines/>
              <w:jc w:val="center"/>
              <w:rPr>
                <w:b/>
                <w:bCs/>
                <w:sz w:val="18"/>
                <w:szCs w:val="18"/>
              </w:rPr>
            </w:pPr>
            <w:r w:rsidRPr="00D10B62">
              <w:rPr>
                <w:b/>
                <w:bCs/>
                <w:iCs/>
                <w:sz w:val="18"/>
                <w:szCs w:val="18"/>
              </w:rPr>
              <w:t>Evolución de los riesgos y estrategias de mitigación durante el bienio</w:t>
            </w:r>
          </w:p>
        </w:tc>
        <w:tc>
          <w:tcPr>
            <w:tcW w:w="2306" w:type="dxa"/>
            <w:tcBorders>
              <w:top w:val="single" w:sz="4" w:space="0" w:color="auto"/>
              <w:bottom w:val="single" w:sz="4" w:space="0" w:color="auto"/>
            </w:tcBorders>
            <w:shd w:val="clear" w:color="auto" w:fill="C6D9F1" w:themeFill="text2" w:themeFillTint="33"/>
          </w:tcPr>
          <w:p w:rsidR="00FA2BC6" w:rsidRPr="00CC4BA1" w:rsidRDefault="00FA2BC6" w:rsidP="00DC1333">
            <w:pPr>
              <w:keepNext/>
              <w:keepLines/>
              <w:jc w:val="center"/>
              <w:rPr>
                <w:b/>
                <w:bCs/>
                <w:sz w:val="18"/>
                <w:szCs w:val="18"/>
              </w:rPr>
            </w:pPr>
            <w:r w:rsidRPr="00D10B62">
              <w:rPr>
                <w:b/>
                <w:bCs/>
                <w:sz w:val="18"/>
                <w:szCs w:val="18"/>
              </w:rPr>
              <w:t>Incidencia en el rendimiento del programa</w:t>
            </w:r>
          </w:p>
        </w:tc>
      </w:tr>
      <w:tr w:rsidR="00FA2BC6" w:rsidRPr="003C527B" w:rsidTr="00DC1333">
        <w:trPr>
          <w:trHeight w:val="1051"/>
        </w:trPr>
        <w:tc>
          <w:tcPr>
            <w:tcW w:w="2439" w:type="dxa"/>
            <w:tcBorders>
              <w:top w:val="single" w:sz="4" w:space="0" w:color="auto"/>
            </w:tcBorders>
            <w:shd w:val="clear" w:color="auto" w:fill="auto"/>
            <w:tcMar>
              <w:top w:w="113" w:type="dxa"/>
              <w:bottom w:w="85" w:type="dxa"/>
            </w:tcMar>
          </w:tcPr>
          <w:p w:rsidR="00FA2BC6" w:rsidRPr="00E10D43" w:rsidRDefault="00FA2BC6" w:rsidP="00DC1333">
            <w:pPr>
              <w:keepNext/>
              <w:keepLines/>
              <w:rPr>
                <w:sz w:val="16"/>
                <w:szCs w:val="16"/>
              </w:rPr>
            </w:pPr>
            <w:r w:rsidRPr="00E10D43">
              <w:rPr>
                <w:sz w:val="16"/>
                <w:szCs w:val="16"/>
              </w:rPr>
              <w:t>Las peticiones de instalación de paquetes de programas informáticos de la OMPI recibidas de las oficinas de P.I. pueden ser distintas de los planes de trabajo.  Hay presiones para que comiencen los proyectos en oficinas en las que tal vez no haya las condiciones necesarias (en particular los recursos locales).  Esto puede dar lugar a que se comprometa un número excesivo de recursos de personal y de otra índole.</w:t>
            </w:r>
          </w:p>
        </w:tc>
        <w:tc>
          <w:tcPr>
            <w:tcW w:w="2181" w:type="dxa"/>
            <w:tcBorders>
              <w:top w:val="single" w:sz="4" w:space="0" w:color="auto"/>
            </w:tcBorders>
            <w:shd w:val="clear" w:color="auto" w:fill="auto"/>
            <w:tcMar>
              <w:top w:w="113" w:type="dxa"/>
              <w:bottom w:w="85" w:type="dxa"/>
            </w:tcMar>
          </w:tcPr>
          <w:p w:rsidR="00FA2BC6" w:rsidRPr="00A03C51" w:rsidRDefault="00FA2BC6" w:rsidP="00DC1333">
            <w:pPr>
              <w:keepNext/>
              <w:keepLines/>
              <w:autoSpaceDE w:val="0"/>
              <w:autoSpaceDN w:val="0"/>
              <w:adjustRightInd w:val="0"/>
              <w:ind w:right="-59"/>
              <w:rPr>
                <w:sz w:val="16"/>
                <w:szCs w:val="16"/>
              </w:rPr>
            </w:pPr>
            <w:r w:rsidRPr="00A03C51">
              <w:rPr>
                <w:sz w:val="16"/>
                <w:szCs w:val="16"/>
              </w:rPr>
              <w:t>Evaluación de los proyectos antes de su puesta en marcha.</w:t>
            </w:r>
            <w:r>
              <w:rPr>
                <w:sz w:val="16"/>
                <w:szCs w:val="16"/>
              </w:rPr>
              <w:t xml:space="preserve">  </w:t>
            </w:r>
            <w:r w:rsidRPr="00A03C51">
              <w:rPr>
                <w:sz w:val="16"/>
                <w:szCs w:val="16"/>
              </w:rPr>
              <w:t>Se acordarán planes de proyecto claros, en los que se especifiquen las funciones, las responsabilidades y los compromisos de recursos de todas las partes.</w:t>
            </w:r>
          </w:p>
        </w:tc>
        <w:tc>
          <w:tcPr>
            <w:tcW w:w="2310" w:type="dxa"/>
            <w:tcBorders>
              <w:top w:val="single" w:sz="4" w:space="0" w:color="auto"/>
            </w:tcBorders>
          </w:tcPr>
          <w:p w:rsidR="00FA2BC6" w:rsidRPr="003F7C8A" w:rsidRDefault="00FA2BC6" w:rsidP="00DC1333">
            <w:pPr>
              <w:keepNext/>
              <w:keepLines/>
              <w:autoSpaceDE w:val="0"/>
              <w:autoSpaceDN w:val="0"/>
              <w:adjustRightInd w:val="0"/>
              <w:ind w:right="-59"/>
              <w:rPr>
                <w:sz w:val="16"/>
                <w:szCs w:val="16"/>
              </w:rPr>
            </w:pPr>
            <w:r w:rsidRPr="003F7C8A">
              <w:rPr>
                <w:sz w:val="16"/>
                <w:szCs w:val="16"/>
              </w:rPr>
              <w:t>Este riesgo se materializó en el transcurso del bienio, pero se afrontó gestionando los proyectos con flexibilidad, en especial mediante la reasignación de recursos entre los proyectos, lo que facilitó que el programa se adaptara a los cambios imprevistos de la demanda que se produjeron durante el bienio.</w:t>
            </w:r>
          </w:p>
        </w:tc>
        <w:tc>
          <w:tcPr>
            <w:tcW w:w="2306" w:type="dxa"/>
            <w:tcBorders>
              <w:top w:val="single" w:sz="4" w:space="0" w:color="auto"/>
            </w:tcBorders>
          </w:tcPr>
          <w:p w:rsidR="00FA2BC6" w:rsidRPr="003C527B" w:rsidRDefault="00FA2BC6" w:rsidP="00DC1333">
            <w:pPr>
              <w:autoSpaceDE w:val="0"/>
              <w:autoSpaceDN w:val="0"/>
              <w:adjustRightInd w:val="0"/>
              <w:ind w:right="-59"/>
              <w:rPr>
                <w:sz w:val="16"/>
                <w:szCs w:val="16"/>
              </w:rPr>
            </w:pPr>
            <w:r w:rsidRPr="006A7171">
              <w:rPr>
                <w:sz w:val="16"/>
                <w:szCs w:val="16"/>
              </w:rPr>
              <w:t xml:space="preserve">Este riesgo y su evolución no incidieron sustancialmente en el rendimiento del programa en </w:t>
            </w:r>
            <w:r>
              <w:rPr>
                <w:sz w:val="16"/>
                <w:szCs w:val="16"/>
              </w:rPr>
              <w:t>2014/15.</w:t>
            </w:r>
          </w:p>
        </w:tc>
      </w:tr>
      <w:tr w:rsidR="00FA2BC6" w:rsidRPr="00451B6B" w:rsidTr="00DC1333">
        <w:trPr>
          <w:trHeight w:val="700"/>
        </w:trPr>
        <w:tc>
          <w:tcPr>
            <w:tcW w:w="2439" w:type="dxa"/>
            <w:shd w:val="clear" w:color="auto" w:fill="auto"/>
            <w:tcMar>
              <w:top w:w="113" w:type="dxa"/>
              <w:bottom w:w="85" w:type="dxa"/>
            </w:tcMar>
          </w:tcPr>
          <w:p w:rsidR="00FA2BC6" w:rsidRPr="001E44FB" w:rsidRDefault="00FA2BC6" w:rsidP="00DC1333">
            <w:pPr>
              <w:keepNext/>
              <w:keepLines/>
              <w:rPr>
                <w:sz w:val="16"/>
                <w:szCs w:val="16"/>
              </w:rPr>
            </w:pPr>
            <w:r w:rsidRPr="001E44FB">
              <w:rPr>
                <w:sz w:val="16"/>
                <w:szCs w:val="16"/>
              </w:rPr>
              <w:t xml:space="preserve">Los paquetes de programas informáticos de la OMPI (suministrados a las oficinas de P.I.) son concebidos por contratistas externos y cuentan con </w:t>
            </w:r>
            <w:r>
              <w:rPr>
                <w:sz w:val="16"/>
                <w:szCs w:val="16"/>
              </w:rPr>
              <w:t>el apoyo de estos</w:t>
            </w:r>
            <w:r w:rsidRPr="001E44FB">
              <w:rPr>
                <w:sz w:val="16"/>
                <w:szCs w:val="16"/>
              </w:rPr>
              <w:t>.  Puede que esto acarree la pérdida de conocimientos con poco tiempo para reaccionar.</w:t>
            </w:r>
          </w:p>
        </w:tc>
        <w:tc>
          <w:tcPr>
            <w:tcW w:w="2181" w:type="dxa"/>
            <w:shd w:val="clear" w:color="auto" w:fill="auto"/>
            <w:tcMar>
              <w:top w:w="113" w:type="dxa"/>
              <w:bottom w:w="85" w:type="dxa"/>
            </w:tcMar>
          </w:tcPr>
          <w:p w:rsidR="00FA2BC6" w:rsidRPr="001E44FB" w:rsidRDefault="00FA2BC6" w:rsidP="00DC1333">
            <w:pPr>
              <w:keepNext/>
              <w:keepLines/>
              <w:autoSpaceDE w:val="0"/>
              <w:autoSpaceDN w:val="0"/>
              <w:adjustRightInd w:val="0"/>
              <w:ind w:right="-59"/>
              <w:rPr>
                <w:sz w:val="16"/>
                <w:szCs w:val="16"/>
              </w:rPr>
            </w:pPr>
            <w:r w:rsidRPr="001E44FB">
              <w:rPr>
                <w:sz w:val="16"/>
                <w:szCs w:val="16"/>
              </w:rPr>
              <w:t>Siempre que sea posible, los conocimientos fundamentales deberán continuar estando en manos del personal de la OMPI.</w:t>
            </w:r>
            <w:r>
              <w:rPr>
                <w:sz w:val="16"/>
                <w:szCs w:val="16"/>
              </w:rPr>
              <w:t xml:space="preserve"> </w:t>
            </w:r>
            <w:r w:rsidRPr="001E44FB">
              <w:rPr>
                <w:sz w:val="16"/>
                <w:szCs w:val="16"/>
              </w:rPr>
              <w:t xml:space="preserve"> Es necesario que los contratos con empresas externas incluyan una cláusula relativa a la transferencia de conocimientos en caso de re</w:t>
            </w:r>
            <w:r>
              <w:rPr>
                <w:sz w:val="16"/>
                <w:szCs w:val="16"/>
              </w:rPr>
              <w:t>s</w:t>
            </w:r>
            <w:r w:rsidRPr="001E44FB">
              <w:rPr>
                <w:sz w:val="16"/>
                <w:szCs w:val="16"/>
              </w:rPr>
              <w:t>cisión del contrato.</w:t>
            </w:r>
          </w:p>
        </w:tc>
        <w:tc>
          <w:tcPr>
            <w:tcW w:w="2310" w:type="dxa"/>
          </w:tcPr>
          <w:p w:rsidR="00FA2BC6" w:rsidRPr="00D3386C" w:rsidRDefault="00FA2BC6" w:rsidP="00DC1333">
            <w:pPr>
              <w:keepNext/>
              <w:keepLines/>
              <w:autoSpaceDE w:val="0"/>
              <w:autoSpaceDN w:val="0"/>
              <w:adjustRightInd w:val="0"/>
              <w:ind w:right="-59"/>
              <w:rPr>
                <w:sz w:val="16"/>
                <w:szCs w:val="16"/>
              </w:rPr>
            </w:pPr>
            <w:r w:rsidRPr="003F7C8A">
              <w:rPr>
                <w:sz w:val="16"/>
                <w:szCs w:val="16"/>
              </w:rPr>
              <w:t xml:space="preserve">En 2014 se contrató un diseñador de programas informáticos para reducir el riesgo y se destinaron más </w:t>
            </w:r>
            <w:r>
              <w:rPr>
                <w:sz w:val="16"/>
                <w:szCs w:val="16"/>
              </w:rPr>
              <w:t xml:space="preserve">recursos de personal y contratistas </w:t>
            </w:r>
            <w:r w:rsidRPr="003F7C8A">
              <w:rPr>
                <w:sz w:val="16"/>
                <w:szCs w:val="16"/>
              </w:rPr>
              <w:t xml:space="preserve">a la transferencia de conocimientos </w:t>
            </w:r>
            <w:r>
              <w:rPr>
                <w:sz w:val="16"/>
                <w:szCs w:val="16"/>
              </w:rPr>
              <w:t xml:space="preserve">de los contratistas externos.  </w:t>
            </w:r>
            <w:r w:rsidRPr="00E0361E">
              <w:rPr>
                <w:sz w:val="16"/>
                <w:szCs w:val="16"/>
              </w:rPr>
              <w:t>Gracias a ello</w:t>
            </w:r>
            <w:r>
              <w:rPr>
                <w:sz w:val="16"/>
                <w:szCs w:val="16"/>
              </w:rPr>
              <w:t>,</w:t>
            </w:r>
            <w:r w:rsidRPr="00E0361E">
              <w:rPr>
                <w:sz w:val="16"/>
                <w:szCs w:val="16"/>
              </w:rPr>
              <w:t xml:space="preserve"> durante el bienio mejoraron el intercambio y la retención de conocimientos.</w:t>
            </w:r>
          </w:p>
        </w:tc>
        <w:tc>
          <w:tcPr>
            <w:tcW w:w="2306" w:type="dxa"/>
          </w:tcPr>
          <w:p w:rsidR="00FA2BC6" w:rsidRPr="00451B6B" w:rsidRDefault="00FA2BC6" w:rsidP="00DC1333">
            <w:pPr>
              <w:autoSpaceDE w:val="0"/>
              <w:autoSpaceDN w:val="0"/>
              <w:adjustRightInd w:val="0"/>
              <w:ind w:right="-59"/>
              <w:rPr>
                <w:sz w:val="16"/>
                <w:szCs w:val="16"/>
              </w:rPr>
            </w:pPr>
            <w:r w:rsidRPr="00451B6B">
              <w:rPr>
                <w:sz w:val="16"/>
                <w:szCs w:val="16"/>
              </w:rPr>
              <w:t>Este riesgo y su evolución no incidieron sustancialmente en el rendimiento del programa en 2014/15.</w:t>
            </w:r>
          </w:p>
        </w:tc>
      </w:tr>
      <w:tr w:rsidR="00FA2BC6" w:rsidRPr="00451B6B" w:rsidTr="00DC1333">
        <w:trPr>
          <w:trHeight w:val="843"/>
        </w:trPr>
        <w:tc>
          <w:tcPr>
            <w:tcW w:w="2439" w:type="dxa"/>
            <w:shd w:val="clear" w:color="auto" w:fill="auto"/>
            <w:tcMar>
              <w:top w:w="113" w:type="dxa"/>
              <w:bottom w:w="85" w:type="dxa"/>
            </w:tcMar>
          </w:tcPr>
          <w:p w:rsidR="00FA2BC6" w:rsidRPr="00260E31" w:rsidRDefault="00FA2BC6" w:rsidP="00DC1333">
            <w:pPr>
              <w:keepNext/>
              <w:keepLines/>
              <w:rPr>
                <w:sz w:val="16"/>
                <w:szCs w:val="16"/>
              </w:rPr>
            </w:pPr>
            <w:r w:rsidRPr="00260E31">
              <w:rPr>
                <w:sz w:val="16"/>
                <w:szCs w:val="16"/>
              </w:rPr>
              <w:t>Las oficinas emplean los sistemas de programas informáticos de la OMPI para sus actividades principales.  Un fallo en uno de esos sistemas puede tener consecuencias graves para sus actividades diarias.  Por tanto, muchas oficinas esperan que la OMPI preste un apoyo continuo y suficiente.</w:t>
            </w:r>
          </w:p>
        </w:tc>
        <w:tc>
          <w:tcPr>
            <w:tcW w:w="2181" w:type="dxa"/>
            <w:shd w:val="clear" w:color="auto" w:fill="auto"/>
            <w:tcMar>
              <w:top w:w="113" w:type="dxa"/>
              <w:bottom w:w="85" w:type="dxa"/>
            </w:tcMar>
          </w:tcPr>
          <w:p w:rsidR="00FA2BC6" w:rsidRPr="003F7C8A" w:rsidRDefault="00FA2BC6" w:rsidP="00DC1333">
            <w:pPr>
              <w:keepNext/>
              <w:keepLines/>
              <w:autoSpaceDE w:val="0"/>
              <w:autoSpaceDN w:val="0"/>
              <w:adjustRightInd w:val="0"/>
              <w:ind w:right="-59"/>
              <w:rPr>
                <w:sz w:val="16"/>
                <w:szCs w:val="16"/>
              </w:rPr>
            </w:pPr>
            <w:r w:rsidRPr="003F7C8A">
              <w:rPr>
                <w:sz w:val="16"/>
                <w:szCs w:val="16"/>
              </w:rPr>
              <w:t>Asignación de recursos suficientes para la prestación de asistencia relacionada con los programas informáticos.</w:t>
            </w:r>
            <w:r>
              <w:rPr>
                <w:sz w:val="16"/>
                <w:szCs w:val="16"/>
              </w:rPr>
              <w:t xml:space="preserve">  </w:t>
            </w:r>
            <w:r w:rsidRPr="003F7C8A">
              <w:rPr>
                <w:sz w:val="16"/>
                <w:szCs w:val="16"/>
              </w:rPr>
              <w:t>Asignación de recursos suficientes para la prestación de asistencia relacionada con los programas informáticos.  Establecimiento de procedimientos formales relacionados con los programas informáticos y el apoyo que se presta a estos.</w:t>
            </w:r>
          </w:p>
        </w:tc>
        <w:tc>
          <w:tcPr>
            <w:tcW w:w="2310" w:type="dxa"/>
          </w:tcPr>
          <w:p w:rsidR="00FA2BC6" w:rsidRPr="006A7171" w:rsidRDefault="00FA2BC6" w:rsidP="00DC1333">
            <w:pPr>
              <w:keepNext/>
              <w:keepLines/>
              <w:autoSpaceDE w:val="0"/>
              <w:autoSpaceDN w:val="0"/>
              <w:adjustRightInd w:val="0"/>
              <w:ind w:right="-59"/>
              <w:rPr>
                <w:sz w:val="16"/>
                <w:szCs w:val="16"/>
              </w:rPr>
            </w:pPr>
            <w:r>
              <w:rPr>
                <w:sz w:val="16"/>
                <w:szCs w:val="16"/>
              </w:rPr>
              <w:t>El personal interno de las oficinas de P.I. y los expertos de la OMPI solucionaron de manera eficaz l</w:t>
            </w:r>
            <w:r w:rsidRPr="006A7171">
              <w:rPr>
                <w:sz w:val="16"/>
                <w:szCs w:val="16"/>
              </w:rPr>
              <w:t>os incident</w:t>
            </w:r>
            <w:r>
              <w:rPr>
                <w:sz w:val="16"/>
                <w:szCs w:val="16"/>
              </w:rPr>
              <w:t>e</w:t>
            </w:r>
            <w:r w:rsidRPr="006A7171">
              <w:rPr>
                <w:sz w:val="16"/>
                <w:szCs w:val="16"/>
              </w:rPr>
              <w:t xml:space="preserve">s graves que </w:t>
            </w:r>
            <w:r>
              <w:rPr>
                <w:sz w:val="16"/>
                <w:szCs w:val="16"/>
              </w:rPr>
              <w:t>afrontaron las oficinas</w:t>
            </w:r>
            <w:r w:rsidRPr="006A7171">
              <w:rPr>
                <w:sz w:val="16"/>
                <w:szCs w:val="16"/>
              </w:rPr>
              <w:t xml:space="preserve"> durante el bienio.  Se asignaron m</w:t>
            </w:r>
            <w:r>
              <w:rPr>
                <w:sz w:val="16"/>
                <w:szCs w:val="16"/>
              </w:rPr>
              <w:t xml:space="preserve">ás recursos a </w:t>
            </w:r>
            <w:r w:rsidRPr="006A7171">
              <w:rPr>
                <w:sz w:val="16"/>
                <w:szCs w:val="16"/>
              </w:rPr>
              <w:t>formaci</w:t>
            </w:r>
            <w:r>
              <w:rPr>
                <w:sz w:val="16"/>
                <w:szCs w:val="16"/>
              </w:rPr>
              <w:t xml:space="preserve">ón y </w:t>
            </w:r>
            <w:r w:rsidRPr="006A7171">
              <w:rPr>
                <w:sz w:val="16"/>
                <w:szCs w:val="16"/>
              </w:rPr>
              <w:t>transferencia de tecnolog</w:t>
            </w:r>
            <w:r>
              <w:rPr>
                <w:sz w:val="16"/>
                <w:szCs w:val="16"/>
              </w:rPr>
              <w:t>ía.</w:t>
            </w:r>
          </w:p>
        </w:tc>
        <w:tc>
          <w:tcPr>
            <w:tcW w:w="2306" w:type="dxa"/>
          </w:tcPr>
          <w:p w:rsidR="00FA2BC6" w:rsidRPr="00451B6B" w:rsidRDefault="00FA2BC6" w:rsidP="00DC1333">
            <w:pPr>
              <w:autoSpaceDE w:val="0"/>
              <w:autoSpaceDN w:val="0"/>
              <w:adjustRightInd w:val="0"/>
              <w:ind w:right="-59"/>
              <w:rPr>
                <w:sz w:val="16"/>
                <w:szCs w:val="16"/>
              </w:rPr>
            </w:pPr>
            <w:r w:rsidRPr="00451B6B">
              <w:rPr>
                <w:sz w:val="16"/>
                <w:szCs w:val="16"/>
              </w:rPr>
              <w:t>Este riesgo y su evolución no incidieron sustancialmente en el rendimiento del programa en 2014/15.</w:t>
            </w:r>
          </w:p>
        </w:tc>
      </w:tr>
    </w:tbl>
    <w:p w:rsidR="00FA2BC6" w:rsidRDefault="00FA2BC6" w:rsidP="00DC1333">
      <w:pPr>
        <w:rPr>
          <w:color w:val="000000"/>
        </w:rPr>
      </w:pPr>
    </w:p>
    <w:p w:rsidR="00FA2BC6" w:rsidRPr="00451B6B" w:rsidRDefault="00FA2BC6" w:rsidP="00DC1333">
      <w:pPr>
        <w:rPr>
          <w:color w:val="000000"/>
        </w:rPr>
      </w:pPr>
    </w:p>
    <w:p w:rsidR="00FA2BC6" w:rsidRPr="00526311" w:rsidRDefault="00403D2C" w:rsidP="00DC1333">
      <w:pPr>
        <w:jc w:val="both"/>
        <w:rPr>
          <w:b/>
        </w:rPr>
      </w:pPr>
      <w:r w:rsidRPr="00403D2C">
        <w:rPr>
          <w:sz w:val="20"/>
          <w:szCs w:val="22"/>
        </w:rPr>
        <w:t>UTILIZACIÓN DE LOS RECURSOS</w:t>
      </w:r>
    </w:p>
    <w:p w:rsidR="00FA2BC6" w:rsidRPr="00526311" w:rsidRDefault="00FA2BC6" w:rsidP="00DC1333">
      <w:pPr>
        <w:jc w:val="both"/>
      </w:pPr>
    </w:p>
    <w:p w:rsidR="00FA2BC6" w:rsidRPr="00526311" w:rsidRDefault="00FA2BC6" w:rsidP="00DC1333">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FA2BC6" w:rsidRPr="00526311" w:rsidRDefault="00FA2BC6"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2BC6" w:rsidRPr="00526311" w:rsidRDefault="00FA2BC6" w:rsidP="00DC1333">
      <w:pPr>
        <w:pStyle w:val="NormalWeb"/>
        <w:spacing w:before="0" w:beforeAutospacing="0" w:after="0" w:afterAutospacing="0"/>
        <w:jc w:val="both"/>
        <w:rPr>
          <w:sz w:val="20"/>
          <w:szCs w:val="20"/>
          <w:lang w:val="es-ES"/>
        </w:rPr>
      </w:pPr>
    </w:p>
    <w:p w:rsidR="00FA2BC6" w:rsidRPr="00526311" w:rsidRDefault="00FA2BC6" w:rsidP="00DC1333">
      <w:pPr>
        <w:jc w:val="center"/>
      </w:pPr>
      <w:bookmarkStart w:id="134" w:name="Bm15"/>
      <w:bookmarkStart w:id="135" w:name="Punto15"/>
      <w:r>
        <w:rPr>
          <w:noProof/>
          <w:lang w:val="en-US" w:eastAsia="en-US"/>
        </w:rPr>
        <w:drawing>
          <wp:inline distT="0" distB="0" distL="0" distR="0" wp14:anchorId="1F51CD26" wp14:editId="2037EF37">
            <wp:extent cx="5676900" cy="15716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76900" cy="1571625"/>
                    </a:xfrm>
                    <a:prstGeom prst="rect">
                      <a:avLst/>
                    </a:prstGeom>
                    <a:noFill/>
                    <a:ln>
                      <a:noFill/>
                    </a:ln>
                  </pic:spPr>
                </pic:pic>
              </a:graphicData>
            </a:graphic>
          </wp:inline>
        </w:drawing>
      </w:r>
      <w:bookmarkEnd w:id="134"/>
      <w:bookmarkEnd w:id="135"/>
    </w:p>
    <w:p w:rsidR="00FA2BC6" w:rsidRPr="00526311" w:rsidRDefault="00FA2BC6" w:rsidP="00DC1333">
      <w:pPr>
        <w:jc w:val="both"/>
      </w:pPr>
    </w:p>
    <w:p w:rsidR="00FA2BC6" w:rsidRPr="00526311" w:rsidRDefault="00FA2BC6" w:rsidP="00DC1333">
      <w:pPr>
        <w:jc w:val="both"/>
      </w:pPr>
    </w:p>
    <w:p w:rsidR="00FA2BC6" w:rsidRPr="00526311" w:rsidRDefault="00FA2BC6" w:rsidP="00DC1333">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FA2BC6" w:rsidRPr="00526311" w:rsidRDefault="00FA2BC6" w:rsidP="00DC1333">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FA2BC6" w:rsidRPr="00526311" w:rsidRDefault="00FA2BC6" w:rsidP="00DC1333">
      <w:pPr>
        <w:pStyle w:val="NormalWeb"/>
        <w:keepNext/>
        <w:keepLines/>
        <w:spacing w:before="0" w:beforeAutospacing="0" w:after="0" w:afterAutospacing="0"/>
        <w:jc w:val="both"/>
        <w:rPr>
          <w:sz w:val="20"/>
          <w:szCs w:val="20"/>
          <w:lang w:val="es-ES"/>
        </w:rPr>
      </w:pPr>
    </w:p>
    <w:p w:rsidR="00FA2BC6" w:rsidRPr="00526311" w:rsidRDefault="00FA2BC6" w:rsidP="00DC1333">
      <w:pPr>
        <w:jc w:val="center"/>
      </w:pPr>
      <w:bookmarkStart w:id="136" w:name="Point15"/>
      <w:r>
        <w:rPr>
          <w:noProof/>
          <w:lang w:val="en-US" w:eastAsia="en-US"/>
        </w:rPr>
        <w:drawing>
          <wp:inline distT="0" distB="0" distL="0" distR="0" wp14:anchorId="1CE0E49A" wp14:editId="7AAEB6B1">
            <wp:extent cx="5940425" cy="1066865"/>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425" cy="1066865"/>
                    </a:xfrm>
                    <a:prstGeom prst="rect">
                      <a:avLst/>
                    </a:prstGeom>
                    <a:noFill/>
                    <a:ln>
                      <a:noFill/>
                    </a:ln>
                  </pic:spPr>
                </pic:pic>
              </a:graphicData>
            </a:graphic>
          </wp:inline>
        </w:drawing>
      </w:r>
      <w:bookmarkEnd w:id="136"/>
    </w:p>
    <w:p w:rsidR="00FA2BC6" w:rsidRDefault="00FA2BC6" w:rsidP="00DC1333">
      <w:pPr>
        <w:widowControl w:val="0"/>
        <w:autoSpaceDE w:val="0"/>
        <w:autoSpaceDN w:val="0"/>
        <w:adjustRightInd w:val="0"/>
        <w:jc w:val="both"/>
        <w:rPr>
          <w:sz w:val="20"/>
        </w:rPr>
      </w:pPr>
    </w:p>
    <w:p w:rsidR="00FA2BC6" w:rsidRPr="00526311" w:rsidRDefault="00FA2BC6" w:rsidP="00DC1333">
      <w:pPr>
        <w:widowControl w:val="0"/>
        <w:autoSpaceDE w:val="0"/>
        <w:autoSpaceDN w:val="0"/>
        <w:adjustRightInd w:val="0"/>
        <w:jc w:val="both"/>
        <w:rPr>
          <w:sz w:val="20"/>
        </w:rPr>
      </w:pPr>
    </w:p>
    <w:p w:rsidR="00FA2BC6" w:rsidRPr="00526311" w:rsidRDefault="00403D2C" w:rsidP="00DC1333">
      <w:pPr>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FA2BC6" w:rsidRPr="00526311" w:rsidRDefault="00FA2BC6" w:rsidP="00DC1333">
      <w:pPr>
        <w:jc w:val="both"/>
        <w:rPr>
          <w:sz w:val="20"/>
          <w:u w:val="single"/>
        </w:rPr>
      </w:pPr>
    </w:p>
    <w:p w:rsidR="00FA2BC6" w:rsidRPr="009D4701" w:rsidRDefault="00FA2BC6" w:rsidP="00FA2BC6">
      <w:pPr>
        <w:pStyle w:val="ListParagraph"/>
        <w:numPr>
          <w:ilvl w:val="0"/>
          <w:numId w:val="74"/>
        </w:numPr>
        <w:tabs>
          <w:tab w:val="left" w:pos="709"/>
        </w:tabs>
        <w:ind w:left="0" w:firstLine="0"/>
        <w:jc w:val="both"/>
        <w:rPr>
          <w:rFonts w:cs="Arial"/>
          <w:bCs/>
          <w:lang w:val="es-ES"/>
        </w:rPr>
      </w:pPr>
      <w:r w:rsidRPr="00526311">
        <w:rPr>
          <w:rFonts w:cs="Arial"/>
          <w:bCs/>
          <w:lang w:val="es-ES"/>
        </w:rPr>
        <w:t xml:space="preserve">El incremento en el presupuesto </w:t>
      </w:r>
      <w:r>
        <w:rPr>
          <w:rFonts w:cs="Arial"/>
          <w:bCs/>
          <w:lang w:val="es-ES"/>
        </w:rPr>
        <w:t xml:space="preserve">final </w:t>
      </w:r>
      <w:r w:rsidRPr="00526311">
        <w:rPr>
          <w:rFonts w:cs="Arial"/>
          <w:bCs/>
          <w:lang w:val="es-ES"/>
        </w:rPr>
        <w:t>de 2014/15</w:t>
      </w:r>
      <w:r>
        <w:rPr>
          <w:rFonts w:cs="Arial"/>
          <w:bCs/>
          <w:lang w:val="es-ES"/>
        </w:rPr>
        <w:t xml:space="preserve"> tras las transferencias (recursos de personal) se debió</w:t>
      </w:r>
      <w:r w:rsidRPr="00526311">
        <w:rPr>
          <w:rFonts w:cs="Arial"/>
          <w:bCs/>
          <w:lang w:val="es-ES"/>
        </w:rPr>
        <w:t xml:space="preserve"> principalmente a la transferencia de un cargo al programa para asistir en la puesta en marcha y la adaptación de las soluciones operativas de la OMPI para las Oficinas de P.I.</w:t>
      </w:r>
      <w:r>
        <w:rPr>
          <w:rFonts w:cs="Arial"/>
          <w:bCs/>
          <w:lang w:val="es-ES"/>
        </w:rPr>
        <w:t xml:space="preserve">, sobre todo en lo que respecta al diseño y la arquitectura de los programas informáticos, así como el </w:t>
      </w:r>
      <w:r w:rsidRPr="00526311">
        <w:rPr>
          <w:rFonts w:cs="Arial"/>
          <w:lang w:val="es-ES"/>
        </w:rPr>
        <w:t>proyecto “Conexión de Derecho de Autor de la OMPI” (WCC)</w:t>
      </w:r>
      <w:r>
        <w:rPr>
          <w:rFonts w:cs="Arial"/>
          <w:lang w:val="es-ES"/>
        </w:rPr>
        <w:t>.</w:t>
      </w:r>
    </w:p>
    <w:p w:rsidR="00FA2BC6" w:rsidRPr="009D4701" w:rsidRDefault="00FA2BC6" w:rsidP="00DC1333">
      <w:pPr>
        <w:pStyle w:val="ListParagraph"/>
        <w:tabs>
          <w:tab w:val="left" w:pos="709"/>
        </w:tabs>
        <w:ind w:left="0"/>
        <w:jc w:val="both"/>
        <w:rPr>
          <w:rFonts w:cs="Arial"/>
          <w:bCs/>
          <w:lang w:val="es-ES"/>
        </w:rPr>
      </w:pPr>
    </w:p>
    <w:p w:rsidR="00FA2BC6" w:rsidRPr="00526311" w:rsidRDefault="00FA2BC6" w:rsidP="00FA2BC6">
      <w:pPr>
        <w:pStyle w:val="ListParagraph"/>
        <w:numPr>
          <w:ilvl w:val="0"/>
          <w:numId w:val="74"/>
        </w:numPr>
        <w:tabs>
          <w:tab w:val="left" w:pos="709"/>
        </w:tabs>
        <w:ind w:left="0" w:firstLine="0"/>
        <w:jc w:val="both"/>
        <w:rPr>
          <w:rFonts w:cs="Arial"/>
          <w:bCs/>
          <w:lang w:val="es-ES"/>
        </w:rPr>
      </w:pPr>
      <w:r>
        <w:rPr>
          <w:rFonts w:cs="Arial"/>
          <w:bCs/>
          <w:lang w:val="es-ES"/>
        </w:rPr>
        <w:t xml:space="preserve">El ligero incremento neto de los recursos no relativos a personal refleja de una parte i) los </w:t>
      </w:r>
      <w:r w:rsidRPr="00526311">
        <w:rPr>
          <w:rFonts w:cs="Arial"/>
          <w:bCs/>
          <w:lang w:val="es-ES"/>
        </w:rPr>
        <w:t xml:space="preserve">recursos adicionales proporcionados para cubrir </w:t>
      </w:r>
      <w:r>
        <w:rPr>
          <w:rFonts w:cs="Arial"/>
          <w:bCs/>
          <w:lang w:val="es-ES"/>
        </w:rPr>
        <w:t xml:space="preserve">los </w:t>
      </w:r>
      <w:r w:rsidRPr="00526311">
        <w:rPr>
          <w:rFonts w:cs="Arial"/>
          <w:bCs/>
          <w:lang w:val="es-ES"/>
        </w:rPr>
        <w:t xml:space="preserve">costos de TIC para el proyecto TIGAR tras la trasferencia </w:t>
      </w:r>
      <w:r>
        <w:rPr>
          <w:rFonts w:cs="Arial"/>
          <w:bCs/>
          <w:lang w:val="es-ES"/>
        </w:rPr>
        <w:t xml:space="preserve">al programa </w:t>
      </w:r>
      <w:r w:rsidRPr="00526311">
        <w:rPr>
          <w:rFonts w:cs="Arial"/>
          <w:bCs/>
          <w:lang w:val="es-ES"/>
        </w:rPr>
        <w:t xml:space="preserve">de </w:t>
      </w:r>
      <w:r>
        <w:rPr>
          <w:rFonts w:cs="Arial"/>
          <w:bCs/>
          <w:lang w:val="es-ES"/>
        </w:rPr>
        <w:t>las responsabilidades</w:t>
      </w:r>
      <w:r w:rsidRPr="00526311">
        <w:rPr>
          <w:rFonts w:cs="Arial"/>
          <w:bCs/>
          <w:lang w:val="es-ES"/>
        </w:rPr>
        <w:t xml:space="preserve"> </w:t>
      </w:r>
      <w:r>
        <w:rPr>
          <w:rFonts w:cs="Arial"/>
          <w:bCs/>
          <w:lang w:val="es-ES"/>
        </w:rPr>
        <w:t>del programa 3 (</w:t>
      </w:r>
      <w:r>
        <w:rPr>
          <w:lang w:val="es-ES"/>
        </w:rPr>
        <w:t>D</w:t>
      </w:r>
      <w:r w:rsidRPr="001D16DD">
        <w:rPr>
          <w:lang w:val="es-ES"/>
        </w:rPr>
        <w:t>erecho de autor y derechos conexos</w:t>
      </w:r>
      <w:r>
        <w:rPr>
          <w:rFonts w:cs="Arial"/>
          <w:bCs/>
          <w:lang w:val="es-ES"/>
        </w:rPr>
        <w:t xml:space="preserve">) </w:t>
      </w:r>
      <w:r w:rsidRPr="00526311">
        <w:rPr>
          <w:rFonts w:cs="Arial"/>
          <w:bCs/>
          <w:lang w:val="es-ES"/>
        </w:rPr>
        <w:t>con respecto a las ta</w:t>
      </w:r>
      <w:r>
        <w:rPr>
          <w:rFonts w:cs="Arial"/>
          <w:bCs/>
          <w:lang w:val="es-ES"/>
        </w:rPr>
        <w:t>reas de TIC del proyecto TIGAR, y de otra ii) la transferencia de recursos del programa al programa 12 (</w:t>
      </w:r>
      <w:r>
        <w:rPr>
          <w:lang w:val="es-ES"/>
        </w:rPr>
        <w:t>C</w:t>
      </w:r>
      <w:r w:rsidRPr="001D16DD">
        <w:rPr>
          <w:lang w:val="es-ES"/>
        </w:rPr>
        <w:t>lasificaciones internacionales y normas técnicas)</w:t>
      </w:r>
      <w:r>
        <w:rPr>
          <w:lang w:val="es-ES"/>
        </w:rPr>
        <w:t xml:space="preserve"> para financiar los gastos superiores a lo previsto derivados del desarrollo y alojamiento de la base de datos de reclasificación de la CIP.</w:t>
      </w:r>
    </w:p>
    <w:p w:rsidR="00FA2BC6" w:rsidRPr="00526311" w:rsidRDefault="00FA2BC6" w:rsidP="00DC1333">
      <w:pPr>
        <w:autoSpaceDE w:val="0"/>
        <w:autoSpaceDN w:val="0"/>
        <w:jc w:val="both"/>
        <w:rPr>
          <w:sz w:val="20"/>
          <w:lang w:eastAsia="ko-KR"/>
        </w:rPr>
      </w:pPr>
    </w:p>
    <w:p w:rsidR="00FA2BC6" w:rsidRPr="00526311"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FA2BC6" w:rsidRPr="00526311" w:rsidRDefault="00FA2BC6" w:rsidP="00DC1333">
      <w:pPr>
        <w:tabs>
          <w:tab w:val="left" w:pos="709"/>
        </w:tabs>
        <w:jc w:val="both"/>
        <w:rPr>
          <w:sz w:val="20"/>
          <w:u w:val="single"/>
          <w:lang w:eastAsia="ko-KR"/>
        </w:rPr>
      </w:pPr>
    </w:p>
    <w:p w:rsidR="00FA2BC6" w:rsidRPr="00526311" w:rsidRDefault="00FA2BC6" w:rsidP="00FA2BC6">
      <w:pPr>
        <w:pStyle w:val="ListParagraph"/>
        <w:numPr>
          <w:ilvl w:val="0"/>
          <w:numId w:val="74"/>
        </w:numPr>
        <w:tabs>
          <w:tab w:val="left" w:pos="709"/>
        </w:tabs>
        <w:ind w:left="0" w:firstLine="0"/>
        <w:jc w:val="both"/>
        <w:rPr>
          <w:rFonts w:cs="Arial"/>
          <w:bCs/>
          <w:lang w:val="es-ES"/>
        </w:rPr>
      </w:pPr>
      <w:r w:rsidRPr="00526311">
        <w:rPr>
          <w:rFonts w:cs="Arial"/>
          <w:bCs/>
          <w:lang w:val="es-ES"/>
        </w:rPr>
        <w:t xml:space="preserve">La utilización de los recursos no relativos </w:t>
      </w:r>
      <w:r>
        <w:rPr>
          <w:rFonts w:cs="Arial"/>
          <w:bCs/>
          <w:lang w:val="es-ES"/>
        </w:rPr>
        <w:t xml:space="preserve">a personal </w:t>
      </w:r>
      <w:r w:rsidRPr="00526311">
        <w:rPr>
          <w:rFonts w:cs="Arial"/>
          <w:bCs/>
          <w:lang w:val="es-ES"/>
        </w:rPr>
        <w:t>a</w:t>
      </w:r>
      <w:r>
        <w:rPr>
          <w:rFonts w:cs="Arial"/>
          <w:bCs/>
          <w:lang w:val="es-ES"/>
        </w:rPr>
        <w:t>lcanzó el 91% debido a la finalización de la fase de desarrollo de la plataforma</w:t>
      </w:r>
      <w:r w:rsidRPr="00526311">
        <w:rPr>
          <w:rFonts w:cs="Arial"/>
          <w:bCs/>
          <w:lang w:val="es-ES"/>
        </w:rPr>
        <w:t xml:space="preserve"> </w:t>
      </w:r>
      <w:r>
        <w:rPr>
          <w:rFonts w:cs="Arial"/>
          <w:bCs/>
          <w:lang w:val="es-ES"/>
        </w:rPr>
        <w:t xml:space="preserve">informática del </w:t>
      </w:r>
      <w:r w:rsidRPr="00526311">
        <w:rPr>
          <w:rFonts w:cs="Arial"/>
          <w:bCs/>
          <w:lang w:val="es-ES"/>
        </w:rPr>
        <w:t xml:space="preserve">WCC, </w:t>
      </w:r>
      <w:r>
        <w:rPr>
          <w:rFonts w:cs="Arial"/>
          <w:bCs/>
          <w:lang w:val="es-ES"/>
        </w:rPr>
        <w:t>lo que provocó</w:t>
      </w:r>
      <w:r w:rsidR="009A26F2">
        <w:rPr>
          <w:rFonts w:cs="Arial"/>
          <w:bCs/>
          <w:lang w:val="es-ES"/>
        </w:rPr>
        <w:t xml:space="preserve"> su puesta en funcionamiento en </w:t>
      </w:r>
      <w:r>
        <w:rPr>
          <w:rFonts w:cs="Arial"/>
          <w:bCs/>
          <w:lang w:val="es-ES"/>
        </w:rPr>
        <w:t>2016 y no durante el bienio anterior como se había previsto en un principio.</w:t>
      </w:r>
    </w:p>
    <w:p w:rsidR="00FA2BC6" w:rsidRDefault="00FA2BC6"/>
    <w:p w:rsidR="00FA2BC6" w:rsidRDefault="00FA2BC6"/>
    <w:p w:rsidR="00FA2BC6" w:rsidRDefault="00FA2BC6"/>
    <w:p w:rsidR="00FA423E" w:rsidRDefault="00FA423E" w:rsidP="00FA423E"/>
    <w:p w:rsidR="00FA423E" w:rsidRDefault="00FA423E" w:rsidP="00FA423E"/>
    <w:p w:rsidR="00FA423E" w:rsidRDefault="00FA423E" w:rsidP="00FA423E">
      <w:pPr>
        <w:rPr>
          <w:highlight w:val="yellow"/>
        </w:rPr>
      </w:pPr>
      <w:r>
        <w:rPr>
          <w:highlight w:val="yellow"/>
        </w:rPr>
        <w:br w:type="page"/>
      </w:r>
    </w:p>
    <w:p w:rsidR="00FA423E" w:rsidRPr="00F171B5" w:rsidRDefault="00FA423E" w:rsidP="00FA423E">
      <w:pPr>
        <w:pStyle w:val="StyleHeading214ptAuto"/>
        <w:rPr>
          <w:rFonts w:ascii="Arial" w:hAnsi="Arial" w:cs="Arial"/>
          <w:sz w:val="20"/>
          <w:szCs w:val="20"/>
          <w:lang w:val="es-ES"/>
        </w:rPr>
      </w:pPr>
      <w:bookmarkStart w:id="137" w:name="_Toc455159093"/>
      <w:bookmarkStart w:id="138" w:name="_Toc367350592"/>
      <w:r w:rsidRPr="00F171B5">
        <w:rPr>
          <w:rFonts w:ascii="Arial" w:hAnsi="Arial" w:cs="Arial"/>
          <w:sz w:val="20"/>
          <w:szCs w:val="20"/>
          <w:lang w:val="es-ES_tradnl"/>
        </w:rPr>
        <w:lastRenderedPageBreak/>
        <w:t>META ESTRATÉGICA V</w:t>
      </w:r>
      <w:bookmarkEnd w:id="137"/>
      <w:r w:rsidRPr="00F171B5">
        <w:rPr>
          <w:rFonts w:ascii="Arial" w:hAnsi="Arial" w:cs="Arial"/>
          <w:sz w:val="20"/>
          <w:szCs w:val="20"/>
          <w:lang w:val="es-ES"/>
        </w:rPr>
        <w:t xml:space="preserve"> </w:t>
      </w:r>
    </w:p>
    <w:p w:rsidR="00FA423E" w:rsidRPr="00F171B5" w:rsidRDefault="00FA423E" w:rsidP="00FA423E">
      <w:pPr>
        <w:rPr>
          <w:sz w:val="20"/>
        </w:rPr>
      </w:pPr>
    </w:p>
    <w:bookmarkEnd w:id="138"/>
    <w:p w:rsidR="00FA423E" w:rsidRPr="00F171B5" w:rsidRDefault="00FA423E" w:rsidP="00FA423E">
      <w:pPr>
        <w:jc w:val="center"/>
        <w:rPr>
          <w:sz w:val="20"/>
        </w:rPr>
      </w:pPr>
      <w:r w:rsidRPr="00F171B5">
        <w:rPr>
          <w:b/>
          <w:sz w:val="20"/>
          <w:lang w:val="es-ES_tradnl"/>
        </w:rPr>
        <w:t>FUENTE DE REFERENCIA EN EL MUNDO DE INFORMACIÓN Y ANÁLISIS EN MATERIA DE P.I.</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rPr>
          <w:sz w:val="20"/>
        </w:rPr>
      </w:pPr>
    </w:p>
    <w:p w:rsidR="00FA423E" w:rsidRPr="00F171B5" w:rsidRDefault="00FA423E" w:rsidP="00FA423E">
      <w:pPr>
        <w:jc w:val="center"/>
        <w:rPr>
          <w:sz w:val="20"/>
        </w:rPr>
      </w:pPr>
      <w:r w:rsidRPr="00F171B5">
        <w:rPr>
          <w:noProof/>
          <w:sz w:val="20"/>
          <w:lang w:val="en-US" w:eastAsia="en-US"/>
        </w:rPr>
        <w:drawing>
          <wp:inline distT="0" distB="0" distL="0" distR="0" wp14:anchorId="6C27400F" wp14:editId="38D17C5B">
            <wp:extent cx="5940425" cy="2850199"/>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425" cy="2850199"/>
                    </a:xfrm>
                    <a:prstGeom prst="rect">
                      <a:avLst/>
                    </a:prstGeom>
                    <a:noFill/>
                    <a:ln>
                      <a:noFill/>
                    </a:ln>
                  </pic:spPr>
                </pic:pic>
              </a:graphicData>
            </a:graphic>
          </wp:inline>
        </w:drawing>
      </w:r>
    </w:p>
    <w:p w:rsidR="00FA423E" w:rsidRPr="00F171B5" w:rsidRDefault="00FA423E" w:rsidP="00FA423E">
      <w:pPr>
        <w:rPr>
          <w:b/>
          <w:bCs/>
          <w:caps/>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9"/>
        <w:gridCol w:w="4007"/>
        <w:gridCol w:w="1672"/>
        <w:gridCol w:w="942"/>
      </w:tblGrid>
      <w:tr w:rsidR="00FA423E" w:rsidRPr="00B35175" w:rsidTr="00DC1333">
        <w:trPr>
          <w:cantSplit/>
          <w:trHeight w:val="605"/>
        </w:trPr>
        <w:tc>
          <w:tcPr>
            <w:tcW w:w="154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6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Indicadores de rendimiento</w:t>
            </w:r>
          </w:p>
        </w:tc>
        <w:tc>
          <w:tcPr>
            <w:tcW w:w="927"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ind w:left="85"/>
              <w:jc w:val="center"/>
              <w:rPr>
                <w:b/>
                <w:bCs/>
                <w:sz w:val="18"/>
                <w:szCs w:val="18"/>
              </w:rPr>
            </w:pPr>
            <w:r w:rsidRPr="007E4934">
              <w:rPr>
                <w:b/>
                <w:bCs/>
                <w:sz w:val="18"/>
                <w:szCs w:val="18"/>
                <w:lang w:val="es-ES_tradnl"/>
              </w:rPr>
              <w:t>Programas responsables</w:t>
            </w:r>
          </w:p>
        </w:tc>
        <w:tc>
          <w:tcPr>
            <w:tcW w:w="368" w:type="pct"/>
            <w:tcBorders>
              <w:top w:val="single" w:sz="4" w:space="0" w:color="auto"/>
              <w:bottom w:val="single" w:sz="4" w:space="0" w:color="auto"/>
            </w:tcBorders>
            <w:shd w:val="clear" w:color="auto" w:fill="DAEEF3" w:themeFill="accent5" w:themeFillTint="33"/>
            <w:vAlign w:val="center"/>
          </w:tcPr>
          <w:p w:rsidR="00FA423E" w:rsidRPr="00B35175" w:rsidRDefault="00FA423E" w:rsidP="00DC1333">
            <w:pPr>
              <w:spacing w:after="120"/>
              <w:ind w:left="85"/>
              <w:jc w:val="center"/>
              <w:rPr>
                <w:b/>
                <w:bCs/>
                <w:sz w:val="18"/>
                <w:szCs w:val="18"/>
              </w:rPr>
            </w:pPr>
            <w:r w:rsidRPr="007E4934">
              <w:rPr>
                <w:b/>
                <w:bCs/>
                <w:sz w:val="18"/>
                <w:szCs w:val="18"/>
                <w:lang w:val="es-ES_tradnl"/>
              </w:rPr>
              <w:t>Clave de colores</w:t>
            </w:r>
          </w:p>
        </w:tc>
      </w:tr>
      <w:tr w:rsidR="00FA423E" w:rsidRPr="00AF5E7C" w:rsidTr="00DC1333">
        <w:trPr>
          <w:cantSplit/>
        </w:trPr>
        <w:tc>
          <w:tcPr>
            <w:tcW w:w="1544"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V.1 Ampliación y mejora del uso de la información estadística de la OMPI en materia de P.I.</w:t>
            </w:r>
          </w:p>
        </w:tc>
        <w:tc>
          <w:tcPr>
            <w:tcW w:w="2161"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descargas de los cuatro principales informes estadísticos (Indicadores mundiales de propiedad intelectual, reseñas anuales del PCT, La Haya y Madrid)</w:t>
            </w:r>
          </w:p>
        </w:tc>
        <w:tc>
          <w:tcPr>
            <w:tcW w:w="927"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tcBorders>
              <w:top w:val="single" w:sz="4" w:space="0" w:color="auto"/>
            </w:tcBorders>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A6A6A6" w:themeColor="background1" w:themeShade="A6"/>
                <w:szCs w:val="22"/>
              </w:rPr>
              <w:sym w:font="Wingdings" w:char="F06C"/>
            </w:r>
            <w:r w:rsidRPr="00CC3F44">
              <w:rPr>
                <w:color w:val="A6A6A6" w:themeColor="background1" w:themeShade="A6"/>
                <w:szCs w:val="22"/>
              </w:rPr>
              <w:sym w:font="Wingdings" w:char="F06C"/>
            </w:r>
            <w:r w:rsidRPr="00CC3F44">
              <w:rPr>
                <w:color w:val="A6A6A6" w:themeColor="background1" w:themeShade="A6"/>
                <w:szCs w:val="22"/>
              </w:rPr>
              <w:sym w:font="Wingdings" w:char="F06C"/>
            </w:r>
          </w:p>
        </w:tc>
      </w:tr>
      <w:tr w:rsidR="00FA423E" w:rsidRPr="00AF5E7C" w:rsidTr="00DC1333">
        <w:trPr>
          <w:cantSplit/>
          <w:trHeight w:val="319"/>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visitantes que utilizan el Centro de datos de estadísticas de P.I.</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26"/>
        </w:trPr>
        <w:tc>
          <w:tcPr>
            <w:tcW w:w="1544" w:type="pct"/>
            <w:shd w:val="clear" w:color="auto" w:fill="auto"/>
            <w:tcMar>
              <w:top w:w="113" w:type="dxa"/>
              <w:bottom w:w="85" w:type="dxa"/>
            </w:tcMar>
          </w:tcPr>
          <w:p w:rsidR="00FA423E" w:rsidRPr="007E4934" w:rsidRDefault="00FA423E" w:rsidP="00DC1333">
            <w:pPr>
              <w:tabs>
                <w:tab w:val="right" w:pos="2835"/>
              </w:tabs>
              <w:spacing w:after="60"/>
              <w:rPr>
                <w:sz w:val="15"/>
                <w:szCs w:val="15"/>
              </w:rPr>
            </w:pPr>
            <w:r w:rsidRPr="007E4934">
              <w:rPr>
                <w:sz w:val="15"/>
                <w:szCs w:val="15"/>
                <w:lang w:val="es-ES_tradnl"/>
              </w:rPr>
              <w:t>V.2 Ampliación y mejora del uso de los análisis económicos de la OMPI en la formulación de políticas</w:t>
            </w:r>
            <w:r w:rsidRPr="007E4934">
              <w:rPr>
                <w:sz w:val="15"/>
                <w:szCs w:val="15"/>
              </w:rPr>
              <w:t xml:space="preserve"> </w:t>
            </w: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Uso de estudios económicos de la OMPI sobre derecho de autor en la toma de decisiones de gobiernos y ONG</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368" w:type="pct"/>
            <w:shd w:val="clear" w:color="auto" w:fill="FFFFFF"/>
          </w:tcPr>
          <w:p w:rsidR="00FA423E" w:rsidRPr="00CC3F44" w:rsidRDefault="00FA423E" w:rsidP="00DC1333">
            <w:pPr>
              <w:spacing w:before="40"/>
              <w:jc w:val="center"/>
            </w:pPr>
            <w:r w:rsidRPr="00CC3F44">
              <w:rPr>
                <w:color w:val="008000"/>
                <w:szCs w:val="22"/>
              </w:rPr>
              <w:sym w:font="Wingdings" w:char="F06C"/>
            </w:r>
          </w:p>
        </w:tc>
      </w:tr>
      <w:tr w:rsidR="00FA423E" w:rsidRPr="00AF5E7C" w:rsidTr="00DC1333">
        <w:trPr>
          <w:cantSplit/>
          <w:trHeight w:val="607"/>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Iniciativas nacionales para elaborar nuevas estadísticas sobre las industrias creativas teniendo en cuenta la labor de la OMPI en ese ámbito</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3</w:t>
            </w:r>
          </w:p>
        </w:tc>
        <w:tc>
          <w:tcPr>
            <w:tcW w:w="368" w:type="pct"/>
            <w:shd w:val="clear" w:color="auto" w:fill="FFFFFF"/>
          </w:tcPr>
          <w:p w:rsidR="00FA423E" w:rsidRPr="00CC3F44" w:rsidRDefault="00FA423E" w:rsidP="00DC1333">
            <w:pPr>
              <w:spacing w:before="40"/>
              <w:jc w:val="center"/>
              <w:rPr>
                <w:color w:val="E26B0A"/>
              </w:rPr>
            </w:pPr>
            <w:r w:rsidRPr="00CC3F44">
              <w:rPr>
                <w:szCs w:val="22"/>
              </w:rPr>
              <w:sym w:font="Wingdings" w:char="F06C"/>
            </w:r>
          </w:p>
        </w:tc>
      </w:tr>
      <w:tr w:rsidR="00FA423E" w:rsidRPr="00AF5E7C" w:rsidTr="00DC1333">
        <w:trPr>
          <w:cantSplit/>
          <w:trHeight w:val="346"/>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descargas de las principales publicaciones económicas</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r w:rsidRPr="00CC3F44">
              <w:rPr>
                <w:color w:val="A6A6A6" w:themeColor="background1" w:themeShade="A6"/>
                <w:szCs w:val="22"/>
              </w:rPr>
              <w:sym w:font="Wingdings" w:char="F06C"/>
            </w:r>
          </w:p>
        </w:tc>
      </w:tr>
      <w:tr w:rsidR="00FA423E" w:rsidRPr="00AF5E7C" w:rsidTr="00DC1333">
        <w:trPr>
          <w:cantSplit/>
          <w:trHeight w:val="355"/>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rPr>
              <w:t>Número de descargas de estudios</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81"/>
        </w:trPr>
        <w:tc>
          <w:tcPr>
            <w:tcW w:w="1544" w:type="pct"/>
            <w:shd w:val="clear" w:color="auto" w:fill="auto"/>
            <w:tcMar>
              <w:top w:w="113" w:type="dxa"/>
              <w:bottom w:w="85" w:type="dxa"/>
            </w:tcMar>
          </w:tcPr>
          <w:p w:rsidR="00FA423E" w:rsidRPr="007E4934" w:rsidRDefault="00FA423E" w:rsidP="00DC1333">
            <w:pPr>
              <w:rPr>
                <w:sz w:val="16"/>
                <w:szCs w:val="16"/>
              </w:rPr>
            </w:pPr>
          </w:p>
        </w:tc>
        <w:tc>
          <w:tcPr>
            <w:tcW w:w="2161" w:type="pct"/>
            <w:shd w:val="clear" w:color="auto" w:fill="auto"/>
            <w:tcMar>
              <w:top w:w="113" w:type="dxa"/>
              <w:bottom w:w="85" w:type="dxa"/>
            </w:tcMar>
          </w:tcPr>
          <w:p w:rsidR="00FA423E" w:rsidRPr="007E4934" w:rsidRDefault="00FA423E" w:rsidP="00DC1333">
            <w:pPr>
              <w:rPr>
                <w:sz w:val="16"/>
                <w:szCs w:val="16"/>
              </w:rPr>
            </w:pPr>
            <w:r w:rsidRPr="007E4934">
              <w:rPr>
                <w:sz w:val="16"/>
                <w:szCs w:val="16"/>
              </w:rPr>
              <w:t>Número de descargas relacionadas con seminarios</w:t>
            </w:r>
          </w:p>
        </w:tc>
        <w:tc>
          <w:tcPr>
            <w:tcW w:w="927"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16</w:t>
            </w:r>
          </w:p>
        </w:tc>
        <w:tc>
          <w:tcPr>
            <w:tcW w:w="368" w:type="pct"/>
            <w:shd w:val="clear" w:color="auto" w:fill="FFFFFF"/>
          </w:tcPr>
          <w:p w:rsidR="00FA423E" w:rsidRPr="00CC3F44" w:rsidRDefault="00FA423E" w:rsidP="00DC1333">
            <w:pPr>
              <w:jc w:val="center"/>
            </w:pPr>
            <w:r w:rsidRPr="00CC3F44">
              <w:rPr>
                <w:szCs w:val="22"/>
              </w:rPr>
              <w:sym w:font="Wingdings" w:char="F06C"/>
            </w:r>
          </w:p>
        </w:tc>
      </w:tr>
    </w:tbl>
    <w:p w:rsidR="00FA423E" w:rsidRDefault="00FA423E" w:rsidP="00FA423E"/>
    <w:p w:rsidR="008827B3" w:rsidRDefault="008827B3">
      <w:r>
        <w:br w:type="page"/>
      </w:r>
    </w:p>
    <w:p w:rsidR="008827B3" w:rsidRPr="00526311" w:rsidRDefault="008827B3" w:rsidP="00DC1333">
      <w:pPr>
        <w:pStyle w:val="Heading2"/>
        <w:ind w:left="2410" w:hanging="2410"/>
        <w:jc w:val="both"/>
        <w:rPr>
          <w:b/>
        </w:rPr>
      </w:pPr>
      <w:bookmarkStart w:id="139" w:name="_Toc422927426"/>
      <w:bookmarkStart w:id="140" w:name="_Toc455159094"/>
      <w:r w:rsidRPr="00526311">
        <w:rPr>
          <w:b/>
        </w:rPr>
        <w:lastRenderedPageBreak/>
        <w:t>PROGRAMA 16</w:t>
      </w:r>
      <w:r w:rsidRPr="00526311">
        <w:rPr>
          <w:b/>
        </w:rPr>
        <w:tab/>
        <w:t>ECONOMÍA Y ESTADÍSTICA</w:t>
      </w:r>
      <w:bookmarkEnd w:id="139"/>
      <w:bookmarkEnd w:id="140"/>
    </w:p>
    <w:p w:rsidR="008827B3" w:rsidRPr="00526311" w:rsidRDefault="008827B3" w:rsidP="00DC1333">
      <w:pPr>
        <w:tabs>
          <w:tab w:val="left" w:pos="1985"/>
        </w:tabs>
        <w:jc w:val="both"/>
        <w:rPr>
          <w:sz w:val="20"/>
        </w:rPr>
      </w:pPr>
    </w:p>
    <w:p w:rsidR="008827B3" w:rsidRPr="00526311" w:rsidRDefault="008827B3" w:rsidP="00DC1333">
      <w:pPr>
        <w:tabs>
          <w:tab w:val="left" w:pos="2410"/>
        </w:tabs>
        <w:jc w:val="both"/>
        <w:rPr>
          <w:b/>
          <w:sz w:val="20"/>
        </w:rPr>
      </w:pPr>
      <w:r w:rsidRPr="00526311">
        <w:rPr>
          <w:b/>
          <w:sz w:val="20"/>
        </w:rPr>
        <w:t>Director de programa</w:t>
      </w:r>
      <w:r w:rsidRPr="00526311">
        <w:rPr>
          <w:b/>
          <w:sz w:val="20"/>
        </w:rPr>
        <w:tab/>
        <w:t>Director General</w:t>
      </w:r>
    </w:p>
    <w:p w:rsidR="008827B3" w:rsidRPr="00526311" w:rsidRDefault="008827B3" w:rsidP="00DC1333">
      <w:pPr>
        <w:rPr>
          <w:sz w:val="20"/>
        </w:rPr>
      </w:pPr>
    </w:p>
    <w:p w:rsidR="008827B3" w:rsidRPr="00526311" w:rsidRDefault="008827B3" w:rsidP="00DC1333">
      <w:pPr>
        <w:jc w:val="both"/>
        <w:rPr>
          <w:sz w:val="20"/>
        </w:rPr>
      </w:pPr>
    </w:p>
    <w:p w:rsidR="008827B3" w:rsidRPr="00526311" w:rsidRDefault="008F7CBE" w:rsidP="00DC1333">
      <w:pPr>
        <w:jc w:val="both"/>
        <w:rPr>
          <w:bCs/>
          <w:szCs w:val="22"/>
        </w:rPr>
      </w:pPr>
      <w:r w:rsidRPr="008F7CBE">
        <w:rPr>
          <w:bCs/>
          <w:sz w:val="20"/>
          <w:szCs w:val="22"/>
        </w:rPr>
        <w:t>LOGROS ALCANZADOS EN EL BIENIO 2014/15</w:t>
      </w:r>
    </w:p>
    <w:p w:rsidR="008827B3" w:rsidRPr="00526311" w:rsidRDefault="008827B3" w:rsidP="00DC1333">
      <w:pPr>
        <w:jc w:val="both"/>
      </w:pPr>
    </w:p>
    <w:p w:rsidR="008827B3" w:rsidRPr="00E63375" w:rsidRDefault="008827B3" w:rsidP="008827B3">
      <w:pPr>
        <w:pStyle w:val="ListParagraph"/>
        <w:numPr>
          <w:ilvl w:val="0"/>
          <w:numId w:val="76"/>
        </w:numPr>
        <w:tabs>
          <w:tab w:val="left" w:pos="709"/>
        </w:tabs>
        <w:ind w:left="0" w:firstLine="0"/>
        <w:jc w:val="both"/>
        <w:rPr>
          <w:lang w:val="es-ES"/>
        </w:rPr>
      </w:pPr>
      <w:r w:rsidRPr="00526311">
        <w:rPr>
          <w:lang w:val="es-ES"/>
        </w:rPr>
        <w:t xml:space="preserve">La labor estadística </w:t>
      </w:r>
      <w:r>
        <w:rPr>
          <w:lang w:val="es-ES"/>
        </w:rPr>
        <w:t>llevada a cabo en el bienio 2014/15 consiguió</w:t>
      </w:r>
      <w:r w:rsidRPr="00526311">
        <w:rPr>
          <w:lang w:val="es-ES"/>
        </w:rPr>
        <w:t xml:space="preserve"> el objetivo de </w:t>
      </w:r>
      <w:r>
        <w:rPr>
          <w:lang w:val="es-ES"/>
        </w:rPr>
        <w:t>proporcionar</w:t>
      </w:r>
      <w:r w:rsidRPr="00526311">
        <w:rPr>
          <w:lang w:val="es-ES"/>
        </w:rPr>
        <w:t xml:space="preserve"> información estadística precisa, exhaustiva y puntual sobre el desempeño del sistema de P.I. en todo el mundo.  </w:t>
      </w:r>
      <w:r>
        <w:rPr>
          <w:lang w:val="es-ES"/>
        </w:rPr>
        <w:t>Aún más, se efectuaron estudios estadísticos anuales de las oficinas nacionales y regionales de P.I. y el promedio de respuestas ascendió a 127, en comparación con las 112 que se habían conseguido el bienio anterior.</w:t>
      </w:r>
    </w:p>
    <w:p w:rsidR="008827B3" w:rsidRPr="00526311" w:rsidRDefault="008827B3" w:rsidP="00DC1333"/>
    <w:p w:rsidR="008827B3" w:rsidRPr="00526311" w:rsidRDefault="008827B3" w:rsidP="008827B3">
      <w:pPr>
        <w:pStyle w:val="ListParagraph"/>
        <w:numPr>
          <w:ilvl w:val="0"/>
          <w:numId w:val="76"/>
        </w:numPr>
        <w:tabs>
          <w:tab w:val="left" w:pos="709"/>
        </w:tabs>
        <w:ind w:left="0" w:firstLine="0"/>
        <w:jc w:val="both"/>
        <w:rPr>
          <w:lang w:val="es-ES"/>
        </w:rPr>
      </w:pPr>
      <w:r>
        <w:rPr>
          <w:lang w:val="es-ES"/>
        </w:rPr>
        <w:t>Además, se reunieron una gran cantidad de indicadores estadísticos relativos a los sistemas del Tratado de Cooperación en materia de Patentes (PCT), de Madrid y de La Haya, en colaboración con los programas 5, 6 y 31.  Al igual que en años precedentes las estadísticas recolectadas se pusieron a disposición general a través de varias publicaciones y herramientas de Internet, principalmente los informes sobre i</w:t>
      </w:r>
      <w:r w:rsidRPr="00D8494B">
        <w:rPr>
          <w:lang w:val="es-ES"/>
        </w:rPr>
        <w:t>ndicadores mun</w:t>
      </w:r>
      <w:r>
        <w:rPr>
          <w:lang w:val="es-ES"/>
        </w:rPr>
        <w:t xml:space="preserve">diales de P.I. y sobre datos y cifras de P.I.;  </w:t>
      </w:r>
      <w:r w:rsidRPr="00D8494B">
        <w:rPr>
          <w:lang w:val="es-ES"/>
        </w:rPr>
        <w:t>las reseñas anuales de los sistemas del Tratado de Cooperación en materia de Patentes (PCT), de Madrid y de La Haya</w:t>
      </w:r>
      <w:r>
        <w:rPr>
          <w:lang w:val="es-ES"/>
        </w:rPr>
        <w:t xml:space="preserve">;  el </w:t>
      </w:r>
      <w:r w:rsidRPr="00526311">
        <w:rPr>
          <w:lang w:val="es-ES"/>
        </w:rPr>
        <w:t>Ce</w:t>
      </w:r>
      <w:r>
        <w:rPr>
          <w:lang w:val="es-ES"/>
        </w:rPr>
        <w:t>ntro de datos de estadísticas sobre</w:t>
      </w:r>
      <w:r w:rsidRPr="00526311">
        <w:rPr>
          <w:lang w:val="es-ES"/>
        </w:rPr>
        <w:t xml:space="preserve"> P.I.</w:t>
      </w:r>
      <w:r>
        <w:rPr>
          <w:lang w:val="es-ES"/>
        </w:rPr>
        <w:t xml:space="preserve">, </w:t>
      </w:r>
      <w:r w:rsidRPr="00526311">
        <w:rPr>
          <w:lang w:val="es-ES"/>
        </w:rPr>
        <w:t>y los perfiles estadísticos de los países</w:t>
      </w:r>
      <w:r>
        <w:rPr>
          <w:lang w:val="es-ES"/>
        </w:rPr>
        <w:t>.  En el transcurso del bienio 2014/15 se hizo un esfuerzo especial a fin de profundizar en el análisis de las tendencias estadísticas</w:t>
      </w:r>
      <w:r w:rsidRPr="0048332D">
        <w:rPr>
          <w:lang w:val="es-ES"/>
        </w:rPr>
        <w:t xml:space="preserve"> </w:t>
      </w:r>
      <w:r>
        <w:rPr>
          <w:lang w:val="es-ES"/>
        </w:rPr>
        <w:t>por una parte y mejorar la facilidad de uso de los informes estadísticos por la otra.  Ejemplo de ello son</w:t>
      </w:r>
      <w:proofErr w:type="gramStart"/>
      <w:r>
        <w:rPr>
          <w:lang w:val="es-ES"/>
        </w:rPr>
        <w:t>:  la</w:t>
      </w:r>
      <w:proofErr w:type="gramEnd"/>
      <w:r>
        <w:rPr>
          <w:lang w:val="es-ES"/>
        </w:rPr>
        <w:t xml:space="preserve"> inclusión en los informes estadísticos de temas especiales que profundizan más en determinadas cuestiones analíticas, un cambio en la presentación de los indicadores mundiales de P.I. que permite que los lectores encuentren con más facilidad la información que están buscando y la elaboración de un vídeo corto sobre las tendencias principales en la utilización de la P.I. a nivel mundial.  Las estadísticas y los informes estadísticos sobre P.I. de la OMPI se siguen utilizando y citando ampliamente en estudios académicos, informes de política, artículos en los medios de comunicación y otras publicaciones a nivel mundial.</w:t>
      </w:r>
    </w:p>
    <w:p w:rsidR="008827B3" w:rsidRPr="00526311" w:rsidRDefault="008827B3" w:rsidP="00DC1333">
      <w:pPr>
        <w:tabs>
          <w:tab w:val="left" w:pos="709"/>
        </w:tabs>
        <w:jc w:val="both"/>
      </w:pPr>
    </w:p>
    <w:p w:rsidR="008827B3" w:rsidRPr="00526311" w:rsidRDefault="008827B3" w:rsidP="008827B3">
      <w:pPr>
        <w:pStyle w:val="ListParagraph"/>
        <w:numPr>
          <w:ilvl w:val="0"/>
          <w:numId w:val="76"/>
        </w:numPr>
        <w:tabs>
          <w:tab w:val="left" w:pos="709"/>
        </w:tabs>
        <w:ind w:left="0" w:firstLine="0"/>
        <w:jc w:val="both"/>
        <w:rPr>
          <w:lang w:val="es-ES"/>
        </w:rPr>
      </w:pPr>
      <w:r w:rsidRPr="00526311">
        <w:rPr>
          <w:lang w:val="es-ES"/>
        </w:rPr>
        <w:t>T</w:t>
      </w:r>
      <w:r>
        <w:rPr>
          <w:lang w:val="es-ES"/>
        </w:rPr>
        <w:t>ambién se</w:t>
      </w:r>
      <w:r w:rsidRPr="00526311">
        <w:rPr>
          <w:lang w:val="es-ES"/>
        </w:rPr>
        <w:t xml:space="preserve"> avanzó notablemente en la </w:t>
      </w:r>
      <w:r>
        <w:rPr>
          <w:lang w:val="es-ES"/>
        </w:rPr>
        <w:t xml:space="preserve">labor de análisis económico del programa en relación con el objetivo de promover la </w:t>
      </w:r>
      <w:r w:rsidRPr="00526311">
        <w:rPr>
          <w:lang w:val="es-ES"/>
        </w:rPr>
        <w:t xml:space="preserve">elaboración de </w:t>
      </w:r>
      <w:r>
        <w:rPr>
          <w:lang w:val="es-ES"/>
        </w:rPr>
        <w:t xml:space="preserve">análisis de calidad sobre las dificultades económicas presentes en el sistema internacional de P.I. y evaluar los efectos económicos de las distintas opciones disponibles en materia de política de P.I.  Uno de los logros principales fue la publicación del tercer Informe mundial sobre la propiedad intelectual “La innovación revolucionaria y el crecimiento económico”, que sirvió de inspiración a más de 200 artículos en medios de comunicación y generó mucho interés entre los encargados de la formulación de políticas y el sector académico a escala mundial.  Además, la OMPI siguió participando en la publicación del Índice Mundial de Innovación conjuntamente con la Universidad </w:t>
      </w:r>
      <w:r w:rsidRPr="005537AE">
        <w:rPr>
          <w:lang w:val="es-ES"/>
        </w:rPr>
        <w:t>Cornell</w:t>
      </w:r>
      <w:r>
        <w:rPr>
          <w:lang w:val="es-ES"/>
        </w:rPr>
        <w:t xml:space="preserve"> y </w:t>
      </w:r>
      <w:r w:rsidRPr="00526311">
        <w:rPr>
          <w:lang w:val="es-ES"/>
        </w:rPr>
        <w:t>el INSEAD</w:t>
      </w:r>
      <w:r>
        <w:rPr>
          <w:lang w:val="es-ES"/>
        </w:rPr>
        <w:t xml:space="preserve">.  En 2014/15 las presentaciones del Índice Mundial de Innovación tuvieron lugar por primera vez fuera de Ginebra y fueron organizadas conjuntamente con el Gobierno de Australia en 2014, y el Gobierno del Reino Unido en 2015.  Se registraron asimismo nuevos récords de la cobertura de esos actos en las noticias y redes sociales en comparación con el bienio anterior.  Los </w:t>
      </w:r>
      <w:r w:rsidRPr="00526311">
        <w:rPr>
          <w:lang w:val="es-ES"/>
        </w:rPr>
        <w:t xml:space="preserve">gobiernos nacionales, </w:t>
      </w:r>
      <w:r>
        <w:rPr>
          <w:lang w:val="es-ES"/>
        </w:rPr>
        <w:t xml:space="preserve">las </w:t>
      </w:r>
      <w:r w:rsidRPr="00526311">
        <w:rPr>
          <w:lang w:val="es-ES"/>
        </w:rPr>
        <w:t>organizaciones internacionales</w:t>
      </w:r>
      <w:r>
        <w:rPr>
          <w:lang w:val="es-ES"/>
        </w:rPr>
        <w:t>, incluidas las pertenecientes al sistema de las Naciones Unidas,</w:t>
      </w:r>
      <w:r w:rsidRPr="00526311">
        <w:rPr>
          <w:lang w:val="es-ES"/>
        </w:rPr>
        <w:t xml:space="preserve"> y otros sectores interesados en el sistema de la innovación </w:t>
      </w:r>
      <w:r>
        <w:rPr>
          <w:lang w:val="es-ES"/>
        </w:rPr>
        <w:t xml:space="preserve">utilizan habitualmente el Índice Mundial de Innovación como fuente consolidada de referencia, </w:t>
      </w:r>
      <w:r w:rsidRPr="00526311">
        <w:rPr>
          <w:lang w:val="es-ES"/>
        </w:rPr>
        <w:t xml:space="preserve">según </w:t>
      </w:r>
      <w:r>
        <w:rPr>
          <w:lang w:val="es-ES"/>
        </w:rPr>
        <w:t>ponen de manifiesto las</w:t>
      </w:r>
      <w:r w:rsidRPr="00526311">
        <w:rPr>
          <w:lang w:val="es-ES"/>
        </w:rPr>
        <w:t xml:space="preserve"> citas, solicitudes de datos y peticiones de servicios de asesoramiento recibidas.</w:t>
      </w:r>
    </w:p>
    <w:p w:rsidR="008827B3" w:rsidRPr="00526311" w:rsidRDefault="008827B3" w:rsidP="00DC1333">
      <w:pPr>
        <w:tabs>
          <w:tab w:val="left" w:pos="709"/>
        </w:tabs>
        <w:jc w:val="both"/>
      </w:pPr>
    </w:p>
    <w:p w:rsidR="008827B3" w:rsidRPr="009F52DD" w:rsidRDefault="008827B3" w:rsidP="008827B3">
      <w:pPr>
        <w:pStyle w:val="ListParagraph"/>
        <w:numPr>
          <w:ilvl w:val="0"/>
          <w:numId w:val="76"/>
        </w:numPr>
        <w:tabs>
          <w:tab w:val="left" w:pos="709"/>
        </w:tabs>
        <w:ind w:left="0" w:firstLine="0"/>
        <w:jc w:val="both"/>
        <w:rPr>
          <w:rFonts w:cs="Arial"/>
          <w:lang w:val="es-ES"/>
        </w:rPr>
      </w:pPr>
      <w:r>
        <w:rPr>
          <w:lang w:val="es-ES"/>
        </w:rPr>
        <w:t>En el bienio 2014/15 se obtuvieron igualmente logros destacables en relación con estudios económicos específicos en apoyo a la labor de los comités de la OMPI.  El programa concluyó sobre todo tres proyectos de la Agenda para el Desarrollo (A.D.) relativos a</w:t>
      </w:r>
      <w:proofErr w:type="gramStart"/>
      <w:r>
        <w:rPr>
          <w:lang w:val="es-ES"/>
        </w:rPr>
        <w:t>:  i</w:t>
      </w:r>
      <w:proofErr w:type="gramEnd"/>
      <w:r>
        <w:rPr>
          <w:lang w:val="es-ES"/>
        </w:rPr>
        <w:t xml:space="preserve">) la P.I. y el desarrollo socioeconómico;  ii) la P.I. y la economía informal, y iii) la P.I. y la fuga de cerebros.  En 2015 se puso en marcha además una segunda fase del proyecto sobre la P.I. y el desarrollo socioeconómico en la que se trasladaron los estudios de base a nuevos países en desarrollo.  Por otra parte, el programa proporcionó información a la labor de otros comités, especialmente el Grupo de Trabajo del PCT y el </w:t>
      </w:r>
      <w:r w:rsidRPr="00E1742D">
        <w:rPr>
          <w:lang w:val="es-ES"/>
        </w:rPr>
        <w:t>Comité Permanente sobre el Derecho de Patentes</w:t>
      </w:r>
      <w:r w:rsidRPr="00526311">
        <w:rPr>
          <w:lang w:val="es-ES"/>
        </w:rPr>
        <w:t xml:space="preserve"> </w:t>
      </w:r>
      <w:r>
        <w:rPr>
          <w:lang w:val="es-ES"/>
        </w:rPr>
        <w:t>(SCP).  De estos estudios se obtuvieron pruebas empíricas que sirvieron de base a los encargados de la formulación de políticas al adoptar decisiones, tanto a nivel nacional como entre los Estados miembros de la OMPI.  Los estudios también han servido de inspiración para la ejecución de actividades relacionadas de investigación en el sector académico.</w:t>
      </w:r>
    </w:p>
    <w:p w:rsidR="008827B3" w:rsidRPr="009F52DD" w:rsidRDefault="008827B3" w:rsidP="0050778F">
      <w:pPr>
        <w:pStyle w:val="ListParagraph"/>
        <w:ind w:left="0"/>
        <w:rPr>
          <w:rFonts w:cs="Arial"/>
          <w:lang w:val="es-ES"/>
        </w:rPr>
      </w:pPr>
    </w:p>
    <w:p w:rsidR="008827B3" w:rsidRPr="00526311" w:rsidRDefault="008827B3" w:rsidP="00FA35A3">
      <w:pPr>
        <w:pStyle w:val="ListParagraph"/>
        <w:keepNext/>
        <w:keepLines/>
        <w:numPr>
          <w:ilvl w:val="0"/>
          <w:numId w:val="76"/>
        </w:numPr>
        <w:tabs>
          <w:tab w:val="left" w:pos="709"/>
        </w:tabs>
        <w:ind w:left="0" w:firstLine="0"/>
        <w:jc w:val="both"/>
        <w:rPr>
          <w:rFonts w:cs="Arial"/>
          <w:lang w:val="es-ES"/>
        </w:rPr>
      </w:pPr>
      <w:r w:rsidRPr="00526311">
        <w:rPr>
          <w:lang w:val="es-ES"/>
        </w:rPr>
        <w:lastRenderedPageBreak/>
        <w:t>Por último, el programa siguió coordinando una red de economistas de oficinas de P.I., abierta a todas las Oficinas de P.I. dotadas de capacidades de investigación de los aspectos económicos, para contribuir a fomentar y facilitar la investigación de los aspectos económicos de la P.I. de manera empírica y rigurosa desde el punto de vista científico.</w:t>
      </w:r>
      <w:r>
        <w:rPr>
          <w:lang w:val="es-ES"/>
        </w:rPr>
        <w:t xml:space="preserve">  La red experimentó un crecimiento durante el bienio gracias a la incorporación de cuatro nuevas oficinas de P.I., con lo que el total se situó en 13 oficinas.</w:t>
      </w:r>
    </w:p>
    <w:p w:rsidR="008827B3" w:rsidRPr="00526311" w:rsidRDefault="008827B3" w:rsidP="00DC1333">
      <w:pPr>
        <w:jc w:val="both"/>
        <w:rPr>
          <w:b/>
        </w:rPr>
      </w:pPr>
    </w:p>
    <w:p w:rsidR="008827B3" w:rsidRPr="00526311" w:rsidRDefault="008827B3" w:rsidP="00DC1333">
      <w:pPr>
        <w:jc w:val="both"/>
        <w:rPr>
          <w:b/>
        </w:rPr>
      </w:pPr>
    </w:p>
    <w:p w:rsidR="008827B3" w:rsidRPr="00526311" w:rsidRDefault="008F7CBE" w:rsidP="00DC1333">
      <w:pPr>
        <w:keepNext/>
        <w:keepLines/>
        <w:jc w:val="both"/>
        <w:rPr>
          <w:szCs w:val="22"/>
        </w:rPr>
      </w:pPr>
      <w:r w:rsidRPr="008F7CBE">
        <w:rPr>
          <w:sz w:val="20"/>
          <w:szCs w:val="22"/>
        </w:rPr>
        <w:t>DATOS SOBRE EL RENDIMIENTO</w:t>
      </w:r>
    </w:p>
    <w:p w:rsidR="008827B3" w:rsidRPr="00526311" w:rsidRDefault="008827B3" w:rsidP="00DC1333">
      <w:pPr>
        <w:keepNext/>
        <w:keepLines/>
        <w:jc w:val="both"/>
        <w:rPr>
          <w:b/>
        </w:rPr>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268"/>
        <w:gridCol w:w="1422"/>
        <w:gridCol w:w="2405"/>
        <w:gridCol w:w="140"/>
        <w:gridCol w:w="1128"/>
      </w:tblGrid>
      <w:tr w:rsidR="008827B3" w:rsidRPr="00526311" w:rsidTr="00DC1333">
        <w:trPr>
          <w:cantSplit/>
        </w:trPr>
        <w:tc>
          <w:tcPr>
            <w:tcW w:w="5000" w:type="pct"/>
            <w:gridSpan w:val="6"/>
            <w:tcBorders>
              <w:top w:val="single" w:sz="4" w:space="0" w:color="auto"/>
              <w:bottom w:val="single" w:sz="4" w:space="0" w:color="auto"/>
            </w:tcBorders>
            <w:shd w:val="clear" w:color="auto" w:fill="C6D9F1" w:themeFill="text2" w:themeFillTint="33"/>
            <w:vAlign w:val="center"/>
          </w:tcPr>
          <w:p w:rsidR="008827B3" w:rsidRPr="00526311" w:rsidRDefault="008827B3" w:rsidP="00DC1333">
            <w:pPr>
              <w:keepNext/>
              <w:keepLines/>
              <w:spacing w:before="120" w:after="120"/>
              <w:ind w:left="2019" w:hanging="2019"/>
              <w:rPr>
                <w:b/>
                <w:bCs/>
                <w:sz w:val="16"/>
                <w:szCs w:val="16"/>
              </w:rPr>
            </w:pPr>
            <w:r w:rsidRPr="00526311">
              <w:rPr>
                <w:b/>
                <w:bCs/>
                <w:sz w:val="16"/>
                <w:szCs w:val="16"/>
              </w:rPr>
              <w:t>Resultado previsto:</w:t>
            </w:r>
            <w:r w:rsidRPr="00526311">
              <w:rPr>
                <w:b/>
              </w:rPr>
              <w:tab/>
            </w:r>
            <w:r w:rsidRPr="00526311">
              <w:rPr>
                <w:sz w:val="16"/>
                <w:szCs w:val="16"/>
              </w:rPr>
              <w:t>V.1 Ampliación y mejora del uso de la información estadística de la OMPI en materia de P.I.</w:t>
            </w:r>
          </w:p>
        </w:tc>
      </w:tr>
      <w:tr w:rsidR="008827B3" w:rsidRPr="00526311" w:rsidTr="00DC1333">
        <w:trPr>
          <w:cantSplit/>
        </w:trPr>
        <w:tc>
          <w:tcPr>
            <w:tcW w:w="1121" w:type="pct"/>
            <w:tcBorders>
              <w:top w:val="single" w:sz="4" w:space="0" w:color="auto"/>
            </w:tcBorders>
            <w:shd w:val="clear" w:color="auto" w:fill="auto"/>
            <w:vAlign w:val="center"/>
          </w:tcPr>
          <w:p w:rsidR="008827B3" w:rsidRPr="00526311" w:rsidRDefault="008827B3" w:rsidP="00DC1333">
            <w:pPr>
              <w:keepNext/>
              <w:keepLines/>
              <w:rPr>
                <w:sz w:val="16"/>
                <w:szCs w:val="16"/>
              </w:rPr>
            </w:pPr>
            <w:r w:rsidRPr="00526311">
              <w:rPr>
                <w:b/>
                <w:sz w:val="16"/>
                <w:szCs w:val="16"/>
              </w:rPr>
              <w:t>Indicadores de rendimiento</w:t>
            </w:r>
          </w:p>
        </w:tc>
        <w:tc>
          <w:tcPr>
            <w:tcW w:w="1195" w:type="pct"/>
            <w:tcBorders>
              <w:top w:val="single" w:sz="4" w:space="0" w:color="auto"/>
            </w:tcBorders>
            <w:shd w:val="clear" w:color="auto" w:fill="auto"/>
            <w:vAlign w:val="center"/>
          </w:tcPr>
          <w:p w:rsidR="008827B3" w:rsidRPr="00526311" w:rsidRDefault="008827B3" w:rsidP="00DC1333">
            <w:pPr>
              <w:keepNext/>
              <w:keepLines/>
              <w:rPr>
                <w:b/>
                <w:bCs/>
                <w:sz w:val="16"/>
                <w:szCs w:val="16"/>
              </w:rPr>
            </w:pPr>
            <w:r w:rsidRPr="00526311">
              <w:rPr>
                <w:b/>
                <w:bCs/>
                <w:sz w:val="16"/>
                <w:szCs w:val="16"/>
              </w:rPr>
              <w:t>Referencia</w:t>
            </w:r>
          </w:p>
        </w:tc>
        <w:tc>
          <w:tcPr>
            <w:tcW w:w="749" w:type="pct"/>
            <w:tcBorders>
              <w:top w:val="single" w:sz="4" w:space="0" w:color="auto"/>
            </w:tcBorders>
            <w:shd w:val="clear" w:color="auto" w:fill="auto"/>
            <w:tcMar>
              <w:top w:w="110" w:type="dxa"/>
            </w:tcMar>
            <w:vAlign w:val="center"/>
          </w:tcPr>
          <w:p w:rsidR="008827B3" w:rsidRPr="00526311" w:rsidRDefault="008827B3" w:rsidP="00DC1333">
            <w:pPr>
              <w:keepNext/>
              <w:keepLines/>
              <w:rPr>
                <w:b/>
                <w:sz w:val="16"/>
                <w:szCs w:val="16"/>
              </w:rPr>
            </w:pPr>
            <w:r w:rsidRPr="00526311">
              <w:rPr>
                <w:b/>
                <w:sz w:val="16"/>
                <w:szCs w:val="16"/>
              </w:rPr>
              <w:t>Objetivos</w:t>
            </w:r>
          </w:p>
        </w:tc>
        <w:tc>
          <w:tcPr>
            <w:tcW w:w="1267" w:type="pct"/>
            <w:tcBorders>
              <w:top w:val="single" w:sz="4" w:space="0" w:color="auto"/>
            </w:tcBorders>
            <w:shd w:val="clear" w:color="auto" w:fill="FFFFFF"/>
            <w:tcMar>
              <w:top w:w="110" w:type="dxa"/>
            </w:tcMar>
            <w:vAlign w:val="center"/>
          </w:tcPr>
          <w:p w:rsidR="008827B3" w:rsidRPr="00526311" w:rsidRDefault="008827B3" w:rsidP="00DC1333">
            <w:pPr>
              <w:keepNext/>
              <w:keepLines/>
              <w:rPr>
                <w:sz w:val="16"/>
                <w:szCs w:val="16"/>
              </w:rPr>
            </w:pPr>
            <w:r w:rsidRPr="00526311">
              <w:rPr>
                <w:b/>
                <w:sz w:val="16"/>
                <w:szCs w:val="16"/>
              </w:rPr>
              <w:t>Datos sobre el rendimiento</w:t>
            </w:r>
          </w:p>
        </w:tc>
        <w:tc>
          <w:tcPr>
            <w:tcW w:w="668" w:type="pct"/>
            <w:gridSpan w:val="2"/>
            <w:tcBorders>
              <w:top w:val="single" w:sz="4" w:space="0" w:color="auto"/>
            </w:tcBorders>
            <w:shd w:val="clear" w:color="auto" w:fill="auto"/>
            <w:tcMar>
              <w:top w:w="110" w:type="dxa"/>
            </w:tcMar>
            <w:vAlign w:val="center"/>
          </w:tcPr>
          <w:p w:rsidR="008827B3" w:rsidRPr="00526311" w:rsidRDefault="008827B3" w:rsidP="00DC1333">
            <w:pPr>
              <w:keepNext/>
              <w:keepLines/>
              <w:jc w:val="center"/>
              <w:rPr>
                <w:b/>
                <w:bCs/>
                <w:sz w:val="16"/>
                <w:szCs w:val="16"/>
              </w:rPr>
            </w:pPr>
            <w:r w:rsidRPr="00526311">
              <w:rPr>
                <w:b/>
                <w:bCs/>
                <w:sz w:val="16"/>
                <w:szCs w:val="16"/>
              </w:rPr>
              <w:t>Clave de colores</w:t>
            </w:r>
          </w:p>
        </w:tc>
      </w:tr>
      <w:tr w:rsidR="008827B3" w:rsidRPr="00526311" w:rsidTr="00DC1333">
        <w:trPr>
          <w:cantSplit/>
        </w:trPr>
        <w:tc>
          <w:tcPr>
            <w:tcW w:w="1121" w:type="pct"/>
            <w:shd w:val="clear" w:color="auto" w:fill="auto"/>
          </w:tcPr>
          <w:p w:rsidR="008827B3" w:rsidRPr="00526311" w:rsidRDefault="008827B3" w:rsidP="00DC1333">
            <w:pPr>
              <w:keepNext/>
              <w:keepLines/>
              <w:rPr>
                <w:sz w:val="16"/>
                <w:szCs w:val="16"/>
              </w:rPr>
            </w:pPr>
            <w:r w:rsidRPr="00526311">
              <w:rPr>
                <w:sz w:val="16"/>
                <w:szCs w:val="16"/>
              </w:rPr>
              <w:t>Número de descargas de los cuatro principales informes estadísticos (Indicadores mundiales de propiedad intelectual, reseñas anuales del PCT, La Haya y Madrid)</w:t>
            </w:r>
          </w:p>
        </w:tc>
        <w:tc>
          <w:tcPr>
            <w:tcW w:w="1195" w:type="pct"/>
            <w:shd w:val="clear" w:color="auto" w:fill="auto"/>
          </w:tcPr>
          <w:p w:rsidR="008827B3" w:rsidRPr="00526311" w:rsidRDefault="008827B3" w:rsidP="00DC1333">
            <w:pPr>
              <w:keepNext/>
              <w:keepLines/>
              <w:rPr>
                <w:color w:val="002060"/>
                <w:sz w:val="16"/>
                <w:szCs w:val="16"/>
              </w:rPr>
            </w:pPr>
            <w:r w:rsidRPr="00526311">
              <w:rPr>
                <w:i/>
                <w:color w:val="002060"/>
                <w:sz w:val="16"/>
                <w:szCs w:val="16"/>
              </w:rPr>
              <w:t xml:space="preserve">Referencia actualizada a fines de 2013: </w:t>
            </w:r>
            <w:r>
              <w:rPr>
                <w:i/>
                <w:color w:val="002060"/>
                <w:sz w:val="16"/>
                <w:szCs w:val="16"/>
              </w:rPr>
              <w:t xml:space="preserve"> </w:t>
            </w:r>
            <w:r w:rsidRPr="00526311">
              <w:rPr>
                <w:color w:val="002060"/>
                <w:sz w:val="16"/>
                <w:szCs w:val="16"/>
              </w:rPr>
              <w:t>En 2013, se descargaron en 52.670 ocasiones las últimas ediciones disponibles (2012 y 2013) de los Indicadores mundiales de propiedad intelectual (publicación n</w:t>
            </w:r>
            <w:r>
              <w:rPr>
                <w:color w:val="002060"/>
                <w:sz w:val="16"/>
                <w:szCs w:val="16"/>
              </w:rPr>
              <w:t>.</w:t>
            </w:r>
            <w:r w:rsidRPr="00526311">
              <w:rPr>
                <w:color w:val="002060"/>
                <w:sz w:val="16"/>
                <w:szCs w:val="16"/>
              </w:rPr>
              <w:t>°941) y de los Datos y cifras de la OMPI (n</w:t>
            </w:r>
            <w:r>
              <w:rPr>
                <w:color w:val="002060"/>
                <w:sz w:val="16"/>
                <w:szCs w:val="16"/>
              </w:rPr>
              <w:t>.</w:t>
            </w:r>
            <w:r w:rsidRPr="00526311">
              <w:rPr>
                <w:color w:val="002060"/>
                <w:sz w:val="16"/>
                <w:szCs w:val="16"/>
              </w:rPr>
              <w:t>°943)</w:t>
            </w:r>
          </w:p>
          <w:p w:rsidR="008827B3" w:rsidRPr="00526311" w:rsidRDefault="008827B3" w:rsidP="00DC1333">
            <w:pPr>
              <w:keepNext/>
              <w:keepLines/>
              <w:spacing w:before="120"/>
              <w:rPr>
                <w:sz w:val="16"/>
                <w:szCs w:val="16"/>
              </w:rPr>
            </w:pPr>
            <w:r w:rsidRPr="00526311">
              <w:rPr>
                <w:i/>
                <w:sz w:val="16"/>
                <w:szCs w:val="16"/>
              </w:rPr>
              <w:t xml:space="preserve">Referencia original en el presupuesto de 2014/15:  </w:t>
            </w:r>
            <w:r w:rsidRPr="00526311">
              <w:rPr>
                <w:sz w:val="16"/>
                <w:szCs w:val="16"/>
              </w:rPr>
              <w:t>por determinar a fines de 2013</w:t>
            </w:r>
          </w:p>
          <w:p w:rsidR="008827B3" w:rsidRPr="00526311" w:rsidRDefault="008827B3" w:rsidP="00DC1333">
            <w:pPr>
              <w:keepNext/>
              <w:keepLines/>
              <w:rPr>
                <w:i/>
                <w:sz w:val="16"/>
                <w:szCs w:val="16"/>
              </w:rPr>
            </w:pPr>
          </w:p>
        </w:tc>
        <w:tc>
          <w:tcPr>
            <w:tcW w:w="749" w:type="pct"/>
            <w:shd w:val="clear" w:color="auto" w:fill="auto"/>
            <w:tcMar>
              <w:top w:w="110" w:type="dxa"/>
            </w:tcMar>
          </w:tcPr>
          <w:p w:rsidR="008827B3" w:rsidRPr="00526311" w:rsidRDefault="008827B3" w:rsidP="00DC1333">
            <w:pPr>
              <w:keepNext/>
              <w:keepLines/>
              <w:rPr>
                <w:sz w:val="16"/>
                <w:szCs w:val="16"/>
              </w:rPr>
            </w:pPr>
            <w:r w:rsidRPr="00526311">
              <w:rPr>
                <w:sz w:val="16"/>
                <w:szCs w:val="16"/>
              </w:rPr>
              <w:t>Aumento del 10% respecto de 2012/13 en el número de descargas y usuarios</w:t>
            </w:r>
          </w:p>
        </w:tc>
        <w:tc>
          <w:tcPr>
            <w:tcW w:w="1267" w:type="pct"/>
            <w:shd w:val="clear" w:color="auto" w:fill="FFFFFF"/>
            <w:tcMar>
              <w:top w:w="110" w:type="dxa"/>
            </w:tcMar>
          </w:tcPr>
          <w:p w:rsidR="008827B3" w:rsidRDefault="008827B3" w:rsidP="00DC1333">
            <w:pPr>
              <w:keepNext/>
              <w:keepLines/>
              <w:rPr>
                <w:sz w:val="16"/>
                <w:szCs w:val="16"/>
                <w:lang w:bidi="th-TH"/>
              </w:rPr>
            </w:pPr>
            <w:r>
              <w:rPr>
                <w:sz w:val="16"/>
                <w:szCs w:val="16"/>
                <w:lang w:bidi="th-TH"/>
              </w:rPr>
              <w:t>En 2014/15 se registraron en total 215.996 descargas de las dos últimas ediciones publicadas (2014 y 2015) de los siguientes informes:</w:t>
            </w:r>
          </w:p>
          <w:p w:rsidR="008827B3" w:rsidRPr="00EB0E9D" w:rsidRDefault="008827B3" w:rsidP="008827B3">
            <w:pPr>
              <w:pStyle w:val="ListParagraph"/>
              <w:keepNext/>
              <w:keepLines/>
              <w:numPr>
                <w:ilvl w:val="0"/>
                <w:numId w:val="78"/>
              </w:numPr>
              <w:rPr>
                <w:rFonts w:cs="Arial"/>
                <w:sz w:val="16"/>
                <w:szCs w:val="16"/>
                <w:lang w:val="es-ES"/>
              </w:rPr>
            </w:pPr>
            <w:r>
              <w:rPr>
                <w:rFonts w:cs="Arial"/>
                <w:sz w:val="16"/>
                <w:szCs w:val="16"/>
                <w:lang w:val="es-ES"/>
              </w:rPr>
              <w:t xml:space="preserve">El </w:t>
            </w:r>
            <w:r w:rsidRPr="00EB0E9D">
              <w:rPr>
                <w:rFonts w:cs="Arial"/>
                <w:sz w:val="16"/>
                <w:szCs w:val="16"/>
                <w:lang w:val="es-ES"/>
              </w:rPr>
              <w:t xml:space="preserve">Informe sobre indicadores mundiales de P.I. </w:t>
            </w:r>
            <w:r>
              <w:rPr>
                <w:rFonts w:cs="Arial"/>
                <w:sz w:val="16"/>
                <w:szCs w:val="16"/>
                <w:lang w:val="es-ES"/>
              </w:rPr>
              <w:t>(n.</w:t>
            </w:r>
            <w:r w:rsidRPr="00EB0E9D">
              <w:rPr>
                <w:rFonts w:cs="Arial"/>
                <w:sz w:val="16"/>
                <w:szCs w:val="16"/>
                <w:vertAlign w:val="superscript"/>
                <w:lang w:val="es-ES"/>
              </w:rPr>
              <w:t>o</w:t>
            </w:r>
            <w:r w:rsidRPr="00EB0E9D">
              <w:rPr>
                <w:rFonts w:cs="Arial"/>
                <w:sz w:val="16"/>
                <w:szCs w:val="16"/>
                <w:lang w:val="es-ES"/>
              </w:rPr>
              <w:t xml:space="preserve"> 941E/14 y 941E ) </w:t>
            </w:r>
            <w:r>
              <w:rPr>
                <w:rFonts w:cs="Arial"/>
                <w:sz w:val="16"/>
                <w:szCs w:val="16"/>
                <w:lang w:val="es-ES"/>
              </w:rPr>
              <w:t>y el Informe</w:t>
            </w:r>
            <w:r w:rsidRPr="00EB0E9D">
              <w:rPr>
                <w:rFonts w:cs="Arial"/>
                <w:sz w:val="16"/>
                <w:szCs w:val="16"/>
                <w:lang w:val="es-ES"/>
              </w:rPr>
              <w:t xml:space="preserve"> sobre datos y cifras mundiales de P.</w:t>
            </w:r>
            <w:r>
              <w:rPr>
                <w:rFonts w:cs="Arial"/>
                <w:sz w:val="16"/>
                <w:szCs w:val="16"/>
                <w:lang w:val="es-ES"/>
              </w:rPr>
              <w:t>I.</w:t>
            </w:r>
            <w:r w:rsidRPr="00EB0E9D">
              <w:rPr>
                <w:rFonts w:cs="Arial"/>
                <w:sz w:val="16"/>
                <w:szCs w:val="16"/>
                <w:lang w:val="es-ES"/>
              </w:rPr>
              <w:t xml:space="preserve"> </w:t>
            </w:r>
            <w:r>
              <w:rPr>
                <w:rFonts w:cs="Arial"/>
                <w:sz w:val="16"/>
                <w:szCs w:val="16"/>
                <w:lang w:val="es-ES"/>
              </w:rPr>
              <w:t>(n.º</w:t>
            </w:r>
            <w:r w:rsidRPr="00EB0E9D">
              <w:rPr>
                <w:rFonts w:cs="Arial"/>
                <w:sz w:val="16"/>
                <w:szCs w:val="16"/>
                <w:lang w:val="es-ES"/>
              </w:rPr>
              <w:t xml:space="preserve"> 943E/14 </w:t>
            </w:r>
            <w:r>
              <w:rPr>
                <w:rFonts w:cs="Arial"/>
                <w:sz w:val="16"/>
                <w:szCs w:val="16"/>
                <w:lang w:val="es-ES"/>
              </w:rPr>
              <w:t>y</w:t>
            </w:r>
            <w:r w:rsidRPr="00EB0E9D">
              <w:rPr>
                <w:rFonts w:cs="Arial"/>
                <w:sz w:val="16"/>
                <w:szCs w:val="16"/>
                <w:lang w:val="es-ES"/>
              </w:rPr>
              <w:t xml:space="preserve"> 943E/15) </w:t>
            </w:r>
            <w:r>
              <w:rPr>
                <w:rFonts w:cs="Arial"/>
                <w:sz w:val="16"/>
                <w:szCs w:val="16"/>
                <w:lang w:val="es-ES"/>
              </w:rPr>
              <w:t>fueron descargados 124.</w:t>
            </w:r>
            <w:r w:rsidRPr="00EB0E9D">
              <w:rPr>
                <w:rFonts w:cs="Arial"/>
                <w:sz w:val="16"/>
                <w:szCs w:val="16"/>
                <w:lang w:val="es-ES"/>
              </w:rPr>
              <w:t xml:space="preserve">642 </w:t>
            </w:r>
            <w:r>
              <w:rPr>
                <w:rFonts w:cs="Arial"/>
                <w:sz w:val="16"/>
                <w:szCs w:val="16"/>
                <w:lang w:val="es-ES"/>
              </w:rPr>
              <w:t>veces en total</w:t>
            </w:r>
            <w:r w:rsidRPr="00EB0E9D">
              <w:rPr>
                <w:rFonts w:cs="Arial"/>
                <w:sz w:val="16"/>
                <w:szCs w:val="16"/>
                <w:lang w:val="es-ES"/>
              </w:rPr>
              <w:t>:</w:t>
            </w:r>
          </w:p>
          <w:p w:rsidR="008827B3" w:rsidRPr="00EB0E9D" w:rsidRDefault="008827B3" w:rsidP="008827B3">
            <w:pPr>
              <w:pStyle w:val="ListParagraph"/>
              <w:keepNext/>
              <w:keepLines/>
              <w:numPr>
                <w:ilvl w:val="0"/>
                <w:numId w:val="77"/>
              </w:numPr>
              <w:tabs>
                <w:tab w:val="left" w:pos="191"/>
              </w:tabs>
              <w:ind w:left="551"/>
              <w:rPr>
                <w:rFonts w:cs="Arial"/>
                <w:sz w:val="16"/>
                <w:szCs w:val="16"/>
                <w:lang w:val="es-ES"/>
              </w:rPr>
            </w:pPr>
            <w:r>
              <w:rPr>
                <w:rFonts w:cs="Arial"/>
                <w:sz w:val="16"/>
                <w:szCs w:val="16"/>
                <w:lang w:val="es-ES"/>
              </w:rPr>
              <w:t>I</w:t>
            </w:r>
            <w:r w:rsidRPr="00EB0E9D">
              <w:rPr>
                <w:rFonts w:cs="Arial"/>
                <w:sz w:val="16"/>
                <w:szCs w:val="16"/>
                <w:lang w:val="es-ES"/>
              </w:rPr>
              <w:t>ndicadores mu</w:t>
            </w:r>
            <w:r>
              <w:rPr>
                <w:rFonts w:cs="Arial"/>
                <w:sz w:val="16"/>
                <w:szCs w:val="16"/>
                <w:lang w:val="es-ES"/>
              </w:rPr>
              <w:t>ndiales de P.I. (n.</w:t>
            </w:r>
            <w:r w:rsidRPr="00EB0E9D">
              <w:rPr>
                <w:rFonts w:cs="Arial"/>
                <w:sz w:val="16"/>
                <w:szCs w:val="16"/>
                <w:vertAlign w:val="superscript"/>
                <w:lang w:val="es-ES"/>
              </w:rPr>
              <w:t>o</w:t>
            </w:r>
            <w:r w:rsidRPr="00EB0E9D">
              <w:rPr>
                <w:rFonts w:cs="Arial"/>
                <w:sz w:val="16"/>
                <w:szCs w:val="16"/>
                <w:lang w:val="es-ES"/>
              </w:rPr>
              <w:t xml:space="preserve"> </w:t>
            </w:r>
            <w:r>
              <w:rPr>
                <w:rFonts w:cs="Arial"/>
                <w:sz w:val="16"/>
                <w:szCs w:val="16"/>
                <w:lang w:val="es-ES"/>
              </w:rPr>
              <w:t>941E/14 y</w:t>
            </w:r>
            <w:r w:rsidRPr="00EB0E9D">
              <w:rPr>
                <w:rFonts w:cs="Arial"/>
                <w:sz w:val="16"/>
                <w:szCs w:val="16"/>
                <w:lang w:val="es-ES"/>
              </w:rPr>
              <w:t xml:space="preserve"> 941E)</w:t>
            </w:r>
            <w:r>
              <w:rPr>
                <w:rFonts w:cs="Arial"/>
                <w:sz w:val="16"/>
                <w:szCs w:val="16"/>
                <w:lang w:val="es-ES"/>
              </w:rPr>
              <w:t>:  82.</w:t>
            </w:r>
            <w:r w:rsidRPr="00EB0E9D">
              <w:rPr>
                <w:rFonts w:cs="Arial"/>
                <w:sz w:val="16"/>
                <w:szCs w:val="16"/>
                <w:lang w:val="es-ES"/>
              </w:rPr>
              <w:t>914</w:t>
            </w:r>
            <w:r>
              <w:rPr>
                <w:rFonts w:cs="Arial"/>
                <w:sz w:val="16"/>
                <w:szCs w:val="16"/>
                <w:lang w:val="es-ES"/>
              </w:rPr>
              <w:t xml:space="preserve"> veces</w:t>
            </w:r>
          </w:p>
          <w:p w:rsidR="008827B3" w:rsidRDefault="008827B3" w:rsidP="008827B3">
            <w:pPr>
              <w:pStyle w:val="ListParagraph"/>
              <w:keepNext/>
              <w:keepLines/>
              <w:numPr>
                <w:ilvl w:val="0"/>
                <w:numId w:val="77"/>
              </w:numPr>
              <w:tabs>
                <w:tab w:val="left" w:pos="191"/>
              </w:tabs>
              <w:ind w:left="551"/>
              <w:rPr>
                <w:rFonts w:cs="Arial"/>
                <w:sz w:val="16"/>
                <w:szCs w:val="16"/>
                <w:lang w:val="es-ES"/>
              </w:rPr>
            </w:pPr>
            <w:r w:rsidRPr="00EB0E9D">
              <w:rPr>
                <w:rFonts w:cs="Arial"/>
                <w:sz w:val="16"/>
                <w:szCs w:val="16"/>
                <w:lang w:val="es-ES"/>
              </w:rPr>
              <w:t xml:space="preserve">Datos y cifras de la OMPI </w:t>
            </w:r>
            <w:r>
              <w:rPr>
                <w:rFonts w:cs="Arial"/>
                <w:sz w:val="16"/>
                <w:szCs w:val="16"/>
                <w:lang w:val="es-ES"/>
              </w:rPr>
              <w:t>(n.</w:t>
            </w:r>
            <w:r w:rsidRPr="00EB0E9D">
              <w:rPr>
                <w:rFonts w:cs="Arial"/>
                <w:sz w:val="16"/>
                <w:szCs w:val="16"/>
                <w:vertAlign w:val="superscript"/>
                <w:lang w:val="es-ES"/>
              </w:rPr>
              <w:t>o</w:t>
            </w:r>
            <w:r w:rsidRPr="00EB0E9D">
              <w:rPr>
                <w:rFonts w:cs="Arial"/>
                <w:sz w:val="16"/>
                <w:szCs w:val="16"/>
                <w:lang w:val="es-ES"/>
              </w:rPr>
              <w:t xml:space="preserve"> 943E/14 </w:t>
            </w:r>
            <w:r>
              <w:rPr>
                <w:rFonts w:cs="Arial"/>
                <w:sz w:val="16"/>
                <w:szCs w:val="16"/>
                <w:lang w:val="es-ES"/>
              </w:rPr>
              <w:t>y</w:t>
            </w:r>
            <w:r w:rsidRPr="00EB0E9D">
              <w:rPr>
                <w:rFonts w:cs="Arial"/>
                <w:sz w:val="16"/>
                <w:szCs w:val="16"/>
                <w:lang w:val="es-ES"/>
              </w:rPr>
              <w:t xml:space="preserve"> 943E/15)</w:t>
            </w:r>
            <w:r>
              <w:rPr>
                <w:rFonts w:cs="Arial"/>
                <w:sz w:val="16"/>
                <w:szCs w:val="16"/>
                <w:lang w:val="es-ES"/>
              </w:rPr>
              <w:t>:  41.</w:t>
            </w:r>
            <w:r w:rsidRPr="00EB0E9D">
              <w:rPr>
                <w:rFonts w:cs="Arial"/>
                <w:sz w:val="16"/>
                <w:szCs w:val="16"/>
                <w:lang w:val="es-ES"/>
              </w:rPr>
              <w:t xml:space="preserve">728 </w:t>
            </w:r>
            <w:r>
              <w:rPr>
                <w:rFonts w:cs="Arial"/>
                <w:sz w:val="16"/>
                <w:szCs w:val="16"/>
                <w:lang w:val="es-ES"/>
              </w:rPr>
              <w:t>vec</w:t>
            </w:r>
            <w:r w:rsidRPr="00EB0E9D">
              <w:rPr>
                <w:rFonts w:cs="Arial"/>
                <w:sz w:val="16"/>
                <w:szCs w:val="16"/>
                <w:lang w:val="es-ES"/>
              </w:rPr>
              <w:t>es</w:t>
            </w:r>
          </w:p>
          <w:p w:rsidR="008827B3" w:rsidRPr="00EB0E9D" w:rsidRDefault="008827B3" w:rsidP="00DC1333">
            <w:pPr>
              <w:pStyle w:val="ListParagraph"/>
              <w:keepNext/>
              <w:keepLines/>
              <w:tabs>
                <w:tab w:val="left" w:pos="191"/>
              </w:tabs>
              <w:ind w:left="551"/>
              <w:rPr>
                <w:rFonts w:cs="Arial"/>
                <w:sz w:val="16"/>
                <w:szCs w:val="16"/>
                <w:lang w:val="es-ES"/>
              </w:rPr>
            </w:pPr>
          </w:p>
          <w:p w:rsidR="008827B3" w:rsidRPr="00EB0E9D" w:rsidRDefault="008827B3" w:rsidP="008827B3">
            <w:pPr>
              <w:pStyle w:val="ListParagraph"/>
              <w:keepNext/>
              <w:keepLines/>
              <w:numPr>
                <w:ilvl w:val="0"/>
                <w:numId w:val="78"/>
              </w:numPr>
              <w:rPr>
                <w:rFonts w:cs="Arial"/>
                <w:sz w:val="16"/>
                <w:szCs w:val="16"/>
                <w:lang w:val="es-ES"/>
              </w:rPr>
            </w:pPr>
            <w:r w:rsidRPr="00EB0E9D">
              <w:rPr>
                <w:rFonts w:cs="Arial"/>
                <w:sz w:val="16"/>
                <w:szCs w:val="16"/>
                <w:lang w:val="es-ES"/>
              </w:rPr>
              <w:t xml:space="preserve">Reseña anual del PCT </w:t>
            </w:r>
            <w:r>
              <w:rPr>
                <w:rFonts w:cs="Arial"/>
                <w:sz w:val="16"/>
                <w:szCs w:val="16"/>
                <w:lang w:val="es-ES"/>
              </w:rPr>
              <w:t>(n.</w:t>
            </w:r>
            <w:r w:rsidRPr="00EB0E9D">
              <w:rPr>
                <w:rFonts w:cs="Arial"/>
                <w:sz w:val="16"/>
                <w:szCs w:val="16"/>
                <w:vertAlign w:val="superscript"/>
                <w:lang w:val="es-ES"/>
              </w:rPr>
              <w:t>o</w:t>
            </w:r>
            <w:r w:rsidRPr="00EB0E9D">
              <w:rPr>
                <w:rFonts w:cs="Arial"/>
                <w:sz w:val="16"/>
                <w:szCs w:val="16"/>
                <w:lang w:val="es-ES"/>
              </w:rPr>
              <w:t xml:space="preserve"> </w:t>
            </w:r>
            <w:r>
              <w:rPr>
                <w:rFonts w:cs="Arial"/>
                <w:sz w:val="16"/>
                <w:szCs w:val="16"/>
                <w:lang w:val="es-ES"/>
              </w:rPr>
              <w:t>901E/2014 y</w:t>
            </w:r>
            <w:r w:rsidRPr="00EB0E9D">
              <w:rPr>
                <w:rFonts w:cs="Arial"/>
                <w:sz w:val="16"/>
                <w:szCs w:val="16"/>
                <w:lang w:val="es-ES"/>
              </w:rPr>
              <w:t xml:space="preserve"> 901E/2015)</w:t>
            </w:r>
            <w:r>
              <w:rPr>
                <w:rFonts w:cs="Arial"/>
                <w:sz w:val="16"/>
                <w:szCs w:val="16"/>
                <w:lang w:val="es-ES"/>
              </w:rPr>
              <w:t>:  50.</w:t>
            </w:r>
            <w:r w:rsidRPr="00EB0E9D">
              <w:rPr>
                <w:rFonts w:cs="Arial"/>
                <w:sz w:val="16"/>
                <w:szCs w:val="16"/>
                <w:lang w:val="es-ES"/>
              </w:rPr>
              <w:t>746</w:t>
            </w:r>
            <w:r>
              <w:rPr>
                <w:rFonts w:cs="Arial"/>
                <w:sz w:val="16"/>
                <w:szCs w:val="16"/>
                <w:lang w:val="es-ES"/>
              </w:rPr>
              <w:t xml:space="preserve"> </w:t>
            </w:r>
            <w:r w:rsidRPr="00EB0E9D">
              <w:rPr>
                <w:rFonts w:cs="Arial"/>
                <w:sz w:val="16"/>
                <w:szCs w:val="16"/>
                <w:lang w:val="es-ES"/>
              </w:rPr>
              <w:t>d</w:t>
            </w:r>
            <w:r>
              <w:rPr>
                <w:rFonts w:cs="Arial"/>
                <w:sz w:val="16"/>
                <w:szCs w:val="16"/>
                <w:lang w:val="es-ES"/>
              </w:rPr>
              <w:t>escarga</w:t>
            </w:r>
            <w:r w:rsidRPr="00EB0E9D">
              <w:rPr>
                <w:rFonts w:cs="Arial"/>
                <w:sz w:val="16"/>
                <w:szCs w:val="16"/>
                <w:lang w:val="es-ES"/>
              </w:rPr>
              <w:t>s</w:t>
            </w:r>
          </w:p>
          <w:p w:rsidR="008827B3" w:rsidRPr="00EB0E9D" w:rsidRDefault="008827B3" w:rsidP="00DC1333">
            <w:pPr>
              <w:pStyle w:val="ListParagraph"/>
              <w:keepNext/>
              <w:keepLines/>
              <w:tabs>
                <w:tab w:val="left" w:pos="191"/>
              </w:tabs>
              <w:ind w:left="11"/>
              <w:rPr>
                <w:rFonts w:cs="Arial"/>
                <w:sz w:val="16"/>
                <w:szCs w:val="16"/>
                <w:lang w:val="es-ES"/>
              </w:rPr>
            </w:pPr>
          </w:p>
          <w:p w:rsidR="008827B3" w:rsidRPr="00C04899" w:rsidRDefault="008827B3" w:rsidP="008827B3">
            <w:pPr>
              <w:pStyle w:val="ListParagraph"/>
              <w:keepNext/>
              <w:keepLines/>
              <w:numPr>
                <w:ilvl w:val="0"/>
                <w:numId w:val="78"/>
              </w:numPr>
              <w:rPr>
                <w:rFonts w:cs="Arial"/>
                <w:sz w:val="16"/>
                <w:szCs w:val="16"/>
                <w:lang w:val="es-ES"/>
              </w:rPr>
            </w:pPr>
            <w:r w:rsidRPr="00C04899">
              <w:rPr>
                <w:rFonts w:cs="Arial"/>
                <w:sz w:val="16"/>
                <w:szCs w:val="16"/>
                <w:lang w:val="es-ES"/>
              </w:rPr>
              <w:t xml:space="preserve">Reseña </w:t>
            </w:r>
            <w:r>
              <w:rPr>
                <w:rFonts w:cs="Arial"/>
                <w:sz w:val="16"/>
                <w:szCs w:val="16"/>
                <w:lang w:val="es-ES"/>
              </w:rPr>
              <w:t>a</w:t>
            </w:r>
            <w:r w:rsidRPr="00C04899">
              <w:rPr>
                <w:rFonts w:cs="Arial"/>
                <w:sz w:val="16"/>
                <w:szCs w:val="16"/>
                <w:lang w:val="es-ES"/>
              </w:rPr>
              <w:t xml:space="preserve">nual </w:t>
            </w:r>
            <w:r>
              <w:rPr>
                <w:rFonts w:cs="Arial"/>
                <w:sz w:val="16"/>
                <w:szCs w:val="16"/>
                <w:lang w:val="es-ES"/>
              </w:rPr>
              <w:t xml:space="preserve">del Sistema </w:t>
            </w:r>
            <w:r w:rsidRPr="00C04899">
              <w:rPr>
                <w:rFonts w:cs="Arial"/>
                <w:sz w:val="16"/>
                <w:szCs w:val="16"/>
                <w:lang w:val="es-ES"/>
              </w:rPr>
              <w:t>de Madrid (n.</w:t>
            </w:r>
            <w:r w:rsidRPr="00C04899">
              <w:rPr>
                <w:rFonts w:cs="Arial"/>
                <w:sz w:val="16"/>
                <w:szCs w:val="16"/>
                <w:vertAlign w:val="superscript"/>
                <w:lang w:val="es-ES"/>
              </w:rPr>
              <w:t>o</w:t>
            </w:r>
            <w:r w:rsidRPr="00C04899">
              <w:rPr>
                <w:rFonts w:cs="Arial"/>
                <w:sz w:val="16"/>
                <w:szCs w:val="16"/>
                <w:lang w:val="es-ES"/>
              </w:rPr>
              <w:t xml:space="preserve"> 940E/14 </w:t>
            </w:r>
            <w:r>
              <w:rPr>
                <w:rFonts w:cs="Arial"/>
                <w:sz w:val="16"/>
                <w:szCs w:val="16"/>
                <w:lang w:val="es-ES"/>
              </w:rPr>
              <w:t>y</w:t>
            </w:r>
            <w:r w:rsidRPr="00C04899">
              <w:rPr>
                <w:rFonts w:cs="Arial"/>
                <w:sz w:val="16"/>
                <w:szCs w:val="16"/>
                <w:lang w:val="es-ES"/>
              </w:rPr>
              <w:t xml:space="preserve"> 940E/15)</w:t>
            </w:r>
            <w:r>
              <w:rPr>
                <w:rFonts w:cs="Arial"/>
                <w:sz w:val="16"/>
                <w:szCs w:val="16"/>
                <w:lang w:val="es-ES"/>
              </w:rPr>
              <w:t>:  20.</w:t>
            </w:r>
            <w:r w:rsidRPr="00C04899">
              <w:rPr>
                <w:rFonts w:cs="Arial"/>
                <w:sz w:val="16"/>
                <w:szCs w:val="16"/>
                <w:lang w:val="es-ES"/>
              </w:rPr>
              <w:t>281 d</w:t>
            </w:r>
            <w:r>
              <w:rPr>
                <w:rFonts w:cs="Arial"/>
                <w:sz w:val="16"/>
                <w:szCs w:val="16"/>
                <w:lang w:val="es-ES"/>
              </w:rPr>
              <w:t>escarga</w:t>
            </w:r>
            <w:r w:rsidRPr="00C04899">
              <w:rPr>
                <w:rFonts w:cs="Arial"/>
                <w:sz w:val="16"/>
                <w:szCs w:val="16"/>
                <w:lang w:val="es-ES"/>
              </w:rPr>
              <w:t>s</w:t>
            </w:r>
          </w:p>
          <w:p w:rsidR="008827B3" w:rsidRPr="00C04899" w:rsidRDefault="008827B3" w:rsidP="00DC1333">
            <w:pPr>
              <w:keepNext/>
              <w:keepLines/>
              <w:tabs>
                <w:tab w:val="left" w:pos="191"/>
              </w:tabs>
              <w:ind w:left="11"/>
              <w:rPr>
                <w:sz w:val="16"/>
                <w:szCs w:val="16"/>
              </w:rPr>
            </w:pPr>
          </w:p>
          <w:p w:rsidR="008827B3" w:rsidRPr="00C04899" w:rsidRDefault="008827B3" w:rsidP="008827B3">
            <w:pPr>
              <w:pStyle w:val="ListParagraph"/>
              <w:keepNext/>
              <w:keepLines/>
              <w:numPr>
                <w:ilvl w:val="0"/>
                <w:numId w:val="78"/>
              </w:numPr>
              <w:rPr>
                <w:rFonts w:cs="Arial"/>
                <w:sz w:val="16"/>
                <w:szCs w:val="16"/>
                <w:lang w:val="es-ES"/>
              </w:rPr>
            </w:pPr>
            <w:r>
              <w:rPr>
                <w:rFonts w:cs="Arial"/>
                <w:sz w:val="16"/>
                <w:szCs w:val="16"/>
                <w:lang w:val="es-ES"/>
              </w:rPr>
              <w:t>Reseña anual del Sistema de La</w:t>
            </w:r>
            <w:r w:rsidRPr="00C04899">
              <w:rPr>
                <w:rFonts w:cs="Arial"/>
                <w:sz w:val="16"/>
                <w:szCs w:val="16"/>
                <w:lang w:val="es-ES"/>
              </w:rPr>
              <w:t xml:space="preserve"> </w:t>
            </w:r>
            <w:r>
              <w:rPr>
                <w:rFonts w:cs="Arial"/>
                <w:sz w:val="16"/>
                <w:szCs w:val="16"/>
                <w:lang w:val="es-ES"/>
              </w:rPr>
              <w:t>Haya (n.</w:t>
            </w:r>
            <w:r w:rsidRPr="00C04899">
              <w:rPr>
                <w:rFonts w:cs="Arial"/>
                <w:sz w:val="16"/>
                <w:szCs w:val="16"/>
                <w:vertAlign w:val="superscript"/>
                <w:lang w:val="es-ES"/>
              </w:rPr>
              <w:t>o</w:t>
            </w:r>
            <w:r>
              <w:rPr>
                <w:rFonts w:cs="Arial"/>
                <w:sz w:val="16"/>
                <w:szCs w:val="16"/>
                <w:lang w:val="es-ES"/>
              </w:rPr>
              <w:t xml:space="preserve"> 930E/14 y</w:t>
            </w:r>
            <w:r w:rsidRPr="00C04899">
              <w:rPr>
                <w:rFonts w:cs="Arial"/>
                <w:sz w:val="16"/>
                <w:szCs w:val="16"/>
                <w:lang w:val="es-ES"/>
              </w:rPr>
              <w:t xml:space="preserve"> 930E15)</w:t>
            </w:r>
            <w:r>
              <w:rPr>
                <w:rFonts w:cs="Arial"/>
                <w:sz w:val="16"/>
                <w:szCs w:val="16"/>
                <w:lang w:val="es-ES"/>
              </w:rPr>
              <w:t>:  20.</w:t>
            </w:r>
            <w:r w:rsidRPr="00C04899">
              <w:rPr>
                <w:rFonts w:cs="Arial"/>
                <w:sz w:val="16"/>
                <w:szCs w:val="16"/>
                <w:lang w:val="es-ES"/>
              </w:rPr>
              <w:t>237 d</w:t>
            </w:r>
            <w:r>
              <w:rPr>
                <w:rFonts w:cs="Arial"/>
                <w:sz w:val="16"/>
                <w:szCs w:val="16"/>
                <w:lang w:val="es-ES"/>
              </w:rPr>
              <w:t>escarga</w:t>
            </w:r>
            <w:r w:rsidRPr="00C04899">
              <w:rPr>
                <w:rFonts w:cs="Arial"/>
                <w:sz w:val="16"/>
                <w:szCs w:val="16"/>
                <w:lang w:val="es-ES"/>
              </w:rPr>
              <w:t>s</w:t>
            </w:r>
          </w:p>
          <w:p w:rsidR="008827B3" w:rsidRPr="00C04899" w:rsidRDefault="008827B3" w:rsidP="00DC1333">
            <w:pPr>
              <w:pStyle w:val="ListParagraph"/>
              <w:keepNext/>
              <w:keepLines/>
              <w:ind w:left="360"/>
              <w:rPr>
                <w:rFonts w:cs="Arial"/>
                <w:sz w:val="16"/>
                <w:szCs w:val="16"/>
                <w:lang w:val="es-ES"/>
              </w:rPr>
            </w:pPr>
          </w:p>
        </w:tc>
        <w:tc>
          <w:tcPr>
            <w:tcW w:w="668" w:type="pct"/>
            <w:gridSpan w:val="2"/>
            <w:shd w:val="clear" w:color="auto" w:fill="auto"/>
            <w:tcMar>
              <w:top w:w="110" w:type="dxa"/>
            </w:tcMar>
          </w:tcPr>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00B050"/>
                <w:sz w:val="16"/>
                <w:szCs w:val="16"/>
              </w:rPr>
            </w:pPr>
          </w:p>
          <w:p w:rsidR="008827B3" w:rsidRDefault="008827B3" w:rsidP="00DC1333">
            <w:pPr>
              <w:keepNext/>
              <w:keepLines/>
              <w:jc w:val="center"/>
              <w:rPr>
                <w:b/>
                <w:bCs/>
                <w:color w:val="A6A6A6" w:themeColor="background1" w:themeShade="A6"/>
                <w:sz w:val="16"/>
                <w:szCs w:val="16"/>
              </w:rPr>
            </w:pPr>
            <w:r>
              <w:rPr>
                <w:b/>
                <w:bCs/>
                <w:color w:val="00B050"/>
                <w:sz w:val="16"/>
                <w:szCs w:val="16"/>
              </w:rPr>
              <w:t>Plenamente logrado</w:t>
            </w:r>
            <w:r w:rsidRPr="00526311">
              <w:rPr>
                <w:b/>
                <w:bCs/>
                <w:color w:val="A6A6A6" w:themeColor="background1" w:themeShade="A6"/>
                <w:sz w:val="16"/>
                <w:szCs w:val="16"/>
              </w:rPr>
              <w:t xml:space="preserve"> </w:t>
            </w: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r w:rsidRPr="00526311">
              <w:rPr>
                <w:b/>
                <w:bCs/>
                <w:color w:val="A6A6A6" w:themeColor="background1" w:themeShade="A6"/>
                <w:sz w:val="16"/>
                <w:szCs w:val="16"/>
              </w:rPr>
              <w:t>No mensurable</w:t>
            </w: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r w:rsidRPr="00526311">
              <w:rPr>
                <w:b/>
                <w:bCs/>
                <w:color w:val="A6A6A6" w:themeColor="background1" w:themeShade="A6"/>
                <w:sz w:val="16"/>
                <w:szCs w:val="16"/>
              </w:rPr>
              <w:t>No mensurable</w:t>
            </w: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Default="008827B3" w:rsidP="00DC1333">
            <w:pPr>
              <w:keepNext/>
              <w:keepLines/>
              <w:jc w:val="center"/>
              <w:rPr>
                <w:b/>
                <w:bCs/>
                <w:color w:val="A6A6A6" w:themeColor="background1" w:themeShade="A6"/>
                <w:sz w:val="16"/>
                <w:szCs w:val="16"/>
              </w:rPr>
            </w:pPr>
          </w:p>
          <w:p w:rsidR="008827B3" w:rsidRPr="00526311" w:rsidRDefault="008827B3" w:rsidP="00DC1333">
            <w:pPr>
              <w:keepNext/>
              <w:keepLines/>
              <w:jc w:val="center"/>
              <w:rPr>
                <w:b/>
                <w:bCs/>
                <w:sz w:val="16"/>
                <w:szCs w:val="16"/>
              </w:rPr>
            </w:pPr>
            <w:r w:rsidRPr="00526311">
              <w:rPr>
                <w:b/>
                <w:bCs/>
                <w:color w:val="A6A6A6" w:themeColor="background1" w:themeShade="A6"/>
                <w:sz w:val="16"/>
                <w:szCs w:val="16"/>
              </w:rPr>
              <w:t>No mensurable</w:t>
            </w:r>
          </w:p>
        </w:tc>
      </w:tr>
      <w:tr w:rsidR="008827B3" w:rsidRPr="00526311" w:rsidTr="00DC1333">
        <w:trPr>
          <w:cantSplit/>
        </w:trPr>
        <w:tc>
          <w:tcPr>
            <w:tcW w:w="1121" w:type="pct"/>
            <w:tcBorders>
              <w:bottom w:val="single" w:sz="4" w:space="0" w:color="auto"/>
            </w:tcBorders>
            <w:shd w:val="clear" w:color="auto" w:fill="auto"/>
          </w:tcPr>
          <w:p w:rsidR="008827B3" w:rsidRPr="00526311" w:rsidRDefault="008827B3" w:rsidP="00DC1333">
            <w:pPr>
              <w:rPr>
                <w:sz w:val="16"/>
                <w:szCs w:val="16"/>
              </w:rPr>
            </w:pPr>
            <w:r w:rsidRPr="00526311">
              <w:rPr>
                <w:sz w:val="16"/>
                <w:szCs w:val="16"/>
              </w:rPr>
              <w:t>Número de visitantes que utilizan el Centro de datos de estadísticas de P.I.</w:t>
            </w:r>
          </w:p>
        </w:tc>
        <w:tc>
          <w:tcPr>
            <w:tcW w:w="1195" w:type="pct"/>
            <w:tcBorders>
              <w:bottom w:val="single" w:sz="4" w:space="0" w:color="auto"/>
            </w:tcBorders>
            <w:shd w:val="clear" w:color="auto" w:fill="auto"/>
          </w:tcPr>
          <w:p w:rsidR="008827B3" w:rsidRPr="00526311" w:rsidRDefault="008827B3" w:rsidP="00DC1333">
            <w:pPr>
              <w:rPr>
                <w:i/>
                <w:color w:val="002060"/>
                <w:sz w:val="16"/>
                <w:szCs w:val="16"/>
              </w:rPr>
            </w:pPr>
            <w:r w:rsidRPr="00526311">
              <w:rPr>
                <w:i/>
                <w:color w:val="002060"/>
                <w:sz w:val="16"/>
                <w:szCs w:val="16"/>
              </w:rPr>
              <w:t xml:space="preserve">Referencia actualizada a fines de 2013: </w:t>
            </w:r>
            <w:r>
              <w:rPr>
                <w:i/>
                <w:color w:val="002060"/>
                <w:sz w:val="16"/>
                <w:szCs w:val="16"/>
              </w:rPr>
              <w:t xml:space="preserve"> </w:t>
            </w:r>
          </w:p>
          <w:p w:rsidR="008827B3" w:rsidRPr="00526311" w:rsidRDefault="008827B3" w:rsidP="00DC1333">
            <w:pPr>
              <w:rPr>
                <w:color w:val="002060"/>
                <w:sz w:val="16"/>
                <w:szCs w:val="16"/>
              </w:rPr>
            </w:pPr>
            <w:r w:rsidRPr="00526311">
              <w:rPr>
                <w:color w:val="002060"/>
                <w:sz w:val="16"/>
                <w:szCs w:val="16"/>
              </w:rPr>
              <w:t>En 2013, el Centro de datos de estadísticas de la OMPI tuvo 23.496 visitantes únicos (1.958 al mes) que vieron 162.463 páginas</w:t>
            </w:r>
          </w:p>
          <w:p w:rsidR="008827B3" w:rsidRPr="00526311" w:rsidRDefault="008827B3" w:rsidP="00DC1333">
            <w:pPr>
              <w:spacing w:before="120"/>
              <w:rPr>
                <w:sz w:val="16"/>
                <w:szCs w:val="16"/>
              </w:rPr>
            </w:pPr>
            <w:r w:rsidRPr="00526311">
              <w:rPr>
                <w:i/>
                <w:sz w:val="16"/>
                <w:szCs w:val="16"/>
              </w:rPr>
              <w:t xml:space="preserve">Referencia original en el presupuesto de 2014/15:  </w:t>
            </w:r>
            <w:r w:rsidRPr="00526311">
              <w:rPr>
                <w:sz w:val="16"/>
                <w:szCs w:val="16"/>
              </w:rPr>
              <w:t>por determinar a fines de 2013</w:t>
            </w:r>
            <w:r w:rsidRPr="00526311">
              <w:rPr>
                <w:sz w:val="16"/>
                <w:szCs w:val="16"/>
              </w:rPr>
              <w:br/>
            </w:r>
          </w:p>
        </w:tc>
        <w:tc>
          <w:tcPr>
            <w:tcW w:w="749" w:type="pct"/>
            <w:tcBorders>
              <w:bottom w:val="single" w:sz="4" w:space="0" w:color="auto"/>
            </w:tcBorders>
            <w:shd w:val="clear" w:color="auto" w:fill="auto"/>
            <w:tcMar>
              <w:top w:w="110" w:type="dxa"/>
            </w:tcMar>
          </w:tcPr>
          <w:p w:rsidR="008827B3" w:rsidRPr="00526311" w:rsidRDefault="008827B3" w:rsidP="00DC1333">
            <w:pPr>
              <w:rPr>
                <w:rFonts w:ascii="ArialMT" w:hAnsi="ArialMT" w:cs="ArialMT"/>
                <w:sz w:val="16"/>
                <w:szCs w:val="16"/>
              </w:rPr>
            </w:pPr>
            <w:r w:rsidRPr="00526311">
              <w:rPr>
                <w:rFonts w:ascii="ArialMT" w:hAnsi="ArialMT" w:cs="ArialMT"/>
                <w:sz w:val="16"/>
                <w:szCs w:val="16"/>
              </w:rPr>
              <w:t>Aumento del 10% respecto de 2012/13 en el número de usuarios</w:t>
            </w:r>
          </w:p>
          <w:p w:rsidR="008827B3" w:rsidRPr="00526311" w:rsidRDefault="008827B3" w:rsidP="00DC1333">
            <w:pPr>
              <w:rPr>
                <w:rFonts w:ascii="ArialMT" w:hAnsi="ArialMT" w:cs="ArialMT"/>
                <w:sz w:val="16"/>
                <w:szCs w:val="16"/>
              </w:rPr>
            </w:pPr>
          </w:p>
          <w:p w:rsidR="008827B3" w:rsidRPr="00526311" w:rsidRDefault="008827B3" w:rsidP="00DC1333">
            <w:pPr>
              <w:rPr>
                <w:i/>
                <w:sz w:val="16"/>
                <w:szCs w:val="16"/>
              </w:rPr>
            </w:pPr>
          </w:p>
        </w:tc>
        <w:tc>
          <w:tcPr>
            <w:tcW w:w="1267" w:type="pct"/>
            <w:tcBorders>
              <w:bottom w:val="single" w:sz="4" w:space="0" w:color="auto"/>
            </w:tcBorders>
            <w:shd w:val="clear" w:color="auto" w:fill="FFFFFF"/>
            <w:tcMar>
              <w:top w:w="110" w:type="dxa"/>
            </w:tcMar>
          </w:tcPr>
          <w:p w:rsidR="008827B3" w:rsidRPr="00526311" w:rsidRDefault="008827B3" w:rsidP="00DC1333">
            <w:pPr>
              <w:rPr>
                <w:sz w:val="16"/>
                <w:szCs w:val="16"/>
              </w:rPr>
            </w:pPr>
            <w:r>
              <w:rPr>
                <w:rFonts w:eastAsia="Batang"/>
                <w:sz w:val="16"/>
                <w:szCs w:val="16"/>
                <w:lang w:eastAsia="ja-JP"/>
              </w:rPr>
              <w:t>En 2014/15 el Centro de datos de estadística de la OMPI tuvo aproximadamente 51.383 visitantes únicos (2.141 al mes) que vieron aproximadamente 608.277 páginas</w:t>
            </w:r>
            <w:r>
              <w:rPr>
                <w:rStyle w:val="FootnoteReference"/>
                <w:rFonts w:eastAsia="Batang"/>
                <w:sz w:val="16"/>
                <w:szCs w:val="16"/>
                <w:lang w:eastAsia="ja-JP"/>
              </w:rPr>
              <w:footnoteReference w:id="94"/>
            </w:r>
          </w:p>
        </w:tc>
        <w:tc>
          <w:tcPr>
            <w:tcW w:w="668" w:type="pct"/>
            <w:gridSpan w:val="2"/>
            <w:tcBorders>
              <w:bottom w:val="single" w:sz="4" w:space="0" w:color="auto"/>
            </w:tcBorders>
            <w:shd w:val="clear" w:color="auto" w:fill="auto"/>
            <w:tcMar>
              <w:top w:w="110" w:type="dxa"/>
            </w:tcMar>
          </w:tcPr>
          <w:p w:rsidR="008827B3" w:rsidRPr="00526311" w:rsidRDefault="008827B3" w:rsidP="00DC1333">
            <w:pPr>
              <w:keepNext/>
              <w:keepLines/>
              <w:jc w:val="center"/>
              <w:rPr>
                <w:b/>
                <w:bCs/>
                <w:color w:val="00B050"/>
                <w:sz w:val="16"/>
                <w:szCs w:val="16"/>
              </w:rPr>
            </w:pPr>
            <w:r>
              <w:rPr>
                <w:b/>
                <w:bCs/>
                <w:color w:val="00B050"/>
                <w:sz w:val="16"/>
                <w:szCs w:val="16"/>
              </w:rPr>
              <w:t>Plenamente logrado</w:t>
            </w:r>
          </w:p>
        </w:tc>
      </w:tr>
      <w:tr w:rsidR="008827B3" w:rsidRPr="00526311" w:rsidTr="00DC1333">
        <w:trPr>
          <w:cantSplit/>
        </w:trPr>
        <w:tc>
          <w:tcPr>
            <w:tcW w:w="5000" w:type="pct"/>
            <w:gridSpan w:val="6"/>
            <w:tcBorders>
              <w:top w:val="single" w:sz="4" w:space="0" w:color="auto"/>
              <w:bottom w:val="single" w:sz="4" w:space="0" w:color="auto"/>
            </w:tcBorders>
            <w:shd w:val="clear" w:color="auto" w:fill="C6D9F1" w:themeFill="text2" w:themeFillTint="33"/>
            <w:vAlign w:val="center"/>
          </w:tcPr>
          <w:p w:rsidR="008827B3" w:rsidRPr="00526311" w:rsidRDefault="008827B3" w:rsidP="00DC1333">
            <w:pPr>
              <w:keepNext/>
              <w:keepLines/>
              <w:spacing w:before="120" w:after="120"/>
              <w:ind w:left="2019" w:hanging="2019"/>
              <w:rPr>
                <w:b/>
                <w:bCs/>
                <w:sz w:val="16"/>
                <w:szCs w:val="16"/>
              </w:rPr>
            </w:pPr>
            <w:r w:rsidRPr="00526311">
              <w:rPr>
                <w:b/>
                <w:bCs/>
                <w:sz w:val="16"/>
                <w:szCs w:val="16"/>
              </w:rPr>
              <w:lastRenderedPageBreak/>
              <w:t>Resultado previsto:</w:t>
            </w:r>
            <w:r w:rsidRPr="00526311">
              <w:rPr>
                <w:b/>
                <w:bCs/>
                <w:sz w:val="16"/>
                <w:szCs w:val="16"/>
              </w:rPr>
              <w:tab/>
            </w:r>
            <w:r w:rsidRPr="00526311">
              <w:rPr>
                <w:sz w:val="16"/>
                <w:szCs w:val="16"/>
              </w:rPr>
              <w:t>V.2 Ampliación y mejora del uso de los análisis económicos de la OMPI en la formulación de políticas</w:t>
            </w:r>
          </w:p>
        </w:tc>
      </w:tr>
      <w:tr w:rsidR="008827B3" w:rsidRPr="00526311" w:rsidTr="00DC1333">
        <w:trPr>
          <w:cantSplit/>
          <w:trHeight w:val="527"/>
        </w:trPr>
        <w:tc>
          <w:tcPr>
            <w:tcW w:w="1121" w:type="pct"/>
            <w:tcBorders>
              <w:top w:val="single" w:sz="4" w:space="0" w:color="auto"/>
            </w:tcBorders>
            <w:shd w:val="clear" w:color="auto" w:fill="auto"/>
            <w:vAlign w:val="center"/>
          </w:tcPr>
          <w:p w:rsidR="008827B3" w:rsidRPr="00526311" w:rsidRDefault="008827B3" w:rsidP="00DC1333">
            <w:pPr>
              <w:keepNext/>
              <w:rPr>
                <w:sz w:val="16"/>
                <w:szCs w:val="16"/>
              </w:rPr>
            </w:pPr>
            <w:r w:rsidRPr="00526311">
              <w:rPr>
                <w:b/>
                <w:sz w:val="16"/>
                <w:szCs w:val="16"/>
              </w:rPr>
              <w:t>Indicadores de rendimiento</w:t>
            </w:r>
          </w:p>
        </w:tc>
        <w:tc>
          <w:tcPr>
            <w:tcW w:w="1195" w:type="pct"/>
            <w:tcBorders>
              <w:top w:val="single" w:sz="4" w:space="0" w:color="auto"/>
            </w:tcBorders>
            <w:shd w:val="clear" w:color="auto" w:fill="auto"/>
            <w:vAlign w:val="center"/>
          </w:tcPr>
          <w:p w:rsidR="008827B3" w:rsidRPr="00526311" w:rsidRDefault="008827B3" w:rsidP="00DC1333">
            <w:pPr>
              <w:keepNext/>
              <w:rPr>
                <w:b/>
                <w:bCs/>
                <w:sz w:val="16"/>
                <w:szCs w:val="16"/>
              </w:rPr>
            </w:pPr>
            <w:r w:rsidRPr="00526311">
              <w:rPr>
                <w:b/>
                <w:bCs/>
                <w:sz w:val="16"/>
                <w:szCs w:val="16"/>
              </w:rPr>
              <w:t>Referencia</w:t>
            </w:r>
          </w:p>
        </w:tc>
        <w:tc>
          <w:tcPr>
            <w:tcW w:w="749" w:type="pct"/>
            <w:tcBorders>
              <w:top w:val="single" w:sz="4" w:space="0" w:color="auto"/>
            </w:tcBorders>
            <w:shd w:val="clear" w:color="auto" w:fill="auto"/>
            <w:tcMar>
              <w:top w:w="110" w:type="dxa"/>
            </w:tcMar>
            <w:vAlign w:val="center"/>
          </w:tcPr>
          <w:p w:rsidR="008827B3" w:rsidRPr="00526311" w:rsidRDefault="008827B3" w:rsidP="00DC1333">
            <w:pPr>
              <w:keepNext/>
              <w:rPr>
                <w:b/>
                <w:sz w:val="16"/>
                <w:szCs w:val="16"/>
              </w:rPr>
            </w:pPr>
            <w:r w:rsidRPr="00526311">
              <w:rPr>
                <w:b/>
                <w:sz w:val="16"/>
                <w:szCs w:val="16"/>
              </w:rPr>
              <w:t>Objetivos</w:t>
            </w:r>
          </w:p>
        </w:tc>
        <w:tc>
          <w:tcPr>
            <w:tcW w:w="1341" w:type="pct"/>
            <w:gridSpan w:val="2"/>
            <w:tcBorders>
              <w:top w:val="single" w:sz="4" w:space="0" w:color="auto"/>
            </w:tcBorders>
            <w:shd w:val="clear" w:color="auto" w:fill="FFFFFF"/>
            <w:tcMar>
              <w:top w:w="110" w:type="dxa"/>
            </w:tcMar>
            <w:vAlign w:val="center"/>
          </w:tcPr>
          <w:p w:rsidR="008827B3" w:rsidRPr="00526311" w:rsidRDefault="008827B3" w:rsidP="00DC1333">
            <w:pPr>
              <w:keepNext/>
              <w:rPr>
                <w:sz w:val="16"/>
                <w:szCs w:val="16"/>
              </w:rPr>
            </w:pPr>
            <w:r w:rsidRPr="00526311">
              <w:rPr>
                <w:b/>
                <w:sz w:val="16"/>
                <w:szCs w:val="16"/>
              </w:rPr>
              <w:t>Datos sobre el rendimiento</w:t>
            </w:r>
          </w:p>
        </w:tc>
        <w:tc>
          <w:tcPr>
            <w:tcW w:w="594" w:type="pct"/>
            <w:tcBorders>
              <w:top w:val="single" w:sz="4" w:space="0" w:color="auto"/>
            </w:tcBorders>
            <w:shd w:val="clear" w:color="auto" w:fill="auto"/>
            <w:tcMar>
              <w:top w:w="110" w:type="dxa"/>
            </w:tcMar>
            <w:vAlign w:val="center"/>
          </w:tcPr>
          <w:p w:rsidR="008827B3" w:rsidRPr="00526311" w:rsidRDefault="008827B3" w:rsidP="00DC1333">
            <w:pPr>
              <w:keepNext/>
              <w:keepLines/>
              <w:jc w:val="center"/>
              <w:rPr>
                <w:b/>
                <w:bCs/>
                <w:sz w:val="16"/>
                <w:szCs w:val="16"/>
              </w:rPr>
            </w:pPr>
            <w:r w:rsidRPr="00526311">
              <w:rPr>
                <w:b/>
                <w:bCs/>
                <w:sz w:val="16"/>
                <w:szCs w:val="16"/>
              </w:rPr>
              <w:t>Clave de colores</w:t>
            </w:r>
          </w:p>
        </w:tc>
      </w:tr>
      <w:tr w:rsidR="008827B3" w:rsidRPr="00526311" w:rsidTr="00DC1333">
        <w:trPr>
          <w:cantSplit/>
        </w:trPr>
        <w:tc>
          <w:tcPr>
            <w:tcW w:w="1121" w:type="pct"/>
            <w:shd w:val="clear" w:color="auto" w:fill="auto"/>
          </w:tcPr>
          <w:p w:rsidR="008827B3" w:rsidRPr="00526311" w:rsidRDefault="008827B3" w:rsidP="00DC1333">
            <w:pPr>
              <w:keepNext/>
              <w:rPr>
                <w:sz w:val="16"/>
                <w:szCs w:val="16"/>
              </w:rPr>
            </w:pPr>
            <w:r w:rsidRPr="00526311">
              <w:rPr>
                <w:sz w:val="16"/>
                <w:szCs w:val="16"/>
              </w:rPr>
              <w:t>Número de descargas de las principales publicaciones económicas</w:t>
            </w:r>
          </w:p>
        </w:tc>
        <w:tc>
          <w:tcPr>
            <w:tcW w:w="1195" w:type="pct"/>
            <w:shd w:val="clear" w:color="auto" w:fill="auto"/>
          </w:tcPr>
          <w:p w:rsidR="008827B3" w:rsidRPr="00526311" w:rsidRDefault="008827B3" w:rsidP="00DC1333">
            <w:pPr>
              <w:keepNext/>
              <w:rPr>
                <w:sz w:val="16"/>
                <w:szCs w:val="16"/>
              </w:rPr>
            </w:pPr>
            <w:r w:rsidRPr="00526311">
              <w:rPr>
                <w:sz w:val="16"/>
                <w:szCs w:val="16"/>
              </w:rPr>
              <w:t>Por determinar a fines de 2013</w:t>
            </w:r>
          </w:p>
        </w:tc>
        <w:tc>
          <w:tcPr>
            <w:tcW w:w="749" w:type="pct"/>
            <w:shd w:val="clear" w:color="auto" w:fill="auto"/>
            <w:tcMar>
              <w:top w:w="110" w:type="dxa"/>
            </w:tcMar>
          </w:tcPr>
          <w:p w:rsidR="008827B3" w:rsidRPr="00526311" w:rsidRDefault="008827B3" w:rsidP="00DC1333">
            <w:pPr>
              <w:keepNext/>
              <w:autoSpaceDE w:val="0"/>
              <w:autoSpaceDN w:val="0"/>
              <w:adjustRightInd w:val="0"/>
              <w:rPr>
                <w:rFonts w:ascii="ArialMT" w:hAnsi="ArialMT" w:cs="ArialMT"/>
                <w:sz w:val="16"/>
                <w:szCs w:val="16"/>
              </w:rPr>
            </w:pPr>
            <w:r w:rsidRPr="00526311">
              <w:rPr>
                <w:rFonts w:ascii="ArialMT" w:hAnsi="ArialMT" w:cs="ArialMT"/>
                <w:sz w:val="16"/>
                <w:szCs w:val="16"/>
              </w:rPr>
              <w:t>Aumento del 20% respecto de 2012/13</w:t>
            </w:r>
          </w:p>
        </w:tc>
        <w:tc>
          <w:tcPr>
            <w:tcW w:w="1341" w:type="pct"/>
            <w:gridSpan w:val="2"/>
            <w:shd w:val="clear" w:color="auto" w:fill="FFFFFF"/>
            <w:tcMar>
              <w:top w:w="110" w:type="dxa"/>
            </w:tcMar>
          </w:tcPr>
          <w:p w:rsidR="008827B3" w:rsidRPr="00526311" w:rsidRDefault="008827B3" w:rsidP="00DC1333">
            <w:pPr>
              <w:keepNext/>
              <w:rPr>
                <w:sz w:val="16"/>
                <w:szCs w:val="16"/>
                <w:lang w:bidi="th-TH"/>
              </w:rPr>
            </w:pPr>
            <w:r>
              <w:rPr>
                <w:sz w:val="16"/>
                <w:szCs w:val="16"/>
                <w:lang w:bidi="th-TH"/>
              </w:rPr>
              <w:t>En 2014/15, las dos últimas versiones del Índice Mundial de Innovación (2014 y 2015):</w:t>
            </w:r>
          </w:p>
          <w:p w:rsidR="008827B3" w:rsidRPr="00A61D50" w:rsidRDefault="008827B3" w:rsidP="008827B3">
            <w:pPr>
              <w:pStyle w:val="ListParagraph"/>
              <w:keepNext/>
              <w:keepLines/>
              <w:numPr>
                <w:ilvl w:val="0"/>
                <w:numId w:val="79"/>
              </w:numPr>
              <w:rPr>
                <w:rFonts w:cs="Arial"/>
                <w:sz w:val="16"/>
                <w:szCs w:val="16"/>
                <w:lang w:val="es-ES" w:bidi="th-TH"/>
              </w:rPr>
            </w:pPr>
            <w:r w:rsidRPr="00A61D50">
              <w:rPr>
                <w:rFonts w:cs="Arial"/>
                <w:sz w:val="16"/>
                <w:szCs w:val="16"/>
                <w:lang w:val="es-ES" w:bidi="th-TH"/>
              </w:rPr>
              <w:t xml:space="preserve">fueron descargadas 123.161 </w:t>
            </w:r>
            <w:r>
              <w:rPr>
                <w:rFonts w:cs="Arial"/>
                <w:sz w:val="16"/>
                <w:szCs w:val="16"/>
                <w:lang w:val="es-ES" w:bidi="th-TH"/>
              </w:rPr>
              <w:t>veces desde la</w:t>
            </w:r>
            <w:r w:rsidRPr="00A61D50">
              <w:rPr>
                <w:rFonts w:cs="Arial"/>
                <w:sz w:val="16"/>
                <w:szCs w:val="16"/>
                <w:lang w:val="es-ES" w:bidi="th-TH"/>
              </w:rPr>
              <w:t xml:space="preserve"> </w:t>
            </w:r>
            <w:r>
              <w:rPr>
                <w:rFonts w:cs="Arial"/>
                <w:sz w:val="16"/>
                <w:szCs w:val="16"/>
                <w:lang w:val="es-ES" w:bidi="th-TH"/>
              </w:rPr>
              <w:t>página</w:t>
            </w:r>
            <w:r w:rsidRPr="00A61D50">
              <w:rPr>
                <w:rFonts w:cs="Arial"/>
                <w:sz w:val="16"/>
                <w:szCs w:val="16"/>
                <w:lang w:val="es-ES" w:bidi="th-TH"/>
              </w:rPr>
              <w:t xml:space="preserve"> del </w:t>
            </w:r>
            <w:r>
              <w:rPr>
                <w:rFonts w:cs="Arial"/>
                <w:sz w:val="16"/>
                <w:szCs w:val="16"/>
                <w:lang w:val="es-ES" w:bidi="th-TH"/>
              </w:rPr>
              <w:t>Índice</w:t>
            </w:r>
            <w:r>
              <w:rPr>
                <w:rStyle w:val="FootnoteReference"/>
                <w:rFonts w:eastAsia="SimSun" w:cs="Arial"/>
                <w:lang w:bidi="th-TH"/>
              </w:rPr>
              <w:footnoteReference w:id="95"/>
            </w:r>
            <w:r>
              <w:rPr>
                <w:rFonts w:cs="Arial"/>
                <w:sz w:val="16"/>
                <w:szCs w:val="16"/>
                <w:lang w:val="es-ES" w:bidi="th-TH"/>
              </w:rPr>
              <w:t xml:space="preserve"> en el sitio web de la OMPI, que tuvo 50.</w:t>
            </w:r>
            <w:r w:rsidRPr="00A61D50">
              <w:rPr>
                <w:rFonts w:cs="Arial"/>
                <w:sz w:val="16"/>
                <w:szCs w:val="16"/>
                <w:lang w:val="es-ES" w:bidi="th-TH"/>
              </w:rPr>
              <w:t xml:space="preserve">368 </w:t>
            </w:r>
            <w:r>
              <w:rPr>
                <w:rFonts w:cs="Arial"/>
                <w:sz w:val="16"/>
                <w:szCs w:val="16"/>
                <w:lang w:val="es-ES" w:bidi="th-TH"/>
              </w:rPr>
              <w:t>visitantes únicos</w:t>
            </w:r>
            <w:r w:rsidRPr="00A61D50">
              <w:rPr>
                <w:rFonts w:cs="Arial"/>
                <w:sz w:val="16"/>
                <w:szCs w:val="16"/>
                <w:lang w:val="es-ES" w:bidi="th-TH"/>
              </w:rPr>
              <w:t>.</w:t>
            </w:r>
          </w:p>
          <w:p w:rsidR="008827B3" w:rsidRDefault="008827B3" w:rsidP="008827B3">
            <w:pPr>
              <w:pStyle w:val="ListParagraph"/>
              <w:keepNext/>
              <w:keepLines/>
              <w:numPr>
                <w:ilvl w:val="0"/>
                <w:numId w:val="79"/>
              </w:numPr>
              <w:rPr>
                <w:sz w:val="16"/>
                <w:szCs w:val="16"/>
                <w:lang w:val="es-ES" w:bidi="th-TH"/>
              </w:rPr>
            </w:pPr>
            <w:r w:rsidRPr="00A61D50">
              <w:rPr>
                <w:rFonts w:cs="Arial"/>
                <w:sz w:val="16"/>
                <w:szCs w:val="16"/>
                <w:lang w:val="es-ES" w:bidi="th-TH"/>
              </w:rPr>
              <w:t>fue descargada 13.943 veces desde el sitio web propio del Índice</w:t>
            </w:r>
            <w:r>
              <w:rPr>
                <w:rFonts w:cs="Arial"/>
                <w:sz w:val="16"/>
                <w:szCs w:val="16"/>
                <w:lang w:val="es-ES" w:bidi="th-TH"/>
              </w:rPr>
              <w:t>,</w:t>
            </w:r>
            <w:r w:rsidRPr="00A92EAC">
              <w:rPr>
                <w:rStyle w:val="FootnoteReference"/>
                <w:rFonts w:eastAsia="SimSun" w:cs="Arial"/>
                <w:lang w:val="es-ES" w:bidi="th-TH"/>
              </w:rPr>
              <w:t xml:space="preserve"> </w:t>
            </w:r>
            <w:r>
              <w:rPr>
                <w:rStyle w:val="FootnoteReference"/>
                <w:rFonts w:eastAsia="SimSun" w:cs="Arial"/>
                <w:lang w:bidi="th-TH"/>
              </w:rPr>
              <w:footnoteReference w:id="96"/>
            </w:r>
            <w:r>
              <w:rPr>
                <w:rFonts w:cs="Arial"/>
                <w:sz w:val="16"/>
                <w:szCs w:val="16"/>
                <w:lang w:val="es-ES" w:bidi="th-TH"/>
              </w:rPr>
              <w:t xml:space="preserve"> que tuvo 300.</w:t>
            </w:r>
            <w:r w:rsidRPr="00A61D50">
              <w:rPr>
                <w:rFonts w:cs="Arial"/>
                <w:sz w:val="16"/>
                <w:szCs w:val="16"/>
                <w:lang w:val="es-ES" w:bidi="th-TH"/>
              </w:rPr>
              <w:t xml:space="preserve">283 </w:t>
            </w:r>
            <w:r>
              <w:rPr>
                <w:rFonts w:cs="Arial"/>
                <w:sz w:val="16"/>
                <w:szCs w:val="16"/>
                <w:lang w:val="es-ES" w:bidi="th-TH"/>
              </w:rPr>
              <w:t>visitantes únicos</w:t>
            </w:r>
            <w:r w:rsidRPr="00A61D50">
              <w:rPr>
                <w:rFonts w:cs="Arial"/>
                <w:sz w:val="16"/>
                <w:szCs w:val="16"/>
                <w:lang w:val="es-ES" w:bidi="th-TH"/>
              </w:rPr>
              <w:t>:</w:t>
            </w:r>
          </w:p>
          <w:p w:rsidR="008827B3" w:rsidRDefault="008827B3" w:rsidP="00DC1333">
            <w:pPr>
              <w:pStyle w:val="ListParagraph"/>
              <w:keepNext/>
              <w:keepLines/>
              <w:ind w:left="360"/>
              <w:rPr>
                <w:sz w:val="16"/>
                <w:szCs w:val="16"/>
                <w:lang w:val="es-ES" w:bidi="th-TH"/>
              </w:rPr>
            </w:pPr>
          </w:p>
          <w:p w:rsidR="008827B3" w:rsidRPr="000A1473" w:rsidRDefault="008827B3" w:rsidP="00DC1333">
            <w:pPr>
              <w:keepNext/>
              <w:rPr>
                <w:sz w:val="16"/>
                <w:szCs w:val="16"/>
                <w:lang w:bidi="th-TH"/>
              </w:rPr>
            </w:pPr>
            <w:r w:rsidRPr="000A1473">
              <w:rPr>
                <w:sz w:val="16"/>
                <w:szCs w:val="16"/>
                <w:lang w:bidi="th-TH"/>
              </w:rPr>
              <w:t xml:space="preserve">En 2014/15, el </w:t>
            </w:r>
            <w:r>
              <w:rPr>
                <w:sz w:val="16"/>
                <w:szCs w:val="16"/>
                <w:lang w:bidi="th-TH"/>
              </w:rPr>
              <w:t>ú</w:t>
            </w:r>
            <w:r w:rsidRPr="000A1473">
              <w:rPr>
                <w:sz w:val="16"/>
                <w:szCs w:val="16"/>
                <w:lang w:bidi="th-TH"/>
              </w:rPr>
              <w:t>ltimo Informe mundial sobre la P.I. (2015) (944E) fue descargado 16.218 veces en total desde el 11 de noviembre de 2015, fecha de su</w:t>
            </w:r>
            <w:r>
              <w:rPr>
                <w:sz w:val="16"/>
                <w:szCs w:val="16"/>
                <w:lang w:bidi="th-TH"/>
              </w:rPr>
              <w:t xml:space="preserve"> publicación en el sitio web de la OMPI, hasta el final de 2015</w:t>
            </w:r>
            <w:r w:rsidRPr="000A1473">
              <w:rPr>
                <w:sz w:val="16"/>
                <w:szCs w:val="16"/>
                <w:lang w:bidi="th-TH"/>
              </w:rPr>
              <w:t>.</w:t>
            </w:r>
          </w:p>
        </w:tc>
        <w:tc>
          <w:tcPr>
            <w:tcW w:w="594" w:type="pct"/>
            <w:shd w:val="clear" w:color="auto" w:fill="auto"/>
            <w:tcMar>
              <w:top w:w="110" w:type="dxa"/>
            </w:tcMar>
          </w:tcPr>
          <w:p w:rsidR="008827B3" w:rsidRDefault="008827B3" w:rsidP="00DC1333">
            <w:pPr>
              <w:keepNext/>
              <w:keepLines/>
              <w:ind w:left="-107" w:right="-107"/>
              <w:jc w:val="center"/>
              <w:rPr>
                <w:b/>
                <w:bCs/>
                <w:color w:val="A6A6A6" w:themeColor="background1" w:themeShade="A6"/>
                <w:sz w:val="16"/>
                <w:szCs w:val="16"/>
              </w:rPr>
            </w:pPr>
            <w:r w:rsidRPr="00526311">
              <w:rPr>
                <w:b/>
                <w:bCs/>
                <w:color w:val="A6A6A6" w:themeColor="background1" w:themeShade="A6"/>
                <w:sz w:val="16"/>
                <w:szCs w:val="16"/>
              </w:rPr>
              <w:t>No mensurable</w:t>
            </w: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Default="008827B3" w:rsidP="00DC1333">
            <w:pPr>
              <w:keepNext/>
              <w:keepLines/>
              <w:ind w:left="-107" w:right="-107"/>
              <w:jc w:val="center"/>
              <w:rPr>
                <w:b/>
                <w:bCs/>
                <w:color w:val="A6A6A6" w:themeColor="background1" w:themeShade="A6"/>
                <w:sz w:val="16"/>
                <w:szCs w:val="16"/>
              </w:rPr>
            </w:pPr>
          </w:p>
          <w:p w:rsidR="008827B3" w:rsidRPr="00526311" w:rsidRDefault="008827B3" w:rsidP="00DC1333">
            <w:pPr>
              <w:keepNext/>
              <w:keepLines/>
              <w:ind w:left="-107" w:right="-107"/>
              <w:jc w:val="center"/>
              <w:rPr>
                <w:bCs/>
                <w:sz w:val="16"/>
                <w:szCs w:val="16"/>
              </w:rPr>
            </w:pPr>
            <w:r w:rsidRPr="00526311">
              <w:rPr>
                <w:b/>
                <w:bCs/>
                <w:color w:val="A6A6A6" w:themeColor="background1" w:themeShade="A6"/>
                <w:sz w:val="16"/>
                <w:szCs w:val="16"/>
              </w:rPr>
              <w:t>No mensurable</w:t>
            </w:r>
          </w:p>
        </w:tc>
      </w:tr>
      <w:tr w:rsidR="008827B3" w:rsidRPr="00526311" w:rsidTr="00DC1333">
        <w:trPr>
          <w:cantSplit/>
          <w:trHeight w:val="1567"/>
        </w:trPr>
        <w:tc>
          <w:tcPr>
            <w:tcW w:w="1121" w:type="pct"/>
            <w:shd w:val="clear" w:color="auto" w:fill="auto"/>
          </w:tcPr>
          <w:p w:rsidR="008827B3" w:rsidRPr="00526311" w:rsidRDefault="008827B3" w:rsidP="00DC1333">
            <w:pPr>
              <w:rPr>
                <w:sz w:val="16"/>
                <w:szCs w:val="16"/>
              </w:rPr>
            </w:pPr>
            <w:r w:rsidRPr="00526311">
              <w:rPr>
                <w:sz w:val="16"/>
                <w:szCs w:val="16"/>
              </w:rPr>
              <w:t>Número de descargas de estudios</w:t>
            </w:r>
          </w:p>
        </w:tc>
        <w:tc>
          <w:tcPr>
            <w:tcW w:w="1195" w:type="pct"/>
            <w:shd w:val="clear" w:color="auto" w:fill="auto"/>
          </w:tcPr>
          <w:p w:rsidR="008827B3" w:rsidRPr="00526311" w:rsidRDefault="008827B3" w:rsidP="00DC1333">
            <w:pPr>
              <w:rPr>
                <w:i/>
                <w:color w:val="002060"/>
                <w:sz w:val="16"/>
                <w:szCs w:val="16"/>
              </w:rPr>
            </w:pPr>
            <w:r w:rsidRPr="00526311">
              <w:rPr>
                <w:i/>
                <w:color w:val="002060"/>
                <w:sz w:val="16"/>
                <w:szCs w:val="16"/>
              </w:rPr>
              <w:t xml:space="preserve">Referencia actualizada a fines de 2013: </w:t>
            </w:r>
          </w:p>
          <w:p w:rsidR="008827B3" w:rsidRPr="00526311" w:rsidRDefault="008827B3" w:rsidP="00DC1333">
            <w:pPr>
              <w:autoSpaceDE w:val="0"/>
              <w:autoSpaceDN w:val="0"/>
              <w:adjustRightInd w:val="0"/>
              <w:rPr>
                <w:color w:val="002060"/>
                <w:sz w:val="16"/>
                <w:szCs w:val="16"/>
              </w:rPr>
            </w:pPr>
            <w:r w:rsidRPr="00526311">
              <w:rPr>
                <w:color w:val="002060"/>
                <w:sz w:val="16"/>
                <w:szCs w:val="16"/>
              </w:rPr>
              <w:t xml:space="preserve">7 documentos de trabajo publicados en 2013 </w:t>
            </w:r>
          </w:p>
          <w:p w:rsidR="008827B3" w:rsidRPr="00526311" w:rsidRDefault="008827B3" w:rsidP="00DC1333">
            <w:pPr>
              <w:rPr>
                <w:i/>
                <w:sz w:val="8"/>
                <w:szCs w:val="8"/>
              </w:rPr>
            </w:pPr>
          </w:p>
          <w:p w:rsidR="008827B3" w:rsidRPr="00526311" w:rsidRDefault="008827B3" w:rsidP="00DC1333">
            <w:pPr>
              <w:autoSpaceDE w:val="0"/>
              <w:autoSpaceDN w:val="0"/>
              <w:adjustRightInd w:val="0"/>
              <w:rPr>
                <w:color w:val="002060"/>
                <w:sz w:val="16"/>
                <w:szCs w:val="16"/>
              </w:rPr>
            </w:pPr>
            <w:r w:rsidRPr="00526311">
              <w:rPr>
                <w:i/>
                <w:sz w:val="16"/>
                <w:szCs w:val="16"/>
              </w:rPr>
              <w:t xml:space="preserve">Referencia original en el presupuesto de 2014/15: </w:t>
            </w:r>
            <w:r w:rsidRPr="00526311">
              <w:rPr>
                <w:sz w:val="16"/>
                <w:szCs w:val="16"/>
              </w:rPr>
              <w:t>por determinar a fines de 2013</w:t>
            </w:r>
          </w:p>
        </w:tc>
        <w:tc>
          <w:tcPr>
            <w:tcW w:w="749" w:type="pct"/>
            <w:shd w:val="clear" w:color="auto" w:fill="auto"/>
            <w:tcMar>
              <w:top w:w="110" w:type="dxa"/>
            </w:tcMar>
          </w:tcPr>
          <w:p w:rsidR="008827B3" w:rsidRPr="00526311" w:rsidRDefault="008827B3" w:rsidP="00DC1333">
            <w:pPr>
              <w:autoSpaceDE w:val="0"/>
              <w:autoSpaceDN w:val="0"/>
              <w:adjustRightInd w:val="0"/>
              <w:rPr>
                <w:rFonts w:ascii="ArialMT" w:hAnsi="ArialMT" w:cs="ArialMT"/>
                <w:sz w:val="16"/>
                <w:szCs w:val="16"/>
              </w:rPr>
            </w:pPr>
            <w:r w:rsidRPr="00526311">
              <w:rPr>
                <w:rFonts w:ascii="ArialMT" w:hAnsi="ArialMT" w:cs="ArialMT"/>
                <w:sz w:val="16"/>
                <w:szCs w:val="16"/>
              </w:rPr>
              <w:t>Ocho nuevos documentos de trabajo</w:t>
            </w:r>
          </w:p>
          <w:p w:rsidR="008827B3" w:rsidRPr="00526311" w:rsidRDefault="008827B3" w:rsidP="00DC1333">
            <w:pPr>
              <w:autoSpaceDE w:val="0"/>
              <w:autoSpaceDN w:val="0"/>
              <w:adjustRightInd w:val="0"/>
              <w:rPr>
                <w:rFonts w:ascii="ArialMT" w:hAnsi="ArialMT" w:cs="ArialMT"/>
                <w:sz w:val="16"/>
                <w:szCs w:val="16"/>
              </w:rPr>
            </w:pPr>
          </w:p>
          <w:p w:rsidR="008827B3" w:rsidRPr="00526311" w:rsidRDefault="008827B3" w:rsidP="00DC1333">
            <w:pPr>
              <w:autoSpaceDE w:val="0"/>
              <w:autoSpaceDN w:val="0"/>
              <w:adjustRightInd w:val="0"/>
              <w:rPr>
                <w:rFonts w:ascii="ArialMT" w:hAnsi="ArialMT" w:cs="ArialMT"/>
                <w:sz w:val="16"/>
                <w:szCs w:val="16"/>
              </w:rPr>
            </w:pPr>
          </w:p>
        </w:tc>
        <w:tc>
          <w:tcPr>
            <w:tcW w:w="1341" w:type="pct"/>
            <w:gridSpan w:val="2"/>
            <w:shd w:val="clear" w:color="auto" w:fill="FFFFFF"/>
            <w:tcMar>
              <w:top w:w="110" w:type="dxa"/>
            </w:tcMar>
          </w:tcPr>
          <w:p w:rsidR="008827B3" w:rsidRPr="00526311" w:rsidRDefault="008827B3" w:rsidP="00DC1333">
            <w:r w:rsidRPr="00526311">
              <w:rPr>
                <w:rFonts w:ascii="ArialMT" w:hAnsi="ArialMT" w:cs="ArialMT"/>
                <w:sz w:val="16"/>
                <w:szCs w:val="16"/>
              </w:rPr>
              <w:t>11 documentos de trabajo publicados en 2014</w:t>
            </w:r>
            <w:r>
              <w:rPr>
                <w:rFonts w:ascii="ArialMT" w:hAnsi="ArialMT" w:cs="ArialMT"/>
                <w:sz w:val="16"/>
                <w:szCs w:val="16"/>
              </w:rPr>
              <w:t>;  6 documentos de trabajo publicados en 2015</w:t>
            </w:r>
          </w:p>
        </w:tc>
        <w:tc>
          <w:tcPr>
            <w:tcW w:w="594" w:type="pct"/>
            <w:shd w:val="clear" w:color="auto" w:fill="auto"/>
            <w:tcMar>
              <w:top w:w="110" w:type="dxa"/>
            </w:tcMar>
          </w:tcPr>
          <w:p w:rsidR="008827B3" w:rsidRPr="00526311" w:rsidRDefault="008827B3" w:rsidP="00DC1333">
            <w:pPr>
              <w:keepNext/>
              <w:keepLines/>
              <w:ind w:left="-107"/>
              <w:jc w:val="center"/>
              <w:rPr>
                <w:bCs/>
                <w:sz w:val="16"/>
                <w:szCs w:val="16"/>
              </w:rPr>
            </w:pPr>
            <w:r>
              <w:rPr>
                <w:b/>
                <w:bCs/>
                <w:color w:val="00B050"/>
                <w:sz w:val="16"/>
                <w:szCs w:val="16"/>
              </w:rPr>
              <w:t>Plenamente logrado</w:t>
            </w:r>
          </w:p>
        </w:tc>
      </w:tr>
      <w:tr w:rsidR="008827B3" w:rsidRPr="00526311" w:rsidTr="00DC1333">
        <w:trPr>
          <w:cantSplit/>
        </w:trPr>
        <w:tc>
          <w:tcPr>
            <w:tcW w:w="1121" w:type="pct"/>
            <w:shd w:val="clear" w:color="auto" w:fill="auto"/>
          </w:tcPr>
          <w:p w:rsidR="008827B3" w:rsidRPr="00526311" w:rsidRDefault="008827B3" w:rsidP="00DC1333">
            <w:pPr>
              <w:rPr>
                <w:sz w:val="16"/>
                <w:szCs w:val="16"/>
              </w:rPr>
            </w:pPr>
            <w:r w:rsidRPr="00526311">
              <w:rPr>
                <w:sz w:val="16"/>
                <w:szCs w:val="16"/>
              </w:rPr>
              <w:t>Número de descargas de seminarios</w:t>
            </w:r>
          </w:p>
        </w:tc>
        <w:tc>
          <w:tcPr>
            <w:tcW w:w="1195" w:type="pct"/>
            <w:shd w:val="clear" w:color="auto" w:fill="auto"/>
          </w:tcPr>
          <w:p w:rsidR="008827B3" w:rsidRPr="00526311" w:rsidRDefault="008827B3" w:rsidP="00DC1333">
            <w:pPr>
              <w:rPr>
                <w:i/>
                <w:color w:val="002060"/>
                <w:sz w:val="16"/>
                <w:szCs w:val="16"/>
              </w:rPr>
            </w:pPr>
            <w:r w:rsidRPr="00526311">
              <w:rPr>
                <w:i/>
                <w:color w:val="002060"/>
                <w:sz w:val="16"/>
                <w:szCs w:val="16"/>
              </w:rPr>
              <w:t>Referencia actualizada a fines de 2013</w:t>
            </w:r>
            <w:proofErr w:type="gramStart"/>
            <w:r w:rsidRPr="00526311">
              <w:rPr>
                <w:i/>
                <w:color w:val="002060"/>
                <w:sz w:val="16"/>
                <w:szCs w:val="16"/>
              </w:rPr>
              <w:t>:  n.d</w:t>
            </w:r>
            <w:proofErr w:type="gramEnd"/>
            <w:r w:rsidRPr="00526311">
              <w:rPr>
                <w:i/>
                <w:color w:val="002060"/>
                <w:sz w:val="16"/>
                <w:szCs w:val="16"/>
              </w:rPr>
              <w:t>.</w:t>
            </w:r>
          </w:p>
          <w:p w:rsidR="008827B3" w:rsidRPr="00526311" w:rsidRDefault="008827B3" w:rsidP="00DC1333">
            <w:pPr>
              <w:rPr>
                <w:i/>
                <w:sz w:val="8"/>
                <w:szCs w:val="8"/>
              </w:rPr>
            </w:pPr>
          </w:p>
          <w:p w:rsidR="008827B3" w:rsidRPr="00526311" w:rsidRDefault="008827B3" w:rsidP="00DC1333">
            <w:pPr>
              <w:rPr>
                <w:i/>
                <w:color w:val="002060"/>
                <w:sz w:val="16"/>
                <w:szCs w:val="16"/>
              </w:rPr>
            </w:pPr>
            <w:r w:rsidRPr="00526311">
              <w:rPr>
                <w:i/>
                <w:sz w:val="16"/>
                <w:szCs w:val="16"/>
              </w:rPr>
              <w:t xml:space="preserve">Referencia original en el presupuesto de 2014/15: </w:t>
            </w:r>
            <w:r w:rsidRPr="00526311">
              <w:rPr>
                <w:sz w:val="16"/>
                <w:szCs w:val="16"/>
              </w:rPr>
              <w:t>por determinar a fines de 2013</w:t>
            </w:r>
            <w:r w:rsidRPr="00526311">
              <w:rPr>
                <w:sz w:val="16"/>
                <w:szCs w:val="16"/>
              </w:rPr>
              <w:br/>
            </w:r>
          </w:p>
        </w:tc>
        <w:tc>
          <w:tcPr>
            <w:tcW w:w="749" w:type="pct"/>
            <w:shd w:val="clear" w:color="auto" w:fill="auto"/>
            <w:tcMar>
              <w:top w:w="110" w:type="dxa"/>
            </w:tcMar>
          </w:tcPr>
          <w:p w:rsidR="008827B3" w:rsidRPr="00526311" w:rsidRDefault="008827B3" w:rsidP="00DC1333">
            <w:pPr>
              <w:autoSpaceDE w:val="0"/>
              <w:autoSpaceDN w:val="0"/>
              <w:adjustRightInd w:val="0"/>
              <w:rPr>
                <w:rFonts w:ascii="ArialMT" w:hAnsi="ArialMT" w:cs="ArialMT"/>
                <w:sz w:val="16"/>
                <w:szCs w:val="16"/>
              </w:rPr>
            </w:pPr>
            <w:r w:rsidRPr="00526311">
              <w:rPr>
                <w:rFonts w:ascii="ArialMT" w:hAnsi="ArialMT" w:cs="ArialMT"/>
                <w:sz w:val="16"/>
                <w:szCs w:val="16"/>
              </w:rPr>
              <w:t>Mantenimiento del rendimiento del bienio anterior</w:t>
            </w:r>
          </w:p>
          <w:p w:rsidR="008827B3" w:rsidRPr="00526311" w:rsidRDefault="008827B3" w:rsidP="00DC1333">
            <w:pPr>
              <w:autoSpaceDE w:val="0"/>
              <w:autoSpaceDN w:val="0"/>
              <w:adjustRightInd w:val="0"/>
              <w:rPr>
                <w:rFonts w:ascii="ArialMT" w:hAnsi="ArialMT" w:cs="ArialMT"/>
                <w:sz w:val="16"/>
                <w:szCs w:val="16"/>
              </w:rPr>
            </w:pPr>
          </w:p>
          <w:p w:rsidR="008827B3" w:rsidRPr="00526311" w:rsidRDefault="008827B3" w:rsidP="00DC1333">
            <w:pPr>
              <w:autoSpaceDE w:val="0"/>
              <w:autoSpaceDN w:val="0"/>
              <w:adjustRightInd w:val="0"/>
              <w:rPr>
                <w:rFonts w:ascii="ArialMT" w:hAnsi="ArialMT" w:cs="ArialMT"/>
                <w:sz w:val="16"/>
                <w:szCs w:val="16"/>
              </w:rPr>
            </w:pPr>
          </w:p>
        </w:tc>
        <w:tc>
          <w:tcPr>
            <w:tcW w:w="1341" w:type="pct"/>
            <w:gridSpan w:val="2"/>
            <w:shd w:val="clear" w:color="auto" w:fill="FFFFFF"/>
            <w:tcMar>
              <w:top w:w="110" w:type="dxa"/>
            </w:tcMar>
          </w:tcPr>
          <w:p w:rsidR="008827B3" w:rsidRPr="00526311" w:rsidRDefault="008827B3" w:rsidP="00DC1333">
            <w:pPr>
              <w:rPr>
                <w:rFonts w:ascii="ArialMT" w:hAnsi="ArialMT" w:cs="ArialMT"/>
                <w:sz w:val="16"/>
                <w:szCs w:val="16"/>
              </w:rPr>
            </w:pPr>
            <w:r w:rsidRPr="00526311">
              <w:rPr>
                <w:rFonts w:ascii="ArialMT" w:hAnsi="ArialMT" w:cs="ArialMT"/>
                <w:sz w:val="16"/>
                <w:szCs w:val="16"/>
              </w:rPr>
              <w:t>No se dispone de datos.</w:t>
            </w:r>
          </w:p>
        </w:tc>
        <w:tc>
          <w:tcPr>
            <w:tcW w:w="594" w:type="pct"/>
            <w:shd w:val="clear" w:color="auto" w:fill="auto"/>
            <w:tcMar>
              <w:top w:w="110" w:type="dxa"/>
            </w:tcMar>
          </w:tcPr>
          <w:p w:rsidR="008827B3" w:rsidRPr="00526311" w:rsidRDefault="00044DA1" w:rsidP="00DC1333">
            <w:pPr>
              <w:keepNext/>
              <w:keepLines/>
              <w:ind w:left="-107" w:right="-107"/>
              <w:jc w:val="center"/>
              <w:rPr>
                <w:b/>
                <w:bCs/>
                <w:sz w:val="14"/>
                <w:szCs w:val="14"/>
              </w:rPr>
            </w:pPr>
            <w:r>
              <w:rPr>
                <w:b/>
                <w:bCs/>
                <w:sz w:val="14"/>
                <w:szCs w:val="14"/>
              </w:rPr>
              <w:t>Discontinuado</w:t>
            </w:r>
          </w:p>
        </w:tc>
      </w:tr>
    </w:tbl>
    <w:p w:rsidR="008827B3" w:rsidRPr="00526311" w:rsidRDefault="008827B3" w:rsidP="00DC1333">
      <w:pPr>
        <w:jc w:val="both"/>
        <w:rPr>
          <w:bCs/>
          <w:szCs w:val="22"/>
        </w:rPr>
      </w:pPr>
    </w:p>
    <w:p w:rsidR="008827B3" w:rsidRPr="00526311" w:rsidRDefault="008827B3" w:rsidP="00DC1333"/>
    <w:p w:rsidR="008827B3" w:rsidRPr="003E047D" w:rsidRDefault="008F7CBE" w:rsidP="00DC1333">
      <w:pPr>
        <w:jc w:val="both"/>
        <w:rPr>
          <w:color w:val="000000"/>
          <w:szCs w:val="22"/>
        </w:rPr>
      </w:pPr>
      <w:r w:rsidRPr="008F7CBE">
        <w:rPr>
          <w:color w:val="000000"/>
          <w:sz w:val="20"/>
          <w:szCs w:val="22"/>
        </w:rPr>
        <w:t>INFORMACIÓN SOBRE LOS RIESGOS PLANTEADOS EN EL BIENIO</w:t>
      </w:r>
    </w:p>
    <w:p w:rsidR="008827B3" w:rsidRDefault="008827B3"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3"/>
        <w:gridCol w:w="2191"/>
        <w:gridCol w:w="2272"/>
        <w:gridCol w:w="2657"/>
      </w:tblGrid>
      <w:tr w:rsidR="008827B3" w:rsidRPr="006F2712" w:rsidTr="00DC1333">
        <w:trPr>
          <w:trHeight w:val="380"/>
        </w:trPr>
        <w:tc>
          <w:tcPr>
            <w:tcW w:w="2390" w:type="dxa"/>
            <w:tcBorders>
              <w:top w:val="single" w:sz="4" w:space="0" w:color="auto"/>
              <w:bottom w:val="single" w:sz="4" w:space="0" w:color="auto"/>
            </w:tcBorders>
            <w:shd w:val="clear" w:color="auto" w:fill="C6D9F1" w:themeFill="text2" w:themeFillTint="33"/>
            <w:tcMar>
              <w:top w:w="113" w:type="dxa"/>
              <w:bottom w:w="85" w:type="dxa"/>
            </w:tcMar>
            <w:vAlign w:val="center"/>
          </w:tcPr>
          <w:p w:rsidR="008827B3" w:rsidRPr="004520ED" w:rsidRDefault="008827B3" w:rsidP="00DC1333">
            <w:pPr>
              <w:autoSpaceDE w:val="0"/>
              <w:autoSpaceDN w:val="0"/>
              <w:adjustRightInd w:val="0"/>
              <w:ind w:right="-59"/>
              <w:jc w:val="center"/>
              <w:rPr>
                <w:b/>
                <w:bCs/>
                <w:iCs/>
                <w:sz w:val="18"/>
                <w:szCs w:val="18"/>
              </w:rPr>
            </w:pPr>
            <w:r w:rsidRPr="00D10B62">
              <w:rPr>
                <w:b/>
                <w:bCs/>
                <w:iCs/>
                <w:sz w:val="18"/>
                <w:szCs w:val="18"/>
              </w:rPr>
              <w:t>Riesgos en el logro de los resultados del programa</w:t>
            </w:r>
          </w:p>
        </w:tc>
        <w:tc>
          <w:tcPr>
            <w:tcW w:w="2230" w:type="dxa"/>
            <w:tcBorders>
              <w:top w:val="single" w:sz="4" w:space="0" w:color="auto"/>
              <w:bottom w:val="single" w:sz="4" w:space="0" w:color="auto"/>
            </w:tcBorders>
            <w:shd w:val="clear" w:color="auto" w:fill="C6D9F1" w:themeFill="text2" w:themeFillTint="33"/>
            <w:tcMar>
              <w:top w:w="113" w:type="dxa"/>
              <w:bottom w:w="85" w:type="dxa"/>
            </w:tcMar>
            <w:vAlign w:val="center"/>
          </w:tcPr>
          <w:p w:rsidR="008827B3" w:rsidRPr="004520ED" w:rsidRDefault="008827B3" w:rsidP="00DC1333">
            <w:pPr>
              <w:autoSpaceDE w:val="0"/>
              <w:autoSpaceDN w:val="0"/>
              <w:adjustRightInd w:val="0"/>
              <w:ind w:right="-59"/>
              <w:jc w:val="center"/>
              <w:rPr>
                <w:b/>
                <w:bCs/>
                <w:iCs/>
                <w:sz w:val="18"/>
                <w:szCs w:val="18"/>
              </w:rPr>
            </w:pPr>
            <w:r w:rsidRPr="00D10B62">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8827B3" w:rsidRPr="004520ED" w:rsidRDefault="008827B3" w:rsidP="00DC1333">
            <w:pPr>
              <w:jc w:val="center"/>
              <w:rPr>
                <w:b/>
                <w:bCs/>
                <w:sz w:val="18"/>
                <w:szCs w:val="18"/>
              </w:rPr>
            </w:pPr>
            <w:r w:rsidRPr="00D10B62">
              <w:rPr>
                <w:b/>
                <w:bCs/>
                <w:iCs/>
                <w:sz w:val="18"/>
                <w:szCs w:val="18"/>
              </w:rPr>
              <w:t>Evolución de los riesgos y estrategias de mitigación durante el bienio</w:t>
            </w:r>
          </w:p>
        </w:tc>
        <w:tc>
          <w:tcPr>
            <w:tcW w:w="2709" w:type="dxa"/>
            <w:tcBorders>
              <w:top w:val="single" w:sz="4" w:space="0" w:color="auto"/>
              <w:bottom w:val="single" w:sz="4" w:space="0" w:color="auto"/>
            </w:tcBorders>
            <w:shd w:val="clear" w:color="auto" w:fill="C6D9F1" w:themeFill="text2" w:themeFillTint="33"/>
          </w:tcPr>
          <w:p w:rsidR="008827B3" w:rsidRPr="006F2712" w:rsidRDefault="008827B3" w:rsidP="00DC1333">
            <w:pPr>
              <w:jc w:val="center"/>
              <w:rPr>
                <w:b/>
                <w:bCs/>
                <w:sz w:val="18"/>
                <w:szCs w:val="18"/>
              </w:rPr>
            </w:pPr>
            <w:r w:rsidRPr="004520ED">
              <w:rPr>
                <w:b/>
                <w:bCs/>
                <w:sz w:val="18"/>
                <w:szCs w:val="18"/>
              </w:rPr>
              <w:t>Incidencia en el rendimiento del programa</w:t>
            </w:r>
          </w:p>
        </w:tc>
      </w:tr>
      <w:tr w:rsidR="008827B3" w:rsidRPr="00CF1EA8" w:rsidTr="00DC1333">
        <w:trPr>
          <w:trHeight w:val="789"/>
        </w:trPr>
        <w:tc>
          <w:tcPr>
            <w:tcW w:w="2390" w:type="dxa"/>
            <w:tcBorders>
              <w:top w:val="single" w:sz="4" w:space="0" w:color="auto"/>
            </w:tcBorders>
            <w:shd w:val="clear" w:color="auto" w:fill="auto"/>
            <w:tcMar>
              <w:top w:w="113" w:type="dxa"/>
              <w:bottom w:w="85" w:type="dxa"/>
            </w:tcMar>
          </w:tcPr>
          <w:p w:rsidR="008827B3" w:rsidRPr="006F2712" w:rsidRDefault="008827B3" w:rsidP="00DC1333">
            <w:pPr>
              <w:autoSpaceDE w:val="0"/>
              <w:autoSpaceDN w:val="0"/>
              <w:adjustRightInd w:val="0"/>
              <w:ind w:right="-59"/>
              <w:rPr>
                <w:sz w:val="16"/>
                <w:szCs w:val="16"/>
              </w:rPr>
            </w:pPr>
            <w:r w:rsidRPr="006F2712">
              <w:rPr>
                <w:bCs/>
                <w:sz w:val="16"/>
                <w:szCs w:val="16"/>
              </w:rPr>
              <w:t xml:space="preserve">Los Estados miembros no se encuentran en condiciones de responder o </w:t>
            </w:r>
            <w:r>
              <w:rPr>
                <w:bCs/>
                <w:sz w:val="16"/>
                <w:szCs w:val="16"/>
              </w:rPr>
              <w:t>responden</w:t>
            </w:r>
            <w:r w:rsidRPr="006F2712">
              <w:rPr>
                <w:bCs/>
                <w:sz w:val="16"/>
                <w:szCs w:val="16"/>
              </w:rPr>
              <w:t xml:space="preserve"> tarde a la encuest</w:t>
            </w:r>
            <w:r>
              <w:rPr>
                <w:bCs/>
                <w:sz w:val="16"/>
                <w:szCs w:val="16"/>
              </w:rPr>
              <w:t>a sobre estadísticas de la OMPI</w:t>
            </w:r>
            <w:r w:rsidRPr="006F2712">
              <w:rPr>
                <w:bCs/>
                <w:sz w:val="16"/>
                <w:szCs w:val="16"/>
              </w:rPr>
              <w:t>.</w:t>
            </w:r>
          </w:p>
        </w:tc>
        <w:tc>
          <w:tcPr>
            <w:tcW w:w="2230" w:type="dxa"/>
            <w:tcBorders>
              <w:top w:val="single" w:sz="4" w:space="0" w:color="auto"/>
            </w:tcBorders>
            <w:shd w:val="clear" w:color="auto" w:fill="auto"/>
            <w:tcMar>
              <w:top w:w="113" w:type="dxa"/>
              <w:bottom w:w="85" w:type="dxa"/>
            </w:tcMar>
          </w:tcPr>
          <w:p w:rsidR="008827B3" w:rsidRPr="006F2712" w:rsidRDefault="008827B3" w:rsidP="00DC1333">
            <w:pPr>
              <w:autoSpaceDE w:val="0"/>
              <w:autoSpaceDN w:val="0"/>
              <w:adjustRightInd w:val="0"/>
              <w:ind w:right="-59"/>
              <w:rPr>
                <w:sz w:val="16"/>
                <w:szCs w:val="16"/>
              </w:rPr>
            </w:pPr>
            <w:r w:rsidRPr="006F2712">
              <w:rPr>
                <w:bCs/>
                <w:sz w:val="16"/>
                <w:szCs w:val="16"/>
              </w:rPr>
              <w:t xml:space="preserve">Se enviarán cuestionarios sobre estadísticas a comienzos del año (no más tarde de febrero); </w:t>
            </w:r>
            <w:r>
              <w:rPr>
                <w:bCs/>
                <w:sz w:val="16"/>
                <w:szCs w:val="16"/>
              </w:rPr>
              <w:t xml:space="preserve"> </w:t>
            </w:r>
            <w:r w:rsidRPr="006F2712">
              <w:rPr>
                <w:bCs/>
                <w:sz w:val="16"/>
                <w:szCs w:val="16"/>
              </w:rPr>
              <w:t xml:space="preserve">se mantendrá una lista de puntos de contacto para cuestiones estadísticas en las oficinas nacionales de P.I. con objeto de poder comunicarse para llevar a cabo un seguimiento; </w:t>
            </w:r>
            <w:r>
              <w:rPr>
                <w:bCs/>
                <w:sz w:val="16"/>
                <w:szCs w:val="16"/>
              </w:rPr>
              <w:t xml:space="preserve"> </w:t>
            </w:r>
            <w:r w:rsidRPr="006F2712">
              <w:rPr>
                <w:bCs/>
                <w:sz w:val="16"/>
                <w:szCs w:val="16"/>
              </w:rPr>
              <w:t>se dedicarán recursos a esa comunicación.</w:t>
            </w:r>
          </w:p>
        </w:tc>
        <w:tc>
          <w:tcPr>
            <w:tcW w:w="2310" w:type="dxa"/>
            <w:tcBorders>
              <w:top w:val="single" w:sz="4" w:space="0" w:color="auto"/>
            </w:tcBorders>
          </w:tcPr>
          <w:p w:rsidR="008827B3" w:rsidRPr="00CA23D6" w:rsidRDefault="008827B3" w:rsidP="00DC1333">
            <w:pPr>
              <w:autoSpaceDE w:val="0"/>
              <w:autoSpaceDN w:val="0"/>
              <w:adjustRightInd w:val="0"/>
              <w:ind w:right="-59"/>
              <w:rPr>
                <w:bCs/>
                <w:sz w:val="16"/>
                <w:szCs w:val="16"/>
              </w:rPr>
            </w:pPr>
            <w:r w:rsidRPr="00EA09FA">
              <w:rPr>
                <w:bCs/>
                <w:sz w:val="16"/>
                <w:szCs w:val="16"/>
              </w:rPr>
              <w:t>Este es un riesgo permanente que se ha afrontado y gestionado mediante planes de mitigaci</w:t>
            </w:r>
            <w:r>
              <w:rPr>
                <w:bCs/>
                <w:sz w:val="16"/>
                <w:szCs w:val="16"/>
              </w:rPr>
              <w:t xml:space="preserve">ón centrados, tal como se señala.  </w:t>
            </w:r>
            <w:r w:rsidRPr="00AC2FE4">
              <w:rPr>
                <w:bCs/>
                <w:sz w:val="16"/>
                <w:szCs w:val="16"/>
              </w:rPr>
              <w:t>Gracias a ello, durante e</w:t>
            </w:r>
            <w:r>
              <w:rPr>
                <w:bCs/>
                <w:sz w:val="16"/>
                <w:szCs w:val="16"/>
              </w:rPr>
              <w:t>l bienio aumentó la cobertura</w:t>
            </w:r>
            <w:r w:rsidRPr="00AC2FE4">
              <w:rPr>
                <w:bCs/>
                <w:sz w:val="16"/>
                <w:szCs w:val="16"/>
              </w:rPr>
              <w:t xml:space="preserve"> del cuestionario sobre estad</w:t>
            </w:r>
            <w:r>
              <w:rPr>
                <w:bCs/>
                <w:sz w:val="16"/>
                <w:szCs w:val="16"/>
              </w:rPr>
              <w:t>ísticas de P.I.</w:t>
            </w:r>
            <w:r w:rsidRPr="00CA23D6">
              <w:rPr>
                <w:bCs/>
                <w:sz w:val="16"/>
                <w:szCs w:val="16"/>
              </w:rPr>
              <w:t xml:space="preserve"> </w:t>
            </w:r>
          </w:p>
        </w:tc>
        <w:tc>
          <w:tcPr>
            <w:tcW w:w="2709" w:type="dxa"/>
            <w:tcBorders>
              <w:top w:val="single" w:sz="4" w:space="0" w:color="auto"/>
            </w:tcBorders>
          </w:tcPr>
          <w:p w:rsidR="008827B3" w:rsidRPr="00CF1EA8" w:rsidRDefault="008827B3" w:rsidP="00DC1333">
            <w:pPr>
              <w:autoSpaceDE w:val="0"/>
              <w:autoSpaceDN w:val="0"/>
              <w:adjustRightInd w:val="0"/>
              <w:ind w:right="-59"/>
              <w:rPr>
                <w:bCs/>
                <w:sz w:val="16"/>
                <w:szCs w:val="16"/>
              </w:rPr>
            </w:pPr>
            <w:r w:rsidRPr="00CF1EA8">
              <w:rPr>
                <w:bCs/>
                <w:sz w:val="16"/>
                <w:szCs w:val="16"/>
              </w:rPr>
              <w:t xml:space="preserve">En algunos casos los datos estadísticos se </w:t>
            </w:r>
            <w:r>
              <w:rPr>
                <w:bCs/>
                <w:sz w:val="16"/>
                <w:szCs w:val="16"/>
              </w:rPr>
              <w:t>proporciona</w:t>
            </w:r>
            <w:r w:rsidRPr="00CF1EA8">
              <w:rPr>
                <w:bCs/>
                <w:sz w:val="16"/>
                <w:szCs w:val="16"/>
              </w:rPr>
              <w:t>ron con retraso, pero ello no incidi</w:t>
            </w:r>
            <w:r>
              <w:rPr>
                <w:bCs/>
                <w:sz w:val="16"/>
                <w:szCs w:val="16"/>
              </w:rPr>
              <w:t>ó sustancialmente en los principales productos estadísticos del programa.</w:t>
            </w:r>
          </w:p>
        </w:tc>
      </w:tr>
      <w:tr w:rsidR="008827B3" w:rsidRPr="00F7339D" w:rsidTr="00DC1333">
        <w:trPr>
          <w:trHeight w:val="1059"/>
        </w:trPr>
        <w:tc>
          <w:tcPr>
            <w:tcW w:w="2390" w:type="dxa"/>
            <w:shd w:val="clear" w:color="auto" w:fill="auto"/>
            <w:tcMar>
              <w:top w:w="113" w:type="dxa"/>
              <w:bottom w:w="85" w:type="dxa"/>
            </w:tcMar>
          </w:tcPr>
          <w:p w:rsidR="008827B3" w:rsidRPr="00EA09FA" w:rsidRDefault="008827B3" w:rsidP="00DC1333">
            <w:pPr>
              <w:autoSpaceDE w:val="0"/>
              <w:autoSpaceDN w:val="0"/>
              <w:adjustRightInd w:val="0"/>
              <w:ind w:right="-59"/>
              <w:rPr>
                <w:bCs/>
                <w:sz w:val="16"/>
                <w:szCs w:val="16"/>
              </w:rPr>
            </w:pPr>
            <w:r w:rsidRPr="00EA09FA">
              <w:rPr>
                <w:bCs/>
                <w:sz w:val="16"/>
                <w:szCs w:val="16"/>
              </w:rPr>
              <w:lastRenderedPageBreak/>
              <w:t>En las publicaciones de la OMPI se proporcionan datos estadísticos erróneos o se observan deficiencias analíticas.</w:t>
            </w:r>
          </w:p>
        </w:tc>
        <w:tc>
          <w:tcPr>
            <w:tcW w:w="2230" w:type="dxa"/>
            <w:shd w:val="clear" w:color="auto" w:fill="auto"/>
            <w:tcMar>
              <w:top w:w="113" w:type="dxa"/>
              <w:bottom w:w="85" w:type="dxa"/>
            </w:tcMar>
          </w:tcPr>
          <w:p w:rsidR="008827B3" w:rsidRPr="00EA09FA" w:rsidRDefault="008827B3" w:rsidP="00DC1333">
            <w:pPr>
              <w:autoSpaceDE w:val="0"/>
              <w:autoSpaceDN w:val="0"/>
              <w:adjustRightInd w:val="0"/>
              <w:ind w:right="-59"/>
              <w:rPr>
                <w:bCs/>
                <w:sz w:val="16"/>
                <w:szCs w:val="16"/>
              </w:rPr>
            </w:pPr>
            <w:r w:rsidRPr="00EA09FA">
              <w:rPr>
                <w:bCs/>
                <w:sz w:val="16"/>
                <w:szCs w:val="16"/>
              </w:rPr>
              <w:t xml:space="preserve">Se cuenta con mecanismos de control que permiten detectar las incoherencias de los datos durante la </w:t>
            </w:r>
            <w:r>
              <w:rPr>
                <w:bCs/>
                <w:sz w:val="16"/>
                <w:szCs w:val="16"/>
              </w:rPr>
              <w:t>reco</w:t>
            </w:r>
            <w:r w:rsidRPr="00EA09FA">
              <w:rPr>
                <w:bCs/>
                <w:sz w:val="16"/>
                <w:szCs w:val="16"/>
              </w:rPr>
              <w:t xml:space="preserve">pilación de estadísticas de P.I.; </w:t>
            </w:r>
            <w:r>
              <w:rPr>
                <w:bCs/>
                <w:sz w:val="16"/>
                <w:szCs w:val="16"/>
              </w:rPr>
              <w:t xml:space="preserve"> </w:t>
            </w:r>
            <w:r w:rsidRPr="00EA09FA">
              <w:rPr>
                <w:bCs/>
                <w:sz w:val="16"/>
                <w:szCs w:val="16"/>
              </w:rPr>
              <w:t xml:space="preserve">todas las publicaciones estadísticas son objeto de una revisión cuidadosa a cargo de especialistas en estadística y los sectores pertinentes de la OMPI; </w:t>
            </w:r>
            <w:r>
              <w:rPr>
                <w:bCs/>
                <w:sz w:val="16"/>
                <w:szCs w:val="16"/>
              </w:rPr>
              <w:t xml:space="preserve"> </w:t>
            </w:r>
            <w:r w:rsidRPr="00EA09FA">
              <w:rPr>
                <w:bCs/>
                <w:sz w:val="16"/>
                <w:szCs w:val="16"/>
              </w:rPr>
              <w:t>todas las publicaciones analíticas son examinadas por expertos externos.</w:t>
            </w:r>
          </w:p>
        </w:tc>
        <w:tc>
          <w:tcPr>
            <w:tcW w:w="2310" w:type="dxa"/>
          </w:tcPr>
          <w:p w:rsidR="008827B3" w:rsidRPr="00CA23D6" w:rsidRDefault="008827B3" w:rsidP="00DC1333">
            <w:pPr>
              <w:autoSpaceDE w:val="0"/>
              <w:autoSpaceDN w:val="0"/>
              <w:adjustRightInd w:val="0"/>
              <w:ind w:right="-59"/>
              <w:rPr>
                <w:bCs/>
                <w:sz w:val="16"/>
                <w:szCs w:val="16"/>
              </w:rPr>
            </w:pPr>
            <w:r w:rsidRPr="00CA23D6">
              <w:rPr>
                <w:bCs/>
                <w:sz w:val="16"/>
                <w:szCs w:val="16"/>
              </w:rPr>
              <w:t xml:space="preserve">Este es otro riesgo permanente para el programa que se está gestionando mediante los planes de mitigación ejecutados, los cuales durante el bienio han </w:t>
            </w:r>
            <w:r>
              <w:rPr>
                <w:bCs/>
                <w:sz w:val="16"/>
                <w:szCs w:val="16"/>
              </w:rPr>
              <w:t xml:space="preserve">resultado eficaces en cuanto a detectar </w:t>
            </w:r>
            <w:r w:rsidRPr="00CA23D6">
              <w:rPr>
                <w:bCs/>
                <w:sz w:val="16"/>
                <w:szCs w:val="16"/>
              </w:rPr>
              <w:t xml:space="preserve">problemas relacionados con la calidad de los datos (inconsistencias de los datos) </w:t>
            </w:r>
            <w:r>
              <w:rPr>
                <w:bCs/>
                <w:sz w:val="16"/>
                <w:szCs w:val="16"/>
              </w:rPr>
              <w:t>y han permitido resolverlos junto con los Estados miembros pertinentes.</w:t>
            </w:r>
          </w:p>
        </w:tc>
        <w:tc>
          <w:tcPr>
            <w:tcW w:w="2709" w:type="dxa"/>
          </w:tcPr>
          <w:p w:rsidR="008827B3" w:rsidRPr="00F7339D" w:rsidRDefault="008827B3" w:rsidP="00DC1333">
            <w:pPr>
              <w:autoSpaceDE w:val="0"/>
              <w:autoSpaceDN w:val="0"/>
              <w:adjustRightInd w:val="0"/>
              <w:ind w:right="-59"/>
              <w:rPr>
                <w:bCs/>
                <w:sz w:val="16"/>
                <w:szCs w:val="16"/>
              </w:rPr>
            </w:pPr>
            <w:r w:rsidRPr="00F7339D">
              <w:rPr>
                <w:bCs/>
                <w:sz w:val="16"/>
                <w:szCs w:val="16"/>
              </w:rPr>
              <w:t>Los retrasos o errores en la presentació</w:t>
            </w:r>
            <w:r>
              <w:rPr>
                <w:bCs/>
                <w:sz w:val="16"/>
                <w:szCs w:val="16"/>
              </w:rPr>
              <w:t>n de los informes generaron trab</w:t>
            </w:r>
            <w:r w:rsidRPr="00F7339D">
              <w:rPr>
                <w:bCs/>
                <w:sz w:val="16"/>
                <w:szCs w:val="16"/>
              </w:rPr>
              <w:t>ajo adicional a nivel interno, pero no retrasaron las publicaciones ni afectaron a su calidad.</w:t>
            </w:r>
          </w:p>
          <w:p w:rsidR="008827B3" w:rsidRPr="00F7339D" w:rsidRDefault="008827B3" w:rsidP="00DC1333">
            <w:pPr>
              <w:autoSpaceDE w:val="0"/>
              <w:autoSpaceDN w:val="0"/>
              <w:adjustRightInd w:val="0"/>
              <w:ind w:right="-59"/>
              <w:rPr>
                <w:bCs/>
                <w:sz w:val="16"/>
                <w:szCs w:val="16"/>
              </w:rPr>
            </w:pPr>
          </w:p>
        </w:tc>
      </w:tr>
    </w:tbl>
    <w:p w:rsidR="008827B3" w:rsidRDefault="008827B3" w:rsidP="00DC1333">
      <w:pPr>
        <w:jc w:val="both"/>
        <w:rPr>
          <w:bCs/>
          <w:szCs w:val="22"/>
        </w:rPr>
      </w:pPr>
    </w:p>
    <w:p w:rsidR="008827B3" w:rsidRPr="00F7339D" w:rsidRDefault="008827B3" w:rsidP="00DC1333">
      <w:pPr>
        <w:jc w:val="both"/>
        <w:rPr>
          <w:bCs/>
          <w:szCs w:val="22"/>
        </w:rPr>
      </w:pPr>
    </w:p>
    <w:p w:rsidR="008827B3" w:rsidRPr="00526311" w:rsidRDefault="00403D2C" w:rsidP="00DC1333">
      <w:pPr>
        <w:jc w:val="both"/>
        <w:rPr>
          <w:szCs w:val="22"/>
        </w:rPr>
      </w:pPr>
      <w:r w:rsidRPr="00403D2C">
        <w:rPr>
          <w:sz w:val="20"/>
          <w:szCs w:val="22"/>
        </w:rPr>
        <w:t>UTILIZACIÓN DE LOS RECURSOS</w:t>
      </w:r>
    </w:p>
    <w:p w:rsidR="008827B3" w:rsidRPr="00526311" w:rsidRDefault="008827B3" w:rsidP="00DC1333">
      <w:pPr>
        <w:jc w:val="center"/>
      </w:pPr>
    </w:p>
    <w:p w:rsidR="008827B3" w:rsidRPr="00526311" w:rsidRDefault="008827B3" w:rsidP="00DC1333">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8827B3" w:rsidRPr="00526311" w:rsidRDefault="008827B3"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8827B3" w:rsidRPr="00526311" w:rsidRDefault="008827B3" w:rsidP="00DC1333">
      <w:pPr>
        <w:jc w:val="both"/>
      </w:pPr>
    </w:p>
    <w:p w:rsidR="008827B3" w:rsidRPr="00526311" w:rsidRDefault="008827B3" w:rsidP="00DC1333">
      <w:pPr>
        <w:jc w:val="center"/>
      </w:pPr>
      <w:bookmarkStart w:id="141" w:name="Bm16"/>
      <w:bookmarkStart w:id="142" w:name="Punto16"/>
      <w:r>
        <w:rPr>
          <w:noProof/>
          <w:lang w:val="en-US" w:eastAsia="en-US"/>
        </w:rPr>
        <w:drawing>
          <wp:inline distT="0" distB="0" distL="0" distR="0" wp14:anchorId="7F88AE83" wp14:editId="399BE02F">
            <wp:extent cx="5676900" cy="1524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76900" cy="1524000"/>
                    </a:xfrm>
                    <a:prstGeom prst="rect">
                      <a:avLst/>
                    </a:prstGeom>
                    <a:noFill/>
                    <a:ln>
                      <a:noFill/>
                    </a:ln>
                  </pic:spPr>
                </pic:pic>
              </a:graphicData>
            </a:graphic>
          </wp:inline>
        </w:drawing>
      </w:r>
      <w:bookmarkEnd w:id="141"/>
      <w:bookmarkEnd w:id="142"/>
    </w:p>
    <w:p w:rsidR="008827B3" w:rsidRPr="00526311" w:rsidRDefault="008827B3" w:rsidP="00DC1333">
      <w:pPr>
        <w:jc w:val="both"/>
      </w:pPr>
    </w:p>
    <w:p w:rsidR="008827B3" w:rsidRPr="00526311" w:rsidRDefault="008827B3" w:rsidP="00DC1333">
      <w:pPr>
        <w:jc w:val="both"/>
      </w:pPr>
    </w:p>
    <w:p w:rsidR="008827B3" w:rsidRPr="00526311" w:rsidRDefault="008827B3" w:rsidP="00DC1333">
      <w:pPr>
        <w:pStyle w:val="NormalWeb"/>
        <w:keepNext/>
        <w:keepLines/>
        <w:spacing w:before="0" w:beforeAutospacing="0" w:after="0" w:afterAutospacing="0"/>
        <w:jc w:val="center"/>
        <w:rPr>
          <w:sz w:val="20"/>
          <w:szCs w:val="20"/>
          <w:lang w:val="es-ES"/>
        </w:rPr>
      </w:pPr>
      <w:r w:rsidRPr="00526311">
        <w:rPr>
          <w:sz w:val="20"/>
          <w:szCs w:val="20"/>
          <w:lang w:val="es-ES"/>
        </w:rPr>
        <w:t>Presupuesto y gastos reales (de personal y no relativos a personal)</w:t>
      </w:r>
    </w:p>
    <w:p w:rsidR="008827B3" w:rsidRPr="00526311" w:rsidRDefault="008827B3" w:rsidP="00DC1333">
      <w:pPr>
        <w:pStyle w:val="NormalWeb"/>
        <w:keepNext/>
        <w:keepLines/>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8827B3" w:rsidRPr="00526311" w:rsidRDefault="008827B3" w:rsidP="00DC1333">
      <w:pPr>
        <w:pStyle w:val="NormalWeb"/>
        <w:keepNext/>
        <w:keepLines/>
        <w:spacing w:before="0" w:beforeAutospacing="0" w:after="0" w:afterAutospacing="0"/>
        <w:jc w:val="both"/>
        <w:rPr>
          <w:lang w:val="es-ES"/>
        </w:rPr>
      </w:pPr>
    </w:p>
    <w:p w:rsidR="008827B3" w:rsidRPr="00526311" w:rsidRDefault="008827B3" w:rsidP="00DC1333">
      <w:pPr>
        <w:jc w:val="center"/>
      </w:pPr>
      <w:bookmarkStart w:id="143" w:name="Point16"/>
      <w:r>
        <w:rPr>
          <w:noProof/>
          <w:lang w:val="en-US" w:eastAsia="en-US"/>
        </w:rPr>
        <w:drawing>
          <wp:inline distT="0" distB="0" distL="0" distR="0" wp14:anchorId="2BF44A03" wp14:editId="55C80DE2">
            <wp:extent cx="5940425" cy="1038940"/>
            <wp:effectExtent l="0" t="0" r="317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1038940"/>
                    </a:xfrm>
                    <a:prstGeom prst="rect">
                      <a:avLst/>
                    </a:prstGeom>
                    <a:noFill/>
                    <a:ln>
                      <a:noFill/>
                    </a:ln>
                  </pic:spPr>
                </pic:pic>
              </a:graphicData>
            </a:graphic>
          </wp:inline>
        </w:drawing>
      </w:r>
      <w:bookmarkEnd w:id="143"/>
    </w:p>
    <w:p w:rsidR="008827B3" w:rsidRDefault="008827B3" w:rsidP="00DC1333">
      <w:pPr>
        <w:widowControl w:val="0"/>
        <w:autoSpaceDE w:val="0"/>
        <w:autoSpaceDN w:val="0"/>
        <w:adjustRightInd w:val="0"/>
        <w:jc w:val="both"/>
        <w:rPr>
          <w:sz w:val="20"/>
        </w:rPr>
      </w:pPr>
    </w:p>
    <w:p w:rsidR="008827B3" w:rsidRPr="00526311" w:rsidRDefault="008827B3" w:rsidP="00DC1333">
      <w:pPr>
        <w:widowControl w:val="0"/>
        <w:autoSpaceDE w:val="0"/>
        <w:autoSpaceDN w:val="0"/>
        <w:adjustRightInd w:val="0"/>
        <w:jc w:val="both"/>
        <w:rPr>
          <w:sz w:val="20"/>
        </w:rPr>
      </w:pPr>
    </w:p>
    <w:p w:rsidR="008827B3" w:rsidRPr="00526311" w:rsidRDefault="00403D2C" w:rsidP="00DC1333">
      <w:pPr>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8827B3" w:rsidRPr="00526311" w:rsidRDefault="008827B3" w:rsidP="00DC1333">
      <w:pPr>
        <w:autoSpaceDE w:val="0"/>
        <w:autoSpaceDN w:val="0"/>
        <w:jc w:val="both"/>
        <w:rPr>
          <w:sz w:val="20"/>
          <w:lang w:eastAsia="ko-KR"/>
        </w:rPr>
      </w:pPr>
    </w:p>
    <w:p w:rsidR="008827B3" w:rsidRDefault="008827B3" w:rsidP="008827B3">
      <w:pPr>
        <w:pStyle w:val="ListParagraph"/>
        <w:numPr>
          <w:ilvl w:val="0"/>
          <w:numId w:val="76"/>
        </w:numPr>
        <w:tabs>
          <w:tab w:val="left" w:pos="709"/>
        </w:tabs>
        <w:ind w:left="0" w:firstLine="0"/>
        <w:jc w:val="both"/>
        <w:rPr>
          <w:rFonts w:cs="Arial"/>
          <w:lang w:val="es-ES" w:eastAsia="ko-KR"/>
        </w:rPr>
      </w:pPr>
      <w:r>
        <w:rPr>
          <w:rFonts w:cs="Arial"/>
          <w:lang w:val="es-ES" w:eastAsia="ko-KR"/>
        </w:rPr>
        <w:t>El</w:t>
      </w:r>
      <w:r w:rsidRPr="00526311">
        <w:rPr>
          <w:rFonts w:cs="Arial"/>
          <w:lang w:val="es-ES" w:eastAsia="ko-KR"/>
        </w:rPr>
        <w:t xml:space="preserve"> </w:t>
      </w:r>
      <w:r>
        <w:rPr>
          <w:rFonts w:cs="Arial"/>
          <w:lang w:val="es-ES" w:eastAsia="ko-KR"/>
        </w:rPr>
        <w:t>ligero aumento general</w:t>
      </w:r>
      <w:r w:rsidRPr="00526311">
        <w:rPr>
          <w:rFonts w:cs="Arial"/>
          <w:lang w:val="es-ES" w:eastAsia="ko-KR"/>
        </w:rPr>
        <w:t xml:space="preserve"> de los recursos </w:t>
      </w:r>
      <w:r>
        <w:rPr>
          <w:rFonts w:cs="Arial"/>
          <w:lang w:val="es-ES" w:eastAsia="ko-KR"/>
        </w:rPr>
        <w:t>de</w:t>
      </w:r>
      <w:r w:rsidRPr="00526311">
        <w:rPr>
          <w:rFonts w:cs="Arial"/>
          <w:lang w:val="es-ES" w:eastAsia="ko-KR"/>
        </w:rPr>
        <w:t xml:space="preserve"> personal se deb</w:t>
      </w:r>
      <w:r>
        <w:rPr>
          <w:rFonts w:cs="Arial"/>
          <w:lang w:val="es-ES" w:eastAsia="ko-KR"/>
        </w:rPr>
        <w:t>ió a</w:t>
      </w:r>
      <w:proofErr w:type="gramStart"/>
      <w:r>
        <w:rPr>
          <w:rFonts w:cs="Arial"/>
          <w:lang w:val="es-ES" w:eastAsia="ko-KR"/>
        </w:rPr>
        <w:t>:  i</w:t>
      </w:r>
      <w:proofErr w:type="gramEnd"/>
      <w:r>
        <w:rPr>
          <w:rFonts w:cs="Arial"/>
          <w:lang w:val="es-ES" w:eastAsia="ko-KR"/>
        </w:rPr>
        <w:t xml:space="preserve">) la incorporación de dos puestos de análisis de datos e investigación sobre economía creativa.  Este aumento se vio contrarrestado parcialmente por </w:t>
      </w:r>
      <w:r w:rsidRPr="00526311">
        <w:rPr>
          <w:rFonts w:cs="Arial"/>
          <w:lang w:val="es-ES" w:eastAsia="ko-KR"/>
        </w:rPr>
        <w:t xml:space="preserve">el ajuste </w:t>
      </w:r>
      <w:r>
        <w:rPr>
          <w:rFonts w:cs="Arial"/>
          <w:lang w:val="es-ES" w:eastAsia="ko-KR"/>
        </w:rPr>
        <w:t>presupuestario en relación con e</w:t>
      </w:r>
      <w:r w:rsidRPr="00526311">
        <w:rPr>
          <w:rFonts w:cs="Arial"/>
          <w:lang w:val="es-ES" w:eastAsia="ko-KR"/>
        </w:rPr>
        <w:t>l proyecto de la A.D. sobre P.I. y desarrollo socioeconómico tras la aprobación de la segunda fase del proyecto en la decimocuarta sesión del CDIP</w:t>
      </w:r>
      <w:r w:rsidRPr="00526311">
        <w:rPr>
          <w:lang w:val="es-ES"/>
        </w:rPr>
        <w:t xml:space="preserve"> (CDIP/14/7)</w:t>
      </w:r>
      <w:r w:rsidRPr="00526311">
        <w:rPr>
          <w:rFonts w:cs="Arial"/>
          <w:lang w:val="es-ES" w:eastAsia="ko-KR"/>
        </w:rPr>
        <w:t>.</w:t>
      </w:r>
    </w:p>
    <w:p w:rsidR="008827B3" w:rsidRDefault="008827B3" w:rsidP="00DC1333">
      <w:pPr>
        <w:pStyle w:val="ListParagraph"/>
        <w:tabs>
          <w:tab w:val="left" w:pos="709"/>
        </w:tabs>
        <w:ind w:left="0"/>
        <w:jc w:val="both"/>
        <w:rPr>
          <w:rFonts w:cs="Arial"/>
          <w:lang w:val="es-ES" w:eastAsia="ko-KR"/>
        </w:rPr>
      </w:pPr>
    </w:p>
    <w:p w:rsidR="008827B3" w:rsidRPr="00526311" w:rsidRDefault="008827B3" w:rsidP="008827B3">
      <w:pPr>
        <w:pStyle w:val="ListParagraph"/>
        <w:numPr>
          <w:ilvl w:val="0"/>
          <w:numId w:val="76"/>
        </w:numPr>
        <w:tabs>
          <w:tab w:val="left" w:pos="709"/>
        </w:tabs>
        <w:ind w:left="0" w:firstLine="0"/>
        <w:jc w:val="both"/>
        <w:rPr>
          <w:rFonts w:cs="Arial"/>
          <w:lang w:val="es-ES" w:eastAsia="ko-KR"/>
        </w:rPr>
      </w:pPr>
      <w:r w:rsidRPr="00526311">
        <w:rPr>
          <w:rFonts w:cs="Arial"/>
          <w:lang w:val="es-ES" w:eastAsia="ko-KR"/>
        </w:rPr>
        <w:t xml:space="preserve">La disminución </w:t>
      </w:r>
      <w:r>
        <w:rPr>
          <w:rFonts w:cs="Arial"/>
          <w:lang w:val="es-ES" w:eastAsia="ko-KR"/>
        </w:rPr>
        <w:t>general</w:t>
      </w:r>
      <w:r w:rsidRPr="00526311">
        <w:rPr>
          <w:rFonts w:cs="Arial"/>
          <w:lang w:val="es-ES" w:eastAsia="ko-KR"/>
        </w:rPr>
        <w:t xml:space="preserve"> de los recursos no relativos a personal se deb</w:t>
      </w:r>
      <w:r>
        <w:rPr>
          <w:rFonts w:cs="Arial"/>
          <w:lang w:val="es-ES" w:eastAsia="ko-KR"/>
        </w:rPr>
        <w:t>ió</w:t>
      </w:r>
      <w:r w:rsidRPr="00526311">
        <w:rPr>
          <w:rFonts w:cs="Arial"/>
          <w:lang w:val="es-ES" w:eastAsia="ko-KR"/>
        </w:rPr>
        <w:t xml:space="preserve"> principalmente a</w:t>
      </w:r>
      <w:proofErr w:type="gramStart"/>
      <w:r w:rsidRPr="00526311">
        <w:rPr>
          <w:rFonts w:cs="Arial"/>
          <w:lang w:val="es-ES" w:eastAsia="ko-KR"/>
        </w:rPr>
        <w:t>:  i</w:t>
      </w:r>
      <w:proofErr w:type="gramEnd"/>
      <w:r w:rsidRPr="00526311">
        <w:rPr>
          <w:rFonts w:cs="Arial"/>
          <w:lang w:val="es-ES" w:eastAsia="ko-KR"/>
        </w:rPr>
        <w:t xml:space="preserve">) el ajuste </w:t>
      </w:r>
      <w:r>
        <w:rPr>
          <w:rFonts w:cs="Arial"/>
          <w:lang w:val="es-ES" w:eastAsia="ko-KR"/>
        </w:rPr>
        <w:t xml:space="preserve">presupuestario en relación con </w:t>
      </w:r>
      <w:r w:rsidRPr="00526311">
        <w:rPr>
          <w:rFonts w:cs="Arial"/>
          <w:lang w:val="es-ES" w:eastAsia="ko-KR"/>
        </w:rPr>
        <w:t>el proyecto de la A.D. sobre P</w:t>
      </w:r>
      <w:r>
        <w:rPr>
          <w:rFonts w:cs="Arial"/>
          <w:lang w:val="es-ES" w:eastAsia="ko-KR"/>
        </w:rPr>
        <w:t xml:space="preserve">.I. y desarrollo socioeconómico, </w:t>
      </w:r>
      <w:r w:rsidRPr="00526311">
        <w:rPr>
          <w:rFonts w:cs="Arial"/>
          <w:lang w:val="es-ES" w:eastAsia="ko-KR"/>
        </w:rPr>
        <w:t xml:space="preserve">y ii) la transferencia de recursos no relativos a personal para </w:t>
      </w:r>
      <w:r>
        <w:rPr>
          <w:rFonts w:cs="Arial"/>
          <w:lang w:val="es-ES" w:eastAsia="ko-KR"/>
        </w:rPr>
        <w:t>las pasantías al programa 23 (</w:t>
      </w:r>
      <w:r>
        <w:rPr>
          <w:lang w:val="es-ES"/>
        </w:rPr>
        <w:t>G</w:t>
      </w:r>
      <w:r w:rsidRPr="00ED2619">
        <w:rPr>
          <w:lang w:val="es-ES"/>
        </w:rPr>
        <w:t>estión y desarrollo de los recursos humanos</w:t>
      </w:r>
      <w:r>
        <w:rPr>
          <w:rFonts w:cs="Arial"/>
          <w:lang w:val="es-ES" w:eastAsia="ko-KR"/>
        </w:rPr>
        <w:t>) a fin de respaldar la labor del</w:t>
      </w:r>
      <w:r w:rsidRPr="00526311">
        <w:rPr>
          <w:rFonts w:cs="Arial"/>
          <w:lang w:val="es-ES" w:eastAsia="ko-KR"/>
        </w:rPr>
        <w:t xml:space="preserve"> programa.</w:t>
      </w:r>
      <w:r>
        <w:rPr>
          <w:rFonts w:cs="Arial"/>
          <w:lang w:val="es-ES" w:eastAsia="ko-KR"/>
        </w:rPr>
        <w:t xml:space="preserve">  Esta disminución se compensó parcialmente mediante un aumento de los recursos no relativos a personal destinados a las actividades promocionales del Informe mundial sobre la P.I. y el Índice Mundial de Innovación, y a encargar un estudio especial sobre la elasticidad de las tasas de las solicitudes presentadas en el marco del Sistema de Madrid.</w:t>
      </w:r>
    </w:p>
    <w:p w:rsidR="008827B3" w:rsidRPr="00526311" w:rsidRDefault="008827B3" w:rsidP="00DC1333">
      <w:pPr>
        <w:pStyle w:val="ListParagraph"/>
        <w:tabs>
          <w:tab w:val="left" w:pos="709"/>
        </w:tabs>
        <w:ind w:left="0"/>
        <w:jc w:val="both"/>
        <w:rPr>
          <w:rFonts w:cs="Arial"/>
          <w:lang w:val="es-ES" w:eastAsia="ko-KR"/>
        </w:rPr>
      </w:pPr>
    </w:p>
    <w:p w:rsidR="008827B3" w:rsidRPr="00526311" w:rsidRDefault="00403D2C" w:rsidP="00DC1333">
      <w:pPr>
        <w:jc w:val="both"/>
        <w:rPr>
          <w:sz w:val="20"/>
          <w:u w:val="single"/>
          <w:lang w:eastAsia="ko-KR"/>
        </w:rPr>
      </w:pPr>
      <w:r w:rsidRPr="00403D2C">
        <w:rPr>
          <w:sz w:val="20"/>
          <w:lang w:eastAsia="ko-KR"/>
        </w:rPr>
        <w:lastRenderedPageBreak/>
        <w:t>B.</w:t>
      </w:r>
      <w:r w:rsidRPr="00403D2C">
        <w:rPr>
          <w:sz w:val="20"/>
          <w:lang w:eastAsia="ko-KR"/>
        </w:rPr>
        <w:tab/>
      </w:r>
      <w:r w:rsidRPr="00403D2C">
        <w:rPr>
          <w:sz w:val="20"/>
          <w:u w:val="single"/>
          <w:lang w:eastAsia="ko-KR"/>
        </w:rPr>
        <w:t>Utilización del presupuesto en 2014/15</w:t>
      </w:r>
    </w:p>
    <w:p w:rsidR="008827B3" w:rsidRPr="00526311" w:rsidRDefault="008827B3" w:rsidP="00DC1333">
      <w:pPr>
        <w:rPr>
          <w:sz w:val="20"/>
          <w:lang w:eastAsia="ko-KR"/>
        </w:rPr>
      </w:pPr>
    </w:p>
    <w:p w:rsidR="008827B3" w:rsidRPr="00526311" w:rsidRDefault="008827B3" w:rsidP="008827B3">
      <w:pPr>
        <w:pStyle w:val="ListParagraph"/>
        <w:numPr>
          <w:ilvl w:val="0"/>
          <w:numId w:val="76"/>
        </w:numPr>
        <w:tabs>
          <w:tab w:val="left" w:pos="709"/>
        </w:tabs>
        <w:ind w:left="0" w:firstLine="0"/>
        <w:jc w:val="both"/>
        <w:rPr>
          <w:rFonts w:ascii="Calibri" w:hAnsi="Calibri"/>
          <w:lang w:val="es-ES"/>
        </w:rPr>
      </w:pPr>
      <w:r w:rsidRPr="008F67CA">
        <w:rPr>
          <w:lang w:val="es-ES"/>
        </w:rPr>
        <w:t>La utilización</w:t>
      </w:r>
      <w:r>
        <w:rPr>
          <w:lang w:val="es-ES"/>
        </w:rPr>
        <w:t xml:space="preserve"> del 82</w:t>
      </w:r>
      <w:r w:rsidRPr="008F67CA">
        <w:rPr>
          <w:lang w:val="es-ES"/>
        </w:rPr>
        <w:t>% del presupuesto no relativo al personal se debió fundamentalmente a</w:t>
      </w:r>
      <w:r>
        <w:rPr>
          <w:lang w:val="es-ES"/>
        </w:rPr>
        <w:t xml:space="preserve"> un retraso en la contratación de personal para i) el proyecto de la A.D. sobre la P.I. y el desarrollo socioeconómico y ii) el programa de investigación sobre economía creativa, por lo que hubo que posponer la ejecución de las actividades conexas</w:t>
      </w:r>
      <w:r w:rsidRPr="00526311">
        <w:rPr>
          <w:rFonts w:cs="Arial"/>
          <w:lang w:val="es-ES" w:eastAsia="ko-KR"/>
        </w:rPr>
        <w:t>.</w:t>
      </w:r>
    </w:p>
    <w:p w:rsidR="008827B3" w:rsidRDefault="008827B3"/>
    <w:p w:rsidR="00FA423E" w:rsidRDefault="00FA423E" w:rsidP="00FA423E"/>
    <w:p w:rsidR="00FA423E" w:rsidRDefault="00FA423E" w:rsidP="00FA423E">
      <w:pPr>
        <w:rPr>
          <w:b/>
          <w:bCs/>
          <w:iCs/>
          <w:szCs w:val="28"/>
        </w:rPr>
      </w:pPr>
      <w:r>
        <w:br w:type="page"/>
      </w:r>
    </w:p>
    <w:p w:rsidR="00FA423E" w:rsidRPr="00F171B5" w:rsidRDefault="00FA423E" w:rsidP="00FA423E">
      <w:pPr>
        <w:pStyle w:val="StyleHeading214ptAuto"/>
        <w:rPr>
          <w:rFonts w:ascii="Arial" w:hAnsi="Arial" w:cs="Arial"/>
          <w:sz w:val="20"/>
          <w:szCs w:val="20"/>
          <w:lang w:val="es-ES"/>
        </w:rPr>
      </w:pPr>
      <w:bookmarkStart w:id="144" w:name="_Toc455159095"/>
      <w:bookmarkStart w:id="145" w:name="_Toc367350594"/>
      <w:r w:rsidRPr="00F171B5">
        <w:rPr>
          <w:rFonts w:ascii="Arial" w:hAnsi="Arial" w:cs="Arial"/>
          <w:sz w:val="20"/>
          <w:szCs w:val="20"/>
          <w:lang w:val="es-ES_tradnl"/>
        </w:rPr>
        <w:lastRenderedPageBreak/>
        <w:t>META ESTRATÉGICA VI</w:t>
      </w:r>
      <w:bookmarkEnd w:id="144"/>
    </w:p>
    <w:p w:rsidR="00FA423E" w:rsidRPr="00F171B5" w:rsidRDefault="00FA423E" w:rsidP="00FA423E">
      <w:pPr>
        <w:jc w:val="center"/>
        <w:rPr>
          <w:sz w:val="20"/>
        </w:rPr>
      </w:pPr>
    </w:p>
    <w:bookmarkEnd w:id="145"/>
    <w:p w:rsidR="00FA423E" w:rsidRPr="00F171B5" w:rsidRDefault="00FA423E" w:rsidP="00FA423E">
      <w:pPr>
        <w:jc w:val="center"/>
        <w:rPr>
          <w:sz w:val="20"/>
        </w:rPr>
      </w:pPr>
      <w:r w:rsidRPr="00F171B5">
        <w:rPr>
          <w:b/>
          <w:sz w:val="20"/>
          <w:lang w:val="es-ES_tradnl"/>
        </w:rPr>
        <w:t>COOPERACIÓN INTERNACIONAL PARA FOMENTAR EL RESPETO POR LA P.I.</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del programa que contribuye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1F3F1CF8" wp14:editId="5347146F">
            <wp:extent cx="5940425" cy="2851800"/>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0425" cy="2851800"/>
                    </a:xfrm>
                    <a:prstGeom prst="rect">
                      <a:avLst/>
                    </a:prstGeom>
                    <a:noFill/>
                    <a:ln>
                      <a:noFill/>
                    </a:ln>
                  </pic:spPr>
                </pic:pic>
              </a:graphicData>
            </a:graphic>
          </wp:inline>
        </w:drawing>
      </w:r>
    </w:p>
    <w:p w:rsidR="00FA423E" w:rsidRPr="00F171B5" w:rsidRDefault="00FA423E" w:rsidP="00FA423E">
      <w:pPr>
        <w:rPr>
          <w:b/>
          <w:bCs/>
          <w:caps/>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2"/>
        <w:gridCol w:w="4043"/>
        <w:gridCol w:w="1706"/>
        <w:gridCol w:w="839"/>
      </w:tblGrid>
      <w:tr w:rsidR="00FA423E" w:rsidRPr="00AF5E7C" w:rsidTr="00DC1333">
        <w:trPr>
          <w:cantSplit/>
          <w:trHeight w:val="455"/>
        </w:trPr>
        <w:tc>
          <w:tcPr>
            <w:tcW w:w="1544" w:type="pct"/>
            <w:tcBorders>
              <w:top w:val="single" w:sz="4" w:space="0" w:color="auto"/>
              <w:bottom w:val="single" w:sz="4" w:space="0" w:color="auto"/>
            </w:tcBorders>
            <w:shd w:val="clear" w:color="auto" w:fill="DAEEF3" w:themeFill="accent5" w:themeFillTint="33"/>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62" w:type="pct"/>
            <w:tcBorders>
              <w:top w:val="single" w:sz="4" w:space="0" w:color="auto"/>
              <w:bottom w:val="single" w:sz="4" w:space="0" w:color="auto"/>
            </w:tcBorders>
            <w:shd w:val="clear" w:color="auto" w:fill="DAEEF3" w:themeFill="accent5" w:themeFillTint="33"/>
            <w:tcMar>
              <w:top w:w="110" w:type="dxa"/>
            </w:tcMar>
            <w:vAlign w:val="center"/>
          </w:tcPr>
          <w:p w:rsidR="00FA423E" w:rsidRPr="007E4934" w:rsidRDefault="00FA423E" w:rsidP="00DC1333">
            <w:pPr>
              <w:spacing w:after="120"/>
              <w:rPr>
                <w:b/>
                <w:bCs/>
                <w:sz w:val="18"/>
                <w:szCs w:val="18"/>
              </w:rPr>
            </w:pPr>
            <w:r w:rsidRPr="007E4934">
              <w:rPr>
                <w:b/>
                <w:bCs/>
                <w:sz w:val="18"/>
                <w:szCs w:val="18"/>
                <w:lang w:val="es-ES_tradnl"/>
              </w:rPr>
              <w:t>Indicadores de rendimiento</w:t>
            </w:r>
          </w:p>
        </w:tc>
        <w:tc>
          <w:tcPr>
            <w:tcW w:w="927" w:type="pct"/>
            <w:tcBorders>
              <w:top w:val="single" w:sz="4" w:space="0" w:color="auto"/>
              <w:bottom w:val="single" w:sz="4" w:space="0" w:color="auto"/>
            </w:tcBorders>
            <w:shd w:val="clear" w:color="auto" w:fill="DAEEF3" w:themeFill="accent5" w:themeFillTint="33"/>
            <w:tcMar>
              <w:top w:w="110" w:type="dxa"/>
            </w:tcMar>
            <w:vAlign w:val="center"/>
          </w:tcPr>
          <w:p w:rsidR="00FA423E" w:rsidRPr="007E4934" w:rsidRDefault="00FA423E" w:rsidP="00DC1333">
            <w:pPr>
              <w:spacing w:after="120"/>
              <w:ind w:left="85"/>
              <w:jc w:val="center"/>
              <w:rPr>
                <w:b/>
                <w:bCs/>
                <w:sz w:val="18"/>
                <w:szCs w:val="18"/>
              </w:rPr>
            </w:pPr>
            <w:r w:rsidRPr="007E4934">
              <w:rPr>
                <w:b/>
                <w:bCs/>
                <w:sz w:val="18"/>
                <w:szCs w:val="18"/>
                <w:lang w:val="es-ES_tradnl"/>
              </w:rPr>
              <w:t>Programas responsables</w:t>
            </w:r>
          </w:p>
        </w:tc>
        <w:tc>
          <w:tcPr>
            <w:tcW w:w="367" w:type="pct"/>
            <w:tcBorders>
              <w:top w:val="single" w:sz="4" w:space="0" w:color="auto"/>
              <w:bottom w:val="single" w:sz="4" w:space="0" w:color="auto"/>
            </w:tcBorders>
            <w:shd w:val="clear" w:color="auto" w:fill="DAEEF3" w:themeFill="accent5" w:themeFillTint="33"/>
          </w:tcPr>
          <w:p w:rsidR="00FA423E" w:rsidRPr="002A1191" w:rsidRDefault="00FA423E" w:rsidP="00DC1333">
            <w:pPr>
              <w:spacing w:after="120"/>
              <w:ind w:left="-18" w:firstLine="18"/>
              <w:jc w:val="center"/>
              <w:rPr>
                <w:b/>
                <w:bCs/>
                <w:sz w:val="18"/>
                <w:szCs w:val="18"/>
              </w:rPr>
            </w:pPr>
            <w:r w:rsidRPr="007E4934">
              <w:rPr>
                <w:b/>
                <w:bCs/>
                <w:sz w:val="18"/>
                <w:szCs w:val="18"/>
                <w:lang w:val="es-ES_tradnl"/>
              </w:rPr>
              <w:t>Clave de colores</w:t>
            </w:r>
          </w:p>
        </w:tc>
      </w:tr>
      <w:tr w:rsidR="00FA423E" w:rsidRPr="00AF5E7C" w:rsidTr="00DC1333">
        <w:trPr>
          <w:cantSplit/>
          <w:trHeight w:val="944"/>
        </w:trPr>
        <w:tc>
          <w:tcPr>
            <w:tcW w:w="1544"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VI.1 Avances en el diálogo internacional sobre políticas entre los Estados miembros de la OMPI para fomentar el respeto por la P.I. sobre la base de la recomendación 45 de la Agenda de la OMPI para el Desarrollo</w:t>
            </w:r>
          </w:p>
        </w:tc>
        <w:tc>
          <w:tcPr>
            <w:tcW w:w="2162"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Acuerdo constante entre los Estados miembros sobre la labor sustantiva del Comité Asesor de la OMPI sobre Observancia (ACE), al incorporar elementos orientados al desarrollo</w:t>
            </w:r>
          </w:p>
        </w:tc>
        <w:tc>
          <w:tcPr>
            <w:tcW w:w="927"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17</w:t>
            </w:r>
          </w:p>
        </w:tc>
        <w:tc>
          <w:tcPr>
            <w:tcW w:w="367" w:type="pct"/>
            <w:tcBorders>
              <w:top w:val="single" w:sz="4" w:space="0" w:color="auto"/>
            </w:tcBorders>
            <w:shd w:val="clear" w:color="auto" w:fill="FFFFFF"/>
          </w:tcPr>
          <w:p w:rsidR="00FA423E" w:rsidRPr="00F718E6" w:rsidRDefault="00FA423E" w:rsidP="00DC1333">
            <w:pPr>
              <w:jc w:val="center"/>
              <w:rPr>
                <w:color w:val="A6A6A6" w:themeColor="background1" w:themeShade="A6"/>
                <w:szCs w:val="22"/>
              </w:rPr>
            </w:pPr>
            <w:r w:rsidRPr="005F33CE">
              <w:rPr>
                <w:color w:val="008000"/>
                <w:szCs w:val="22"/>
              </w:rPr>
              <w:sym w:font="Wingdings" w:char="F06C"/>
            </w:r>
          </w:p>
        </w:tc>
      </w:tr>
      <w:tr w:rsidR="00FA423E" w:rsidRPr="00AF5E7C" w:rsidTr="00DC1333">
        <w:trPr>
          <w:cantSplit/>
          <w:trHeight w:val="704"/>
        </w:trPr>
        <w:tc>
          <w:tcPr>
            <w:tcW w:w="154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VI.2 Cooperación y coordinación sistemáticas, eficaces y transparentes entre la labor de la OMPI y la de otras organizaciones internacionales en el ámbito del fomento del respeto por la P.I.</w:t>
            </w:r>
          </w:p>
        </w:tc>
        <w:tc>
          <w:tcPr>
            <w:tcW w:w="2162"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actividades conjuntas de fomento del respeto por la P.I.</w:t>
            </w:r>
          </w:p>
        </w:tc>
        <w:tc>
          <w:tcPr>
            <w:tcW w:w="927"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17</w:t>
            </w:r>
          </w:p>
        </w:tc>
        <w:tc>
          <w:tcPr>
            <w:tcW w:w="367" w:type="pct"/>
            <w:shd w:val="clear" w:color="auto" w:fill="FFFFFF"/>
          </w:tcPr>
          <w:p w:rsidR="00FA423E" w:rsidRDefault="00FA423E" w:rsidP="00DC1333">
            <w:pPr>
              <w:jc w:val="center"/>
            </w:pPr>
            <w:r w:rsidRPr="005F33CE">
              <w:rPr>
                <w:color w:val="008000"/>
                <w:szCs w:val="22"/>
              </w:rPr>
              <w:sym w:font="Wingdings" w:char="F06C"/>
            </w:r>
          </w:p>
        </w:tc>
      </w:tr>
    </w:tbl>
    <w:p w:rsidR="00FA423E" w:rsidRDefault="00FA423E" w:rsidP="00FA423E"/>
    <w:p w:rsidR="003B33EE" w:rsidRDefault="003B33EE">
      <w:r>
        <w:br w:type="page"/>
      </w:r>
    </w:p>
    <w:p w:rsidR="003B33EE" w:rsidRPr="00526311" w:rsidRDefault="003B33EE" w:rsidP="00DC1333">
      <w:pPr>
        <w:pStyle w:val="Heading2"/>
        <w:tabs>
          <w:tab w:val="left" w:pos="2410"/>
        </w:tabs>
        <w:jc w:val="both"/>
        <w:rPr>
          <w:b/>
          <w:szCs w:val="20"/>
        </w:rPr>
      </w:pPr>
      <w:bookmarkStart w:id="146" w:name="_Toc422927428"/>
      <w:bookmarkStart w:id="147" w:name="_Toc455159096"/>
      <w:r w:rsidRPr="00526311">
        <w:rPr>
          <w:b/>
          <w:szCs w:val="20"/>
        </w:rPr>
        <w:lastRenderedPageBreak/>
        <w:t>PROGRAMA 17</w:t>
      </w:r>
      <w:r w:rsidRPr="00526311">
        <w:rPr>
          <w:b/>
          <w:szCs w:val="20"/>
        </w:rPr>
        <w:tab/>
        <w:t>FOMENTAR EL RESPETO POR LA P.I.</w:t>
      </w:r>
      <w:bookmarkEnd w:id="146"/>
      <w:bookmarkEnd w:id="147"/>
    </w:p>
    <w:p w:rsidR="003B33EE" w:rsidRPr="00526311" w:rsidRDefault="003B33EE" w:rsidP="00DC1333">
      <w:pPr>
        <w:jc w:val="both"/>
        <w:rPr>
          <w:sz w:val="20"/>
        </w:rPr>
      </w:pPr>
    </w:p>
    <w:p w:rsidR="003B33EE" w:rsidRPr="00526311" w:rsidRDefault="003B33EE" w:rsidP="00DC1333">
      <w:pPr>
        <w:tabs>
          <w:tab w:val="left" w:pos="2410"/>
        </w:tabs>
        <w:jc w:val="both"/>
        <w:rPr>
          <w:b/>
          <w:sz w:val="20"/>
        </w:rPr>
      </w:pPr>
      <w:r w:rsidRPr="00526311">
        <w:rPr>
          <w:b/>
          <w:color w:val="000000"/>
          <w:sz w:val="20"/>
        </w:rPr>
        <w:t>Director de programa</w:t>
      </w:r>
      <w:r w:rsidRPr="00526311">
        <w:rPr>
          <w:b/>
          <w:color w:val="000000"/>
          <w:sz w:val="20"/>
        </w:rPr>
        <w:tab/>
        <w:t>Sr. M.</w:t>
      </w:r>
      <w:r>
        <w:rPr>
          <w:b/>
          <w:color w:val="000000"/>
          <w:sz w:val="20"/>
        </w:rPr>
        <w:t xml:space="preserve"> </w:t>
      </w:r>
      <w:r w:rsidRPr="00526311">
        <w:rPr>
          <w:b/>
          <w:color w:val="000000"/>
          <w:sz w:val="20"/>
        </w:rPr>
        <w:t>A. Getahun</w:t>
      </w:r>
    </w:p>
    <w:p w:rsidR="003B33EE" w:rsidRPr="00526311" w:rsidRDefault="003B33EE" w:rsidP="00DC1333">
      <w:pPr>
        <w:jc w:val="both"/>
        <w:rPr>
          <w:sz w:val="20"/>
        </w:rPr>
      </w:pPr>
    </w:p>
    <w:p w:rsidR="003B33EE" w:rsidRPr="00526311" w:rsidRDefault="003B33EE" w:rsidP="00DC1333">
      <w:pPr>
        <w:jc w:val="both"/>
        <w:rPr>
          <w:sz w:val="20"/>
        </w:rPr>
      </w:pPr>
    </w:p>
    <w:p w:rsidR="003B33EE" w:rsidRPr="00526311" w:rsidRDefault="008F7CBE" w:rsidP="00DC1333">
      <w:pPr>
        <w:jc w:val="both"/>
        <w:rPr>
          <w:bCs/>
        </w:rPr>
      </w:pPr>
      <w:r w:rsidRPr="008F7CBE">
        <w:rPr>
          <w:bCs/>
          <w:sz w:val="20"/>
          <w:szCs w:val="22"/>
        </w:rPr>
        <w:t>LOGROS ALCANZADOS EN EL BIENIO 2014/15</w:t>
      </w:r>
    </w:p>
    <w:p w:rsidR="003B33EE" w:rsidRPr="00526311" w:rsidRDefault="003B33EE" w:rsidP="00DC1333">
      <w:pPr>
        <w:jc w:val="both"/>
      </w:pPr>
    </w:p>
    <w:p w:rsidR="003B33EE" w:rsidRPr="00526311" w:rsidRDefault="003B33EE" w:rsidP="003B33EE">
      <w:pPr>
        <w:pStyle w:val="ListParagraph"/>
        <w:numPr>
          <w:ilvl w:val="0"/>
          <w:numId w:val="80"/>
        </w:numPr>
        <w:ind w:left="0" w:firstLine="0"/>
        <w:jc w:val="both"/>
        <w:rPr>
          <w:rFonts w:cs="Arial"/>
          <w:lang w:val="es-ES"/>
        </w:rPr>
      </w:pPr>
      <w:r w:rsidRPr="00526311">
        <w:rPr>
          <w:rFonts w:cs="Arial"/>
          <w:color w:val="000000"/>
          <w:lang w:val="es-ES"/>
        </w:rPr>
        <w:t>Sobre la base</w:t>
      </w:r>
      <w:r>
        <w:rPr>
          <w:rFonts w:cs="Arial"/>
          <w:color w:val="000000"/>
          <w:lang w:val="es-ES"/>
        </w:rPr>
        <w:t xml:space="preserve"> de la meta estratégica VI y </w:t>
      </w:r>
      <w:r w:rsidRPr="00526311">
        <w:rPr>
          <w:rFonts w:cs="Arial"/>
          <w:color w:val="000000"/>
          <w:lang w:val="es-ES"/>
        </w:rPr>
        <w:t xml:space="preserve">la recomendación 45 de la A.D., las actividades del programa 17 estaban orientadas a mejorar la cooperación internacional en lo que respecta al </w:t>
      </w:r>
      <w:r>
        <w:rPr>
          <w:rFonts w:cs="Arial"/>
          <w:color w:val="000000"/>
          <w:lang w:val="es-ES"/>
        </w:rPr>
        <w:t>fomento del respeto por la P.I. al objeto de</w:t>
      </w:r>
      <w:r w:rsidRPr="00526311">
        <w:rPr>
          <w:rFonts w:cs="Arial"/>
          <w:color w:val="000000"/>
          <w:lang w:val="es-ES"/>
        </w:rPr>
        <w:t xml:space="preserve"> lograr un equilibrio adecuado entre los derechos privados y el interés público.</w:t>
      </w:r>
    </w:p>
    <w:p w:rsidR="003B33EE" w:rsidRPr="00526311" w:rsidRDefault="003B33EE" w:rsidP="00DC1333">
      <w:pPr>
        <w:pStyle w:val="ListParagraph"/>
        <w:ind w:left="0"/>
        <w:jc w:val="both"/>
        <w:rPr>
          <w:rFonts w:cs="Arial"/>
          <w:lang w:val="es-ES"/>
        </w:rPr>
      </w:pPr>
    </w:p>
    <w:p w:rsidR="003B33EE" w:rsidRPr="00526311" w:rsidRDefault="003B33EE" w:rsidP="003B33EE">
      <w:pPr>
        <w:pStyle w:val="ListParagraph"/>
        <w:numPr>
          <w:ilvl w:val="0"/>
          <w:numId w:val="80"/>
        </w:numPr>
        <w:ind w:left="0" w:firstLine="0"/>
        <w:jc w:val="both"/>
        <w:rPr>
          <w:rFonts w:cs="Arial"/>
          <w:lang w:val="es-ES"/>
        </w:rPr>
      </w:pPr>
      <w:r>
        <w:rPr>
          <w:rFonts w:cs="Arial"/>
          <w:color w:val="000000"/>
          <w:lang w:val="es-ES"/>
        </w:rPr>
        <w:t>Las sesio</w:t>
      </w:r>
      <w:r w:rsidRPr="00526311">
        <w:rPr>
          <w:rFonts w:cs="Arial"/>
          <w:color w:val="000000"/>
          <w:lang w:val="es-ES"/>
        </w:rPr>
        <w:t>n</w:t>
      </w:r>
      <w:r>
        <w:rPr>
          <w:rFonts w:cs="Arial"/>
          <w:color w:val="000000"/>
          <w:lang w:val="es-ES"/>
        </w:rPr>
        <w:t>es</w:t>
      </w:r>
      <w:r w:rsidRPr="00526311">
        <w:rPr>
          <w:rFonts w:cs="Arial"/>
          <w:color w:val="000000"/>
          <w:lang w:val="es-ES"/>
        </w:rPr>
        <w:t xml:space="preserve"> </w:t>
      </w:r>
      <w:r>
        <w:rPr>
          <w:rFonts w:cs="Arial"/>
          <w:color w:val="000000"/>
          <w:lang w:val="es-ES"/>
        </w:rPr>
        <w:t xml:space="preserve">novena y décima </w:t>
      </w:r>
      <w:r w:rsidRPr="00526311">
        <w:rPr>
          <w:rFonts w:cs="Arial"/>
          <w:color w:val="000000"/>
          <w:lang w:val="es-ES"/>
        </w:rPr>
        <w:t>del Comité Asesor en materia de Observancia (ACE) (celebrada</w:t>
      </w:r>
      <w:r>
        <w:rPr>
          <w:rFonts w:cs="Arial"/>
          <w:color w:val="000000"/>
          <w:lang w:val="es-ES"/>
        </w:rPr>
        <w:t>s</w:t>
      </w:r>
      <w:r w:rsidRPr="00526311">
        <w:rPr>
          <w:rFonts w:cs="Arial"/>
          <w:color w:val="000000"/>
          <w:lang w:val="es-ES"/>
        </w:rPr>
        <w:t xml:space="preserve"> del 3 al 5 de marzo de 2014</w:t>
      </w:r>
      <w:r>
        <w:rPr>
          <w:rFonts w:cs="Arial"/>
          <w:color w:val="000000"/>
          <w:lang w:val="es-ES"/>
        </w:rPr>
        <w:t xml:space="preserve"> y del 23 al 25 de noviembre de 2015 respectivamente</w:t>
      </w:r>
      <w:r w:rsidRPr="00526311">
        <w:rPr>
          <w:rFonts w:cs="Arial"/>
          <w:color w:val="000000"/>
          <w:lang w:val="es-ES"/>
        </w:rPr>
        <w:t>)</w:t>
      </w:r>
      <w:r>
        <w:rPr>
          <w:rFonts w:cs="Arial"/>
          <w:color w:val="000000"/>
          <w:lang w:val="es-ES"/>
        </w:rPr>
        <w:t xml:space="preserve"> contribuyeron a avanzar</w:t>
      </w:r>
      <w:r w:rsidRPr="00526311">
        <w:rPr>
          <w:rFonts w:cs="Arial"/>
          <w:color w:val="000000"/>
          <w:lang w:val="es-ES"/>
        </w:rPr>
        <w:t xml:space="preserve"> en el diálogo internacional sobre políticas para fomentar el respeto por la P.I.</w:t>
      </w:r>
      <w:r w:rsidRPr="00A43301">
        <w:rPr>
          <w:rFonts w:cs="Arial"/>
          <w:color w:val="000000"/>
          <w:lang w:val="es-ES"/>
        </w:rPr>
        <w:t xml:space="preserve"> </w:t>
      </w:r>
      <w:r w:rsidRPr="00526311">
        <w:rPr>
          <w:rFonts w:cs="Arial"/>
          <w:color w:val="000000"/>
          <w:lang w:val="es-ES"/>
        </w:rPr>
        <w:t xml:space="preserve">entre los Estados miembros </w:t>
      </w:r>
      <w:r>
        <w:rPr>
          <w:rFonts w:cs="Arial"/>
          <w:color w:val="000000"/>
          <w:lang w:val="es-ES"/>
        </w:rPr>
        <w:t>y sirvieron como</w:t>
      </w:r>
      <w:r w:rsidRPr="00526311">
        <w:rPr>
          <w:rFonts w:cs="Arial"/>
          <w:color w:val="000000"/>
          <w:lang w:val="es-ES"/>
        </w:rPr>
        <w:t xml:space="preserve"> "mercado de ideas" propicio para el intercambio de exp</w:t>
      </w:r>
      <w:r>
        <w:rPr>
          <w:rFonts w:cs="Arial"/>
          <w:color w:val="000000"/>
          <w:lang w:val="es-ES"/>
        </w:rPr>
        <w:t>eriencias y prácticas en relación con mecanismos alternativos para la solución de controversias en materia de P.I., así como</w:t>
      </w:r>
      <w:r w:rsidRPr="00526311">
        <w:rPr>
          <w:rFonts w:cs="Arial"/>
          <w:color w:val="000000"/>
          <w:lang w:val="es-ES"/>
        </w:rPr>
        <w:t xml:space="preserve"> </w:t>
      </w:r>
      <w:r>
        <w:rPr>
          <w:rFonts w:cs="Arial"/>
          <w:color w:val="000000"/>
          <w:lang w:val="es-ES"/>
        </w:rPr>
        <w:t xml:space="preserve">de </w:t>
      </w:r>
      <w:r w:rsidRPr="00526311">
        <w:rPr>
          <w:rFonts w:cs="Arial"/>
          <w:color w:val="000000"/>
          <w:lang w:val="es-ES"/>
        </w:rPr>
        <w:t>est</w:t>
      </w:r>
      <w:r>
        <w:rPr>
          <w:rFonts w:cs="Arial"/>
          <w:color w:val="000000"/>
          <w:lang w:val="es-ES"/>
        </w:rPr>
        <w:t>rategias de prevención</w:t>
      </w:r>
      <w:r w:rsidRPr="00526311">
        <w:rPr>
          <w:rFonts w:cs="Arial"/>
          <w:color w:val="000000"/>
          <w:lang w:val="es-ES"/>
        </w:rPr>
        <w:t xml:space="preserve"> </w:t>
      </w:r>
      <w:r>
        <w:rPr>
          <w:rFonts w:cs="Arial"/>
          <w:color w:val="000000"/>
          <w:lang w:val="es-ES"/>
        </w:rPr>
        <w:t>que complementen la observancia, por ejemplo la sensibilización de la opinión pública y las h</w:t>
      </w:r>
      <w:r w:rsidRPr="00CA6A0D">
        <w:rPr>
          <w:rFonts w:cs="Arial"/>
          <w:color w:val="000000"/>
          <w:lang w:val="es-ES"/>
        </w:rPr>
        <w:t>erramientas educativas para los jóvenes</w:t>
      </w:r>
      <w:r w:rsidRPr="00526311">
        <w:rPr>
          <w:rFonts w:cs="Arial"/>
          <w:color w:val="000000"/>
          <w:lang w:val="es-ES"/>
        </w:rPr>
        <w:t>, los nuevos modelos de negocios</w:t>
      </w:r>
      <w:r>
        <w:rPr>
          <w:rFonts w:cs="Arial"/>
          <w:color w:val="000000"/>
          <w:lang w:val="es-ES"/>
        </w:rPr>
        <w:t>,</w:t>
      </w:r>
      <w:r w:rsidRPr="00526311">
        <w:rPr>
          <w:rFonts w:cs="Arial"/>
          <w:color w:val="000000"/>
          <w:lang w:val="es-ES"/>
        </w:rPr>
        <w:t xml:space="preserve"> la seguridad en</w:t>
      </w:r>
      <w:r>
        <w:rPr>
          <w:rFonts w:cs="Arial"/>
          <w:color w:val="000000"/>
          <w:lang w:val="es-ES"/>
        </w:rPr>
        <w:t xml:space="preserve"> la cadena de suministro, </w:t>
      </w:r>
      <w:r w:rsidRPr="00526311">
        <w:rPr>
          <w:rFonts w:cs="Arial"/>
          <w:color w:val="000000"/>
          <w:lang w:val="es-ES"/>
        </w:rPr>
        <w:t xml:space="preserve">los mecanismos </w:t>
      </w:r>
      <w:r>
        <w:rPr>
          <w:rFonts w:cs="Arial"/>
          <w:color w:val="000000"/>
          <w:lang w:val="es-ES"/>
        </w:rPr>
        <w:t>facultativos</w:t>
      </w:r>
      <w:r w:rsidRPr="00526311">
        <w:rPr>
          <w:rFonts w:cs="Arial"/>
          <w:color w:val="000000"/>
          <w:lang w:val="es-ES"/>
        </w:rPr>
        <w:t xml:space="preserve"> </w:t>
      </w:r>
      <w:r>
        <w:rPr>
          <w:rFonts w:cs="Arial"/>
          <w:color w:val="000000"/>
          <w:lang w:val="es-ES"/>
        </w:rPr>
        <w:t>y la coordinación nacional para fomentar el respeto por la P.I.  En ambas sesio</w:t>
      </w:r>
      <w:r w:rsidRPr="00526311">
        <w:rPr>
          <w:rFonts w:cs="Arial"/>
          <w:color w:val="000000"/>
          <w:lang w:val="es-ES"/>
        </w:rPr>
        <w:t>n</w:t>
      </w:r>
      <w:r>
        <w:rPr>
          <w:rFonts w:cs="Arial"/>
          <w:color w:val="000000"/>
          <w:lang w:val="es-ES"/>
        </w:rPr>
        <w:t>es se llevaron a cabo exposicio</w:t>
      </w:r>
      <w:r w:rsidRPr="00526311">
        <w:rPr>
          <w:rFonts w:cs="Arial"/>
          <w:color w:val="000000"/>
          <w:lang w:val="es-ES"/>
        </w:rPr>
        <w:t>n</w:t>
      </w:r>
      <w:r>
        <w:rPr>
          <w:rFonts w:cs="Arial"/>
          <w:color w:val="000000"/>
          <w:lang w:val="es-ES"/>
        </w:rPr>
        <w:t>es</w:t>
      </w:r>
      <w:r w:rsidRPr="00526311">
        <w:rPr>
          <w:rFonts w:cs="Arial"/>
          <w:color w:val="000000"/>
          <w:lang w:val="es-ES"/>
        </w:rPr>
        <w:t xml:space="preserve"> audiovisual</w:t>
      </w:r>
      <w:r>
        <w:rPr>
          <w:rFonts w:cs="Arial"/>
          <w:color w:val="000000"/>
          <w:lang w:val="es-ES"/>
        </w:rPr>
        <w:t>es</w:t>
      </w:r>
      <w:r w:rsidRPr="00526311">
        <w:rPr>
          <w:rFonts w:cs="Arial"/>
          <w:color w:val="000000"/>
          <w:lang w:val="es-ES"/>
        </w:rPr>
        <w:t xml:space="preserve"> en la</w:t>
      </w:r>
      <w:r>
        <w:rPr>
          <w:rFonts w:cs="Arial"/>
          <w:color w:val="000000"/>
          <w:lang w:val="es-ES"/>
        </w:rPr>
        <w:t xml:space="preserve">s que se presentaron campañas de comunicación pública sobre el respeto por la P.I. y herramientas de sensibilización destinadas a los jóvenes.  El Comité acordó intercambiar en su undécima sesión información sobre experiencias nacionales en relación con cuatro temas:  i) </w:t>
      </w:r>
      <w:r w:rsidRPr="00D149D8">
        <w:rPr>
          <w:rFonts w:cs="Arial"/>
          <w:color w:val="000000"/>
          <w:lang w:val="es-ES"/>
        </w:rPr>
        <w:t>actividades de sensibilización y campañas estratégicas utilizadas como medio para fomentar el respeto por la P.I. entre la población en general, especialmente los jóvenes, de conformidad con las prioridades en materia de educación o de otra índole de los Estados miembros</w:t>
      </w:r>
      <w:r>
        <w:rPr>
          <w:rFonts w:cs="Arial"/>
          <w:color w:val="000000"/>
          <w:lang w:val="es-ES"/>
        </w:rPr>
        <w:t xml:space="preserve">;  ii) </w:t>
      </w:r>
      <w:r w:rsidRPr="00D149D8">
        <w:rPr>
          <w:rFonts w:cs="Arial"/>
          <w:color w:val="000000"/>
          <w:lang w:val="es-ES"/>
        </w:rPr>
        <w:t>acuerdos institucionales relativos a políticas y regímenes de observancia de la P.I., en particular los mecanismos para resolver controversias de P.I. de forma equilibrada, holística y eficaz</w:t>
      </w:r>
      <w:r>
        <w:rPr>
          <w:rFonts w:cs="Arial"/>
          <w:color w:val="000000"/>
          <w:lang w:val="es-ES"/>
        </w:rPr>
        <w:t xml:space="preserve">;  iii) la </w:t>
      </w:r>
      <w:r w:rsidRPr="004E2092">
        <w:rPr>
          <w:lang w:val="es-ES"/>
        </w:rPr>
        <w:t>asistencia legislativa que facilita la OMPI, con especial hincapié en la redacción de leyes nacionales sobre observancia en que se tomen en consideración las flexibilidades, el nivel de desarrollo, la diferencia en la tradición jurídica y el posible uso indebido de los procedimientos de observancia</w:t>
      </w:r>
      <w:r>
        <w:rPr>
          <w:lang w:val="es-ES"/>
        </w:rPr>
        <w:t xml:space="preserve">, y iv) </w:t>
      </w:r>
      <w:r w:rsidRPr="004E2092">
        <w:rPr>
          <w:lang w:val="es-ES"/>
        </w:rPr>
        <w:t>el fortalecimiento de capacidades y el apoyo de la OMPI para actividades de capacitación en consonancia con las recomendaciones pertinentes de la Agenda para el Desarrollo y el mandato del ACE</w:t>
      </w:r>
      <w:r>
        <w:rPr>
          <w:rFonts w:cs="Arial"/>
          <w:color w:val="000000"/>
          <w:lang w:val="es-ES"/>
        </w:rPr>
        <w:t>.  El valor que los Estados miembros conceden al ACE los llevó a pedir que las sesiones se celebren con carácter anual.</w:t>
      </w:r>
    </w:p>
    <w:p w:rsidR="003B33EE" w:rsidRPr="00526311" w:rsidRDefault="003B33EE" w:rsidP="00DC1333">
      <w:pPr>
        <w:jc w:val="both"/>
      </w:pPr>
    </w:p>
    <w:p w:rsidR="003B33EE" w:rsidRPr="00526311" w:rsidRDefault="003B33EE" w:rsidP="003B33EE">
      <w:pPr>
        <w:pStyle w:val="ListParagraph"/>
        <w:numPr>
          <w:ilvl w:val="0"/>
          <w:numId w:val="80"/>
        </w:numPr>
        <w:ind w:left="0" w:firstLine="0"/>
        <w:jc w:val="both"/>
        <w:rPr>
          <w:rFonts w:cs="Arial"/>
          <w:lang w:val="es-ES"/>
        </w:rPr>
      </w:pPr>
      <w:r w:rsidRPr="00526311">
        <w:rPr>
          <w:rFonts w:cs="Arial"/>
          <w:color w:val="000000"/>
          <w:lang w:val="es-ES"/>
        </w:rPr>
        <w:t>A fin de lograr la cohesión política internacional y la máxima repercusión mediante recursos comunes, se c</w:t>
      </w:r>
      <w:r>
        <w:rPr>
          <w:rFonts w:cs="Arial"/>
          <w:color w:val="000000"/>
          <w:lang w:val="es-ES"/>
        </w:rPr>
        <w:t>oordinó la labor del programa</w:t>
      </w:r>
      <w:r w:rsidRPr="00526311">
        <w:rPr>
          <w:rFonts w:cs="Arial"/>
          <w:color w:val="000000"/>
          <w:lang w:val="es-ES"/>
        </w:rPr>
        <w:t xml:space="preserve"> con organizaciones intergubernamentales y no gubernamentales, asociaciones de sectores interesados e instituciones académicas.  A través de una colaboración sistemática, transparente y eficaz, la OMPI pudo </w:t>
      </w:r>
      <w:r>
        <w:rPr>
          <w:rFonts w:cs="Arial"/>
          <w:color w:val="000000"/>
          <w:lang w:val="es-ES"/>
        </w:rPr>
        <w:t>garantizar una integración aún mayor de la meta estratégica VI</w:t>
      </w:r>
      <w:r w:rsidRPr="00526311">
        <w:rPr>
          <w:rFonts w:cs="Arial"/>
          <w:color w:val="000000"/>
          <w:lang w:val="es-ES"/>
        </w:rPr>
        <w:t xml:space="preserve"> </w:t>
      </w:r>
      <w:r>
        <w:rPr>
          <w:rFonts w:cs="Arial"/>
          <w:color w:val="000000"/>
          <w:lang w:val="es-ES"/>
        </w:rPr>
        <w:t xml:space="preserve">en las colaboraciones conjuntas con sus asociados internacionales, de acuerdo con la recomendación 40 de la A.D.  Uno de los temas centrales es la intersección entre la P.I. y el derecho privado internacional, que fue objeto de un seminario en cooperación con la </w:t>
      </w:r>
      <w:r w:rsidRPr="00724A4A">
        <w:rPr>
          <w:rFonts w:cs="Arial"/>
          <w:color w:val="000000"/>
          <w:lang w:val="es-ES"/>
        </w:rPr>
        <w:t xml:space="preserve">Asociación de Derecho Internacional </w:t>
      </w:r>
      <w:r>
        <w:rPr>
          <w:rFonts w:cs="Arial"/>
          <w:color w:val="000000"/>
          <w:lang w:val="es-ES"/>
        </w:rPr>
        <w:t xml:space="preserve">organizado en enero de 2015, así como el informe de la OMPI titulado </w:t>
      </w:r>
      <w:r w:rsidRPr="00724A4A">
        <w:rPr>
          <w:rFonts w:cs="Arial"/>
          <w:i/>
          <w:lang w:val="es-ES"/>
        </w:rPr>
        <w:t>Private International Law Issues in Online Intellectual Property Infringement Disputes with Cross-border Elements – An Analysis of National Approaches</w:t>
      </w:r>
      <w:r>
        <w:rPr>
          <w:rFonts w:cs="Arial"/>
          <w:i/>
          <w:lang w:val="es-ES"/>
        </w:rPr>
        <w:t>,</w:t>
      </w:r>
      <w:r>
        <w:rPr>
          <w:rStyle w:val="FootnoteReference"/>
          <w:rFonts w:eastAsia="SimSun"/>
          <w:i/>
        </w:rPr>
        <w:footnoteReference w:id="97"/>
      </w:r>
      <w:r w:rsidRPr="00CE1C19">
        <w:rPr>
          <w:rFonts w:cs="Arial"/>
          <w:i/>
          <w:lang w:val="es-ES"/>
        </w:rPr>
        <w:t xml:space="preserve"> </w:t>
      </w:r>
      <w:r w:rsidRPr="00CE1C19">
        <w:rPr>
          <w:rFonts w:cs="Arial"/>
          <w:lang w:val="es-ES"/>
        </w:rPr>
        <w:t>que se publicó en septiembre de 2015.</w:t>
      </w:r>
    </w:p>
    <w:p w:rsidR="003B33EE" w:rsidRPr="00526311" w:rsidRDefault="003B33EE" w:rsidP="00DC1333">
      <w:pPr>
        <w:jc w:val="both"/>
      </w:pPr>
    </w:p>
    <w:p w:rsidR="003B33EE" w:rsidRPr="00526311" w:rsidRDefault="003B33EE" w:rsidP="003B33EE">
      <w:pPr>
        <w:pStyle w:val="ListParagraph"/>
        <w:numPr>
          <w:ilvl w:val="0"/>
          <w:numId w:val="80"/>
        </w:numPr>
        <w:ind w:left="0" w:firstLine="0"/>
        <w:jc w:val="both"/>
        <w:rPr>
          <w:rFonts w:cs="Arial"/>
          <w:lang w:val="es-ES"/>
        </w:rPr>
      </w:pPr>
      <w:r>
        <w:rPr>
          <w:rFonts w:cs="Arial"/>
          <w:color w:val="000000"/>
          <w:lang w:val="es-ES"/>
        </w:rPr>
        <w:t>Durante el bienio</w:t>
      </w:r>
      <w:r w:rsidRPr="00526311">
        <w:rPr>
          <w:rFonts w:cs="Arial"/>
          <w:color w:val="000000"/>
          <w:lang w:val="es-ES"/>
        </w:rPr>
        <w:t xml:space="preserve"> siguió creciendo la demanda de la asistencia que presta la OMPI en forma de asesoramiento legislativo sobre la compatibilidad de las disposiciones en vigor o en proyecto relativas a la observancia, con las obligaciones enumeradas en la Parte III del Acuerdo sobre los ADPIC. </w:t>
      </w:r>
      <w:r w:rsidRPr="00526311">
        <w:rPr>
          <w:rFonts w:cs="Arial"/>
          <w:lang w:val="es-ES"/>
        </w:rPr>
        <w:t xml:space="preserve"> </w:t>
      </w:r>
      <w:r>
        <w:rPr>
          <w:rFonts w:cs="Arial"/>
          <w:lang w:val="es-ES"/>
        </w:rPr>
        <w:t>El programa</w:t>
      </w:r>
      <w:r>
        <w:rPr>
          <w:rFonts w:cs="Arial"/>
          <w:color w:val="000000"/>
          <w:lang w:val="es-ES"/>
        </w:rPr>
        <w:t>,</w:t>
      </w:r>
      <w:r w:rsidRPr="00526311">
        <w:rPr>
          <w:rFonts w:cs="Arial"/>
          <w:color w:val="000000"/>
          <w:lang w:val="es-ES"/>
        </w:rPr>
        <w:t xml:space="preserve"> en estrecha colaboración con </w:t>
      </w:r>
      <w:r>
        <w:rPr>
          <w:rFonts w:cs="Arial"/>
          <w:color w:val="000000"/>
          <w:lang w:val="es-ES"/>
        </w:rPr>
        <w:t>los legisladores nacionales, ayudó a 12</w:t>
      </w:r>
      <w:r w:rsidRPr="00526311">
        <w:rPr>
          <w:rFonts w:cs="Arial"/>
          <w:color w:val="000000"/>
          <w:lang w:val="es-ES"/>
        </w:rPr>
        <w:t xml:space="preserve"> Estados miembros a encontrar soluc</w:t>
      </w:r>
      <w:r>
        <w:rPr>
          <w:rFonts w:cs="Arial"/>
          <w:color w:val="000000"/>
          <w:lang w:val="es-ES"/>
        </w:rPr>
        <w:t>iones legislativas que se ajustara</w:t>
      </w:r>
      <w:r w:rsidRPr="00526311">
        <w:rPr>
          <w:rFonts w:cs="Arial"/>
          <w:color w:val="000000"/>
          <w:lang w:val="es-ES"/>
        </w:rPr>
        <w:t xml:space="preserve">n a sus </w:t>
      </w:r>
      <w:r w:rsidRPr="00526311">
        <w:rPr>
          <w:rFonts w:cs="Arial"/>
          <w:lang w:val="es-ES"/>
        </w:rPr>
        <w:t xml:space="preserve">requisitos nacionales y </w:t>
      </w:r>
      <w:r>
        <w:rPr>
          <w:rFonts w:cs="Arial"/>
          <w:color w:val="000000"/>
          <w:lang w:val="es-ES"/>
        </w:rPr>
        <w:t>en las que se tomara</w:t>
      </w:r>
      <w:r w:rsidRPr="00526311">
        <w:rPr>
          <w:rFonts w:cs="Arial"/>
          <w:color w:val="000000"/>
          <w:lang w:val="es-ES"/>
        </w:rPr>
        <w:t>n en cuenta las opciones y flexibilidades disponibles.  Las actividades en la esfera de la asistencia legislativa, reguladora y de política se basaron en las recomendaciones 1, 6, 12, 13, 14 y 17 de la A.D.</w:t>
      </w:r>
    </w:p>
    <w:p w:rsidR="003B33EE" w:rsidRPr="00526311" w:rsidRDefault="003B33EE" w:rsidP="00DC1333">
      <w:pPr>
        <w:pStyle w:val="ListParagraph"/>
        <w:ind w:left="0"/>
        <w:jc w:val="both"/>
        <w:rPr>
          <w:rFonts w:cs="Arial"/>
          <w:lang w:val="es-ES"/>
        </w:rPr>
      </w:pPr>
    </w:p>
    <w:p w:rsidR="003B33EE" w:rsidRPr="00526311" w:rsidRDefault="003B33EE" w:rsidP="003B33EE">
      <w:pPr>
        <w:pStyle w:val="ListParagraph"/>
        <w:numPr>
          <w:ilvl w:val="0"/>
          <w:numId w:val="80"/>
        </w:numPr>
        <w:ind w:left="0" w:firstLine="0"/>
        <w:jc w:val="both"/>
        <w:rPr>
          <w:rFonts w:cs="Arial"/>
          <w:color w:val="000000"/>
          <w:lang w:val="es-ES"/>
        </w:rPr>
      </w:pPr>
      <w:r w:rsidRPr="00526311">
        <w:rPr>
          <w:rFonts w:cs="Arial"/>
          <w:color w:val="000000"/>
          <w:lang w:val="es-ES"/>
        </w:rPr>
        <w:t xml:space="preserve">Las actividades del programa relativas al </w:t>
      </w:r>
      <w:r w:rsidRPr="00526311">
        <w:rPr>
          <w:rFonts w:cs="Arial"/>
          <w:lang w:val="es-ES"/>
        </w:rPr>
        <w:t>fortalecimiento de capacidad</w:t>
      </w:r>
      <w:r>
        <w:rPr>
          <w:rFonts w:cs="Arial"/>
          <w:lang w:val="es-ES"/>
        </w:rPr>
        <w:t>es</w:t>
      </w:r>
      <w:r w:rsidRPr="00526311">
        <w:rPr>
          <w:rFonts w:cs="Arial"/>
          <w:lang w:val="es-ES"/>
        </w:rPr>
        <w:t xml:space="preserve"> tenían </w:t>
      </w:r>
      <w:r w:rsidRPr="00526311">
        <w:rPr>
          <w:rFonts w:cs="Arial"/>
          <w:color w:val="000000"/>
          <w:lang w:val="es-ES"/>
        </w:rPr>
        <w:t xml:space="preserve">por misión habilitar a las autoridades nacionales para que puedan fomentar el respeto por la P.I. mediante la suma equilibrada de actividades de observancia y medidas preventivas diseñadas para reducir la demanda de </w:t>
      </w:r>
      <w:r w:rsidRPr="00526311">
        <w:rPr>
          <w:rFonts w:cs="Arial"/>
          <w:color w:val="000000"/>
          <w:lang w:val="es-ES"/>
        </w:rPr>
        <w:lastRenderedPageBreak/>
        <w:t xml:space="preserve">productos falsificados y destacar el valor del mercado de productos legítimos.  Para mejorar la sostenibilidad de la transferencia de conocimientos, se establecieron colaboraciones específicas con </w:t>
      </w:r>
      <w:r>
        <w:rPr>
          <w:rFonts w:cs="Arial"/>
          <w:color w:val="000000"/>
          <w:lang w:val="es-ES"/>
        </w:rPr>
        <w:t>institucion</w:t>
      </w:r>
      <w:r w:rsidRPr="00526311">
        <w:rPr>
          <w:rFonts w:cs="Arial"/>
          <w:color w:val="000000"/>
          <w:lang w:val="es-ES"/>
        </w:rPr>
        <w:t>es nacionales de formación en materia de observancia de la ley capaces de actuar como</w:t>
      </w:r>
      <w:r>
        <w:rPr>
          <w:rFonts w:cs="Arial"/>
          <w:color w:val="000000"/>
          <w:lang w:val="es-ES"/>
        </w:rPr>
        <w:t xml:space="preserve"> multiplicadores y se elaboró un manual básico sobre investigación y enjuiciamiento de los delitos en materia de P.I. para que sea utilizado o adaptado en la formación de los funcionarios encargados de hacer cumplir la ley y los fiscales.  </w:t>
      </w:r>
      <w:r w:rsidRPr="00526311">
        <w:rPr>
          <w:rFonts w:cs="Arial"/>
          <w:color w:val="000000"/>
          <w:lang w:val="es-ES"/>
        </w:rPr>
        <w:t xml:space="preserve">Además, </w:t>
      </w:r>
      <w:r>
        <w:rPr>
          <w:rFonts w:cs="Arial"/>
          <w:color w:val="000000"/>
          <w:lang w:val="es-ES"/>
        </w:rPr>
        <w:t xml:space="preserve">durante el bienio </w:t>
      </w:r>
      <w:r w:rsidRPr="00526311">
        <w:rPr>
          <w:rFonts w:cs="Arial"/>
          <w:color w:val="000000"/>
          <w:lang w:val="es-ES"/>
        </w:rPr>
        <w:t>se publicó una edición francesa y una traducción al árabe de la edición inglesa del Repertorio de la OMPI</w:t>
      </w:r>
      <w:r w:rsidRPr="00526311">
        <w:rPr>
          <w:lang w:val="es-ES"/>
        </w:rPr>
        <w:t xml:space="preserve"> </w:t>
      </w:r>
      <w:r w:rsidRPr="00526311">
        <w:rPr>
          <w:rFonts w:cs="Arial"/>
          <w:color w:val="000000"/>
          <w:lang w:val="es-ES"/>
        </w:rPr>
        <w:t>de jurisprudencia en materia de observancia de los derechos de P.I.  Las actividades en esta esfera se basaron en las recomendaciones 3, 10, y 11 de la A.D.</w:t>
      </w:r>
    </w:p>
    <w:p w:rsidR="003B33EE" w:rsidRPr="00526311" w:rsidRDefault="003B33EE" w:rsidP="00DC1333">
      <w:pPr>
        <w:pStyle w:val="ListParagraph"/>
        <w:ind w:left="0"/>
        <w:jc w:val="both"/>
        <w:rPr>
          <w:rFonts w:cs="Arial"/>
          <w:lang w:val="es-ES"/>
        </w:rPr>
      </w:pPr>
    </w:p>
    <w:p w:rsidR="003B33EE" w:rsidRPr="00526311" w:rsidRDefault="003B33EE" w:rsidP="003B33EE">
      <w:pPr>
        <w:pStyle w:val="ListParagraph"/>
        <w:numPr>
          <w:ilvl w:val="0"/>
          <w:numId w:val="80"/>
        </w:numPr>
        <w:ind w:left="0" w:firstLine="0"/>
        <w:jc w:val="both"/>
        <w:rPr>
          <w:rFonts w:cs="Arial"/>
          <w:color w:val="000000"/>
          <w:lang w:val="es-ES"/>
        </w:rPr>
      </w:pPr>
      <w:r w:rsidRPr="00526311">
        <w:rPr>
          <w:rFonts w:cs="Arial"/>
          <w:color w:val="000000"/>
          <w:lang w:val="es-ES"/>
        </w:rPr>
        <w:t xml:space="preserve">Con objeto de dar apoyo a las iniciativas de educación y sensibilización en materia de P.I. de los </w:t>
      </w:r>
      <w:r w:rsidRPr="00526311">
        <w:rPr>
          <w:rFonts w:cs="Arial"/>
          <w:lang w:val="es-ES"/>
        </w:rPr>
        <w:t xml:space="preserve">Estados miembros, </w:t>
      </w:r>
      <w:r w:rsidRPr="00526311">
        <w:rPr>
          <w:rFonts w:cs="Arial"/>
          <w:color w:val="000000"/>
          <w:lang w:val="es-ES"/>
        </w:rPr>
        <w:t xml:space="preserve">destinadas a reducir las infracciones a los derechos de P.I. a través de cambios de comportamiento, se elaboró una metodología modular para establecer estrategias nacionales de sensibilización, y se brindó asistencia a dos </w:t>
      </w:r>
      <w:r w:rsidRPr="00526311">
        <w:rPr>
          <w:rFonts w:cs="Arial"/>
          <w:lang w:val="es-ES"/>
        </w:rPr>
        <w:t xml:space="preserve">Estados miembros </w:t>
      </w:r>
      <w:r w:rsidRPr="00526311">
        <w:rPr>
          <w:rFonts w:cs="Arial"/>
          <w:color w:val="000000"/>
          <w:lang w:val="es-ES"/>
        </w:rPr>
        <w:t>en su aplicación, de conformidad con las necesida</w:t>
      </w:r>
      <w:r>
        <w:rPr>
          <w:rFonts w:cs="Arial"/>
          <w:color w:val="000000"/>
          <w:lang w:val="es-ES"/>
        </w:rPr>
        <w:t>des particulares de cada uno.  Además, e</w:t>
      </w:r>
      <w:r w:rsidRPr="00526311">
        <w:rPr>
          <w:rFonts w:cs="Arial"/>
          <w:color w:val="000000"/>
          <w:lang w:val="es-ES"/>
        </w:rPr>
        <w:t>n el marco del programa</w:t>
      </w:r>
      <w:r>
        <w:rPr>
          <w:rFonts w:cs="Arial"/>
          <w:color w:val="000000"/>
          <w:lang w:val="es-ES"/>
        </w:rPr>
        <w:t xml:space="preserve"> se elaboraron una serie de materiales educativos sobre el respeto por el derecho de autor destinados a alumnos de entre 10 y 15 años,</w:t>
      </w:r>
      <w:r w:rsidRPr="00526311">
        <w:rPr>
          <w:rFonts w:cs="Arial"/>
          <w:color w:val="000000"/>
          <w:lang w:val="es-ES"/>
        </w:rPr>
        <w:t xml:space="preserve"> se proporcionó apoyo a </w:t>
      </w:r>
      <w:r>
        <w:rPr>
          <w:rFonts w:cs="Arial"/>
          <w:color w:val="000000"/>
          <w:lang w:val="es-ES"/>
        </w:rPr>
        <w:t>6</w:t>
      </w:r>
      <w:r w:rsidRPr="00526311">
        <w:rPr>
          <w:rFonts w:cs="Arial"/>
          <w:color w:val="000000"/>
          <w:lang w:val="es-ES"/>
        </w:rPr>
        <w:t xml:space="preserve"> </w:t>
      </w:r>
      <w:r w:rsidRPr="00526311">
        <w:rPr>
          <w:rFonts w:cs="Arial"/>
          <w:lang w:val="es-ES"/>
        </w:rPr>
        <w:t xml:space="preserve">Estados miembros </w:t>
      </w:r>
      <w:r w:rsidRPr="00526311">
        <w:rPr>
          <w:rFonts w:cs="Arial"/>
          <w:color w:val="000000"/>
          <w:lang w:val="es-ES"/>
        </w:rPr>
        <w:t xml:space="preserve">en la organización de competencias escolares en torno al </w:t>
      </w:r>
      <w:r>
        <w:rPr>
          <w:rFonts w:cs="Arial"/>
          <w:color w:val="000000"/>
          <w:lang w:val="es-ES"/>
        </w:rPr>
        <w:t>fomento del respeto por la P.I.</w:t>
      </w:r>
      <w:r w:rsidRPr="00526311">
        <w:rPr>
          <w:rFonts w:cs="Arial"/>
          <w:color w:val="000000"/>
          <w:lang w:val="es-ES"/>
        </w:rPr>
        <w:t xml:space="preserve"> y se publicaron </w:t>
      </w:r>
      <w:r>
        <w:rPr>
          <w:rFonts w:cs="Arial"/>
          <w:color w:val="000000"/>
          <w:lang w:val="es-ES"/>
        </w:rPr>
        <w:t xml:space="preserve">un DVD y </w:t>
      </w:r>
      <w:r w:rsidRPr="00526311">
        <w:rPr>
          <w:rFonts w:cs="Arial"/>
          <w:color w:val="000000"/>
          <w:lang w:val="es-ES"/>
        </w:rPr>
        <w:t xml:space="preserve">cuadernos didácticos con el </w:t>
      </w:r>
      <w:r>
        <w:rPr>
          <w:rFonts w:cs="Arial"/>
          <w:color w:val="000000"/>
          <w:lang w:val="es-ES"/>
        </w:rPr>
        <w:t>personaje Póroro, el pingüinito</w:t>
      </w:r>
      <w:r w:rsidRPr="00526311">
        <w:rPr>
          <w:rFonts w:cs="Arial"/>
          <w:lang w:val="es-ES"/>
        </w:rPr>
        <w:t xml:space="preserve">.  </w:t>
      </w:r>
      <w:r>
        <w:rPr>
          <w:rFonts w:cs="Arial"/>
          <w:lang w:val="es-ES"/>
        </w:rPr>
        <w:t>E</w:t>
      </w:r>
      <w:r w:rsidRPr="00526311">
        <w:rPr>
          <w:rFonts w:cs="Arial"/>
          <w:lang w:val="es-ES"/>
        </w:rPr>
        <w:t>n el marco del</w:t>
      </w:r>
      <w:r>
        <w:rPr>
          <w:rFonts w:cs="Arial"/>
          <w:lang w:val="es-ES"/>
        </w:rPr>
        <w:t xml:space="preserve"> programa de Premios de la OMPI</w:t>
      </w:r>
      <w:r w:rsidRPr="00526311">
        <w:rPr>
          <w:rFonts w:cs="Arial"/>
          <w:lang w:val="es-ES"/>
        </w:rPr>
        <w:t xml:space="preserve"> se concedieron </w:t>
      </w:r>
      <w:r>
        <w:rPr>
          <w:rFonts w:cs="Arial"/>
          <w:lang w:val="es-ES"/>
        </w:rPr>
        <w:t>330 p</w:t>
      </w:r>
      <w:r w:rsidRPr="00526311">
        <w:rPr>
          <w:rFonts w:cs="Arial"/>
          <w:lang w:val="es-ES"/>
        </w:rPr>
        <w:t xml:space="preserve">remios </w:t>
      </w:r>
      <w:r w:rsidR="0016546D">
        <w:rPr>
          <w:rFonts w:cs="Arial"/>
          <w:lang w:val="es-ES"/>
        </w:rPr>
        <w:t>y </w:t>
      </w:r>
      <w:r>
        <w:rPr>
          <w:rFonts w:cs="Arial"/>
          <w:lang w:val="es-ES"/>
        </w:rPr>
        <w:t xml:space="preserve">470 certificados </w:t>
      </w:r>
      <w:r w:rsidRPr="00526311">
        <w:rPr>
          <w:rFonts w:cs="Arial"/>
          <w:lang w:val="es-ES"/>
        </w:rPr>
        <w:t>a beneficiarios de </w:t>
      </w:r>
      <w:r>
        <w:rPr>
          <w:rFonts w:cs="Arial"/>
          <w:lang w:val="es-ES"/>
        </w:rPr>
        <w:t>54</w:t>
      </w:r>
      <w:r w:rsidRPr="00526311">
        <w:rPr>
          <w:rFonts w:cs="Arial"/>
          <w:lang w:val="es-ES"/>
        </w:rPr>
        <w:t xml:space="preserve"> Estados miembros </w:t>
      </w:r>
      <w:r w:rsidRPr="00526311">
        <w:rPr>
          <w:rFonts w:cs="Arial"/>
          <w:color w:val="000000"/>
          <w:lang w:val="es-ES"/>
        </w:rPr>
        <w:t xml:space="preserve">para continuar celebrando los logros de inventores, creadores y empresas innovadoras. </w:t>
      </w:r>
      <w:r w:rsidRPr="00526311">
        <w:rPr>
          <w:rFonts w:cs="Arial"/>
          <w:lang w:val="es-ES"/>
        </w:rPr>
        <w:t xml:space="preserve"> </w:t>
      </w:r>
      <w:r w:rsidRPr="00526311">
        <w:rPr>
          <w:rFonts w:cs="Arial"/>
          <w:color w:val="000000"/>
          <w:lang w:val="es-ES"/>
        </w:rPr>
        <w:t xml:space="preserve">Las actividades de sensibilización en el marco de este programa </w:t>
      </w:r>
      <w:r>
        <w:rPr>
          <w:rFonts w:cs="Arial"/>
          <w:color w:val="000000"/>
          <w:lang w:val="es-ES"/>
        </w:rPr>
        <w:t>se diseñaron en respuesta a</w:t>
      </w:r>
      <w:r w:rsidRPr="00526311">
        <w:rPr>
          <w:rFonts w:cs="Arial"/>
          <w:color w:val="000000"/>
          <w:lang w:val="es-ES"/>
        </w:rPr>
        <w:t xml:space="preserve"> la recomendación 3 de la A.D.</w:t>
      </w:r>
    </w:p>
    <w:p w:rsidR="003B33EE" w:rsidRPr="00526311" w:rsidRDefault="003B33EE" w:rsidP="00DC1333">
      <w:pPr>
        <w:jc w:val="both"/>
      </w:pPr>
    </w:p>
    <w:p w:rsidR="003B33EE" w:rsidRPr="00526311" w:rsidRDefault="003B33EE" w:rsidP="00DC1333"/>
    <w:p w:rsidR="003B33EE" w:rsidRPr="00526311" w:rsidRDefault="008F7CBE" w:rsidP="00DC1333">
      <w:pPr>
        <w:ind w:left="2268" w:hanging="2268"/>
        <w:rPr>
          <w:szCs w:val="22"/>
        </w:rPr>
      </w:pPr>
      <w:r w:rsidRPr="008F7CBE">
        <w:rPr>
          <w:sz w:val="20"/>
          <w:szCs w:val="22"/>
        </w:rPr>
        <w:t>DATOS SOBRE EL RENDIMIENTO</w:t>
      </w:r>
    </w:p>
    <w:p w:rsidR="003B33EE" w:rsidRPr="00526311" w:rsidRDefault="003B33EE" w:rsidP="00DC1333">
      <w:pPr>
        <w:jc w:val="both"/>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2391"/>
        <w:gridCol w:w="1547"/>
        <w:gridCol w:w="2391"/>
        <w:gridCol w:w="1129"/>
      </w:tblGrid>
      <w:tr w:rsidR="003B33EE" w:rsidRPr="00526311" w:rsidTr="00DC1333">
        <w:trPr>
          <w:cantSplit/>
          <w:trHeight w:val="427"/>
        </w:trPr>
        <w:tc>
          <w:tcPr>
            <w:tcW w:w="5000" w:type="pct"/>
            <w:gridSpan w:val="5"/>
            <w:tcBorders>
              <w:top w:val="single" w:sz="4" w:space="0" w:color="auto"/>
              <w:bottom w:val="single" w:sz="4" w:space="0" w:color="auto"/>
            </w:tcBorders>
            <w:shd w:val="clear" w:color="auto" w:fill="C6D9F1" w:themeFill="text2" w:themeFillTint="33"/>
            <w:vAlign w:val="center"/>
          </w:tcPr>
          <w:p w:rsidR="003B33EE" w:rsidRPr="00526311" w:rsidRDefault="003B33EE" w:rsidP="00DC1333">
            <w:pPr>
              <w:keepNext/>
              <w:keepLines/>
              <w:ind w:left="2019" w:hanging="2019"/>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I.2 Marcos de P.I. adaptados y equilibrados en el ámbito legislativo, reglamentario y de política</w:t>
            </w:r>
          </w:p>
        </w:tc>
      </w:tr>
      <w:tr w:rsidR="003B33EE" w:rsidRPr="00526311" w:rsidTr="00DC1333">
        <w:trPr>
          <w:cantSplit/>
        </w:trPr>
        <w:tc>
          <w:tcPr>
            <w:tcW w:w="1104" w:type="pct"/>
            <w:tcBorders>
              <w:top w:val="single" w:sz="4" w:space="0" w:color="auto"/>
            </w:tcBorders>
            <w:shd w:val="clear" w:color="auto" w:fill="auto"/>
            <w:vAlign w:val="center"/>
          </w:tcPr>
          <w:p w:rsidR="003B33EE" w:rsidRPr="00526311" w:rsidRDefault="003B33EE" w:rsidP="00DC1333">
            <w:pPr>
              <w:rPr>
                <w:sz w:val="16"/>
                <w:szCs w:val="16"/>
              </w:rPr>
            </w:pPr>
            <w:r w:rsidRPr="00526311">
              <w:rPr>
                <w:b/>
                <w:sz w:val="16"/>
                <w:szCs w:val="16"/>
              </w:rPr>
              <w:t>Indicadores de rendimiento</w:t>
            </w:r>
          </w:p>
        </w:tc>
        <w:tc>
          <w:tcPr>
            <w:tcW w:w="1249" w:type="pct"/>
            <w:tcBorders>
              <w:top w:val="single" w:sz="4" w:space="0" w:color="auto"/>
            </w:tcBorders>
            <w:shd w:val="clear" w:color="auto" w:fill="auto"/>
            <w:vAlign w:val="center"/>
          </w:tcPr>
          <w:p w:rsidR="003B33EE" w:rsidRPr="00526311" w:rsidRDefault="003B33EE" w:rsidP="00DC1333">
            <w:pPr>
              <w:rPr>
                <w:b/>
                <w:bCs/>
                <w:sz w:val="16"/>
                <w:szCs w:val="16"/>
              </w:rPr>
            </w:pPr>
            <w:r w:rsidRPr="00526311">
              <w:rPr>
                <w:b/>
                <w:bCs/>
                <w:sz w:val="16"/>
                <w:szCs w:val="16"/>
              </w:rPr>
              <w:t>Referencia</w:t>
            </w:r>
          </w:p>
        </w:tc>
        <w:tc>
          <w:tcPr>
            <w:tcW w:w="808" w:type="pct"/>
            <w:tcBorders>
              <w:top w:val="single" w:sz="4" w:space="0" w:color="auto"/>
            </w:tcBorders>
            <w:shd w:val="clear" w:color="auto" w:fill="auto"/>
            <w:tcMar>
              <w:top w:w="110" w:type="dxa"/>
            </w:tcMar>
            <w:vAlign w:val="center"/>
          </w:tcPr>
          <w:p w:rsidR="003B33EE" w:rsidRPr="00526311" w:rsidRDefault="003B33EE" w:rsidP="00DC1333">
            <w:pPr>
              <w:rPr>
                <w:b/>
                <w:sz w:val="16"/>
                <w:szCs w:val="16"/>
              </w:rPr>
            </w:pPr>
            <w:r w:rsidRPr="00526311">
              <w:rPr>
                <w:b/>
                <w:sz w:val="16"/>
                <w:szCs w:val="16"/>
              </w:rPr>
              <w:t>Objetivos</w:t>
            </w:r>
          </w:p>
        </w:tc>
        <w:tc>
          <w:tcPr>
            <w:tcW w:w="1248" w:type="pct"/>
            <w:tcBorders>
              <w:top w:val="single" w:sz="4" w:space="0" w:color="auto"/>
            </w:tcBorders>
            <w:shd w:val="clear" w:color="auto" w:fill="FFFFFF"/>
            <w:tcMar>
              <w:top w:w="110" w:type="dxa"/>
            </w:tcMar>
            <w:vAlign w:val="center"/>
          </w:tcPr>
          <w:p w:rsidR="003B33EE" w:rsidRPr="00526311" w:rsidRDefault="003B33EE" w:rsidP="00DC1333">
            <w:pPr>
              <w:rPr>
                <w:sz w:val="16"/>
                <w:szCs w:val="16"/>
              </w:rPr>
            </w:pPr>
            <w:r w:rsidRPr="00526311">
              <w:rPr>
                <w:b/>
                <w:sz w:val="16"/>
                <w:szCs w:val="16"/>
              </w:rPr>
              <w:t>Datos sobre el rendimiento</w:t>
            </w:r>
          </w:p>
        </w:tc>
        <w:tc>
          <w:tcPr>
            <w:tcW w:w="591" w:type="pct"/>
            <w:tcBorders>
              <w:top w:val="single" w:sz="4" w:space="0" w:color="auto"/>
            </w:tcBorders>
            <w:shd w:val="clear" w:color="auto" w:fill="auto"/>
            <w:tcMar>
              <w:top w:w="110" w:type="dxa"/>
            </w:tcMar>
            <w:vAlign w:val="center"/>
          </w:tcPr>
          <w:p w:rsidR="003B33EE" w:rsidRPr="00526311" w:rsidRDefault="003B33EE" w:rsidP="00DC1333">
            <w:pPr>
              <w:keepNext/>
              <w:keepLines/>
              <w:ind w:left="-109"/>
              <w:jc w:val="center"/>
              <w:rPr>
                <w:b/>
                <w:bCs/>
                <w:sz w:val="16"/>
                <w:szCs w:val="16"/>
              </w:rPr>
            </w:pPr>
            <w:r w:rsidRPr="00526311">
              <w:rPr>
                <w:b/>
                <w:bCs/>
                <w:sz w:val="16"/>
                <w:szCs w:val="16"/>
              </w:rPr>
              <w:t>Clave de colores</w:t>
            </w:r>
          </w:p>
        </w:tc>
      </w:tr>
      <w:tr w:rsidR="003B33EE" w:rsidRPr="00526311" w:rsidTr="00DC1333">
        <w:trPr>
          <w:cantSplit/>
        </w:trPr>
        <w:tc>
          <w:tcPr>
            <w:tcW w:w="1104" w:type="pct"/>
            <w:tcBorders>
              <w:bottom w:val="single" w:sz="4" w:space="0" w:color="auto"/>
            </w:tcBorders>
            <w:shd w:val="clear" w:color="auto" w:fill="auto"/>
          </w:tcPr>
          <w:p w:rsidR="003B33EE" w:rsidRPr="00526311" w:rsidRDefault="003B33EE" w:rsidP="00DC1333">
            <w:pPr>
              <w:rPr>
                <w:sz w:val="16"/>
                <w:szCs w:val="16"/>
              </w:rPr>
            </w:pPr>
            <w:r w:rsidRPr="00526311">
              <w:rPr>
                <w:sz w:val="16"/>
                <w:szCs w:val="16"/>
              </w:rPr>
              <w:t>Número de países que han aprobado o modificado los marcos pertinentes (o lo están haciendo actualmente) tras recibir asistencia de la OMPI.</w:t>
            </w:r>
          </w:p>
          <w:p w:rsidR="003B33EE" w:rsidRPr="00526311" w:rsidRDefault="003B33EE" w:rsidP="00DC1333">
            <w:pPr>
              <w:rPr>
                <w:sz w:val="16"/>
                <w:szCs w:val="16"/>
              </w:rPr>
            </w:pPr>
          </w:p>
        </w:tc>
        <w:tc>
          <w:tcPr>
            <w:tcW w:w="1249" w:type="pct"/>
            <w:tcBorders>
              <w:bottom w:val="single" w:sz="4" w:space="0" w:color="auto"/>
            </w:tcBorders>
            <w:shd w:val="clear" w:color="auto" w:fill="auto"/>
          </w:tcPr>
          <w:p w:rsidR="003B33EE" w:rsidRPr="00526311" w:rsidRDefault="003B33EE" w:rsidP="00DC1333">
            <w:pPr>
              <w:rPr>
                <w:i/>
                <w:color w:val="002060"/>
                <w:sz w:val="16"/>
                <w:szCs w:val="16"/>
              </w:rPr>
            </w:pPr>
            <w:r w:rsidRPr="00526311">
              <w:rPr>
                <w:i/>
                <w:color w:val="002060"/>
                <w:sz w:val="16"/>
                <w:szCs w:val="16"/>
              </w:rPr>
              <w:t xml:space="preserve">Referencia actualizada a fines de 2013:  </w:t>
            </w:r>
          </w:p>
          <w:p w:rsidR="003B33EE" w:rsidRPr="00526311" w:rsidRDefault="003B33EE" w:rsidP="00DC1333">
            <w:pPr>
              <w:rPr>
                <w:color w:val="002060"/>
                <w:sz w:val="16"/>
                <w:szCs w:val="16"/>
                <w:lang w:eastAsia="ko-KR" w:bidi="th-TH"/>
              </w:rPr>
            </w:pPr>
            <w:r w:rsidRPr="00526311">
              <w:rPr>
                <w:color w:val="002060"/>
                <w:sz w:val="16"/>
                <w:szCs w:val="16"/>
                <w:lang w:eastAsia="ko-KR" w:bidi="th-TH"/>
              </w:rPr>
              <w:t xml:space="preserve">9 países/organizaciones en proceso de modificar o aprobar los marcos pertinentes en aras de una observancia de P.I. efectiva: </w:t>
            </w:r>
            <w:r>
              <w:rPr>
                <w:color w:val="002060"/>
                <w:sz w:val="16"/>
                <w:szCs w:val="16"/>
                <w:lang w:eastAsia="ko-KR" w:bidi="th-TH"/>
              </w:rPr>
              <w:t xml:space="preserve"> </w:t>
            </w:r>
            <w:r w:rsidRPr="00526311">
              <w:rPr>
                <w:color w:val="002060"/>
                <w:sz w:val="16"/>
                <w:szCs w:val="16"/>
                <w:lang w:eastAsia="ko-KR" w:bidi="th-TH"/>
              </w:rPr>
              <w:t xml:space="preserve">África (5), Asia y el Pacífico (2), América Latina y el Caribe (2) </w:t>
            </w:r>
          </w:p>
          <w:p w:rsidR="003B33EE" w:rsidRPr="00526311" w:rsidRDefault="003B33EE" w:rsidP="00DC1333">
            <w:pPr>
              <w:rPr>
                <w:i/>
                <w:sz w:val="8"/>
                <w:szCs w:val="8"/>
              </w:rPr>
            </w:pPr>
          </w:p>
          <w:p w:rsidR="003B33EE" w:rsidRPr="00526311" w:rsidRDefault="003B33EE" w:rsidP="00DC1333">
            <w:pPr>
              <w:rPr>
                <w:sz w:val="16"/>
                <w:szCs w:val="16"/>
                <w:lang w:bidi="th-TH"/>
              </w:rPr>
            </w:pPr>
            <w:r w:rsidRPr="00526311">
              <w:rPr>
                <w:i/>
                <w:color w:val="000000"/>
                <w:sz w:val="16"/>
                <w:szCs w:val="16"/>
                <w:lang w:bidi="th-TH"/>
              </w:rPr>
              <w:t>Referencia original en el presupuesto de 2014/15</w:t>
            </w:r>
            <w:r w:rsidRPr="00526311">
              <w:rPr>
                <w:i/>
                <w:color w:val="800080"/>
                <w:sz w:val="16"/>
                <w:szCs w:val="16"/>
                <w:lang w:bidi="th-TH"/>
              </w:rPr>
              <w:t xml:space="preserve">: </w:t>
            </w:r>
            <w:r w:rsidRPr="00526311">
              <w:rPr>
                <w:sz w:val="16"/>
                <w:szCs w:val="16"/>
                <w:lang w:bidi="th-TH"/>
              </w:rPr>
              <w:t>por determinar</w:t>
            </w:r>
            <w:r w:rsidRPr="00526311">
              <w:rPr>
                <w:color w:val="800080"/>
                <w:sz w:val="16"/>
                <w:szCs w:val="16"/>
                <w:lang w:bidi="th-TH"/>
              </w:rPr>
              <w:t>.</w:t>
            </w:r>
          </w:p>
          <w:p w:rsidR="003B33EE" w:rsidRPr="00526311" w:rsidRDefault="003B33EE" w:rsidP="00DC1333">
            <w:pPr>
              <w:rPr>
                <w:sz w:val="16"/>
                <w:szCs w:val="16"/>
              </w:rPr>
            </w:pPr>
          </w:p>
        </w:tc>
        <w:tc>
          <w:tcPr>
            <w:tcW w:w="808" w:type="pct"/>
            <w:tcBorders>
              <w:bottom w:val="single" w:sz="4" w:space="0" w:color="auto"/>
            </w:tcBorders>
            <w:shd w:val="clear" w:color="auto" w:fill="auto"/>
            <w:tcMar>
              <w:top w:w="110" w:type="dxa"/>
            </w:tcMar>
          </w:tcPr>
          <w:p w:rsidR="003B33EE" w:rsidRPr="00526311" w:rsidRDefault="003B33EE" w:rsidP="00DC1333">
            <w:pPr>
              <w:rPr>
                <w:i/>
                <w:color w:val="808080"/>
                <w:sz w:val="16"/>
                <w:szCs w:val="16"/>
              </w:rPr>
            </w:pPr>
            <w:r w:rsidRPr="00526311">
              <w:rPr>
                <w:sz w:val="16"/>
                <w:szCs w:val="16"/>
              </w:rPr>
              <w:t>6</w:t>
            </w:r>
            <w:r w:rsidRPr="00526311" w:rsidDel="0069614F">
              <w:rPr>
                <w:color w:val="808080"/>
                <w:sz w:val="16"/>
                <w:szCs w:val="16"/>
                <w:lang w:bidi="th-TH"/>
              </w:rPr>
              <w:t xml:space="preserve"> </w:t>
            </w:r>
          </w:p>
        </w:tc>
        <w:tc>
          <w:tcPr>
            <w:tcW w:w="1248" w:type="pct"/>
            <w:tcBorders>
              <w:bottom w:val="single" w:sz="4" w:space="0" w:color="auto"/>
            </w:tcBorders>
            <w:shd w:val="clear" w:color="auto" w:fill="FFFFFF"/>
            <w:tcMar>
              <w:top w:w="110" w:type="dxa"/>
            </w:tcMar>
          </w:tcPr>
          <w:p w:rsidR="003B33EE" w:rsidRPr="00526311" w:rsidRDefault="003B33EE" w:rsidP="00DC1333">
            <w:pPr>
              <w:rPr>
                <w:sz w:val="16"/>
                <w:szCs w:val="16"/>
                <w:lang w:bidi="th-TH"/>
              </w:rPr>
            </w:pPr>
            <w:r>
              <w:rPr>
                <w:color w:val="000000"/>
                <w:sz w:val="16"/>
                <w:szCs w:val="16"/>
                <w:lang w:bidi="th-TH"/>
              </w:rPr>
              <w:t>Otros 12</w:t>
            </w:r>
            <w:r w:rsidRPr="00526311">
              <w:rPr>
                <w:color w:val="000000"/>
                <w:sz w:val="16"/>
                <w:szCs w:val="16"/>
                <w:lang w:bidi="th-TH"/>
              </w:rPr>
              <w:t xml:space="preserve"> países/organizaciones </w:t>
            </w:r>
            <w:r>
              <w:rPr>
                <w:color w:val="000000"/>
                <w:sz w:val="16"/>
                <w:szCs w:val="16"/>
                <w:lang w:bidi="th-TH"/>
              </w:rPr>
              <w:t xml:space="preserve">han aprobado o modificado o se encuentran </w:t>
            </w:r>
            <w:r w:rsidRPr="00526311">
              <w:rPr>
                <w:color w:val="000000"/>
                <w:sz w:val="16"/>
                <w:szCs w:val="16"/>
                <w:lang w:bidi="th-TH"/>
              </w:rPr>
              <w:t>en proceso de modificar o aprobar los marcos pertinentes en aras de una observancia de P.I. efectiva</w:t>
            </w:r>
            <w:proofErr w:type="gramStart"/>
            <w:r w:rsidRPr="00526311">
              <w:rPr>
                <w:color w:val="000000"/>
                <w:sz w:val="16"/>
                <w:szCs w:val="16"/>
                <w:lang w:bidi="th-TH"/>
              </w:rPr>
              <w:t xml:space="preserve">: </w:t>
            </w:r>
            <w:r>
              <w:rPr>
                <w:color w:val="000000"/>
                <w:sz w:val="16"/>
                <w:szCs w:val="16"/>
                <w:lang w:bidi="th-TH"/>
              </w:rPr>
              <w:t xml:space="preserve"> </w:t>
            </w:r>
            <w:r w:rsidRPr="00526311">
              <w:rPr>
                <w:color w:val="000000"/>
                <w:sz w:val="16"/>
                <w:szCs w:val="16"/>
                <w:lang w:bidi="th-TH"/>
              </w:rPr>
              <w:t>Á</w:t>
            </w:r>
            <w:r>
              <w:rPr>
                <w:color w:val="000000"/>
                <w:sz w:val="16"/>
                <w:szCs w:val="16"/>
                <w:lang w:bidi="th-TH"/>
              </w:rPr>
              <w:t>frica</w:t>
            </w:r>
            <w:proofErr w:type="gramEnd"/>
            <w:r>
              <w:rPr>
                <w:color w:val="000000"/>
                <w:sz w:val="16"/>
                <w:szCs w:val="16"/>
                <w:lang w:bidi="th-TH"/>
              </w:rPr>
              <w:t xml:space="preserve"> (4), Asia y el Pacífico (5), América Latina y el Caribe (3).</w:t>
            </w:r>
          </w:p>
          <w:p w:rsidR="003B33EE" w:rsidRPr="00526311" w:rsidRDefault="003B33EE" w:rsidP="00DC1333">
            <w:pPr>
              <w:rPr>
                <w:sz w:val="16"/>
                <w:szCs w:val="16"/>
              </w:rPr>
            </w:pPr>
            <w:r>
              <w:rPr>
                <w:sz w:val="16"/>
                <w:szCs w:val="16"/>
              </w:rPr>
              <w:t xml:space="preserve">(21 </w:t>
            </w:r>
            <w:r w:rsidRPr="00526311">
              <w:rPr>
                <w:sz w:val="16"/>
                <w:szCs w:val="16"/>
              </w:rPr>
              <w:t>en total).</w:t>
            </w:r>
          </w:p>
        </w:tc>
        <w:tc>
          <w:tcPr>
            <w:tcW w:w="591" w:type="pct"/>
            <w:tcBorders>
              <w:bottom w:val="single" w:sz="4" w:space="0" w:color="auto"/>
            </w:tcBorders>
            <w:shd w:val="clear" w:color="auto" w:fill="auto"/>
            <w:tcMar>
              <w:top w:w="110" w:type="dxa"/>
            </w:tcMar>
          </w:tcPr>
          <w:p w:rsidR="003B33EE" w:rsidRPr="00526311" w:rsidRDefault="003B33EE" w:rsidP="00DC1333">
            <w:pPr>
              <w:keepNext/>
              <w:keepLines/>
              <w:ind w:right="-107"/>
              <w:jc w:val="center"/>
              <w:rPr>
                <w:b/>
                <w:bCs/>
                <w:color w:val="808080"/>
                <w:sz w:val="16"/>
                <w:szCs w:val="16"/>
              </w:rPr>
            </w:pPr>
            <w:r>
              <w:rPr>
                <w:b/>
                <w:bCs/>
                <w:color w:val="00B050"/>
                <w:sz w:val="16"/>
                <w:szCs w:val="16"/>
              </w:rPr>
              <w:t>Plenamente logrado</w:t>
            </w:r>
          </w:p>
        </w:tc>
      </w:tr>
      <w:tr w:rsidR="003B33EE" w:rsidRPr="00526311" w:rsidTr="00DC1333">
        <w:trPr>
          <w:cantSplit/>
          <w:trHeight w:val="745"/>
        </w:trPr>
        <w:tc>
          <w:tcPr>
            <w:tcW w:w="5000" w:type="pct"/>
            <w:gridSpan w:val="5"/>
            <w:tcBorders>
              <w:top w:val="single" w:sz="4" w:space="0" w:color="auto"/>
              <w:bottom w:val="single" w:sz="4" w:space="0" w:color="auto"/>
            </w:tcBorders>
            <w:shd w:val="clear" w:color="auto" w:fill="C6D9F1" w:themeFill="text2" w:themeFillTint="33"/>
            <w:vAlign w:val="center"/>
          </w:tcPr>
          <w:p w:rsidR="003B33EE" w:rsidRPr="00526311" w:rsidRDefault="003B33EE" w:rsidP="00DC1333">
            <w:pPr>
              <w:keepNext/>
              <w:keepLines/>
              <w:ind w:left="2019" w:hanging="2019"/>
              <w:rPr>
                <w:b/>
                <w:bCs/>
                <w:sz w:val="16"/>
                <w:szCs w:val="16"/>
              </w:rPr>
            </w:pPr>
            <w:r w:rsidRPr="00526311">
              <w:rPr>
                <w:b/>
                <w:bCs/>
                <w:sz w:val="16"/>
                <w:szCs w:val="16"/>
              </w:rPr>
              <w:t>Resultado previsto</w:t>
            </w:r>
            <w:r w:rsidRPr="00526311">
              <w:rPr>
                <w:bCs/>
                <w:sz w:val="16"/>
                <w:szCs w:val="16"/>
              </w:rPr>
              <w:t>:</w:t>
            </w:r>
            <w:r w:rsidRPr="00526311">
              <w:rPr>
                <w:b/>
                <w:bCs/>
                <w:sz w:val="16"/>
                <w:szCs w:val="16"/>
              </w:rPr>
              <w:tab/>
            </w:r>
            <w:r w:rsidRPr="0052631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B33EE" w:rsidRPr="00526311" w:rsidTr="00DC1333">
        <w:trPr>
          <w:cantSplit/>
        </w:trPr>
        <w:tc>
          <w:tcPr>
            <w:tcW w:w="1104" w:type="pct"/>
            <w:tcBorders>
              <w:top w:val="single" w:sz="4" w:space="0" w:color="auto"/>
              <w:left w:val="single" w:sz="4" w:space="0" w:color="auto"/>
              <w:bottom w:val="nil"/>
            </w:tcBorders>
            <w:shd w:val="clear" w:color="auto" w:fill="auto"/>
            <w:vAlign w:val="center"/>
          </w:tcPr>
          <w:p w:rsidR="003B33EE" w:rsidRPr="00526311" w:rsidRDefault="003B33EE" w:rsidP="00DC1333">
            <w:pPr>
              <w:rPr>
                <w:sz w:val="16"/>
                <w:szCs w:val="16"/>
              </w:rPr>
            </w:pPr>
            <w:r w:rsidRPr="00526311">
              <w:rPr>
                <w:b/>
                <w:sz w:val="16"/>
                <w:szCs w:val="16"/>
              </w:rPr>
              <w:t>Indicadores de rendimiento</w:t>
            </w:r>
          </w:p>
        </w:tc>
        <w:tc>
          <w:tcPr>
            <w:tcW w:w="1249" w:type="pct"/>
            <w:tcBorders>
              <w:top w:val="single" w:sz="4" w:space="0" w:color="auto"/>
              <w:bottom w:val="nil"/>
            </w:tcBorders>
            <w:shd w:val="clear" w:color="auto" w:fill="auto"/>
            <w:vAlign w:val="center"/>
          </w:tcPr>
          <w:p w:rsidR="003B33EE" w:rsidRPr="00526311" w:rsidRDefault="003B33EE" w:rsidP="00DC1333">
            <w:pPr>
              <w:rPr>
                <w:b/>
                <w:bCs/>
                <w:sz w:val="16"/>
                <w:szCs w:val="16"/>
              </w:rPr>
            </w:pPr>
            <w:r w:rsidRPr="00526311">
              <w:rPr>
                <w:b/>
                <w:bCs/>
                <w:sz w:val="16"/>
                <w:szCs w:val="16"/>
              </w:rPr>
              <w:t>Referencia</w:t>
            </w:r>
          </w:p>
        </w:tc>
        <w:tc>
          <w:tcPr>
            <w:tcW w:w="808" w:type="pct"/>
            <w:tcBorders>
              <w:top w:val="single" w:sz="4" w:space="0" w:color="auto"/>
              <w:bottom w:val="nil"/>
            </w:tcBorders>
            <w:shd w:val="clear" w:color="auto" w:fill="auto"/>
            <w:tcMar>
              <w:top w:w="110" w:type="dxa"/>
            </w:tcMar>
            <w:vAlign w:val="center"/>
          </w:tcPr>
          <w:p w:rsidR="003B33EE" w:rsidRPr="00526311" w:rsidRDefault="003B33EE" w:rsidP="00DC1333">
            <w:pPr>
              <w:rPr>
                <w:b/>
                <w:sz w:val="16"/>
                <w:szCs w:val="16"/>
              </w:rPr>
            </w:pPr>
            <w:r w:rsidRPr="00526311">
              <w:rPr>
                <w:b/>
                <w:sz w:val="16"/>
                <w:szCs w:val="16"/>
              </w:rPr>
              <w:t>Objetivos</w:t>
            </w:r>
          </w:p>
        </w:tc>
        <w:tc>
          <w:tcPr>
            <w:tcW w:w="1248" w:type="pct"/>
            <w:tcBorders>
              <w:top w:val="single" w:sz="4" w:space="0" w:color="auto"/>
              <w:bottom w:val="nil"/>
            </w:tcBorders>
            <w:shd w:val="clear" w:color="auto" w:fill="FFFFFF"/>
            <w:tcMar>
              <w:top w:w="110" w:type="dxa"/>
            </w:tcMar>
            <w:vAlign w:val="center"/>
          </w:tcPr>
          <w:p w:rsidR="003B33EE" w:rsidRPr="00526311" w:rsidRDefault="003B33EE" w:rsidP="00DC1333">
            <w:pPr>
              <w:rPr>
                <w:sz w:val="16"/>
                <w:szCs w:val="16"/>
              </w:rPr>
            </w:pPr>
            <w:r w:rsidRPr="00526311">
              <w:rPr>
                <w:b/>
                <w:sz w:val="16"/>
                <w:szCs w:val="16"/>
              </w:rPr>
              <w:t>Datos sobre el rendimiento</w:t>
            </w:r>
          </w:p>
        </w:tc>
        <w:tc>
          <w:tcPr>
            <w:tcW w:w="591" w:type="pct"/>
            <w:tcBorders>
              <w:top w:val="single" w:sz="4" w:space="0" w:color="auto"/>
              <w:bottom w:val="nil"/>
              <w:right w:val="single" w:sz="4" w:space="0" w:color="auto"/>
            </w:tcBorders>
            <w:shd w:val="clear" w:color="auto" w:fill="auto"/>
            <w:tcMar>
              <w:top w:w="110" w:type="dxa"/>
            </w:tcMar>
            <w:vAlign w:val="center"/>
          </w:tcPr>
          <w:p w:rsidR="003B33EE" w:rsidRPr="00526311" w:rsidRDefault="003B33EE" w:rsidP="00DC1333">
            <w:pPr>
              <w:keepNext/>
              <w:keepLines/>
              <w:ind w:left="-109"/>
              <w:jc w:val="center"/>
              <w:rPr>
                <w:b/>
                <w:bCs/>
                <w:sz w:val="16"/>
                <w:szCs w:val="16"/>
              </w:rPr>
            </w:pPr>
            <w:r w:rsidRPr="00526311">
              <w:rPr>
                <w:b/>
                <w:bCs/>
                <w:sz w:val="16"/>
                <w:szCs w:val="16"/>
              </w:rPr>
              <w:t>Clave de colores</w:t>
            </w:r>
          </w:p>
        </w:tc>
      </w:tr>
      <w:tr w:rsidR="003B33EE" w:rsidRPr="00526311" w:rsidTr="00DC1333">
        <w:trPr>
          <w:cantSplit/>
        </w:trPr>
        <w:tc>
          <w:tcPr>
            <w:tcW w:w="1104" w:type="pct"/>
            <w:tcBorders>
              <w:top w:val="nil"/>
              <w:left w:val="single" w:sz="4" w:space="0" w:color="auto"/>
              <w:bottom w:val="nil"/>
            </w:tcBorders>
            <w:shd w:val="clear" w:color="auto" w:fill="auto"/>
          </w:tcPr>
          <w:p w:rsidR="003B33EE" w:rsidRPr="00526311" w:rsidRDefault="003B33EE" w:rsidP="00DC1333">
            <w:pPr>
              <w:rPr>
                <w:sz w:val="16"/>
                <w:szCs w:val="16"/>
              </w:rPr>
            </w:pPr>
            <w:r w:rsidRPr="00526311">
              <w:rPr>
                <w:sz w:val="16"/>
                <w:szCs w:val="16"/>
              </w:rPr>
              <w:t>Porcentaje de participantes que han recibido form</w:t>
            </w:r>
            <w:r>
              <w:rPr>
                <w:sz w:val="16"/>
                <w:szCs w:val="16"/>
              </w:rPr>
              <w:t>ación y que están satisfechos con</w:t>
            </w:r>
            <w:r w:rsidRPr="00526311">
              <w:rPr>
                <w:sz w:val="16"/>
                <w:szCs w:val="16"/>
              </w:rPr>
              <w:t xml:space="preserve"> la utilidad y pertinencia de la formación recibida para su vida profesional.</w:t>
            </w:r>
          </w:p>
        </w:tc>
        <w:tc>
          <w:tcPr>
            <w:tcW w:w="1249" w:type="pct"/>
            <w:tcBorders>
              <w:top w:val="nil"/>
              <w:bottom w:val="nil"/>
            </w:tcBorders>
            <w:shd w:val="clear" w:color="auto" w:fill="auto"/>
          </w:tcPr>
          <w:p w:rsidR="003B33EE" w:rsidRPr="00526311" w:rsidRDefault="003B33EE" w:rsidP="00DC1333">
            <w:pPr>
              <w:rPr>
                <w:color w:val="002060"/>
                <w:sz w:val="16"/>
                <w:szCs w:val="16"/>
                <w:lang w:eastAsia="ko-KR" w:bidi="th-TH"/>
              </w:rPr>
            </w:pPr>
            <w:r w:rsidRPr="00526311">
              <w:rPr>
                <w:i/>
                <w:color w:val="002060"/>
                <w:sz w:val="16"/>
                <w:szCs w:val="16"/>
              </w:rPr>
              <w:t xml:space="preserve">Referencia actualizada a fines de 2013:  </w:t>
            </w:r>
            <w:r w:rsidRPr="00526311">
              <w:rPr>
                <w:color w:val="002060"/>
                <w:sz w:val="16"/>
                <w:szCs w:val="16"/>
                <w:lang w:eastAsia="ko-KR" w:bidi="th-TH"/>
              </w:rPr>
              <w:t>85%</w:t>
            </w:r>
          </w:p>
          <w:p w:rsidR="003B33EE" w:rsidRPr="00526311" w:rsidRDefault="003B33EE" w:rsidP="00DC1333">
            <w:pPr>
              <w:rPr>
                <w:i/>
                <w:sz w:val="8"/>
                <w:szCs w:val="8"/>
              </w:rPr>
            </w:pPr>
          </w:p>
          <w:p w:rsidR="003B33EE" w:rsidRPr="00526311" w:rsidRDefault="003B33EE" w:rsidP="00DC1333">
            <w:pPr>
              <w:rPr>
                <w:sz w:val="16"/>
                <w:szCs w:val="16"/>
                <w:lang w:bidi="th-TH"/>
              </w:rPr>
            </w:pPr>
            <w:r w:rsidRPr="00526311">
              <w:rPr>
                <w:i/>
                <w:sz w:val="16"/>
                <w:szCs w:val="16"/>
                <w:lang w:bidi="th-TH"/>
              </w:rPr>
              <w:t xml:space="preserve">Referencia original en el presupuesto de 2014/15:  </w:t>
            </w:r>
            <w:r w:rsidRPr="00526311">
              <w:rPr>
                <w:sz w:val="16"/>
                <w:szCs w:val="16"/>
                <w:lang w:bidi="th-TH"/>
              </w:rPr>
              <w:t>75%</w:t>
            </w:r>
          </w:p>
          <w:p w:rsidR="003B33EE" w:rsidRPr="00526311" w:rsidRDefault="003B33EE" w:rsidP="00DC1333">
            <w:pPr>
              <w:rPr>
                <w:sz w:val="16"/>
                <w:szCs w:val="16"/>
              </w:rPr>
            </w:pPr>
          </w:p>
        </w:tc>
        <w:tc>
          <w:tcPr>
            <w:tcW w:w="808" w:type="pct"/>
            <w:tcBorders>
              <w:top w:val="nil"/>
              <w:bottom w:val="nil"/>
            </w:tcBorders>
            <w:shd w:val="clear" w:color="auto" w:fill="auto"/>
            <w:tcMar>
              <w:top w:w="110" w:type="dxa"/>
            </w:tcMar>
          </w:tcPr>
          <w:p w:rsidR="003B33EE" w:rsidRPr="00526311" w:rsidRDefault="003B33EE" w:rsidP="00DC1333">
            <w:pPr>
              <w:rPr>
                <w:i/>
                <w:sz w:val="16"/>
                <w:szCs w:val="16"/>
              </w:rPr>
            </w:pPr>
            <w:r w:rsidRPr="00526311">
              <w:rPr>
                <w:sz w:val="16"/>
                <w:szCs w:val="16"/>
                <w:lang w:bidi="th-TH"/>
              </w:rPr>
              <w:t>75%</w:t>
            </w:r>
          </w:p>
        </w:tc>
        <w:tc>
          <w:tcPr>
            <w:tcW w:w="1248" w:type="pct"/>
            <w:tcBorders>
              <w:top w:val="nil"/>
              <w:bottom w:val="nil"/>
            </w:tcBorders>
            <w:shd w:val="clear" w:color="auto" w:fill="FFFFFF"/>
            <w:tcMar>
              <w:top w:w="110" w:type="dxa"/>
            </w:tcMar>
          </w:tcPr>
          <w:p w:rsidR="003B33EE" w:rsidRPr="00526311" w:rsidRDefault="003B33EE" w:rsidP="00DC1333">
            <w:pPr>
              <w:pStyle w:val="ListParagraph"/>
              <w:tabs>
                <w:tab w:val="left" w:pos="307"/>
              </w:tabs>
              <w:ind w:left="24"/>
              <w:rPr>
                <w:rFonts w:cs="Arial"/>
                <w:sz w:val="16"/>
                <w:szCs w:val="16"/>
                <w:lang w:val="es-ES" w:bidi="th-TH"/>
              </w:rPr>
            </w:pPr>
            <w:r>
              <w:rPr>
                <w:rFonts w:cs="Arial"/>
                <w:sz w:val="16"/>
                <w:szCs w:val="16"/>
                <w:lang w:val="es-ES" w:bidi="th-TH"/>
              </w:rPr>
              <w:t>Índice medio de utilidad de la formación</w:t>
            </w:r>
            <w:proofErr w:type="gramStart"/>
            <w:r>
              <w:rPr>
                <w:rFonts w:cs="Arial"/>
                <w:sz w:val="16"/>
                <w:szCs w:val="16"/>
                <w:lang w:val="es-ES" w:bidi="th-TH"/>
              </w:rPr>
              <w:t>:  93</w:t>
            </w:r>
            <w:proofErr w:type="gramEnd"/>
            <w:r w:rsidRPr="00526311">
              <w:rPr>
                <w:rFonts w:cs="Arial"/>
                <w:sz w:val="16"/>
                <w:szCs w:val="16"/>
                <w:lang w:val="es-ES" w:bidi="th-TH"/>
              </w:rPr>
              <w:t>%.</w:t>
            </w:r>
          </w:p>
          <w:p w:rsidR="003B33EE" w:rsidRPr="00526311" w:rsidRDefault="003B33EE" w:rsidP="00DC1333">
            <w:pPr>
              <w:pStyle w:val="ListParagraph"/>
              <w:tabs>
                <w:tab w:val="left" w:pos="307"/>
              </w:tabs>
              <w:ind w:left="307" w:hanging="283"/>
              <w:rPr>
                <w:rFonts w:cs="Arial"/>
                <w:sz w:val="16"/>
                <w:szCs w:val="16"/>
                <w:lang w:val="es-ES" w:bidi="th-TH"/>
              </w:rPr>
            </w:pPr>
          </w:p>
          <w:p w:rsidR="003B33EE" w:rsidRPr="00526311" w:rsidRDefault="003B33EE" w:rsidP="00DC1333">
            <w:pPr>
              <w:pStyle w:val="ListParagraph"/>
              <w:tabs>
                <w:tab w:val="left" w:pos="307"/>
              </w:tabs>
              <w:ind w:left="24"/>
              <w:rPr>
                <w:rFonts w:cs="Arial"/>
                <w:sz w:val="16"/>
                <w:szCs w:val="16"/>
                <w:lang w:val="es-ES" w:bidi="th-TH"/>
              </w:rPr>
            </w:pPr>
            <w:r>
              <w:rPr>
                <w:rFonts w:cs="Arial"/>
                <w:sz w:val="16"/>
                <w:szCs w:val="16"/>
                <w:lang w:val="es-ES" w:bidi="th-TH"/>
              </w:rPr>
              <w:t>Índice medio de satisfacción con la formación</w:t>
            </w:r>
            <w:proofErr w:type="gramStart"/>
            <w:r>
              <w:rPr>
                <w:rFonts w:cs="Arial"/>
                <w:sz w:val="16"/>
                <w:szCs w:val="16"/>
                <w:lang w:val="es-ES" w:bidi="th-TH"/>
              </w:rPr>
              <w:t xml:space="preserve">: </w:t>
            </w:r>
            <w:r w:rsidRPr="00526311">
              <w:rPr>
                <w:rFonts w:cs="Arial"/>
                <w:sz w:val="16"/>
                <w:szCs w:val="16"/>
                <w:lang w:val="es-ES" w:bidi="th-TH"/>
              </w:rPr>
              <w:t xml:space="preserve"> 9</w:t>
            </w:r>
            <w:r>
              <w:rPr>
                <w:rFonts w:cs="Arial"/>
                <w:sz w:val="16"/>
                <w:szCs w:val="16"/>
                <w:lang w:val="es-ES" w:bidi="th-TH"/>
              </w:rPr>
              <w:t>2</w:t>
            </w:r>
            <w:proofErr w:type="gramEnd"/>
            <w:r w:rsidRPr="00526311">
              <w:rPr>
                <w:rFonts w:cs="Arial"/>
                <w:sz w:val="16"/>
                <w:szCs w:val="16"/>
                <w:lang w:val="es-ES" w:bidi="th-TH"/>
              </w:rPr>
              <w:t>%</w:t>
            </w:r>
            <w:r>
              <w:rPr>
                <w:rFonts w:cs="Arial"/>
                <w:sz w:val="16"/>
                <w:szCs w:val="16"/>
                <w:lang w:val="es-ES" w:bidi="th-TH"/>
              </w:rPr>
              <w:t>.</w:t>
            </w:r>
          </w:p>
          <w:p w:rsidR="003B33EE" w:rsidRPr="00526311" w:rsidRDefault="003B33EE" w:rsidP="00DC1333">
            <w:pPr>
              <w:rPr>
                <w:sz w:val="16"/>
                <w:szCs w:val="16"/>
              </w:rPr>
            </w:pPr>
          </w:p>
        </w:tc>
        <w:tc>
          <w:tcPr>
            <w:tcW w:w="591" w:type="pct"/>
            <w:tcBorders>
              <w:top w:val="nil"/>
              <w:bottom w:val="nil"/>
              <w:right w:val="single" w:sz="4" w:space="0" w:color="auto"/>
            </w:tcBorders>
            <w:shd w:val="clear" w:color="auto" w:fill="auto"/>
            <w:tcMar>
              <w:top w:w="110" w:type="dxa"/>
            </w:tcMar>
          </w:tcPr>
          <w:p w:rsidR="003B33EE" w:rsidRPr="00526311" w:rsidRDefault="003B33EE" w:rsidP="00DC1333">
            <w:pPr>
              <w:keepNext/>
              <w:keepLines/>
              <w:ind w:right="-107"/>
              <w:jc w:val="center"/>
              <w:rPr>
                <w:bCs/>
                <w:color w:val="00B050"/>
                <w:sz w:val="16"/>
                <w:szCs w:val="16"/>
              </w:rPr>
            </w:pPr>
            <w:r>
              <w:rPr>
                <w:b/>
                <w:bCs/>
                <w:color w:val="00B050"/>
                <w:sz w:val="16"/>
                <w:szCs w:val="16"/>
              </w:rPr>
              <w:t>Plenamente logrado</w:t>
            </w:r>
          </w:p>
        </w:tc>
      </w:tr>
      <w:tr w:rsidR="003B33EE" w:rsidRPr="00526311" w:rsidTr="00DC1333">
        <w:trPr>
          <w:cantSplit/>
        </w:trPr>
        <w:tc>
          <w:tcPr>
            <w:tcW w:w="1104" w:type="pct"/>
            <w:tcBorders>
              <w:top w:val="nil"/>
              <w:left w:val="single" w:sz="4" w:space="0" w:color="auto"/>
              <w:bottom w:val="single" w:sz="4" w:space="0" w:color="auto"/>
            </w:tcBorders>
            <w:shd w:val="clear" w:color="auto" w:fill="auto"/>
          </w:tcPr>
          <w:p w:rsidR="003B33EE" w:rsidRPr="00526311" w:rsidRDefault="003B33EE" w:rsidP="00DC1333">
            <w:pPr>
              <w:rPr>
                <w:sz w:val="16"/>
                <w:szCs w:val="16"/>
                <w:lang w:bidi="th-TH"/>
              </w:rPr>
            </w:pPr>
            <w:r w:rsidRPr="00526311">
              <w:rPr>
                <w:sz w:val="16"/>
                <w:szCs w:val="16"/>
                <w:lang w:bidi="th-TH"/>
              </w:rPr>
              <w:t>Porcentaje de destinatarios que han demostrado conocimientos básicos de un sistema equilibrado de P.I. tras las actividades de la OMPI.</w:t>
            </w:r>
          </w:p>
        </w:tc>
        <w:tc>
          <w:tcPr>
            <w:tcW w:w="1249" w:type="pct"/>
            <w:tcBorders>
              <w:top w:val="nil"/>
              <w:bottom w:val="single" w:sz="4" w:space="0" w:color="auto"/>
            </w:tcBorders>
            <w:shd w:val="clear" w:color="auto" w:fill="auto"/>
          </w:tcPr>
          <w:p w:rsidR="003B33EE" w:rsidRPr="00526311" w:rsidRDefault="003B33EE" w:rsidP="00DC1333">
            <w:pPr>
              <w:rPr>
                <w:i/>
                <w:sz w:val="16"/>
                <w:szCs w:val="16"/>
              </w:rPr>
            </w:pPr>
            <w:r w:rsidRPr="00526311">
              <w:rPr>
                <w:sz w:val="16"/>
                <w:szCs w:val="16"/>
              </w:rPr>
              <w:t>N.d.</w:t>
            </w:r>
          </w:p>
        </w:tc>
        <w:tc>
          <w:tcPr>
            <w:tcW w:w="808" w:type="pct"/>
            <w:tcBorders>
              <w:top w:val="nil"/>
              <w:bottom w:val="single" w:sz="4" w:space="0" w:color="auto"/>
            </w:tcBorders>
            <w:shd w:val="clear" w:color="auto" w:fill="auto"/>
            <w:tcMar>
              <w:top w:w="110" w:type="dxa"/>
            </w:tcMar>
          </w:tcPr>
          <w:p w:rsidR="003B33EE" w:rsidRPr="00526311" w:rsidRDefault="003B33EE" w:rsidP="00DC1333">
            <w:pPr>
              <w:rPr>
                <w:sz w:val="16"/>
                <w:szCs w:val="16"/>
                <w:lang w:bidi="th-TH"/>
              </w:rPr>
            </w:pPr>
            <w:r w:rsidRPr="00526311">
              <w:rPr>
                <w:sz w:val="16"/>
                <w:szCs w:val="16"/>
                <w:lang w:bidi="th-TH"/>
              </w:rPr>
              <w:t>75%</w:t>
            </w:r>
          </w:p>
        </w:tc>
        <w:tc>
          <w:tcPr>
            <w:tcW w:w="1248" w:type="pct"/>
            <w:tcBorders>
              <w:top w:val="nil"/>
              <w:bottom w:val="single" w:sz="4" w:space="0" w:color="auto"/>
            </w:tcBorders>
            <w:shd w:val="clear" w:color="auto" w:fill="FFFFFF"/>
            <w:tcMar>
              <w:top w:w="110" w:type="dxa"/>
            </w:tcMar>
          </w:tcPr>
          <w:p w:rsidR="003B33EE" w:rsidRPr="00526311" w:rsidRDefault="003B33EE" w:rsidP="00DC1333">
            <w:pPr>
              <w:pStyle w:val="ListParagraph"/>
              <w:tabs>
                <w:tab w:val="left" w:pos="307"/>
              </w:tabs>
              <w:ind w:left="24"/>
              <w:rPr>
                <w:rFonts w:cs="Arial"/>
                <w:sz w:val="16"/>
                <w:szCs w:val="16"/>
                <w:lang w:val="es-ES" w:bidi="th-TH"/>
              </w:rPr>
            </w:pPr>
            <w:r w:rsidRPr="00526311">
              <w:rPr>
                <w:rFonts w:cs="Arial"/>
                <w:sz w:val="16"/>
                <w:szCs w:val="16"/>
                <w:lang w:val="es-ES" w:bidi="th-TH"/>
              </w:rPr>
              <w:t>&gt;75%</w:t>
            </w:r>
            <w:r>
              <w:rPr>
                <w:rFonts w:cs="Arial"/>
                <w:sz w:val="16"/>
                <w:szCs w:val="16"/>
                <w:lang w:val="es-ES" w:bidi="th-TH"/>
              </w:rPr>
              <w:t>.  Conocimientos básicos demostrados en competencias escolares en los países participantes.</w:t>
            </w:r>
          </w:p>
        </w:tc>
        <w:tc>
          <w:tcPr>
            <w:tcW w:w="591" w:type="pct"/>
            <w:tcBorders>
              <w:top w:val="nil"/>
              <w:bottom w:val="single" w:sz="4" w:space="0" w:color="auto"/>
              <w:right w:val="single" w:sz="4" w:space="0" w:color="auto"/>
            </w:tcBorders>
            <w:shd w:val="clear" w:color="auto" w:fill="auto"/>
            <w:tcMar>
              <w:top w:w="110" w:type="dxa"/>
            </w:tcMar>
          </w:tcPr>
          <w:p w:rsidR="003B33EE" w:rsidRPr="00526311" w:rsidRDefault="003B33EE" w:rsidP="00DC1333">
            <w:pPr>
              <w:keepNext/>
              <w:keepLines/>
              <w:ind w:right="-107"/>
              <w:jc w:val="center"/>
              <w:rPr>
                <w:b/>
                <w:bCs/>
                <w:color w:val="00B050"/>
                <w:sz w:val="16"/>
                <w:szCs w:val="16"/>
              </w:rPr>
            </w:pPr>
            <w:r>
              <w:rPr>
                <w:b/>
                <w:bCs/>
                <w:color w:val="00B050"/>
                <w:sz w:val="16"/>
                <w:szCs w:val="16"/>
              </w:rPr>
              <w:t>Plenamente logrado</w:t>
            </w:r>
          </w:p>
        </w:tc>
      </w:tr>
      <w:tr w:rsidR="003B33EE" w:rsidRPr="00526311" w:rsidTr="00DC1333">
        <w:trPr>
          <w:cantSplit/>
        </w:trPr>
        <w:tc>
          <w:tcPr>
            <w:tcW w:w="1104" w:type="pct"/>
            <w:tcBorders>
              <w:top w:val="single" w:sz="4" w:space="0" w:color="auto"/>
              <w:left w:val="single" w:sz="4" w:space="0" w:color="auto"/>
              <w:bottom w:val="single" w:sz="4" w:space="0" w:color="auto"/>
            </w:tcBorders>
            <w:shd w:val="clear" w:color="auto" w:fill="auto"/>
          </w:tcPr>
          <w:p w:rsidR="003B33EE" w:rsidRPr="00526311" w:rsidRDefault="003B33EE" w:rsidP="00DC1333">
            <w:pPr>
              <w:rPr>
                <w:sz w:val="16"/>
                <w:szCs w:val="16"/>
                <w:lang w:bidi="th-TH"/>
              </w:rPr>
            </w:pPr>
            <w:r w:rsidRPr="00526311">
              <w:rPr>
                <w:sz w:val="16"/>
                <w:szCs w:val="16"/>
                <w:lang w:bidi="th-TH"/>
              </w:rPr>
              <w:lastRenderedPageBreak/>
              <w:t>Número de países participantes en el programa de Premios de la OMPI.</w:t>
            </w:r>
          </w:p>
        </w:tc>
        <w:tc>
          <w:tcPr>
            <w:tcW w:w="1249" w:type="pct"/>
            <w:tcBorders>
              <w:top w:val="single" w:sz="4" w:space="0" w:color="auto"/>
              <w:bottom w:val="single" w:sz="4" w:space="0" w:color="auto"/>
            </w:tcBorders>
            <w:shd w:val="clear" w:color="auto" w:fill="auto"/>
          </w:tcPr>
          <w:p w:rsidR="003B33EE" w:rsidRPr="00526311" w:rsidRDefault="003B33EE" w:rsidP="00DC1333">
            <w:pPr>
              <w:rPr>
                <w:i/>
                <w:color w:val="002060"/>
                <w:sz w:val="16"/>
                <w:szCs w:val="16"/>
              </w:rPr>
            </w:pPr>
            <w:r w:rsidRPr="00526311">
              <w:rPr>
                <w:i/>
                <w:color w:val="002060"/>
                <w:sz w:val="16"/>
                <w:szCs w:val="16"/>
              </w:rPr>
              <w:t>Referencia actualizada a fines de 2013:  42 en 2013</w:t>
            </w:r>
          </w:p>
          <w:p w:rsidR="003B33EE" w:rsidRPr="00526311" w:rsidRDefault="003B33EE" w:rsidP="00DC1333">
            <w:pPr>
              <w:rPr>
                <w:i/>
                <w:sz w:val="8"/>
                <w:szCs w:val="8"/>
              </w:rPr>
            </w:pPr>
          </w:p>
          <w:p w:rsidR="003B33EE" w:rsidRPr="00526311" w:rsidRDefault="003B33EE" w:rsidP="00DC1333">
            <w:pPr>
              <w:rPr>
                <w:sz w:val="16"/>
                <w:szCs w:val="16"/>
                <w:lang w:bidi="th-TH"/>
              </w:rPr>
            </w:pPr>
            <w:r w:rsidRPr="00526311">
              <w:rPr>
                <w:i/>
                <w:sz w:val="16"/>
                <w:szCs w:val="16"/>
                <w:lang w:bidi="th-TH"/>
              </w:rPr>
              <w:t>Referencia original en el presupuesto de 2014/15</w:t>
            </w:r>
            <w:r w:rsidRPr="00526311">
              <w:rPr>
                <w:i/>
                <w:sz w:val="16"/>
                <w:szCs w:val="16"/>
              </w:rPr>
              <w:t>:</w:t>
            </w:r>
            <w:r w:rsidRPr="00526311">
              <w:rPr>
                <w:sz w:val="16"/>
                <w:szCs w:val="16"/>
              </w:rPr>
              <w:br/>
            </w:r>
            <w:r w:rsidRPr="00526311">
              <w:rPr>
                <w:sz w:val="16"/>
                <w:szCs w:val="16"/>
                <w:lang w:bidi="th-TH"/>
              </w:rPr>
              <w:t>40 por año</w:t>
            </w:r>
          </w:p>
          <w:p w:rsidR="003B33EE" w:rsidRPr="00526311" w:rsidRDefault="003B33EE" w:rsidP="00DC1333">
            <w:pPr>
              <w:rPr>
                <w:i/>
                <w:sz w:val="16"/>
                <w:szCs w:val="16"/>
              </w:rPr>
            </w:pPr>
          </w:p>
        </w:tc>
        <w:tc>
          <w:tcPr>
            <w:tcW w:w="808" w:type="pct"/>
            <w:tcBorders>
              <w:top w:val="single" w:sz="4" w:space="0" w:color="auto"/>
              <w:bottom w:val="single" w:sz="4" w:space="0" w:color="auto"/>
            </w:tcBorders>
            <w:shd w:val="clear" w:color="auto" w:fill="auto"/>
            <w:tcMar>
              <w:top w:w="110" w:type="dxa"/>
            </w:tcMar>
          </w:tcPr>
          <w:p w:rsidR="003B33EE" w:rsidRPr="00526311" w:rsidRDefault="003B33EE" w:rsidP="00DC1333">
            <w:pPr>
              <w:rPr>
                <w:sz w:val="16"/>
                <w:szCs w:val="16"/>
                <w:lang w:bidi="th-TH"/>
              </w:rPr>
            </w:pPr>
            <w:r w:rsidRPr="00526311">
              <w:rPr>
                <w:sz w:val="16"/>
                <w:szCs w:val="16"/>
                <w:lang w:bidi="th-TH"/>
              </w:rPr>
              <w:t>40 por año</w:t>
            </w:r>
          </w:p>
        </w:tc>
        <w:tc>
          <w:tcPr>
            <w:tcW w:w="1248" w:type="pct"/>
            <w:tcBorders>
              <w:top w:val="single" w:sz="4" w:space="0" w:color="auto"/>
              <w:bottom w:val="single" w:sz="4" w:space="0" w:color="auto"/>
            </w:tcBorders>
            <w:shd w:val="clear" w:color="auto" w:fill="FFFFFF"/>
            <w:tcMar>
              <w:top w:w="110" w:type="dxa"/>
            </w:tcMar>
          </w:tcPr>
          <w:p w:rsidR="003B33EE" w:rsidRDefault="003B33EE" w:rsidP="00DC1333">
            <w:pPr>
              <w:pStyle w:val="ListParagraph"/>
              <w:tabs>
                <w:tab w:val="left" w:pos="307"/>
              </w:tabs>
              <w:ind w:left="24"/>
              <w:rPr>
                <w:rFonts w:cs="Arial"/>
                <w:sz w:val="16"/>
                <w:szCs w:val="16"/>
                <w:lang w:val="es-ES" w:bidi="th-TH"/>
              </w:rPr>
            </w:pPr>
            <w:r>
              <w:rPr>
                <w:rFonts w:cs="Arial"/>
                <w:sz w:val="16"/>
                <w:szCs w:val="16"/>
                <w:lang w:val="es-ES" w:bidi="th-TH"/>
              </w:rPr>
              <w:t>En 2014/15 participaron en el programa de Premios de la OMPI 54 países distintos en total:</w:t>
            </w:r>
          </w:p>
          <w:p w:rsidR="003B33EE" w:rsidRDefault="003B33EE" w:rsidP="00DC1333">
            <w:pPr>
              <w:pStyle w:val="ListParagraph"/>
              <w:tabs>
                <w:tab w:val="left" w:pos="307"/>
              </w:tabs>
              <w:ind w:left="24"/>
              <w:rPr>
                <w:rFonts w:cs="Arial"/>
                <w:sz w:val="16"/>
                <w:szCs w:val="16"/>
                <w:lang w:val="es-ES" w:bidi="th-TH"/>
              </w:rPr>
            </w:pPr>
          </w:p>
          <w:p w:rsidR="003B33EE" w:rsidRPr="0024598E" w:rsidRDefault="003B33EE" w:rsidP="003B33EE">
            <w:pPr>
              <w:pStyle w:val="ListParagraph"/>
              <w:numPr>
                <w:ilvl w:val="0"/>
                <w:numId w:val="81"/>
              </w:numPr>
              <w:tabs>
                <w:tab w:val="left" w:pos="307"/>
              </w:tabs>
              <w:rPr>
                <w:rFonts w:cs="Arial"/>
                <w:sz w:val="16"/>
                <w:szCs w:val="16"/>
                <w:lang w:val="es-ES" w:bidi="th-TH"/>
              </w:rPr>
            </w:pPr>
            <w:r w:rsidRPr="0024598E">
              <w:rPr>
                <w:rFonts w:cs="Arial"/>
                <w:sz w:val="16"/>
                <w:szCs w:val="16"/>
                <w:lang w:val="es-ES" w:bidi="th-TH"/>
              </w:rPr>
              <w:t>40</w:t>
            </w:r>
            <w:r>
              <w:rPr>
                <w:rStyle w:val="FootnoteReference"/>
                <w:rFonts w:eastAsia="SimSun"/>
                <w:sz w:val="16"/>
                <w:szCs w:val="16"/>
                <w:lang w:bidi="th-TH"/>
              </w:rPr>
              <w:footnoteReference w:id="98"/>
            </w:r>
            <w:r w:rsidRPr="0024598E">
              <w:rPr>
                <w:rFonts w:cs="Arial"/>
                <w:sz w:val="16"/>
                <w:szCs w:val="16"/>
                <w:lang w:val="es-ES" w:bidi="th-TH"/>
              </w:rPr>
              <w:t xml:space="preserve"> en 2014: </w:t>
            </w:r>
            <w:r>
              <w:rPr>
                <w:rFonts w:cs="Arial"/>
                <w:sz w:val="16"/>
                <w:szCs w:val="16"/>
                <w:lang w:val="es-ES" w:bidi="th-TH"/>
              </w:rPr>
              <w:t xml:space="preserve"> </w:t>
            </w:r>
            <w:r w:rsidRPr="0024598E">
              <w:rPr>
                <w:rFonts w:cs="Arial"/>
                <w:sz w:val="16"/>
                <w:szCs w:val="16"/>
                <w:lang w:val="es-ES" w:bidi="th-TH"/>
              </w:rPr>
              <w:t>África (5);</w:t>
            </w:r>
            <w:r>
              <w:rPr>
                <w:rFonts w:cs="Arial"/>
                <w:sz w:val="16"/>
                <w:szCs w:val="16"/>
                <w:lang w:val="es-ES" w:bidi="th-TH"/>
              </w:rPr>
              <w:t xml:space="preserve"> </w:t>
            </w:r>
            <w:r w:rsidRPr="0024598E">
              <w:rPr>
                <w:rFonts w:cs="Arial"/>
                <w:sz w:val="16"/>
                <w:szCs w:val="16"/>
                <w:lang w:val="es-ES" w:bidi="th-TH"/>
              </w:rPr>
              <w:t xml:space="preserve"> Países árabes (3); </w:t>
            </w:r>
            <w:r>
              <w:rPr>
                <w:rFonts w:cs="Arial"/>
                <w:sz w:val="16"/>
                <w:szCs w:val="16"/>
                <w:lang w:val="es-ES" w:bidi="th-TH"/>
              </w:rPr>
              <w:t xml:space="preserve"> </w:t>
            </w:r>
            <w:r w:rsidRPr="0024598E">
              <w:rPr>
                <w:rFonts w:cs="Arial"/>
                <w:sz w:val="16"/>
                <w:szCs w:val="16"/>
                <w:lang w:val="es-ES" w:bidi="th-TH"/>
              </w:rPr>
              <w:t>Asia y el Pacífic</w:t>
            </w:r>
            <w:r>
              <w:rPr>
                <w:rFonts w:cs="Arial"/>
                <w:sz w:val="16"/>
                <w:szCs w:val="16"/>
                <w:lang w:val="es-ES" w:bidi="th-TH"/>
              </w:rPr>
              <w:t>o</w:t>
            </w:r>
            <w:r w:rsidRPr="0024598E">
              <w:rPr>
                <w:rFonts w:cs="Arial"/>
                <w:sz w:val="16"/>
                <w:szCs w:val="16"/>
                <w:lang w:val="es-ES" w:bidi="th-TH"/>
              </w:rPr>
              <w:t xml:space="preserve"> (10); </w:t>
            </w:r>
            <w:r>
              <w:rPr>
                <w:rFonts w:cs="Arial"/>
                <w:sz w:val="16"/>
                <w:szCs w:val="16"/>
                <w:lang w:val="es-ES" w:bidi="th-TH"/>
              </w:rPr>
              <w:t xml:space="preserve"> </w:t>
            </w:r>
            <w:r w:rsidRPr="00526311">
              <w:rPr>
                <w:sz w:val="16"/>
                <w:szCs w:val="16"/>
                <w:lang w:val="es-ES"/>
              </w:rPr>
              <w:t>Determinad</w:t>
            </w:r>
            <w:r>
              <w:rPr>
                <w:sz w:val="16"/>
                <w:szCs w:val="16"/>
                <w:lang w:val="es-ES"/>
              </w:rPr>
              <w:t>os países de Europa y Asia</w:t>
            </w:r>
            <w:r w:rsidRPr="0024598E">
              <w:rPr>
                <w:rFonts w:cs="Arial"/>
                <w:sz w:val="16"/>
                <w:szCs w:val="16"/>
                <w:lang w:val="es-ES" w:bidi="th-TH"/>
              </w:rPr>
              <w:t xml:space="preserve"> (8); </w:t>
            </w:r>
            <w:r>
              <w:rPr>
                <w:rFonts w:cs="Arial"/>
                <w:sz w:val="16"/>
                <w:szCs w:val="16"/>
                <w:lang w:val="es-ES" w:bidi="th-TH"/>
              </w:rPr>
              <w:t xml:space="preserve"> América Latina y el Caribe</w:t>
            </w:r>
            <w:r w:rsidRPr="0024598E">
              <w:rPr>
                <w:rFonts w:cs="Arial"/>
                <w:sz w:val="16"/>
                <w:szCs w:val="16"/>
                <w:lang w:val="es-ES" w:bidi="th-TH"/>
              </w:rPr>
              <w:t xml:space="preserve"> (7</w:t>
            </w:r>
            <w:r>
              <w:rPr>
                <w:rFonts w:cs="Arial"/>
                <w:sz w:val="16"/>
                <w:szCs w:val="16"/>
                <w:lang w:val="es-ES" w:bidi="th-TH"/>
              </w:rPr>
              <w:t>);  Ot</w:t>
            </w:r>
            <w:r w:rsidRPr="0024598E">
              <w:rPr>
                <w:rFonts w:cs="Arial"/>
                <w:sz w:val="16"/>
                <w:szCs w:val="16"/>
                <w:lang w:val="es-ES" w:bidi="th-TH"/>
              </w:rPr>
              <w:t>r</w:t>
            </w:r>
            <w:r>
              <w:rPr>
                <w:rFonts w:cs="Arial"/>
                <w:sz w:val="16"/>
                <w:szCs w:val="16"/>
                <w:lang w:val="es-ES" w:bidi="th-TH"/>
              </w:rPr>
              <w:t>os</w:t>
            </w:r>
            <w:r w:rsidRPr="0024598E">
              <w:rPr>
                <w:rFonts w:cs="Arial"/>
                <w:sz w:val="16"/>
                <w:szCs w:val="16"/>
                <w:lang w:val="es-ES" w:bidi="th-TH"/>
              </w:rPr>
              <w:t xml:space="preserve"> (7)</w:t>
            </w:r>
          </w:p>
          <w:p w:rsidR="003B33EE" w:rsidRPr="0024598E" w:rsidRDefault="003B33EE" w:rsidP="00DC1333">
            <w:pPr>
              <w:pStyle w:val="ListParagraph"/>
              <w:tabs>
                <w:tab w:val="left" w:pos="307"/>
              </w:tabs>
              <w:ind w:left="384"/>
              <w:rPr>
                <w:rFonts w:cs="Arial"/>
                <w:sz w:val="16"/>
                <w:szCs w:val="16"/>
                <w:lang w:val="es-ES" w:bidi="th-TH"/>
              </w:rPr>
            </w:pPr>
            <w:r w:rsidRPr="0024598E">
              <w:rPr>
                <w:rFonts w:cs="Arial"/>
                <w:sz w:val="16"/>
                <w:szCs w:val="16"/>
                <w:lang w:val="es-ES" w:bidi="th-TH"/>
              </w:rPr>
              <w:t xml:space="preserve"> </w:t>
            </w:r>
          </w:p>
          <w:p w:rsidR="003B33EE" w:rsidRDefault="003B33EE" w:rsidP="003B33EE">
            <w:pPr>
              <w:pStyle w:val="ListParagraph"/>
              <w:numPr>
                <w:ilvl w:val="0"/>
                <w:numId w:val="81"/>
              </w:numPr>
              <w:tabs>
                <w:tab w:val="left" w:pos="307"/>
              </w:tabs>
              <w:rPr>
                <w:rFonts w:cs="Arial"/>
                <w:sz w:val="16"/>
                <w:szCs w:val="16"/>
                <w:lang w:val="es-ES" w:bidi="th-TH"/>
              </w:rPr>
            </w:pPr>
            <w:r w:rsidRPr="0024598E">
              <w:rPr>
                <w:rFonts w:cs="Arial"/>
                <w:sz w:val="16"/>
                <w:szCs w:val="16"/>
                <w:lang w:val="es-ES" w:bidi="th-TH"/>
              </w:rPr>
              <w:t xml:space="preserve">43 en 2015: </w:t>
            </w:r>
            <w:r>
              <w:rPr>
                <w:rFonts w:cs="Arial"/>
                <w:sz w:val="16"/>
                <w:szCs w:val="16"/>
                <w:lang w:val="es-ES" w:bidi="th-TH"/>
              </w:rPr>
              <w:t xml:space="preserve"> </w:t>
            </w:r>
            <w:r w:rsidRPr="0024598E">
              <w:rPr>
                <w:rFonts w:cs="Arial"/>
                <w:sz w:val="16"/>
                <w:szCs w:val="16"/>
                <w:lang w:val="es-ES" w:bidi="th-TH"/>
              </w:rPr>
              <w:t xml:space="preserve">África (1); </w:t>
            </w:r>
            <w:r>
              <w:rPr>
                <w:rFonts w:cs="Arial"/>
                <w:sz w:val="16"/>
                <w:szCs w:val="16"/>
                <w:lang w:val="es-ES" w:bidi="th-TH"/>
              </w:rPr>
              <w:t xml:space="preserve"> </w:t>
            </w:r>
            <w:r w:rsidRPr="0024598E">
              <w:rPr>
                <w:rFonts w:cs="Arial"/>
                <w:sz w:val="16"/>
                <w:szCs w:val="16"/>
                <w:lang w:val="es-ES" w:bidi="th-TH"/>
              </w:rPr>
              <w:t>Países árabes (4);</w:t>
            </w:r>
            <w:r>
              <w:rPr>
                <w:rFonts w:cs="Arial"/>
                <w:sz w:val="16"/>
                <w:szCs w:val="16"/>
                <w:lang w:val="es-ES" w:bidi="th-TH"/>
              </w:rPr>
              <w:t xml:space="preserve"> </w:t>
            </w:r>
            <w:r w:rsidRPr="0024598E">
              <w:rPr>
                <w:rFonts w:cs="Arial"/>
                <w:sz w:val="16"/>
                <w:szCs w:val="16"/>
                <w:lang w:val="es-ES" w:bidi="th-TH"/>
              </w:rPr>
              <w:t xml:space="preserve"> Asia y el Pacífic</w:t>
            </w:r>
            <w:r>
              <w:rPr>
                <w:rFonts w:cs="Arial"/>
                <w:sz w:val="16"/>
                <w:szCs w:val="16"/>
                <w:lang w:val="es-ES" w:bidi="th-TH"/>
              </w:rPr>
              <w:t>o</w:t>
            </w:r>
            <w:r w:rsidRPr="0024598E">
              <w:rPr>
                <w:rFonts w:cs="Arial"/>
                <w:sz w:val="16"/>
                <w:szCs w:val="16"/>
                <w:lang w:val="es-ES" w:bidi="th-TH"/>
              </w:rPr>
              <w:t xml:space="preserve"> (8); </w:t>
            </w:r>
            <w:r>
              <w:rPr>
                <w:rFonts w:cs="Arial"/>
                <w:sz w:val="16"/>
                <w:szCs w:val="16"/>
                <w:lang w:val="es-ES" w:bidi="th-TH"/>
              </w:rPr>
              <w:t xml:space="preserve"> </w:t>
            </w:r>
            <w:r w:rsidRPr="00526311">
              <w:rPr>
                <w:sz w:val="16"/>
                <w:szCs w:val="16"/>
                <w:lang w:val="es-ES"/>
              </w:rPr>
              <w:t>Determinad</w:t>
            </w:r>
            <w:r>
              <w:rPr>
                <w:sz w:val="16"/>
                <w:szCs w:val="16"/>
                <w:lang w:val="es-ES"/>
              </w:rPr>
              <w:t>os países de Europa y Asia</w:t>
            </w:r>
            <w:r w:rsidRPr="0024598E">
              <w:rPr>
                <w:rFonts w:cs="Arial"/>
                <w:sz w:val="16"/>
                <w:szCs w:val="16"/>
                <w:lang w:val="es-ES" w:bidi="th-TH"/>
              </w:rPr>
              <w:t xml:space="preserve"> (15); </w:t>
            </w:r>
            <w:r>
              <w:rPr>
                <w:rFonts w:cs="Arial"/>
                <w:sz w:val="16"/>
                <w:szCs w:val="16"/>
                <w:lang w:val="es-ES" w:bidi="th-TH"/>
              </w:rPr>
              <w:t xml:space="preserve"> América Latina y el Caribe</w:t>
            </w:r>
            <w:r w:rsidRPr="0024598E">
              <w:rPr>
                <w:rFonts w:cs="Arial"/>
                <w:sz w:val="16"/>
                <w:szCs w:val="16"/>
                <w:lang w:val="es-ES" w:bidi="th-TH"/>
              </w:rPr>
              <w:t xml:space="preserve"> (9); </w:t>
            </w:r>
            <w:r>
              <w:rPr>
                <w:rFonts w:cs="Arial"/>
                <w:sz w:val="16"/>
                <w:szCs w:val="16"/>
                <w:lang w:val="es-ES" w:bidi="th-TH"/>
              </w:rPr>
              <w:t xml:space="preserve"> Ot</w:t>
            </w:r>
            <w:r w:rsidRPr="0024598E">
              <w:rPr>
                <w:rFonts w:cs="Arial"/>
                <w:sz w:val="16"/>
                <w:szCs w:val="16"/>
                <w:lang w:val="es-ES" w:bidi="th-TH"/>
              </w:rPr>
              <w:t>r</w:t>
            </w:r>
            <w:r>
              <w:rPr>
                <w:rFonts w:cs="Arial"/>
                <w:sz w:val="16"/>
                <w:szCs w:val="16"/>
                <w:lang w:val="es-ES" w:bidi="th-TH"/>
              </w:rPr>
              <w:t>os</w:t>
            </w:r>
            <w:r w:rsidRPr="0024598E">
              <w:rPr>
                <w:rFonts w:cs="Arial"/>
                <w:sz w:val="16"/>
                <w:szCs w:val="16"/>
                <w:lang w:val="es-ES" w:bidi="th-TH"/>
              </w:rPr>
              <w:t xml:space="preserve"> (6)</w:t>
            </w:r>
          </w:p>
          <w:p w:rsidR="003B33EE" w:rsidRPr="0024598E" w:rsidRDefault="003B33EE" w:rsidP="00DC1333">
            <w:pPr>
              <w:pStyle w:val="ListParagraph"/>
              <w:tabs>
                <w:tab w:val="left" w:pos="307"/>
              </w:tabs>
              <w:ind w:left="384"/>
              <w:rPr>
                <w:rFonts w:cs="Arial"/>
                <w:sz w:val="16"/>
                <w:szCs w:val="16"/>
                <w:lang w:val="es-ES" w:bidi="th-TH"/>
              </w:rPr>
            </w:pPr>
          </w:p>
        </w:tc>
        <w:tc>
          <w:tcPr>
            <w:tcW w:w="591" w:type="pct"/>
            <w:tcBorders>
              <w:top w:val="single" w:sz="4" w:space="0" w:color="auto"/>
              <w:bottom w:val="single" w:sz="4" w:space="0" w:color="auto"/>
              <w:right w:val="single" w:sz="4" w:space="0" w:color="auto"/>
            </w:tcBorders>
            <w:shd w:val="clear" w:color="auto" w:fill="auto"/>
            <w:tcMar>
              <w:top w:w="110" w:type="dxa"/>
            </w:tcMar>
          </w:tcPr>
          <w:p w:rsidR="003B33EE" w:rsidRPr="00526311" w:rsidRDefault="003B33EE" w:rsidP="00DC1333">
            <w:pPr>
              <w:keepNext/>
              <w:keepLines/>
              <w:ind w:right="-107"/>
              <w:jc w:val="center"/>
              <w:rPr>
                <w:b/>
                <w:bCs/>
                <w:color w:val="00B050"/>
                <w:sz w:val="16"/>
                <w:szCs w:val="16"/>
              </w:rPr>
            </w:pPr>
            <w:r>
              <w:rPr>
                <w:b/>
                <w:bCs/>
                <w:color w:val="00B050"/>
                <w:sz w:val="16"/>
                <w:szCs w:val="16"/>
              </w:rPr>
              <w:t>Plenamente logrado</w:t>
            </w:r>
          </w:p>
        </w:tc>
      </w:tr>
      <w:tr w:rsidR="003B33EE" w:rsidRPr="00526311" w:rsidTr="00DC1333">
        <w:trPr>
          <w:cantSplit/>
          <w:trHeight w:val="738"/>
        </w:trPr>
        <w:tc>
          <w:tcPr>
            <w:tcW w:w="5000" w:type="pct"/>
            <w:gridSpan w:val="5"/>
            <w:tcBorders>
              <w:top w:val="single" w:sz="4" w:space="0" w:color="auto"/>
              <w:bottom w:val="single" w:sz="4" w:space="0" w:color="auto"/>
            </w:tcBorders>
            <w:shd w:val="clear" w:color="auto" w:fill="C6D9F1" w:themeFill="text2" w:themeFillTint="33"/>
            <w:vAlign w:val="center"/>
          </w:tcPr>
          <w:p w:rsidR="003B33EE" w:rsidRPr="00526311" w:rsidRDefault="003B33EE" w:rsidP="00DC1333">
            <w:pPr>
              <w:ind w:left="2019" w:hanging="2019"/>
              <w:rPr>
                <w:b/>
                <w:bCs/>
                <w:sz w:val="16"/>
                <w:szCs w:val="16"/>
              </w:rPr>
            </w:pPr>
            <w:r w:rsidRPr="00526311">
              <w:rPr>
                <w:b/>
                <w:bCs/>
                <w:color w:val="000000"/>
                <w:sz w:val="16"/>
                <w:szCs w:val="16"/>
              </w:rPr>
              <w:t>Resultado previsto</w:t>
            </w:r>
            <w:r w:rsidRPr="00526311">
              <w:rPr>
                <w:bCs/>
                <w:color w:val="000000"/>
                <w:sz w:val="16"/>
                <w:szCs w:val="16"/>
              </w:rPr>
              <w:t>:</w:t>
            </w:r>
            <w:r w:rsidRPr="00526311">
              <w:rPr>
                <w:b/>
                <w:bCs/>
                <w:sz w:val="16"/>
                <w:szCs w:val="16"/>
              </w:rPr>
              <w:tab/>
            </w:r>
            <w:r w:rsidRPr="00526311">
              <w:rPr>
                <w:bCs/>
                <w:sz w:val="16"/>
                <w:szCs w:val="16"/>
              </w:rPr>
              <w:t>VI.1 Avances en el diálogo internacional sobre políticas entre los Estados miembros de la OMPI para fomentar el respeto por la P.I. sobre la base de la recomendación 45 de la Agenda de la OMPI para el Desarrollo</w:t>
            </w:r>
          </w:p>
        </w:tc>
      </w:tr>
      <w:tr w:rsidR="003B33EE" w:rsidRPr="00526311" w:rsidTr="00DC1333">
        <w:trPr>
          <w:cantSplit/>
        </w:trPr>
        <w:tc>
          <w:tcPr>
            <w:tcW w:w="1104" w:type="pct"/>
            <w:tcBorders>
              <w:top w:val="single" w:sz="4" w:space="0" w:color="auto"/>
            </w:tcBorders>
            <w:shd w:val="clear" w:color="auto" w:fill="auto"/>
            <w:vAlign w:val="center"/>
          </w:tcPr>
          <w:p w:rsidR="003B33EE" w:rsidRPr="00526311" w:rsidRDefault="003B33EE" w:rsidP="00DC1333">
            <w:pPr>
              <w:rPr>
                <w:sz w:val="16"/>
                <w:szCs w:val="16"/>
              </w:rPr>
            </w:pPr>
            <w:r w:rsidRPr="00526311">
              <w:rPr>
                <w:b/>
                <w:sz w:val="16"/>
                <w:szCs w:val="16"/>
              </w:rPr>
              <w:t>Indicadores de rendimiento</w:t>
            </w:r>
          </w:p>
        </w:tc>
        <w:tc>
          <w:tcPr>
            <w:tcW w:w="1249" w:type="pct"/>
            <w:tcBorders>
              <w:top w:val="single" w:sz="4" w:space="0" w:color="auto"/>
            </w:tcBorders>
            <w:shd w:val="clear" w:color="auto" w:fill="auto"/>
            <w:vAlign w:val="center"/>
          </w:tcPr>
          <w:p w:rsidR="003B33EE" w:rsidRPr="00526311" w:rsidRDefault="003B33EE" w:rsidP="00DC1333">
            <w:pPr>
              <w:rPr>
                <w:b/>
                <w:bCs/>
                <w:sz w:val="16"/>
                <w:szCs w:val="16"/>
              </w:rPr>
            </w:pPr>
            <w:r w:rsidRPr="00526311">
              <w:rPr>
                <w:b/>
                <w:bCs/>
                <w:sz w:val="16"/>
                <w:szCs w:val="16"/>
              </w:rPr>
              <w:t>Referencia</w:t>
            </w:r>
          </w:p>
        </w:tc>
        <w:tc>
          <w:tcPr>
            <w:tcW w:w="808" w:type="pct"/>
            <w:tcBorders>
              <w:top w:val="single" w:sz="4" w:space="0" w:color="auto"/>
            </w:tcBorders>
            <w:shd w:val="clear" w:color="auto" w:fill="auto"/>
            <w:tcMar>
              <w:top w:w="110" w:type="dxa"/>
            </w:tcMar>
            <w:vAlign w:val="center"/>
          </w:tcPr>
          <w:p w:rsidR="003B33EE" w:rsidRPr="00526311" w:rsidRDefault="003B33EE" w:rsidP="00DC1333">
            <w:pPr>
              <w:rPr>
                <w:b/>
                <w:sz w:val="16"/>
                <w:szCs w:val="16"/>
              </w:rPr>
            </w:pPr>
            <w:r w:rsidRPr="00526311">
              <w:rPr>
                <w:b/>
                <w:sz w:val="16"/>
                <w:szCs w:val="16"/>
              </w:rPr>
              <w:t>Objetivos</w:t>
            </w:r>
          </w:p>
        </w:tc>
        <w:tc>
          <w:tcPr>
            <w:tcW w:w="1249" w:type="pct"/>
            <w:tcBorders>
              <w:top w:val="single" w:sz="4" w:space="0" w:color="auto"/>
            </w:tcBorders>
            <w:shd w:val="clear" w:color="auto" w:fill="FFFFFF"/>
            <w:tcMar>
              <w:top w:w="110" w:type="dxa"/>
            </w:tcMar>
            <w:vAlign w:val="center"/>
          </w:tcPr>
          <w:p w:rsidR="003B33EE" w:rsidRPr="00526311" w:rsidRDefault="003B33EE" w:rsidP="00DC1333">
            <w:pPr>
              <w:rPr>
                <w:sz w:val="16"/>
                <w:szCs w:val="16"/>
              </w:rPr>
            </w:pPr>
            <w:r w:rsidRPr="00526311">
              <w:rPr>
                <w:b/>
                <w:sz w:val="16"/>
                <w:szCs w:val="16"/>
              </w:rPr>
              <w:t>Datos sobre el rendimiento</w:t>
            </w:r>
          </w:p>
        </w:tc>
        <w:tc>
          <w:tcPr>
            <w:tcW w:w="590" w:type="pct"/>
            <w:tcBorders>
              <w:top w:val="single" w:sz="4" w:space="0" w:color="auto"/>
            </w:tcBorders>
            <w:shd w:val="clear" w:color="auto" w:fill="auto"/>
            <w:tcMar>
              <w:top w:w="110" w:type="dxa"/>
            </w:tcMar>
            <w:vAlign w:val="center"/>
          </w:tcPr>
          <w:p w:rsidR="003B33EE" w:rsidRPr="00526311" w:rsidRDefault="003B33EE" w:rsidP="00DC1333">
            <w:pPr>
              <w:keepNext/>
              <w:keepLines/>
              <w:ind w:left="-109"/>
              <w:jc w:val="center"/>
              <w:rPr>
                <w:b/>
                <w:bCs/>
                <w:sz w:val="16"/>
                <w:szCs w:val="16"/>
              </w:rPr>
            </w:pPr>
            <w:r w:rsidRPr="00526311">
              <w:rPr>
                <w:b/>
                <w:bCs/>
                <w:sz w:val="16"/>
                <w:szCs w:val="16"/>
              </w:rPr>
              <w:t>Clave de colores</w:t>
            </w:r>
          </w:p>
        </w:tc>
      </w:tr>
      <w:tr w:rsidR="003B33EE" w:rsidRPr="00526311" w:rsidTr="00DC1333">
        <w:trPr>
          <w:cantSplit/>
        </w:trPr>
        <w:tc>
          <w:tcPr>
            <w:tcW w:w="1104" w:type="pct"/>
            <w:tcBorders>
              <w:bottom w:val="single" w:sz="4" w:space="0" w:color="auto"/>
            </w:tcBorders>
            <w:shd w:val="clear" w:color="auto" w:fill="auto"/>
          </w:tcPr>
          <w:p w:rsidR="003B33EE" w:rsidRPr="00526311" w:rsidRDefault="003B33EE" w:rsidP="00DC1333">
            <w:pPr>
              <w:rPr>
                <w:sz w:val="16"/>
                <w:szCs w:val="16"/>
              </w:rPr>
            </w:pPr>
            <w:r w:rsidRPr="00526311">
              <w:rPr>
                <w:sz w:val="16"/>
                <w:szCs w:val="16"/>
              </w:rPr>
              <w:t>Acuerdo constante entre los Estados miembros sobre la labor sustantiva del Comité Asesor de la OMPI sobre Observancia (ACE), al incorporar elementos orientados al desarrollo.</w:t>
            </w:r>
          </w:p>
        </w:tc>
        <w:tc>
          <w:tcPr>
            <w:tcW w:w="1249" w:type="pct"/>
            <w:tcBorders>
              <w:bottom w:val="single" w:sz="4" w:space="0" w:color="auto"/>
            </w:tcBorders>
            <w:shd w:val="clear" w:color="auto" w:fill="auto"/>
          </w:tcPr>
          <w:p w:rsidR="003B33EE" w:rsidRPr="00526311" w:rsidRDefault="003B33EE" w:rsidP="00DC1333">
            <w:pPr>
              <w:rPr>
                <w:i/>
                <w:color w:val="002060"/>
                <w:sz w:val="16"/>
                <w:szCs w:val="16"/>
              </w:rPr>
            </w:pPr>
            <w:r w:rsidRPr="00526311">
              <w:rPr>
                <w:i/>
                <w:color w:val="002060"/>
                <w:sz w:val="16"/>
                <w:szCs w:val="16"/>
              </w:rPr>
              <w:t>Referencia actualizada a fines de 2013</w:t>
            </w:r>
            <w:r w:rsidRPr="00526311">
              <w:rPr>
                <w:color w:val="002060"/>
                <w:sz w:val="16"/>
                <w:szCs w:val="16"/>
              </w:rPr>
              <w:t xml:space="preserve">: </w:t>
            </w:r>
            <w:r>
              <w:rPr>
                <w:color w:val="002060"/>
                <w:sz w:val="16"/>
                <w:szCs w:val="16"/>
              </w:rPr>
              <w:t xml:space="preserve"> </w:t>
            </w:r>
            <w:r w:rsidRPr="00526311">
              <w:rPr>
                <w:color w:val="002060"/>
                <w:sz w:val="16"/>
                <w:szCs w:val="16"/>
              </w:rPr>
              <w:t xml:space="preserve">Acuerdo sobre el programa de trabajo de la </w:t>
            </w:r>
            <w:r>
              <w:rPr>
                <w:color w:val="002060"/>
                <w:sz w:val="16"/>
                <w:szCs w:val="16"/>
              </w:rPr>
              <w:t>novena</w:t>
            </w:r>
            <w:r w:rsidRPr="00526311">
              <w:rPr>
                <w:color w:val="002060"/>
                <w:sz w:val="16"/>
                <w:szCs w:val="16"/>
              </w:rPr>
              <w:t xml:space="preserve"> sesión del ACE </w:t>
            </w:r>
          </w:p>
          <w:p w:rsidR="003B33EE" w:rsidRPr="00526311" w:rsidRDefault="003B33EE" w:rsidP="00DC1333">
            <w:pPr>
              <w:rPr>
                <w:i/>
                <w:sz w:val="8"/>
                <w:szCs w:val="8"/>
              </w:rPr>
            </w:pPr>
          </w:p>
          <w:p w:rsidR="003B33EE" w:rsidRPr="00526311" w:rsidRDefault="003B33EE" w:rsidP="00DC1333">
            <w:pPr>
              <w:rPr>
                <w:sz w:val="16"/>
                <w:szCs w:val="16"/>
                <w:lang w:bidi="th-TH"/>
              </w:rPr>
            </w:pPr>
            <w:r w:rsidRPr="00526311">
              <w:rPr>
                <w:i/>
                <w:color w:val="000000"/>
                <w:sz w:val="16"/>
                <w:szCs w:val="16"/>
                <w:lang w:bidi="th-TH"/>
              </w:rPr>
              <w:t>Referencia original en el presupuesto de 2014/15</w:t>
            </w:r>
            <w:r w:rsidRPr="00526311">
              <w:rPr>
                <w:color w:val="000000"/>
                <w:sz w:val="16"/>
                <w:szCs w:val="16"/>
                <w:lang w:bidi="th-TH"/>
              </w:rPr>
              <w:t>:</w:t>
            </w:r>
            <w:r>
              <w:rPr>
                <w:color w:val="000000"/>
                <w:sz w:val="16"/>
                <w:szCs w:val="16"/>
                <w:lang w:bidi="th-TH"/>
              </w:rPr>
              <w:t xml:space="preserve"> </w:t>
            </w:r>
            <w:r w:rsidRPr="00526311">
              <w:rPr>
                <w:color w:val="000000"/>
                <w:sz w:val="16"/>
                <w:szCs w:val="16"/>
                <w:lang w:bidi="th-TH"/>
              </w:rPr>
              <w:t xml:space="preserve"> Acuerdo sobre el programa de trabajo de la </w:t>
            </w:r>
            <w:r>
              <w:rPr>
                <w:color w:val="000000"/>
                <w:sz w:val="16"/>
                <w:szCs w:val="16"/>
                <w:lang w:bidi="th-TH"/>
              </w:rPr>
              <w:t>octava</w:t>
            </w:r>
            <w:r w:rsidRPr="00526311">
              <w:rPr>
                <w:color w:val="000000"/>
                <w:sz w:val="16"/>
                <w:szCs w:val="16"/>
                <w:lang w:bidi="th-TH"/>
              </w:rPr>
              <w:t xml:space="preserve"> sesión del ACE </w:t>
            </w:r>
          </w:p>
          <w:p w:rsidR="003B33EE" w:rsidRPr="00526311" w:rsidRDefault="003B33EE" w:rsidP="00DC1333">
            <w:pPr>
              <w:rPr>
                <w:sz w:val="16"/>
                <w:szCs w:val="16"/>
              </w:rPr>
            </w:pPr>
          </w:p>
        </w:tc>
        <w:tc>
          <w:tcPr>
            <w:tcW w:w="808" w:type="pct"/>
            <w:tcBorders>
              <w:bottom w:val="single" w:sz="4" w:space="0" w:color="auto"/>
            </w:tcBorders>
            <w:shd w:val="clear" w:color="auto" w:fill="auto"/>
            <w:tcMar>
              <w:top w:w="110" w:type="dxa"/>
            </w:tcMar>
          </w:tcPr>
          <w:p w:rsidR="003B33EE" w:rsidRPr="00526311" w:rsidRDefault="003B33EE" w:rsidP="00DC1333">
            <w:pPr>
              <w:rPr>
                <w:sz w:val="16"/>
                <w:szCs w:val="16"/>
              </w:rPr>
            </w:pPr>
            <w:r w:rsidRPr="00526311">
              <w:rPr>
                <w:sz w:val="16"/>
                <w:szCs w:val="16"/>
              </w:rPr>
              <w:t>Acuerdo sobre el programa de trabajo de la siguiente sesión del ACE</w:t>
            </w:r>
          </w:p>
        </w:tc>
        <w:tc>
          <w:tcPr>
            <w:tcW w:w="1249" w:type="pct"/>
            <w:tcBorders>
              <w:bottom w:val="single" w:sz="4" w:space="0" w:color="auto"/>
            </w:tcBorders>
            <w:shd w:val="clear" w:color="auto" w:fill="FFFFFF"/>
            <w:tcMar>
              <w:top w:w="110" w:type="dxa"/>
            </w:tcMar>
          </w:tcPr>
          <w:p w:rsidR="003B33EE" w:rsidRPr="004F2E40" w:rsidRDefault="003B33EE" w:rsidP="00DC1333">
            <w:pPr>
              <w:pStyle w:val="ListParagraph"/>
              <w:ind w:left="0"/>
              <w:rPr>
                <w:rFonts w:cs="Arial"/>
                <w:sz w:val="16"/>
                <w:szCs w:val="16"/>
                <w:lang w:val="es-ES" w:bidi="th-TH"/>
              </w:rPr>
            </w:pPr>
            <w:r>
              <w:rPr>
                <w:rFonts w:cs="Arial"/>
                <w:color w:val="000000"/>
                <w:sz w:val="16"/>
                <w:szCs w:val="16"/>
                <w:lang w:val="es-ES" w:bidi="th-TH"/>
              </w:rPr>
              <w:t xml:space="preserve">Durante las sesiones novena y décima </w:t>
            </w:r>
            <w:r w:rsidRPr="00526311">
              <w:rPr>
                <w:rFonts w:cs="Arial"/>
                <w:color w:val="000000"/>
                <w:sz w:val="16"/>
                <w:szCs w:val="16"/>
                <w:lang w:val="es-ES" w:bidi="th-TH"/>
              </w:rPr>
              <w:t xml:space="preserve">del ACE </w:t>
            </w:r>
            <w:r>
              <w:rPr>
                <w:rFonts w:cs="Arial"/>
                <w:color w:val="000000"/>
                <w:sz w:val="16"/>
                <w:szCs w:val="16"/>
                <w:lang w:val="es-ES" w:bidi="th-TH"/>
              </w:rPr>
              <w:t>se alcanzó un a</w:t>
            </w:r>
            <w:r w:rsidRPr="00526311">
              <w:rPr>
                <w:rFonts w:cs="Arial"/>
                <w:color w:val="000000"/>
                <w:sz w:val="16"/>
                <w:szCs w:val="16"/>
                <w:lang w:val="es-ES" w:bidi="th-TH"/>
              </w:rPr>
              <w:t xml:space="preserve">cuerdo sobre el programa de trabajo </w:t>
            </w:r>
            <w:r>
              <w:rPr>
                <w:rFonts w:cs="Arial"/>
                <w:sz w:val="16"/>
                <w:szCs w:val="16"/>
                <w:lang w:val="es-ES"/>
              </w:rPr>
              <w:t>(WIPO/ACE/9/29 párr. 44 y</w:t>
            </w:r>
            <w:r w:rsidRPr="004F2E40">
              <w:rPr>
                <w:rFonts w:cs="Arial"/>
                <w:sz w:val="16"/>
                <w:szCs w:val="16"/>
                <w:lang w:val="es-ES"/>
              </w:rPr>
              <w:t xml:space="preserve"> WIPO/ACE/10</w:t>
            </w:r>
            <w:r>
              <w:rPr>
                <w:rFonts w:cs="Arial"/>
                <w:sz w:val="16"/>
                <w:szCs w:val="16"/>
                <w:lang w:val="es-ES"/>
              </w:rPr>
              <w:t>/26 PROV.WIPO/ACE/10/26 PROV. párr.</w:t>
            </w:r>
            <w:r w:rsidRPr="004F2E40">
              <w:rPr>
                <w:rFonts w:cs="Arial"/>
                <w:sz w:val="16"/>
                <w:szCs w:val="16"/>
                <w:lang w:val="es-ES"/>
              </w:rPr>
              <w:t xml:space="preserve"> 40)</w:t>
            </w:r>
          </w:p>
          <w:p w:rsidR="003B33EE" w:rsidRPr="00526311" w:rsidRDefault="003B33EE" w:rsidP="00DC1333">
            <w:pPr>
              <w:pStyle w:val="ListParagraph"/>
              <w:ind w:left="0"/>
              <w:rPr>
                <w:rFonts w:cs="Arial"/>
                <w:sz w:val="16"/>
                <w:szCs w:val="16"/>
                <w:lang w:val="es-ES"/>
              </w:rPr>
            </w:pPr>
          </w:p>
        </w:tc>
        <w:tc>
          <w:tcPr>
            <w:tcW w:w="590" w:type="pct"/>
            <w:tcBorders>
              <w:bottom w:val="single" w:sz="4" w:space="0" w:color="auto"/>
            </w:tcBorders>
            <w:shd w:val="clear" w:color="auto" w:fill="auto"/>
            <w:tcMar>
              <w:top w:w="110" w:type="dxa"/>
            </w:tcMar>
          </w:tcPr>
          <w:p w:rsidR="003B33EE" w:rsidRPr="00526311" w:rsidRDefault="003B33EE" w:rsidP="00DC1333">
            <w:pPr>
              <w:keepNext/>
              <w:keepLines/>
              <w:ind w:right="-107"/>
              <w:jc w:val="center"/>
              <w:rPr>
                <w:bCs/>
                <w:sz w:val="16"/>
                <w:szCs w:val="16"/>
              </w:rPr>
            </w:pPr>
            <w:r>
              <w:rPr>
                <w:b/>
                <w:bCs/>
                <w:color w:val="00B050"/>
                <w:sz w:val="16"/>
                <w:szCs w:val="16"/>
              </w:rPr>
              <w:t>Plenamente logrado</w:t>
            </w:r>
          </w:p>
        </w:tc>
      </w:tr>
      <w:tr w:rsidR="003B33EE" w:rsidRPr="00526311" w:rsidTr="00DC1333">
        <w:trPr>
          <w:cantSplit/>
          <w:trHeight w:val="549"/>
        </w:trPr>
        <w:tc>
          <w:tcPr>
            <w:tcW w:w="5000" w:type="pct"/>
            <w:gridSpan w:val="5"/>
            <w:tcBorders>
              <w:top w:val="single" w:sz="4" w:space="0" w:color="auto"/>
              <w:bottom w:val="single" w:sz="4" w:space="0" w:color="auto"/>
            </w:tcBorders>
            <w:shd w:val="clear" w:color="auto" w:fill="C6D9F1" w:themeFill="text2" w:themeFillTint="33"/>
            <w:vAlign w:val="center"/>
          </w:tcPr>
          <w:p w:rsidR="003B33EE" w:rsidRPr="00526311" w:rsidRDefault="003B33EE" w:rsidP="00DC1333">
            <w:pPr>
              <w:keepNext/>
              <w:keepLines/>
              <w:ind w:left="2019" w:hanging="2019"/>
              <w:rPr>
                <w:b/>
                <w:bCs/>
                <w:sz w:val="16"/>
                <w:szCs w:val="16"/>
              </w:rPr>
            </w:pPr>
            <w:r w:rsidRPr="00526311">
              <w:rPr>
                <w:b/>
                <w:bCs/>
                <w:color w:val="000000"/>
                <w:sz w:val="16"/>
                <w:szCs w:val="16"/>
              </w:rPr>
              <w:t>Resultado previsto</w:t>
            </w:r>
            <w:r w:rsidRPr="00526311">
              <w:rPr>
                <w:bCs/>
                <w:color w:val="000000"/>
                <w:sz w:val="16"/>
                <w:szCs w:val="16"/>
              </w:rPr>
              <w:t>:</w:t>
            </w:r>
            <w:r w:rsidRPr="00526311">
              <w:rPr>
                <w:b/>
                <w:bCs/>
                <w:sz w:val="16"/>
                <w:szCs w:val="16"/>
              </w:rPr>
              <w:tab/>
            </w:r>
            <w:r w:rsidRPr="00526311">
              <w:rPr>
                <w:bCs/>
                <w:sz w:val="16"/>
                <w:szCs w:val="16"/>
              </w:rPr>
              <w:t>VI.2 Cooperación y coordinación sistemáticas, eficaces y transparentes entre la labor de la OMPI y la de otras organizaciones internacionales en el ámbito del fomento del respeto por la P.I.</w:t>
            </w:r>
          </w:p>
        </w:tc>
      </w:tr>
      <w:tr w:rsidR="003B33EE" w:rsidRPr="00526311" w:rsidTr="00DC1333">
        <w:trPr>
          <w:cantSplit/>
        </w:trPr>
        <w:tc>
          <w:tcPr>
            <w:tcW w:w="1104" w:type="pct"/>
            <w:tcBorders>
              <w:top w:val="single" w:sz="4" w:space="0" w:color="auto"/>
            </w:tcBorders>
            <w:shd w:val="clear" w:color="auto" w:fill="auto"/>
            <w:vAlign w:val="center"/>
          </w:tcPr>
          <w:p w:rsidR="003B33EE" w:rsidRPr="00526311" w:rsidRDefault="003B33EE" w:rsidP="00DC1333">
            <w:pPr>
              <w:keepNext/>
              <w:keepLines/>
              <w:rPr>
                <w:sz w:val="16"/>
                <w:szCs w:val="16"/>
              </w:rPr>
            </w:pPr>
            <w:r w:rsidRPr="00526311">
              <w:rPr>
                <w:b/>
                <w:sz w:val="16"/>
                <w:szCs w:val="16"/>
              </w:rPr>
              <w:t>Indicadores de rendimiento</w:t>
            </w:r>
          </w:p>
        </w:tc>
        <w:tc>
          <w:tcPr>
            <w:tcW w:w="1249" w:type="pct"/>
            <w:tcBorders>
              <w:top w:val="single" w:sz="4" w:space="0" w:color="auto"/>
            </w:tcBorders>
            <w:shd w:val="clear" w:color="auto" w:fill="auto"/>
            <w:vAlign w:val="center"/>
          </w:tcPr>
          <w:p w:rsidR="003B33EE" w:rsidRPr="00526311" w:rsidRDefault="003B33EE" w:rsidP="00DC1333">
            <w:pPr>
              <w:keepNext/>
              <w:keepLines/>
              <w:rPr>
                <w:b/>
                <w:bCs/>
                <w:sz w:val="16"/>
                <w:szCs w:val="16"/>
              </w:rPr>
            </w:pPr>
            <w:r w:rsidRPr="00526311">
              <w:rPr>
                <w:b/>
                <w:bCs/>
                <w:sz w:val="16"/>
                <w:szCs w:val="16"/>
              </w:rPr>
              <w:t>Referencia</w:t>
            </w:r>
          </w:p>
        </w:tc>
        <w:tc>
          <w:tcPr>
            <w:tcW w:w="808" w:type="pct"/>
            <w:tcBorders>
              <w:top w:val="single" w:sz="4" w:space="0" w:color="auto"/>
            </w:tcBorders>
            <w:shd w:val="clear" w:color="auto" w:fill="auto"/>
            <w:tcMar>
              <w:top w:w="110" w:type="dxa"/>
            </w:tcMar>
            <w:vAlign w:val="center"/>
          </w:tcPr>
          <w:p w:rsidR="003B33EE" w:rsidRPr="00526311" w:rsidRDefault="003B33EE" w:rsidP="00DC1333">
            <w:pPr>
              <w:keepNext/>
              <w:keepLines/>
              <w:rPr>
                <w:b/>
                <w:sz w:val="16"/>
                <w:szCs w:val="16"/>
              </w:rPr>
            </w:pPr>
            <w:r w:rsidRPr="00526311">
              <w:rPr>
                <w:b/>
                <w:sz w:val="16"/>
                <w:szCs w:val="16"/>
              </w:rPr>
              <w:t>Objetivos</w:t>
            </w:r>
          </w:p>
        </w:tc>
        <w:tc>
          <w:tcPr>
            <w:tcW w:w="1249" w:type="pct"/>
            <w:tcBorders>
              <w:top w:val="single" w:sz="4" w:space="0" w:color="auto"/>
            </w:tcBorders>
            <w:shd w:val="clear" w:color="auto" w:fill="FFFFFF"/>
            <w:tcMar>
              <w:top w:w="110" w:type="dxa"/>
            </w:tcMar>
            <w:vAlign w:val="center"/>
          </w:tcPr>
          <w:p w:rsidR="003B33EE" w:rsidRPr="00526311" w:rsidRDefault="003B33EE" w:rsidP="00DC1333">
            <w:pPr>
              <w:keepNext/>
              <w:keepLines/>
              <w:rPr>
                <w:sz w:val="16"/>
                <w:szCs w:val="16"/>
              </w:rPr>
            </w:pPr>
            <w:r w:rsidRPr="00526311">
              <w:rPr>
                <w:b/>
                <w:sz w:val="16"/>
                <w:szCs w:val="16"/>
              </w:rPr>
              <w:t>Datos sobre el rendimiento</w:t>
            </w:r>
          </w:p>
        </w:tc>
        <w:tc>
          <w:tcPr>
            <w:tcW w:w="590" w:type="pct"/>
            <w:tcBorders>
              <w:top w:val="single" w:sz="4" w:space="0" w:color="auto"/>
            </w:tcBorders>
            <w:shd w:val="clear" w:color="auto" w:fill="auto"/>
            <w:tcMar>
              <w:top w:w="110" w:type="dxa"/>
            </w:tcMar>
            <w:vAlign w:val="center"/>
          </w:tcPr>
          <w:p w:rsidR="003B33EE" w:rsidRPr="00526311" w:rsidRDefault="003B33EE" w:rsidP="00DC1333">
            <w:pPr>
              <w:keepNext/>
              <w:keepLines/>
              <w:ind w:left="-109"/>
              <w:jc w:val="center"/>
              <w:rPr>
                <w:b/>
                <w:bCs/>
                <w:sz w:val="16"/>
                <w:szCs w:val="16"/>
              </w:rPr>
            </w:pPr>
            <w:r w:rsidRPr="00526311">
              <w:rPr>
                <w:b/>
                <w:bCs/>
                <w:sz w:val="16"/>
                <w:szCs w:val="16"/>
              </w:rPr>
              <w:t>Clave de colores</w:t>
            </w:r>
          </w:p>
        </w:tc>
      </w:tr>
      <w:tr w:rsidR="003B33EE" w:rsidRPr="00526311" w:rsidTr="00DC1333">
        <w:trPr>
          <w:cantSplit/>
        </w:trPr>
        <w:tc>
          <w:tcPr>
            <w:tcW w:w="1104" w:type="pct"/>
            <w:shd w:val="clear" w:color="auto" w:fill="auto"/>
          </w:tcPr>
          <w:p w:rsidR="003B33EE" w:rsidRPr="00526311" w:rsidRDefault="003B33EE" w:rsidP="00DC1333">
            <w:pPr>
              <w:keepNext/>
              <w:keepLines/>
              <w:rPr>
                <w:sz w:val="16"/>
                <w:szCs w:val="16"/>
              </w:rPr>
            </w:pPr>
            <w:r w:rsidRPr="00526311">
              <w:rPr>
                <w:color w:val="000000"/>
                <w:sz w:val="16"/>
                <w:szCs w:val="16"/>
              </w:rPr>
              <w:t>Número de actividades conjuntas de fomento del respeto por la P.I.</w:t>
            </w:r>
          </w:p>
        </w:tc>
        <w:tc>
          <w:tcPr>
            <w:tcW w:w="1249" w:type="pct"/>
            <w:shd w:val="clear" w:color="auto" w:fill="auto"/>
          </w:tcPr>
          <w:p w:rsidR="003B33EE" w:rsidRPr="00526311" w:rsidRDefault="003B33EE" w:rsidP="00DC1333">
            <w:pPr>
              <w:keepNext/>
              <w:keepLines/>
              <w:rPr>
                <w:i/>
                <w:color w:val="002060"/>
                <w:sz w:val="16"/>
                <w:szCs w:val="16"/>
              </w:rPr>
            </w:pPr>
            <w:r w:rsidRPr="00526311">
              <w:rPr>
                <w:i/>
                <w:color w:val="002060"/>
                <w:sz w:val="16"/>
                <w:szCs w:val="16"/>
              </w:rPr>
              <w:t xml:space="preserve">Referencia actualizada a fines de 2013:  </w:t>
            </w:r>
            <w:r w:rsidRPr="00526311">
              <w:rPr>
                <w:color w:val="002060"/>
                <w:sz w:val="16"/>
                <w:szCs w:val="16"/>
                <w:lang w:bidi="th-TH"/>
              </w:rPr>
              <w:t>39 en 201</w:t>
            </w:r>
            <w:r>
              <w:rPr>
                <w:color w:val="002060"/>
                <w:sz w:val="16"/>
                <w:szCs w:val="16"/>
                <w:lang w:bidi="th-TH"/>
              </w:rPr>
              <w:t>2/13</w:t>
            </w:r>
          </w:p>
          <w:p w:rsidR="003B33EE" w:rsidRPr="00526311" w:rsidRDefault="003B33EE" w:rsidP="00DC1333">
            <w:pPr>
              <w:keepNext/>
              <w:keepLines/>
              <w:rPr>
                <w:i/>
                <w:sz w:val="16"/>
                <w:szCs w:val="16"/>
              </w:rPr>
            </w:pPr>
          </w:p>
          <w:p w:rsidR="003B33EE" w:rsidRPr="00526311" w:rsidRDefault="003B33EE" w:rsidP="00DC1333">
            <w:pPr>
              <w:keepNext/>
              <w:keepLines/>
              <w:rPr>
                <w:sz w:val="16"/>
                <w:szCs w:val="16"/>
              </w:rPr>
            </w:pPr>
            <w:r w:rsidRPr="00526311">
              <w:rPr>
                <w:i/>
                <w:sz w:val="16"/>
                <w:szCs w:val="16"/>
                <w:lang w:bidi="th-TH"/>
              </w:rPr>
              <w:t>Referencia original en el presupuesto de 2014/15</w:t>
            </w:r>
            <w:r w:rsidRPr="00526311">
              <w:rPr>
                <w:i/>
                <w:sz w:val="16"/>
                <w:szCs w:val="16"/>
              </w:rPr>
              <w:t>:</w:t>
            </w:r>
            <w:r w:rsidRPr="00526311">
              <w:rPr>
                <w:sz w:val="16"/>
                <w:szCs w:val="16"/>
              </w:rPr>
              <w:t xml:space="preserve">  30</w:t>
            </w:r>
          </w:p>
          <w:p w:rsidR="003B33EE" w:rsidRPr="00526311" w:rsidRDefault="003B33EE" w:rsidP="00DC1333">
            <w:pPr>
              <w:keepNext/>
              <w:keepLines/>
              <w:autoSpaceDE w:val="0"/>
              <w:autoSpaceDN w:val="0"/>
              <w:adjustRightInd w:val="0"/>
              <w:rPr>
                <w:sz w:val="16"/>
                <w:szCs w:val="16"/>
              </w:rPr>
            </w:pPr>
          </w:p>
        </w:tc>
        <w:tc>
          <w:tcPr>
            <w:tcW w:w="808" w:type="pct"/>
            <w:shd w:val="clear" w:color="auto" w:fill="auto"/>
            <w:tcMar>
              <w:top w:w="110" w:type="dxa"/>
            </w:tcMar>
          </w:tcPr>
          <w:p w:rsidR="003B33EE" w:rsidRPr="00526311" w:rsidRDefault="003B33EE" w:rsidP="00DC1333">
            <w:pPr>
              <w:keepNext/>
              <w:keepLines/>
              <w:rPr>
                <w:sz w:val="16"/>
                <w:szCs w:val="16"/>
                <w:lang w:bidi="th-TH"/>
              </w:rPr>
            </w:pPr>
            <w:r w:rsidRPr="00526311">
              <w:rPr>
                <w:sz w:val="16"/>
                <w:szCs w:val="16"/>
              </w:rPr>
              <w:t xml:space="preserve">30 </w:t>
            </w:r>
          </w:p>
        </w:tc>
        <w:tc>
          <w:tcPr>
            <w:tcW w:w="1249" w:type="pct"/>
            <w:shd w:val="clear" w:color="auto" w:fill="FFFFFF"/>
            <w:tcMar>
              <w:top w:w="110" w:type="dxa"/>
            </w:tcMar>
          </w:tcPr>
          <w:p w:rsidR="003B33EE" w:rsidRDefault="003B33EE" w:rsidP="00DC1333">
            <w:pPr>
              <w:keepNext/>
              <w:keepLines/>
              <w:rPr>
                <w:sz w:val="16"/>
                <w:szCs w:val="16"/>
              </w:rPr>
            </w:pPr>
            <w:r>
              <w:rPr>
                <w:sz w:val="16"/>
                <w:szCs w:val="16"/>
              </w:rPr>
              <w:t>En 2014/15 s</w:t>
            </w:r>
            <w:r w:rsidRPr="00526311">
              <w:rPr>
                <w:sz w:val="16"/>
                <w:szCs w:val="16"/>
              </w:rPr>
              <w:t xml:space="preserve">e </w:t>
            </w:r>
            <w:r>
              <w:rPr>
                <w:sz w:val="16"/>
                <w:szCs w:val="16"/>
              </w:rPr>
              <w:t>celebraron 7 colaboraciones estratégicas</w:t>
            </w:r>
            <w:r>
              <w:rPr>
                <w:rStyle w:val="FootnoteReference"/>
                <w:sz w:val="16"/>
                <w:szCs w:val="16"/>
              </w:rPr>
              <w:footnoteReference w:id="99"/>
            </w:r>
            <w:r>
              <w:rPr>
                <w:sz w:val="16"/>
                <w:szCs w:val="16"/>
              </w:rPr>
              <w:t xml:space="preserve"> y 55 actividades conjuntamente </w:t>
            </w:r>
            <w:r w:rsidRPr="00526311">
              <w:rPr>
                <w:sz w:val="16"/>
                <w:szCs w:val="16"/>
              </w:rPr>
              <w:t>con organismos que cooperan con</w:t>
            </w:r>
            <w:r>
              <w:rPr>
                <w:sz w:val="16"/>
                <w:szCs w:val="16"/>
              </w:rPr>
              <w:t xml:space="preserve"> la OMPI y partes interesadas, </w:t>
            </w:r>
            <w:r w:rsidRPr="00526311">
              <w:rPr>
                <w:sz w:val="16"/>
                <w:szCs w:val="16"/>
              </w:rPr>
              <w:t>para las que se contó con la participación del programa 17.</w:t>
            </w:r>
          </w:p>
          <w:p w:rsidR="003B33EE" w:rsidRPr="003B757C" w:rsidRDefault="003B33EE" w:rsidP="003B33EE">
            <w:pPr>
              <w:pStyle w:val="ListParagraph"/>
              <w:numPr>
                <w:ilvl w:val="0"/>
                <w:numId w:val="82"/>
              </w:numPr>
              <w:rPr>
                <w:rFonts w:cs="Arial"/>
                <w:sz w:val="16"/>
                <w:szCs w:val="16"/>
                <w:lang w:val="es-ES"/>
              </w:rPr>
            </w:pPr>
            <w:r w:rsidRPr="003B757C">
              <w:rPr>
                <w:rFonts w:cs="Arial"/>
                <w:sz w:val="16"/>
                <w:szCs w:val="16"/>
                <w:lang w:val="es-ES"/>
              </w:rPr>
              <w:t xml:space="preserve">6 colaboraciones estratégicas y otras 29 </w:t>
            </w:r>
            <w:r>
              <w:rPr>
                <w:rFonts w:cs="Arial"/>
                <w:sz w:val="16"/>
                <w:szCs w:val="16"/>
                <w:lang w:val="es-ES"/>
              </w:rPr>
              <w:t xml:space="preserve">actividades conjuntas en </w:t>
            </w:r>
            <w:r w:rsidRPr="003B757C">
              <w:rPr>
                <w:rFonts w:cs="Arial"/>
                <w:sz w:val="16"/>
                <w:szCs w:val="16"/>
                <w:lang w:val="es-ES"/>
              </w:rPr>
              <w:t>2014</w:t>
            </w:r>
            <w:r>
              <w:rPr>
                <w:rStyle w:val="FootnoteReference"/>
                <w:rFonts w:eastAsia="SimSun"/>
                <w:sz w:val="16"/>
                <w:szCs w:val="16"/>
              </w:rPr>
              <w:footnoteReference w:id="100"/>
            </w:r>
          </w:p>
          <w:p w:rsidR="003B33EE" w:rsidRPr="008D4F39" w:rsidRDefault="003B33EE" w:rsidP="003B33EE">
            <w:pPr>
              <w:pStyle w:val="ListParagraph"/>
              <w:numPr>
                <w:ilvl w:val="0"/>
                <w:numId w:val="82"/>
              </w:numPr>
              <w:rPr>
                <w:sz w:val="16"/>
                <w:szCs w:val="16"/>
                <w:lang w:val="es-ES"/>
              </w:rPr>
            </w:pPr>
            <w:r w:rsidRPr="003B757C">
              <w:rPr>
                <w:rFonts w:cs="Arial"/>
                <w:sz w:val="16"/>
                <w:szCs w:val="16"/>
                <w:lang w:val="es-ES"/>
              </w:rPr>
              <w:t>7 colaboraciones estratégicas (1 más) y otras 2</w:t>
            </w:r>
            <w:r>
              <w:rPr>
                <w:rFonts w:cs="Arial"/>
                <w:sz w:val="16"/>
                <w:szCs w:val="16"/>
                <w:lang w:val="es-ES"/>
              </w:rPr>
              <w:t>6</w:t>
            </w:r>
            <w:r w:rsidRPr="003B757C">
              <w:rPr>
                <w:rFonts w:cs="Arial"/>
                <w:sz w:val="16"/>
                <w:szCs w:val="16"/>
                <w:lang w:val="es-ES"/>
              </w:rPr>
              <w:t xml:space="preserve"> </w:t>
            </w:r>
            <w:r>
              <w:rPr>
                <w:rFonts w:cs="Arial"/>
                <w:sz w:val="16"/>
                <w:szCs w:val="16"/>
                <w:lang w:val="es-ES"/>
              </w:rPr>
              <w:t xml:space="preserve">actividades conjuntas en </w:t>
            </w:r>
            <w:r w:rsidRPr="003B757C">
              <w:rPr>
                <w:rFonts w:cs="Arial"/>
                <w:sz w:val="16"/>
                <w:szCs w:val="16"/>
                <w:lang w:val="es-ES"/>
              </w:rPr>
              <w:t>2015</w:t>
            </w:r>
          </w:p>
          <w:p w:rsidR="003B33EE" w:rsidRPr="003B757C" w:rsidRDefault="003B33EE" w:rsidP="00DC1333">
            <w:pPr>
              <w:pStyle w:val="ListParagraph"/>
              <w:ind w:left="360"/>
              <w:rPr>
                <w:sz w:val="16"/>
                <w:szCs w:val="16"/>
                <w:lang w:val="es-ES"/>
              </w:rPr>
            </w:pPr>
          </w:p>
        </w:tc>
        <w:tc>
          <w:tcPr>
            <w:tcW w:w="590" w:type="pct"/>
            <w:shd w:val="clear" w:color="auto" w:fill="auto"/>
            <w:tcMar>
              <w:top w:w="110" w:type="dxa"/>
            </w:tcMar>
          </w:tcPr>
          <w:p w:rsidR="003B33EE" w:rsidRPr="00526311" w:rsidRDefault="003B33EE" w:rsidP="00DC1333">
            <w:pPr>
              <w:keepNext/>
              <w:keepLines/>
              <w:ind w:right="-107"/>
              <w:jc w:val="center"/>
              <w:rPr>
                <w:bCs/>
                <w:color w:val="008000"/>
                <w:sz w:val="16"/>
                <w:szCs w:val="16"/>
              </w:rPr>
            </w:pPr>
            <w:r>
              <w:rPr>
                <w:b/>
                <w:bCs/>
                <w:color w:val="00B050"/>
                <w:sz w:val="16"/>
                <w:szCs w:val="16"/>
              </w:rPr>
              <w:t>Plenamente logrado</w:t>
            </w:r>
          </w:p>
        </w:tc>
      </w:tr>
    </w:tbl>
    <w:p w:rsidR="003B33EE" w:rsidRPr="00526311" w:rsidRDefault="003B33EE" w:rsidP="00DC1333">
      <w:pPr>
        <w:jc w:val="both"/>
        <w:rPr>
          <w:color w:val="000000"/>
        </w:rPr>
      </w:pPr>
    </w:p>
    <w:p w:rsidR="003B33EE" w:rsidRPr="005D128B" w:rsidRDefault="008F7CBE" w:rsidP="00DC1333">
      <w:pPr>
        <w:keepNext/>
        <w:keepLines/>
        <w:rPr>
          <w:color w:val="000000"/>
          <w:szCs w:val="22"/>
        </w:rPr>
      </w:pPr>
      <w:r w:rsidRPr="008F7CBE">
        <w:rPr>
          <w:color w:val="000000"/>
          <w:sz w:val="20"/>
          <w:szCs w:val="22"/>
        </w:rPr>
        <w:lastRenderedPageBreak/>
        <w:t>INFORMACIÓN SOBRE LOS RIESGOS PLANTEADOS EN EL BIENIO</w:t>
      </w:r>
    </w:p>
    <w:p w:rsidR="003B33EE" w:rsidRDefault="003B33EE"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426"/>
      </w:tblGrid>
      <w:tr w:rsidR="003B33EE" w:rsidRPr="002D5538" w:rsidTr="00DC1333">
        <w:trPr>
          <w:trHeight w:val="378"/>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3B33EE" w:rsidRPr="002D5538" w:rsidRDefault="003B33EE" w:rsidP="00DC1333">
            <w:pPr>
              <w:keepNext/>
              <w:keepLines/>
              <w:autoSpaceDE w:val="0"/>
              <w:autoSpaceDN w:val="0"/>
              <w:adjustRightInd w:val="0"/>
              <w:ind w:right="-59"/>
              <w:jc w:val="center"/>
              <w:rPr>
                <w:b/>
                <w:bCs/>
                <w:iCs/>
                <w:sz w:val="18"/>
                <w:szCs w:val="18"/>
              </w:rPr>
            </w:pPr>
            <w:r w:rsidRPr="00D10B62">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3B33EE" w:rsidRPr="002D5538" w:rsidRDefault="003B33EE" w:rsidP="00DC1333">
            <w:pPr>
              <w:keepNext/>
              <w:keepLines/>
              <w:autoSpaceDE w:val="0"/>
              <w:autoSpaceDN w:val="0"/>
              <w:adjustRightInd w:val="0"/>
              <w:ind w:right="-59"/>
              <w:jc w:val="center"/>
              <w:rPr>
                <w:b/>
                <w:bCs/>
                <w:iCs/>
                <w:sz w:val="18"/>
                <w:szCs w:val="18"/>
              </w:rPr>
            </w:pPr>
            <w:r w:rsidRPr="00D10B62">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3B33EE" w:rsidRPr="002D5538" w:rsidRDefault="003B33EE" w:rsidP="00DC1333">
            <w:pPr>
              <w:keepNext/>
              <w:keepLines/>
              <w:jc w:val="center"/>
              <w:rPr>
                <w:b/>
                <w:bCs/>
                <w:sz w:val="18"/>
                <w:szCs w:val="18"/>
              </w:rPr>
            </w:pPr>
            <w:r w:rsidRPr="00D10B62">
              <w:rPr>
                <w:b/>
                <w:bCs/>
                <w:iCs/>
                <w:sz w:val="18"/>
                <w:szCs w:val="18"/>
              </w:rPr>
              <w:t>Evolución de los riesgos y estrategias de mitigación durante el bienio</w:t>
            </w:r>
          </w:p>
        </w:tc>
        <w:tc>
          <w:tcPr>
            <w:tcW w:w="2426" w:type="dxa"/>
            <w:tcBorders>
              <w:top w:val="single" w:sz="4" w:space="0" w:color="auto"/>
              <w:bottom w:val="single" w:sz="4" w:space="0" w:color="auto"/>
            </w:tcBorders>
            <w:shd w:val="clear" w:color="auto" w:fill="C6D9F1" w:themeFill="text2" w:themeFillTint="33"/>
          </w:tcPr>
          <w:p w:rsidR="003B33EE" w:rsidRPr="002D5538" w:rsidRDefault="003B33EE" w:rsidP="00DC1333">
            <w:pPr>
              <w:keepNext/>
              <w:keepLines/>
              <w:jc w:val="center"/>
              <w:rPr>
                <w:b/>
                <w:bCs/>
                <w:sz w:val="18"/>
                <w:szCs w:val="18"/>
              </w:rPr>
            </w:pPr>
            <w:r w:rsidRPr="004520ED">
              <w:rPr>
                <w:b/>
                <w:bCs/>
                <w:sz w:val="18"/>
                <w:szCs w:val="18"/>
              </w:rPr>
              <w:t>Incidencia en el rendimiento del programa</w:t>
            </w:r>
          </w:p>
        </w:tc>
      </w:tr>
      <w:tr w:rsidR="003B33EE" w:rsidRPr="00AD5D37" w:rsidTr="00DC1333">
        <w:trPr>
          <w:trHeight w:val="1219"/>
        </w:trPr>
        <w:tc>
          <w:tcPr>
            <w:tcW w:w="2420" w:type="dxa"/>
            <w:tcBorders>
              <w:top w:val="single" w:sz="4" w:space="0" w:color="auto"/>
            </w:tcBorders>
            <w:shd w:val="clear" w:color="auto" w:fill="auto"/>
            <w:tcMar>
              <w:top w:w="113" w:type="dxa"/>
              <w:bottom w:w="85" w:type="dxa"/>
            </w:tcMar>
          </w:tcPr>
          <w:p w:rsidR="003B33EE" w:rsidRPr="001436BF" w:rsidRDefault="003B33EE" w:rsidP="00DC1333">
            <w:pPr>
              <w:keepNext/>
              <w:keepLines/>
              <w:autoSpaceDE w:val="0"/>
              <w:autoSpaceDN w:val="0"/>
              <w:adjustRightInd w:val="0"/>
              <w:ind w:right="-59"/>
              <w:rPr>
                <w:sz w:val="16"/>
                <w:szCs w:val="16"/>
              </w:rPr>
            </w:pPr>
            <w:r w:rsidRPr="001436BF">
              <w:rPr>
                <w:sz w:val="16"/>
                <w:szCs w:val="16"/>
              </w:rPr>
              <w:t>La falta de consenso entre los Estados miembros y de apoyo político por parte de estos a la labor de la OMPI en favor del</w:t>
            </w:r>
            <w:r>
              <w:rPr>
                <w:sz w:val="16"/>
                <w:szCs w:val="16"/>
              </w:rPr>
              <w:t xml:space="preserve"> fomento del respeto por la P.I</w:t>
            </w:r>
            <w:r w:rsidRPr="001436BF">
              <w:rPr>
                <w:sz w:val="16"/>
                <w:szCs w:val="16"/>
              </w:rPr>
              <w:t>.  Es posible que se ponga en peligro la función de la OMPI de fomentar el respeto por la P.I.</w:t>
            </w:r>
          </w:p>
        </w:tc>
        <w:tc>
          <w:tcPr>
            <w:tcW w:w="2200" w:type="dxa"/>
            <w:tcBorders>
              <w:top w:val="single" w:sz="4" w:space="0" w:color="auto"/>
            </w:tcBorders>
            <w:shd w:val="clear" w:color="auto" w:fill="auto"/>
            <w:tcMar>
              <w:top w:w="113" w:type="dxa"/>
              <w:bottom w:w="85" w:type="dxa"/>
            </w:tcMar>
          </w:tcPr>
          <w:p w:rsidR="003B33EE" w:rsidRPr="00A372C1" w:rsidRDefault="003B33EE" w:rsidP="00DC1333">
            <w:pPr>
              <w:keepNext/>
              <w:keepLines/>
              <w:autoSpaceDE w:val="0"/>
              <w:autoSpaceDN w:val="0"/>
              <w:adjustRightInd w:val="0"/>
              <w:ind w:right="-59"/>
              <w:rPr>
                <w:sz w:val="16"/>
                <w:szCs w:val="16"/>
              </w:rPr>
            </w:pPr>
            <w:r w:rsidRPr="00A372C1">
              <w:rPr>
                <w:sz w:val="16"/>
                <w:szCs w:val="16"/>
              </w:rPr>
              <w:t>Este programa comporta consultas periódicas con los Estados miembros a fin de favorecer la convergencia de sus puntos de vista sobre la pertinencia, la labor y la función del Comité Asesor sobre Observancia (ACE) en materia de políticas, así como las actividades de c</w:t>
            </w:r>
            <w:r>
              <w:rPr>
                <w:sz w:val="16"/>
                <w:szCs w:val="16"/>
              </w:rPr>
              <w:t>reación de capacidad conexas</w:t>
            </w:r>
            <w:r w:rsidRPr="00A372C1">
              <w:rPr>
                <w:sz w:val="16"/>
                <w:szCs w:val="16"/>
              </w:rPr>
              <w:t>.  Se aplican normas rigurosas en todas las actividades con objeto de velar por la buena calidad, la transparencia, la neutralidad y un enfoque equilibrado.</w:t>
            </w:r>
          </w:p>
        </w:tc>
        <w:tc>
          <w:tcPr>
            <w:tcW w:w="2310" w:type="dxa"/>
            <w:tcBorders>
              <w:top w:val="single" w:sz="4" w:space="0" w:color="auto"/>
            </w:tcBorders>
          </w:tcPr>
          <w:p w:rsidR="003B33EE" w:rsidRPr="00AD5D37" w:rsidRDefault="003B33EE" w:rsidP="00DC1333">
            <w:pPr>
              <w:keepNext/>
              <w:keepLines/>
              <w:autoSpaceDE w:val="0"/>
              <w:autoSpaceDN w:val="0"/>
              <w:adjustRightInd w:val="0"/>
              <w:ind w:right="-59"/>
              <w:rPr>
                <w:color w:val="C0504D" w:themeColor="accent2"/>
                <w:sz w:val="16"/>
                <w:szCs w:val="16"/>
              </w:rPr>
            </w:pPr>
            <w:r w:rsidRPr="00D87EB5">
              <w:rPr>
                <w:sz w:val="16"/>
                <w:szCs w:val="16"/>
              </w:rPr>
              <w:t>Aun cuando el riesgo persiste, se ha gestionado mediante la aplicación plena y estricta del plan de mitigaci</w:t>
            </w:r>
            <w:r>
              <w:rPr>
                <w:sz w:val="16"/>
                <w:szCs w:val="16"/>
              </w:rPr>
              <w:t xml:space="preserve">ón.  </w:t>
            </w:r>
            <w:r w:rsidRPr="00D87EB5">
              <w:rPr>
                <w:sz w:val="16"/>
                <w:szCs w:val="16"/>
              </w:rPr>
              <w:t xml:space="preserve">Los Estados miembros han mostrado su apoyo a la labor de la OMPI en cuanto al fomento del respeto por la P.I., </w:t>
            </w:r>
            <w:r>
              <w:rPr>
                <w:sz w:val="16"/>
                <w:szCs w:val="16"/>
              </w:rPr>
              <w:t xml:space="preserve">tal como se ha puesto de manifiesto a través del ACE y la evaluación de la meta estratégica </w:t>
            </w:r>
            <w:r w:rsidRPr="00AD5D37">
              <w:rPr>
                <w:sz w:val="16"/>
                <w:szCs w:val="16"/>
              </w:rPr>
              <w:t xml:space="preserve">VI </w:t>
            </w:r>
            <w:r>
              <w:rPr>
                <w:sz w:val="16"/>
                <w:szCs w:val="16"/>
              </w:rPr>
              <w:t>llevada a cabo por la DSI</w:t>
            </w:r>
            <w:r w:rsidRPr="00AD5D37">
              <w:rPr>
                <w:sz w:val="16"/>
                <w:szCs w:val="16"/>
              </w:rPr>
              <w:t>.</w:t>
            </w:r>
            <w:r>
              <w:rPr>
                <w:rStyle w:val="FootnoteReference"/>
                <w:sz w:val="16"/>
                <w:szCs w:val="16"/>
              </w:rPr>
              <w:footnoteReference w:id="101"/>
            </w:r>
          </w:p>
        </w:tc>
        <w:tc>
          <w:tcPr>
            <w:tcW w:w="2426" w:type="dxa"/>
            <w:tcBorders>
              <w:top w:val="single" w:sz="4" w:space="0" w:color="auto"/>
            </w:tcBorders>
          </w:tcPr>
          <w:p w:rsidR="003B33EE" w:rsidRPr="00AD5D37" w:rsidRDefault="003B33EE" w:rsidP="00DC1333">
            <w:pPr>
              <w:keepNext/>
              <w:keepLines/>
              <w:autoSpaceDE w:val="0"/>
              <w:autoSpaceDN w:val="0"/>
              <w:adjustRightInd w:val="0"/>
              <w:ind w:right="-59"/>
              <w:rPr>
                <w:sz w:val="16"/>
                <w:szCs w:val="16"/>
              </w:rPr>
            </w:pPr>
            <w:r w:rsidRPr="00AD5D37">
              <w:rPr>
                <w:sz w:val="16"/>
                <w:szCs w:val="16"/>
              </w:rPr>
              <w:t xml:space="preserve">El riesgo no se </w:t>
            </w:r>
            <w:r>
              <w:rPr>
                <w:sz w:val="16"/>
                <w:szCs w:val="16"/>
              </w:rPr>
              <w:t>materializó</w:t>
            </w:r>
            <w:r w:rsidRPr="00AD5D37">
              <w:rPr>
                <w:sz w:val="16"/>
                <w:szCs w:val="16"/>
              </w:rPr>
              <w:t xml:space="preserve"> durante el bienio.  La observancia estricta del plan de mitigación garantizó el apoyo d</w:t>
            </w:r>
            <w:r>
              <w:rPr>
                <w:sz w:val="16"/>
                <w:szCs w:val="16"/>
              </w:rPr>
              <w:t>e los Estados miembros y posibilitó el pleno rendimiento del programa.</w:t>
            </w:r>
          </w:p>
        </w:tc>
      </w:tr>
    </w:tbl>
    <w:p w:rsidR="003B33EE" w:rsidRDefault="003B33EE" w:rsidP="00DC1333">
      <w:pPr>
        <w:jc w:val="both"/>
        <w:rPr>
          <w:color w:val="000000"/>
        </w:rPr>
      </w:pPr>
    </w:p>
    <w:p w:rsidR="003B33EE" w:rsidRPr="00AD5D37" w:rsidRDefault="003B33EE" w:rsidP="00DC1333">
      <w:pPr>
        <w:jc w:val="both"/>
        <w:rPr>
          <w:color w:val="000000"/>
        </w:rPr>
      </w:pPr>
    </w:p>
    <w:p w:rsidR="003B33EE" w:rsidRPr="00526311" w:rsidRDefault="00403D2C" w:rsidP="00DC1333">
      <w:r w:rsidRPr="00403D2C">
        <w:rPr>
          <w:color w:val="000000"/>
          <w:sz w:val="20"/>
        </w:rPr>
        <w:t>UTILIZACIÓN DE LOS RECURSOS</w:t>
      </w:r>
    </w:p>
    <w:p w:rsidR="003B33EE" w:rsidRPr="00526311" w:rsidRDefault="003B33EE" w:rsidP="00DC1333">
      <w:pPr>
        <w:jc w:val="center"/>
        <w:rPr>
          <w:sz w:val="16"/>
          <w:szCs w:val="16"/>
        </w:rPr>
      </w:pPr>
    </w:p>
    <w:p w:rsidR="003B33EE" w:rsidRPr="00526311" w:rsidRDefault="003B33EE" w:rsidP="00DC1333">
      <w:pPr>
        <w:pStyle w:val="NormalWeb"/>
        <w:spacing w:before="0" w:beforeAutospacing="0" w:after="0" w:afterAutospacing="0"/>
        <w:jc w:val="center"/>
        <w:rPr>
          <w:sz w:val="20"/>
          <w:szCs w:val="20"/>
          <w:lang w:val="es-ES"/>
        </w:rPr>
      </w:pPr>
      <w:r w:rsidRPr="00526311">
        <w:rPr>
          <w:sz w:val="20"/>
          <w:szCs w:val="20"/>
          <w:lang w:val="es-ES"/>
        </w:rPr>
        <w:t>Presupuesto y gastos reales (por resultado)</w:t>
      </w:r>
    </w:p>
    <w:p w:rsidR="003B33EE" w:rsidRPr="00526311" w:rsidRDefault="003B33EE" w:rsidP="00DC1333">
      <w:pPr>
        <w:pStyle w:val="NormalWeb"/>
        <w:spacing w:before="0" w:beforeAutospacing="0" w:after="12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3B33EE" w:rsidRPr="00526311" w:rsidRDefault="003B33EE" w:rsidP="00DC1333">
      <w:pPr>
        <w:jc w:val="center"/>
      </w:pPr>
      <w:bookmarkStart w:id="148" w:name="Bm17"/>
      <w:bookmarkStart w:id="149" w:name="Punto17"/>
      <w:r>
        <w:rPr>
          <w:noProof/>
          <w:lang w:val="en-US" w:eastAsia="en-US"/>
        </w:rPr>
        <w:drawing>
          <wp:inline distT="0" distB="0" distL="0" distR="0" wp14:anchorId="0F73ECD5" wp14:editId="6D515F46">
            <wp:extent cx="5676900" cy="31718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bookmarkEnd w:id="148"/>
      <w:bookmarkEnd w:id="149"/>
    </w:p>
    <w:p w:rsidR="003B33EE" w:rsidRPr="00526311" w:rsidRDefault="003B33EE" w:rsidP="00DC1333">
      <w:pPr>
        <w:jc w:val="both"/>
      </w:pPr>
    </w:p>
    <w:p w:rsidR="003B33EE" w:rsidRPr="00526311" w:rsidRDefault="003B33EE" w:rsidP="00DC1333">
      <w:pPr>
        <w:pStyle w:val="NormalWeb"/>
        <w:keepNext/>
        <w:keepLines/>
        <w:spacing w:before="0" w:beforeAutospacing="0" w:after="0" w:afterAutospacing="0"/>
        <w:jc w:val="center"/>
        <w:rPr>
          <w:sz w:val="20"/>
          <w:szCs w:val="20"/>
          <w:lang w:val="es-ES"/>
        </w:rPr>
      </w:pPr>
      <w:r w:rsidRPr="00526311">
        <w:rPr>
          <w:sz w:val="20"/>
          <w:szCs w:val="20"/>
          <w:lang w:val="es-ES"/>
        </w:rPr>
        <w:lastRenderedPageBreak/>
        <w:t>Presupuesto y gastos reales (de personal y no relativos a personal)</w:t>
      </w:r>
    </w:p>
    <w:p w:rsidR="003B33EE" w:rsidRPr="00526311" w:rsidRDefault="003B33EE" w:rsidP="00DC1333">
      <w:pPr>
        <w:pStyle w:val="NormalWeb"/>
        <w:keepNext/>
        <w:keepLines/>
        <w:spacing w:before="0" w:beforeAutospacing="0" w:after="12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3B33EE" w:rsidRPr="00526311" w:rsidRDefault="003B33EE" w:rsidP="00DC1333">
      <w:pPr>
        <w:jc w:val="center"/>
      </w:pPr>
      <w:bookmarkStart w:id="150" w:name="Point17"/>
      <w:r>
        <w:rPr>
          <w:noProof/>
          <w:lang w:val="en-US" w:eastAsia="en-US"/>
        </w:rPr>
        <w:drawing>
          <wp:inline distT="0" distB="0" distL="0" distR="0" wp14:anchorId="65C0ED99" wp14:editId="3567F973">
            <wp:extent cx="5940425" cy="975474"/>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0425" cy="975474"/>
                    </a:xfrm>
                    <a:prstGeom prst="rect">
                      <a:avLst/>
                    </a:prstGeom>
                    <a:noFill/>
                    <a:ln>
                      <a:noFill/>
                    </a:ln>
                  </pic:spPr>
                </pic:pic>
              </a:graphicData>
            </a:graphic>
          </wp:inline>
        </w:drawing>
      </w:r>
      <w:bookmarkEnd w:id="150"/>
    </w:p>
    <w:p w:rsidR="003B33EE" w:rsidRDefault="003B33EE" w:rsidP="00DC1333">
      <w:pPr>
        <w:widowControl w:val="0"/>
        <w:autoSpaceDE w:val="0"/>
        <w:autoSpaceDN w:val="0"/>
        <w:adjustRightInd w:val="0"/>
        <w:jc w:val="both"/>
        <w:rPr>
          <w:sz w:val="20"/>
        </w:rPr>
      </w:pPr>
    </w:p>
    <w:p w:rsidR="003B33EE" w:rsidRPr="00526311" w:rsidRDefault="003B33EE" w:rsidP="00DC1333">
      <w:pPr>
        <w:widowControl w:val="0"/>
        <w:autoSpaceDE w:val="0"/>
        <w:autoSpaceDN w:val="0"/>
        <w:adjustRightInd w:val="0"/>
        <w:jc w:val="both"/>
        <w:rPr>
          <w:sz w:val="20"/>
        </w:rPr>
      </w:pPr>
    </w:p>
    <w:p w:rsidR="003B33EE" w:rsidRPr="00526311" w:rsidRDefault="00403D2C" w:rsidP="00DC1333">
      <w:pPr>
        <w:jc w:val="both"/>
        <w:rPr>
          <w:sz w:val="20"/>
          <w:u w:val="single"/>
        </w:rPr>
      </w:pPr>
      <w:r w:rsidRPr="00403D2C">
        <w:rPr>
          <w:sz w:val="20"/>
        </w:rPr>
        <w:t>A.</w:t>
      </w:r>
      <w:r w:rsidRPr="00403D2C">
        <w:rPr>
          <w:sz w:val="20"/>
        </w:rPr>
        <w:tab/>
      </w:r>
      <w:r w:rsidRPr="00403D2C">
        <w:rPr>
          <w:sz w:val="20"/>
          <w:u w:val="single"/>
        </w:rPr>
        <w:t>Presupuesto final de 2014/15 tras las transferencias</w:t>
      </w:r>
    </w:p>
    <w:p w:rsidR="003B33EE" w:rsidRPr="00526311" w:rsidRDefault="003B33EE" w:rsidP="00DC1333">
      <w:pPr>
        <w:autoSpaceDE w:val="0"/>
        <w:autoSpaceDN w:val="0"/>
        <w:jc w:val="both"/>
        <w:rPr>
          <w:sz w:val="20"/>
          <w:lang w:eastAsia="ko-KR"/>
        </w:rPr>
      </w:pPr>
    </w:p>
    <w:p w:rsidR="003B33EE" w:rsidRPr="005758C2" w:rsidRDefault="003B33EE" w:rsidP="003B33EE">
      <w:pPr>
        <w:pStyle w:val="ListParagraph"/>
        <w:numPr>
          <w:ilvl w:val="0"/>
          <w:numId w:val="80"/>
        </w:numPr>
        <w:ind w:left="0" w:firstLine="0"/>
        <w:jc w:val="both"/>
        <w:rPr>
          <w:rFonts w:cs="Arial"/>
          <w:lang w:val="es-ES" w:eastAsia="ko-KR"/>
        </w:rPr>
      </w:pPr>
      <w:r w:rsidRPr="00526311">
        <w:rPr>
          <w:rFonts w:cs="Arial"/>
          <w:color w:val="000000"/>
          <w:lang w:val="es-ES" w:eastAsia="ko-KR"/>
        </w:rPr>
        <w:t xml:space="preserve">Los ajustes efectuados respecto de los distintos resultados en el presupuesto </w:t>
      </w:r>
      <w:r>
        <w:rPr>
          <w:rFonts w:cs="Arial"/>
          <w:color w:val="000000"/>
          <w:lang w:val="es-ES" w:eastAsia="ko-KR"/>
        </w:rPr>
        <w:t xml:space="preserve">final </w:t>
      </w:r>
      <w:r w:rsidRPr="00526311">
        <w:rPr>
          <w:rFonts w:cs="Arial"/>
          <w:color w:val="000000"/>
          <w:lang w:val="es-ES" w:eastAsia="ko-KR"/>
        </w:rPr>
        <w:t xml:space="preserve">de 2014/15 tras las transferencias </w:t>
      </w:r>
      <w:r>
        <w:rPr>
          <w:rFonts w:cs="Arial"/>
          <w:color w:val="000000"/>
          <w:lang w:val="es-ES" w:eastAsia="ko-KR"/>
        </w:rPr>
        <w:t>se deben fundamentalmente a:</w:t>
      </w:r>
    </w:p>
    <w:p w:rsidR="003B33EE" w:rsidRDefault="003B33EE" w:rsidP="00DC1333">
      <w:pPr>
        <w:pStyle w:val="ListParagraph"/>
        <w:ind w:left="0"/>
        <w:jc w:val="both"/>
        <w:rPr>
          <w:rFonts w:cs="Arial"/>
          <w:color w:val="000000"/>
          <w:lang w:val="es-ES" w:eastAsia="ko-KR"/>
        </w:rPr>
      </w:pPr>
    </w:p>
    <w:p w:rsidR="003B33EE" w:rsidRPr="00BA5289" w:rsidRDefault="003B33EE" w:rsidP="00DC1333">
      <w:pPr>
        <w:pStyle w:val="ListParagraph"/>
        <w:tabs>
          <w:tab w:val="left" w:pos="1276"/>
        </w:tabs>
        <w:autoSpaceDE w:val="0"/>
        <w:autoSpaceDN w:val="0"/>
        <w:ind w:hanging="11"/>
        <w:jc w:val="both"/>
        <w:rPr>
          <w:bCs/>
          <w:lang w:val="es-ES"/>
        </w:rPr>
      </w:pPr>
      <w:r w:rsidRPr="00BA5289">
        <w:rPr>
          <w:lang w:val="es-ES" w:eastAsia="ko-KR"/>
        </w:rPr>
        <w:t>-</w:t>
      </w:r>
      <w:r w:rsidRPr="00BA5289">
        <w:rPr>
          <w:lang w:val="es-ES" w:eastAsia="ko-KR"/>
        </w:rPr>
        <w:tab/>
        <w:t>un aumento permanente de la demanda de asesoramiento por parte de los Estados miembros, con inclusión de las misiones de diagnóstico, lo que se tradujo en una redistribución de los recursos desde el resultado VI.2 (</w:t>
      </w:r>
      <w:r w:rsidRPr="00BA5289">
        <w:rPr>
          <w:bCs/>
          <w:lang w:val="es-ES"/>
        </w:rPr>
        <w:t>Cooperación en el ámbito del fomento del respeto por la P.I.) al I.2 (Asesoramiento legislativo</w:t>
      </w:r>
      <w:r>
        <w:rPr>
          <w:bCs/>
          <w:lang w:val="es-ES"/>
        </w:rPr>
        <w:t>),</w:t>
      </w:r>
      <w:r w:rsidRPr="00BA5289">
        <w:rPr>
          <w:bCs/>
          <w:lang w:val="es-ES"/>
        </w:rPr>
        <w:t xml:space="preserve"> y</w:t>
      </w:r>
    </w:p>
    <w:p w:rsidR="003B33EE" w:rsidRDefault="003B33EE" w:rsidP="00DC1333">
      <w:pPr>
        <w:jc w:val="both"/>
        <w:rPr>
          <w:bCs/>
          <w:sz w:val="20"/>
        </w:rPr>
      </w:pPr>
    </w:p>
    <w:p w:rsidR="003B33EE" w:rsidRDefault="003B33EE" w:rsidP="00DC1333">
      <w:pPr>
        <w:pStyle w:val="ListParagraph"/>
        <w:tabs>
          <w:tab w:val="left" w:pos="1276"/>
        </w:tabs>
        <w:autoSpaceDE w:val="0"/>
        <w:autoSpaceDN w:val="0"/>
        <w:ind w:hanging="11"/>
        <w:jc w:val="both"/>
        <w:rPr>
          <w:rFonts w:cs="Arial"/>
          <w:lang w:val="es-ES" w:eastAsia="ko-KR"/>
        </w:rPr>
      </w:pPr>
      <w:r w:rsidRPr="00BA5289">
        <w:rPr>
          <w:lang w:val="es-ES" w:eastAsia="ko-KR"/>
        </w:rPr>
        <w:t>-</w:t>
      </w:r>
      <w:r w:rsidRPr="00BA5289">
        <w:rPr>
          <w:lang w:val="es-ES" w:eastAsia="ko-KR"/>
        </w:rPr>
        <w:tab/>
        <w:t xml:space="preserve">la celebración, a petición de los Estados miembros, de dos sesiones del ACE durante el bienio, en lugar de una como estaba previsto en un principio, </w:t>
      </w:r>
      <w:r>
        <w:rPr>
          <w:lang w:val="es-ES" w:eastAsia="ko-KR"/>
        </w:rPr>
        <w:t xml:space="preserve">lo que provocó una redistribución de los recursos desde </w:t>
      </w:r>
      <w:r w:rsidRPr="00BA5289">
        <w:rPr>
          <w:lang w:val="es-ES" w:eastAsia="ko-KR"/>
        </w:rPr>
        <w:t>el resultado VI.2 (</w:t>
      </w:r>
      <w:r w:rsidRPr="00BA5289">
        <w:rPr>
          <w:bCs/>
          <w:lang w:val="es-ES"/>
        </w:rPr>
        <w:t>Cooperación en el ámbito del fomento del respeto por la P.I.) al</w:t>
      </w:r>
      <w:r>
        <w:rPr>
          <w:bCs/>
          <w:lang w:val="es-ES"/>
        </w:rPr>
        <w:t xml:space="preserve"> resultado VI.1 (</w:t>
      </w:r>
      <w:r w:rsidRPr="00BA5289">
        <w:rPr>
          <w:rFonts w:cs="Arial"/>
          <w:lang w:val="es-ES" w:eastAsia="ko-KR"/>
        </w:rPr>
        <w:t>Avances en el diálogo internacional sobre políticas entre los Estados miembros de la OMPI para fomentar el respeto por la P.I.</w:t>
      </w:r>
      <w:r>
        <w:rPr>
          <w:rFonts w:cs="Arial"/>
          <w:lang w:val="es-ES" w:eastAsia="ko-KR"/>
        </w:rPr>
        <w:t>).</w:t>
      </w:r>
    </w:p>
    <w:p w:rsidR="003B33EE" w:rsidRDefault="003B33EE" w:rsidP="00DC1333">
      <w:pPr>
        <w:pStyle w:val="ListParagraph"/>
        <w:tabs>
          <w:tab w:val="left" w:pos="1276"/>
        </w:tabs>
        <w:autoSpaceDE w:val="0"/>
        <w:autoSpaceDN w:val="0"/>
        <w:ind w:hanging="11"/>
        <w:jc w:val="both"/>
        <w:rPr>
          <w:rFonts w:cs="Arial"/>
          <w:lang w:val="es-ES" w:eastAsia="ko-KR"/>
        </w:rPr>
      </w:pPr>
    </w:p>
    <w:p w:rsidR="003B33EE" w:rsidRPr="00BA5289" w:rsidRDefault="003B33EE" w:rsidP="003B33EE">
      <w:pPr>
        <w:pStyle w:val="ListParagraph"/>
        <w:numPr>
          <w:ilvl w:val="0"/>
          <w:numId w:val="80"/>
        </w:numPr>
        <w:ind w:left="0" w:firstLine="0"/>
        <w:jc w:val="both"/>
        <w:rPr>
          <w:lang w:val="es-ES" w:eastAsia="ko-KR"/>
        </w:rPr>
      </w:pPr>
      <w:r>
        <w:rPr>
          <w:lang w:val="es-ES" w:eastAsia="ko-KR"/>
        </w:rPr>
        <w:t>El incremento</w:t>
      </w:r>
      <w:r w:rsidRPr="002E5F12">
        <w:rPr>
          <w:lang w:val="es-ES" w:eastAsia="ko-KR"/>
        </w:rPr>
        <w:t xml:space="preserve"> </w:t>
      </w:r>
      <w:r>
        <w:rPr>
          <w:rFonts w:cs="Arial"/>
          <w:color w:val="000000"/>
          <w:lang w:val="es-ES" w:eastAsia="ko-KR"/>
        </w:rPr>
        <w:t>neto</w:t>
      </w:r>
      <w:r w:rsidRPr="002E5F12">
        <w:rPr>
          <w:lang w:val="es-ES" w:eastAsia="ko-KR"/>
        </w:rPr>
        <w:t xml:space="preserve"> de los recursos de personal se debe a la transferencia temporal de un miembro del personal al</w:t>
      </w:r>
      <w:r>
        <w:rPr>
          <w:lang w:val="es-ES" w:eastAsia="ko-KR"/>
        </w:rPr>
        <w:t xml:space="preserve"> programa 6 con objeto de dar respuesta al aumento de la demanda de asesoramiento legislativo.</w:t>
      </w:r>
    </w:p>
    <w:p w:rsidR="003B33EE" w:rsidRPr="00BA5289" w:rsidRDefault="003B33EE" w:rsidP="00DC1333">
      <w:pPr>
        <w:autoSpaceDE w:val="0"/>
        <w:autoSpaceDN w:val="0"/>
        <w:jc w:val="both"/>
        <w:rPr>
          <w:sz w:val="20"/>
          <w:lang w:eastAsia="ko-KR"/>
        </w:rPr>
      </w:pPr>
    </w:p>
    <w:p w:rsidR="003B33EE" w:rsidRPr="00526311" w:rsidRDefault="00403D2C" w:rsidP="00DC1333">
      <w:pPr>
        <w:jc w:val="both"/>
        <w:rPr>
          <w:sz w:val="20"/>
          <w:u w:val="single"/>
          <w:lang w:eastAsia="ko-KR"/>
        </w:rPr>
      </w:pPr>
      <w:r w:rsidRPr="00403D2C">
        <w:rPr>
          <w:color w:val="000000"/>
          <w:sz w:val="20"/>
          <w:lang w:eastAsia="ko-KR"/>
        </w:rPr>
        <w:t>B.</w:t>
      </w:r>
      <w:r w:rsidRPr="00403D2C">
        <w:rPr>
          <w:color w:val="000000"/>
          <w:sz w:val="20"/>
          <w:lang w:eastAsia="ko-KR"/>
        </w:rPr>
        <w:tab/>
      </w:r>
      <w:r w:rsidRPr="00403D2C">
        <w:rPr>
          <w:color w:val="000000"/>
          <w:sz w:val="20"/>
          <w:u w:val="single"/>
          <w:lang w:eastAsia="ko-KR"/>
        </w:rPr>
        <w:t>Utilización del presupuesto en 2014/15</w:t>
      </w:r>
    </w:p>
    <w:p w:rsidR="003B33EE" w:rsidRPr="00526311" w:rsidRDefault="003B33EE" w:rsidP="00DC1333">
      <w:pPr>
        <w:autoSpaceDE w:val="0"/>
        <w:autoSpaceDN w:val="0"/>
        <w:jc w:val="both"/>
        <w:rPr>
          <w:sz w:val="20"/>
          <w:lang w:eastAsia="ko-KR"/>
        </w:rPr>
      </w:pPr>
    </w:p>
    <w:p w:rsidR="003B33EE" w:rsidRPr="00526311" w:rsidRDefault="003B33EE" w:rsidP="003B33EE">
      <w:pPr>
        <w:pStyle w:val="ListParagraph"/>
        <w:numPr>
          <w:ilvl w:val="0"/>
          <w:numId w:val="80"/>
        </w:numPr>
        <w:ind w:left="0" w:firstLine="0"/>
        <w:jc w:val="both"/>
        <w:rPr>
          <w:rFonts w:cs="Arial"/>
          <w:lang w:val="es-ES"/>
        </w:rPr>
      </w:pPr>
      <w:r w:rsidRPr="00526311">
        <w:rPr>
          <w:lang w:val="es-ES" w:eastAsia="zh-CN"/>
        </w:rPr>
        <w:t xml:space="preserve">La utilización del presupuesto se ha mantenido dentro de los límites establecidos </w:t>
      </w:r>
      <w:r>
        <w:rPr>
          <w:lang w:val="es-ES" w:eastAsia="zh-CN"/>
        </w:rPr>
        <w:t xml:space="preserve">para </w:t>
      </w:r>
      <w:r w:rsidRPr="00526311">
        <w:rPr>
          <w:lang w:val="es-ES" w:eastAsia="zh-CN"/>
        </w:rPr>
        <w:t>el bienio</w:t>
      </w:r>
      <w:r w:rsidRPr="00526311">
        <w:rPr>
          <w:rFonts w:cs="Arial"/>
          <w:lang w:val="es-ES" w:eastAsia="ko-KR"/>
        </w:rPr>
        <w:t>.</w:t>
      </w:r>
    </w:p>
    <w:p w:rsidR="003B33EE" w:rsidRDefault="003B33EE"/>
    <w:p w:rsidR="003B33EE" w:rsidRDefault="003B33EE"/>
    <w:p w:rsidR="00FA423E" w:rsidRDefault="00FA423E" w:rsidP="00FA423E"/>
    <w:p w:rsidR="00FA423E" w:rsidRDefault="00FA423E" w:rsidP="00FA423E">
      <w:r>
        <w:br w:type="page"/>
      </w:r>
    </w:p>
    <w:p w:rsidR="00FA423E" w:rsidRPr="00F171B5" w:rsidRDefault="00FA423E" w:rsidP="00FA423E">
      <w:pPr>
        <w:pStyle w:val="StyleHeading214ptAuto"/>
        <w:rPr>
          <w:rFonts w:ascii="Arial" w:hAnsi="Arial" w:cs="Arial"/>
          <w:sz w:val="20"/>
          <w:szCs w:val="20"/>
          <w:lang w:val="es-ES"/>
        </w:rPr>
      </w:pPr>
      <w:bookmarkStart w:id="151" w:name="_Toc455159097"/>
      <w:bookmarkStart w:id="152" w:name="_Toc367350596"/>
      <w:r w:rsidRPr="00F171B5">
        <w:rPr>
          <w:rFonts w:ascii="Arial" w:hAnsi="Arial" w:cs="Arial"/>
          <w:sz w:val="20"/>
          <w:szCs w:val="20"/>
          <w:lang w:val="es-ES_tradnl"/>
        </w:rPr>
        <w:lastRenderedPageBreak/>
        <w:t>META ESTRATÉGICA VII</w:t>
      </w:r>
      <w:bookmarkEnd w:id="151"/>
    </w:p>
    <w:p w:rsidR="00FA423E" w:rsidRPr="00F171B5" w:rsidRDefault="00FA423E" w:rsidP="00FA423E">
      <w:pPr>
        <w:rPr>
          <w:sz w:val="20"/>
        </w:rPr>
      </w:pPr>
    </w:p>
    <w:bookmarkEnd w:id="152"/>
    <w:p w:rsidR="00FA423E" w:rsidRPr="00F171B5" w:rsidRDefault="00FA423E" w:rsidP="00FA423E">
      <w:pPr>
        <w:jc w:val="center"/>
        <w:rPr>
          <w:sz w:val="20"/>
        </w:rPr>
      </w:pPr>
      <w:r w:rsidRPr="00F171B5">
        <w:rPr>
          <w:b/>
          <w:sz w:val="20"/>
          <w:lang w:val="es-ES_tradnl"/>
        </w:rPr>
        <w:t>VÍNCULOS ENTRE LA P.I. Y LOS PROBLEMAS MUNDIALES DE POLÍTICA PÚBLICA</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70D26BB9" wp14:editId="537B9483">
            <wp:extent cx="5940425" cy="3001973"/>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0425" cy="3001973"/>
                    </a:xfrm>
                    <a:prstGeom prst="rect">
                      <a:avLst/>
                    </a:prstGeom>
                    <a:noFill/>
                    <a:ln>
                      <a:noFill/>
                    </a:ln>
                  </pic:spPr>
                </pic:pic>
              </a:graphicData>
            </a:graphic>
          </wp:inline>
        </w:drawing>
      </w:r>
    </w:p>
    <w:p w:rsidR="00FA423E" w:rsidRPr="00F171B5" w:rsidRDefault="00FA423E" w:rsidP="00FA423E">
      <w:pPr>
        <w:jc w:val="center"/>
        <w:rPr>
          <w:sz w:val="20"/>
        </w:rPr>
      </w:pPr>
    </w:p>
    <w:tbl>
      <w:tblPr>
        <w:tblW w:w="5148" w:type="pct"/>
        <w:tblInd w:w="-17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6"/>
        <w:gridCol w:w="4186"/>
        <w:gridCol w:w="1628"/>
        <w:gridCol w:w="1204"/>
      </w:tblGrid>
      <w:tr w:rsidR="00FA423E" w:rsidRPr="00AF5E7C" w:rsidTr="00DC1333">
        <w:trPr>
          <w:cantSplit/>
          <w:tblHeader/>
        </w:trPr>
        <w:tc>
          <w:tcPr>
            <w:tcW w:w="143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rPr>
                <w:b/>
                <w:bCs/>
                <w:sz w:val="18"/>
                <w:szCs w:val="18"/>
              </w:rPr>
            </w:pPr>
            <w:r w:rsidRPr="007E4934">
              <w:rPr>
                <w:b/>
                <w:bCs/>
                <w:sz w:val="18"/>
                <w:szCs w:val="18"/>
                <w:lang w:val="es-ES_tradnl"/>
              </w:rPr>
              <w:t>Resultados previstos</w:t>
            </w:r>
          </w:p>
        </w:tc>
        <w:tc>
          <w:tcPr>
            <w:tcW w:w="21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rPr>
                <w:b/>
                <w:sz w:val="18"/>
                <w:szCs w:val="18"/>
              </w:rPr>
            </w:pPr>
            <w:r w:rsidRPr="007E4934">
              <w:rPr>
                <w:b/>
                <w:sz w:val="18"/>
                <w:szCs w:val="18"/>
                <w:lang w:val="es-ES_tradnl"/>
              </w:rPr>
              <w:t>Indicadores de rendimiento</w:t>
            </w:r>
          </w:p>
        </w:tc>
        <w:tc>
          <w:tcPr>
            <w:tcW w:w="82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jc w:val="center"/>
              <w:rPr>
                <w:sz w:val="18"/>
                <w:szCs w:val="18"/>
              </w:rPr>
            </w:pPr>
            <w:r w:rsidRPr="007E4934">
              <w:rPr>
                <w:b/>
                <w:sz w:val="18"/>
                <w:szCs w:val="18"/>
                <w:lang w:val="es-ES_tradnl"/>
              </w:rPr>
              <w:t>Programas responsables</w:t>
            </w:r>
          </w:p>
        </w:tc>
        <w:tc>
          <w:tcPr>
            <w:tcW w:w="611" w:type="pct"/>
            <w:tcBorders>
              <w:top w:val="single" w:sz="4" w:space="0" w:color="auto"/>
              <w:bottom w:val="single" w:sz="4" w:space="0" w:color="auto"/>
            </w:tcBorders>
            <w:shd w:val="clear" w:color="auto" w:fill="DAEEF3" w:themeFill="accent5" w:themeFillTint="33"/>
            <w:vAlign w:val="center"/>
          </w:tcPr>
          <w:p w:rsidR="00FA423E" w:rsidRPr="00206A01" w:rsidRDefault="00FA423E" w:rsidP="00DC1333">
            <w:pPr>
              <w:jc w:val="center"/>
              <w:rPr>
                <w:b/>
                <w:bCs/>
                <w:sz w:val="18"/>
                <w:szCs w:val="18"/>
              </w:rPr>
            </w:pPr>
            <w:r w:rsidRPr="007E4934">
              <w:rPr>
                <w:b/>
                <w:bCs/>
                <w:sz w:val="18"/>
                <w:szCs w:val="18"/>
                <w:lang w:val="es-ES_tradnl"/>
              </w:rPr>
              <w:t>Clave de colores</w:t>
            </w:r>
          </w:p>
        </w:tc>
      </w:tr>
      <w:tr w:rsidR="00FA423E" w:rsidRPr="00AF5E7C" w:rsidTr="00DC1333">
        <w:trPr>
          <w:cantSplit/>
          <w:trHeight w:val="486"/>
        </w:trPr>
        <w:tc>
          <w:tcPr>
            <w:tcW w:w="1439" w:type="pct"/>
            <w:vMerge w:val="restart"/>
            <w:tcBorders>
              <w:top w:val="single" w:sz="4" w:space="0" w:color="auto"/>
              <w:right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rPr>
              <w:t xml:space="preserve">VII.2 </w:t>
            </w:r>
            <w:r w:rsidRPr="007E4934">
              <w:rPr>
                <w:sz w:val="16"/>
                <w:szCs w:val="16"/>
                <w:lang w:val="es-ES_tradnl"/>
              </w:rPr>
              <w:t>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c>
          <w:tcPr>
            <w:tcW w:w="2124" w:type="pct"/>
            <w:tcBorders>
              <w:top w:val="single" w:sz="4" w:space="0" w:color="auto"/>
              <w:left w:val="nil"/>
              <w:bottom w:val="nil"/>
              <w:right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Aumento del número de miembros de </w:t>
            </w:r>
            <w:r w:rsidRPr="007E4934">
              <w:rPr>
                <w:i/>
                <w:sz w:val="16"/>
                <w:szCs w:val="16"/>
                <w:lang w:val="es-ES_tradnl"/>
              </w:rPr>
              <w:t>WIPO Re:Search</w:t>
            </w:r>
            <w:r w:rsidRPr="007E4934">
              <w:rPr>
                <w:sz w:val="16"/>
                <w:szCs w:val="16"/>
                <w:lang w:val="es-ES_tradnl"/>
              </w:rPr>
              <w:t>, incluidos los procedentes de países en desarrollo y PMA</w:t>
            </w:r>
            <w:r w:rsidRPr="007E4934">
              <w:rPr>
                <w:sz w:val="16"/>
                <w:szCs w:val="16"/>
              </w:rPr>
              <w:t xml:space="preserve"> </w:t>
            </w:r>
          </w:p>
        </w:tc>
        <w:tc>
          <w:tcPr>
            <w:tcW w:w="826" w:type="pct"/>
            <w:tcBorders>
              <w:top w:val="single" w:sz="4" w:space="0" w:color="auto"/>
              <w:left w:val="nil"/>
              <w:bottom w:val="nil"/>
              <w:right w:val="nil"/>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r w:rsidRPr="007E4934">
              <w:rPr>
                <w:sz w:val="16"/>
                <w:szCs w:val="16"/>
                <w:lang w:bidi="th-TH"/>
              </w:rPr>
              <w:t xml:space="preserve"> </w:t>
            </w:r>
          </w:p>
        </w:tc>
        <w:tc>
          <w:tcPr>
            <w:tcW w:w="611" w:type="pct"/>
            <w:tcBorders>
              <w:top w:val="single" w:sz="4" w:space="0" w:color="auto"/>
              <w:left w:val="nil"/>
            </w:tcBorders>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94"/>
        </w:trPr>
        <w:tc>
          <w:tcPr>
            <w:tcW w:w="1439" w:type="pct"/>
            <w:vMerge/>
            <w:tcBorders>
              <w:right w:val="nil"/>
            </w:tcBorders>
            <w:shd w:val="clear" w:color="auto" w:fill="auto"/>
            <w:tcMar>
              <w:top w:w="113" w:type="dxa"/>
              <w:bottom w:w="85" w:type="dxa"/>
            </w:tcMar>
          </w:tcPr>
          <w:p w:rsidR="00FA423E" w:rsidRPr="007E4934" w:rsidRDefault="00FA423E" w:rsidP="00DC1333">
            <w:pPr>
              <w:rPr>
                <w:sz w:val="16"/>
                <w:szCs w:val="16"/>
              </w:rPr>
            </w:pPr>
          </w:p>
        </w:tc>
        <w:tc>
          <w:tcPr>
            <w:tcW w:w="2124" w:type="pct"/>
            <w:tcBorders>
              <w:top w:val="nil"/>
              <w:left w:val="nil"/>
              <w:bottom w:val="nil"/>
              <w:right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Aumento de las contribuciones a la base de datos de </w:t>
            </w:r>
            <w:r w:rsidRPr="007E4934">
              <w:rPr>
                <w:i/>
                <w:sz w:val="16"/>
                <w:szCs w:val="16"/>
                <w:lang w:val="es-ES_tradnl"/>
              </w:rPr>
              <w:t>WIPO Re:Search</w:t>
            </w:r>
            <w:r w:rsidRPr="007E4934">
              <w:rPr>
                <w:sz w:val="16"/>
                <w:szCs w:val="16"/>
              </w:rPr>
              <w:t xml:space="preserve"> </w:t>
            </w:r>
          </w:p>
        </w:tc>
        <w:tc>
          <w:tcPr>
            <w:tcW w:w="826" w:type="pct"/>
            <w:tcBorders>
              <w:top w:val="nil"/>
              <w:left w:val="nil"/>
              <w:bottom w:val="nil"/>
              <w:right w:val="nil"/>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r w:rsidRPr="007E4934">
              <w:rPr>
                <w:sz w:val="16"/>
                <w:szCs w:val="16"/>
                <w:lang w:bidi="th-TH"/>
              </w:rPr>
              <w:t xml:space="preserve"> </w:t>
            </w:r>
          </w:p>
        </w:tc>
        <w:tc>
          <w:tcPr>
            <w:tcW w:w="611" w:type="pct"/>
            <w:tcBorders>
              <w:top w:val="nil"/>
              <w:left w:val="nil"/>
            </w:tcBorders>
            <w:shd w:val="clear" w:color="auto" w:fill="FFFFFF"/>
          </w:tcPr>
          <w:p w:rsidR="00FA423E" w:rsidRPr="00CC3F44" w:rsidRDefault="00FA423E" w:rsidP="00DC1333">
            <w:pPr>
              <w:jc w:val="center"/>
            </w:pPr>
            <w:r w:rsidRPr="00CC3F44">
              <w:rPr>
                <w:color w:val="FF0000"/>
                <w:szCs w:val="22"/>
              </w:rPr>
              <w:sym w:font="Wingdings" w:char="F06C"/>
            </w:r>
          </w:p>
        </w:tc>
      </w:tr>
      <w:tr w:rsidR="00FA423E" w:rsidRPr="00AF5E7C" w:rsidTr="00DC1333">
        <w:trPr>
          <w:cantSplit/>
          <w:trHeight w:val="516"/>
        </w:trPr>
        <w:tc>
          <w:tcPr>
            <w:tcW w:w="1439" w:type="pct"/>
            <w:vMerge/>
            <w:tcBorders>
              <w:right w:val="nil"/>
            </w:tcBorders>
            <w:shd w:val="clear" w:color="auto" w:fill="auto"/>
            <w:tcMar>
              <w:top w:w="113" w:type="dxa"/>
              <w:bottom w:w="85" w:type="dxa"/>
            </w:tcMar>
          </w:tcPr>
          <w:p w:rsidR="00FA423E" w:rsidRPr="007E4934" w:rsidRDefault="00FA423E" w:rsidP="00DC1333">
            <w:pPr>
              <w:rPr>
                <w:sz w:val="16"/>
                <w:szCs w:val="16"/>
              </w:rPr>
            </w:pPr>
          </w:p>
        </w:tc>
        <w:tc>
          <w:tcPr>
            <w:tcW w:w="2124" w:type="pct"/>
            <w:tcBorders>
              <w:top w:val="nil"/>
              <w:left w:val="nil"/>
              <w:bottom w:val="nil"/>
              <w:right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Aumento del número de acuerdos suscritos en el marco de </w:t>
            </w:r>
            <w:r w:rsidRPr="007E4934">
              <w:rPr>
                <w:i/>
                <w:sz w:val="16"/>
                <w:szCs w:val="16"/>
                <w:lang w:val="es-ES_tradnl"/>
              </w:rPr>
              <w:t>WIPO Re:Search</w:t>
            </w:r>
            <w:r w:rsidRPr="007E4934">
              <w:rPr>
                <w:sz w:val="16"/>
                <w:szCs w:val="16"/>
                <w:lang w:val="es-ES_tradnl"/>
              </w:rPr>
              <w:t xml:space="preserve"> que conducen a nuevas actividades de I+D, o a un aceleramiento de las mismas, en enfermedades tropicales desatendidas, paludismo y tuberculosis</w:t>
            </w:r>
          </w:p>
        </w:tc>
        <w:tc>
          <w:tcPr>
            <w:tcW w:w="826" w:type="pct"/>
            <w:tcBorders>
              <w:top w:val="nil"/>
              <w:left w:val="nil"/>
              <w:bottom w:val="nil"/>
              <w:right w:val="nil"/>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r w:rsidRPr="007E4934">
              <w:rPr>
                <w:sz w:val="16"/>
                <w:szCs w:val="16"/>
                <w:lang w:bidi="th-TH"/>
              </w:rPr>
              <w:t xml:space="preserve"> </w:t>
            </w:r>
          </w:p>
          <w:p w:rsidR="00FA423E" w:rsidRPr="007E4934" w:rsidRDefault="00FA423E" w:rsidP="00DC1333">
            <w:pPr>
              <w:ind w:left="661"/>
              <w:rPr>
                <w:sz w:val="16"/>
                <w:szCs w:val="16"/>
                <w:lang w:bidi="th-TH"/>
              </w:rPr>
            </w:pPr>
          </w:p>
        </w:tc>
        <w:tc>
          <w:tcPr>
            <w:tcW w:w="611" w:type="pct"/>
            <w:tcBorders>
              <w:top w:val="nil"/>
              <w:left w:val="nil"/>
            </w:tcBorders>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72"/>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tcBorders>
              <w:top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miembros de WIPO GREEN</w:t>
            </w:r>
          </w:p>
        </w:tc>
        <w:tc>
          <w:tcPr>
            <w:tcW w:w="826" w:type="pct"/>
            <w:tcBorders>
              <w:top w:val="nil"/>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706"/>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vínculos establecidos entre WIPO GREEN y los mecanismos pertinentes, como los centros y redes de tecnología del clima (CMNUCC) y los centros de innovación climática (infoDev)</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96"/>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acuerdos catalizados por medio de WIPO GREEN que facilitan la transferencia de conocimiento así como la adaptación, transferencia o difusión de tecnología</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pPr>
            <w:r w:rsidRPr="00CC3F44">
              <w:rPr>
                <w:color w:val="FF0000"/>
                <w:szCs w:val="22"/>
              </w:rPr>
              <w:sym w:font="Wingdings" w:char="F06C"/>
            </w:r>
          </w:p>
        </w:tc>
      </w:tr>
      <w:tr w:rsidR="00FA423E" w:rsidRPr="00AF5E7C" w:rsidTr="00DC1333">
        <w:trPr>
          <w:cantSplit/>
          <w:trHeight w:val="292"/>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visitas a las páginas sobre desafíos mundiales del sitio web</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rPr>
                <w:color w:val="A6A6A6" w:themeColor="background1" w:themeShade="A6"/>
                <w:szCs w:val="22"/>
              </w:rPr>
            </w:pP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r w:rsidRPr="00CC3F44">
              <w:rPr>
                <w:color w:val="FF0000"/>
                <w:szCs w:val="22"/>
              </w:rPr>
              <w:sym w:font="Wingdings" w:char="F06C"/>
            </w:r>
          </w:p>
        </w:tc>
      </w:tr>
      <w:tr w:rsidR="00FA423E" w:rsidRPr="00AF5E7C" w:rsidTr="00DC1333">
        <w:trPr>
          <w:cantSplit/>
          <w:trHeight w:val="344"/>
        </w:trPr>
        <w:tc>
          <w:tcPr>
            <w:tcW w:w="1439" w:type="pct"/>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 xml:space="preserve">Participación de las partes interesadas en plataformas de la OMPI como WIPO GREEN y </w:t>
            </w:r>
            <w:r w:rsidRPr="007E4934">
              <w:rPr>
                <w:i/>
                <w:sz w:val="16"/>
                <w:szCs w:val="16"/>
                <w:lang w:val="es-ES_tradnl"/>
              </w:rPr>
              <w:t>WIPO Re:Search</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611" w:type="pct"/>
            <w:shd w:val="clear" w:color="auto" w:fill="FFFFFF"/>
          </w:tcPr>
          <w:p w:rsidR="00FA423E" w:rsidRPr="00CC3F44" w:rsidRDefault="00FA423E" w:rsidP="00DC1333">
            <w:pPr>
              <w:jc w:val="center"/>
              <w:rPr>
                <w:color w:val="008000"/>
                <w:szCs w:val="22"/>
              </w:rPr>
            </w:pPr>
            <w:r w:rsidRPr="00CC3F44">
              <w:rPr>
                <w:color w:val="FF0000"/>
                <w:szCs w:val="22"/>
              </w:rPr>
              <w:sym w:font="Wingdings" w:char="F06C"/>
            </w:r>
            <w:r w:rsidRPr="00CC3F44">
              <w:rPr>
                <w:color w:val="008000"/>
                <w:szCs w:val="22"/>
              </w:rPr>
              <w:sym w:font="Wingdings" w:char="F06C"/>
            </w:r>
            <w:r w:rsidRPr="00CC3F44">
              <w:rPr>
                <w:color w:val="008000"/>
                <w:szCs w:val="22"/>
              </w:rPr>
              <w:sym w:font="Wingdings" w:char="F06C"/>
            </w:r>
            <w:r w:rsidRPr="00CC3F44">
              <w:rPr>
                <w:color w:val="A6A6A6" w:themeColor="background1" w:themeShade="A6"/>
                <w:szCs w:val="22"/>
              </w:rPr>
              <w:sym w:font="Wingdings" w:char="F06C"/>
            </w:r>
            <w:r w:rsidRPr="00CC3F44">
              <w:rPr>
                <w:color w:val="FF0000"/>
                <w:szCs w:val="22"/>
              </w:rPr>
              <w:sym w:font="Wingdings" w:char="F06C"/>
            </w:r>
          </w:p>
        </w:tc>
      </w:tr>
      <w:tr w:rsidR="00FA423E" w:rsidRPr="00AF5E7C" w:rsidTr="00DC1333">
        <w:trPr>
          <w:cantSplit/>
          <w:trHeight w:val="400"/>
        </w:trPr>
        <w:tc>
          <w:tcPr>
            <w:tcW w:w="1439"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lastRenderedPageBreak/>
              <w:t>VII.3 Mayor credibilidad de la OMPI en tanto que foro para el análisis de cuestiones en el ámbito de la P.I. y la política de competencia</w:t>
            </w:r>
          </w:p>
        </w:tc>
        <w:tc>
          <w:tcPr>
            <w:tcW w:w="2124"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países que solicitan la aportación específica de la OMPI en materia de P.I. en relación con la política de competencia</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44"/>
        </w:trPr>
        <w:tc>
          <w:tcPr>
            <w:tcW w:w="1439" w:type="pct"/>
            <w:vMerge/>
            <w:shd w:val="clear" w:color="auto" w:fill="auto"/>
            <w:tcMar>
              <w:top w:w="113" w:type="dxa"/>
              <w:bottom w:w="85" w:type="dxa"/>
            </w:tcMar>
          </w:tcPr>
          <w:p w:rsidR="00FA423E" w:rsidRPr="007E4934" w:rsidRDefault="00FA423E" w:rsidP="00DC1333">
            <w:pPr>
              <w:rPr>
                <w:sz w:val="16"/>
                <w:szCs w:val="16"/>
              </w:rPr>
            </w:pPr>
          </w:p>
        </w:tc>
        <w:tc>
          <w:tcPr>
            <w:tcW w:w="2124" w:type="pct"/>
            <w:shd w:val="clear" w:color="auto" w:fill="auto"/>
            <w:tcMar>
              <w:top w:w="113" w:type="dxa"/>
              <w:bottom w:w="85" w:type="dxa"/>
            </w:tcMar>
          </w:tcPr>
          <w:p w:rsidR="00FA423E" w:rsidRPr="007E4934" w:rsidRDefault="00FA423E" w:rsidP="00DC1333">
            <w:pPr>
              <w:rPr>
                <w:rFonts w:eastAsia="MS Mincho" w:cs="Courier New"/>
                <w:sz w:val="16"/>
                <w:szCs w:val="16"/>
                <w:lang w:bidi="th-TH"/>
              </w:rPr>
            </w:pPr>
            <w:r w:rsidRPr="007E4934">
              <w:rPr>
                <w:rFonts w:eastAsia="MS Mincho" w:cs="Courier New"/>
                <w:sz w:val="16"/>
                <w:szCs w:val="16"/>
                <w:lang w:val="es-ES_tradnl" w:bidi="th-TH"/>
              </w:rPr>
              <w:t>Número y diversidad de sectores interesados (oficinas de P.I., autoridades encargadas de cuestiones de competencia, OIG y ONG) que entablan diálogo con la OMPI</w:t>
            </w:r>
          </w:p>
        </w:tc>
        <w:tc>
          <w:tcPr>
            <w:tcW w:w="826"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18</w:t>
            </w:r>
          </w:p>
        </w:tc>
        <w:tc>
          <w:tcPr>
            <w:tcW w:w="61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bl>
    <w:p w:rsidR="00E80502" w:rsidRDefault="00E80502" w:rsidP="00FA423E">
      <w:pPr>
        <w:rPr>
          <w:b/>
          <w:bCs/>
          <w:iCs/>
          <w:caps/>
          <w:lang w:val="en-GB" w:eastAsia="da-DK"/>
        </w:rPr>
      </w:pPr>
      <w:bookmarkStart w:id="153" w:name="_Toc422210506"/>
      <w:bookmarkStart w:id="154" w:name="_Toc367350598"/>
    </w:p>
    <w:p w:rsidR="00E80502" w:rsidRDefault="00E80502" w:rsidP="00FA423E">
      <w:pPr>
        <w:rPr>
          <w:b/>
          <w:bCs/>
          <w:iCs/>
          <w:caps/>
          <w:lang w:val="en-GB" w:eastAsia="da-DK"/>
        </w:rPr>
      </w:pPr>
    </w:p>
    <w:p w:rsidR="00E80502" w:rsidRDefault="00E80502">
      <w:pPr>
        <w:rPr>
          <w:b/>
          <w:bCs/>
          <w:iCs/>
          <w:caps/>
          <w:lang w:val="en-GB" w:eastAsia="da-DK"/>
        </w:rPr>
      </w:pPr>
      <w:r>
        <w:rPr>
          <w:b/>
          <w:bCs/>
          <w:iCs/>
          <w:caps/>
          <w:lang w:val="en-GB" w:eastAsia="da-DK"/>
        </w:rPr>
        <w:br w:type="page"/>
      </w:r>
    </w:p>
    <w:p w:rsidR="00E80502" w:rsidRPr="009A6CA1" w:rsidRDefault="00E80502" w:rsidP="00DC1333">
      <w:pPr>
        <w:pStyle w:val="Heading2"/>
        <w:keepNext w:val="0"/>
        <w:widowControl w:val="0"/>
        <w:tabs>
          <w:tab w:val="left" w:pos="2410"/>
        </w:tabs>
        <w:rPr>
          <w:b/>
          <w:szCs w:val="20"/>
        </w:rPr>
      </w:pPr>
      <w:bookmarkStart w:id="155" w:name="_Toc422927430"/>
      <w:bookmarkStart w:id="156" w:name="_Toc455159098"/>
      <w:r w:rsidRPr="009A6CA1">
        <w:rPr>
          <w:b/>
          <w:szCs w:val="20"/>
        </w:rPr>
        <w:lastRenderedPageBreak/>
        <w:t>PROGRAMA 18</w:t>
      </w:r>
      <w:r w:rsidRPr="009A6CA1">
        <w:rPr>
          <w:b/>
          <w:szCs w:val="20"/>
        </w:rPr>
        <w:tab/>
        <w:t>LA P.I. Y LOS DESAFÍOS MUNDIALES</w:t>
      </w:r>
      <w:bookmarkEnd w:id="155"/>
      <w:bookmarkEnd w:id="156"/>
    </w:p>
    <w:p w:rsidR="00E80502" w:rsidRPr="009A6CA1" w:rsidRDefault="00E80502" w:rsidP="00DC1333">
      <w:pPr>
        <w:widowControl w:val="0"/>
        <w:rPr>
          <w:sz w:val="20"/>
        </w:rPr>
      </w:pPr>
    </w:p>
    <w:p w:rsidR="00E80502" w:rsidRPr="009A6CA1" w:rsidRDefault="00E80502" w:rsidP="00DC1333">
      <w:pPr>
        <w:widowControl w:val="0"/>
        <w:tabs>
          <w:tab w:val="left" w:pos="2410"/>
        </w:tabs>
        <w:rPr>
          <w:b/>
          <w:sz w:val="20"/>
        </w:rPr>
      </w:pPr>
      <w:r w:rsidRPr="009A6CA1">
        <w:rPr>
          <w:b/>
          <w:sz w:val="20"/>
        </w:rPr>
        <w:t>Director de programa</w:t>
      </w:r>
      <w:r w:rsidRPr="009A6CA1">
        <w:rPr>
          <w:b/>
          <w:sz w:val="20"/>
        </w:rPr>
        <w:tab/>
        <w:t>Sr. M. A. Getahun</w:t>
      </w:r>
    </w:p>
    <w:p w:rsidR="00E80502" w:rsidRPr="009A6CA1" w:rsidRDefault="00E80502" w:rsidP="00DC1333">
      <w:pPr>
        <w:widowControl w:val="0"/>
        <w:rPr>
          <w:sz w:val="20"/>
        </w:rPr>
      </w:pPr>
    </w:p>
    <w:p w:rsidR="00E80502" w:rsidRPr="009A6CA1" w:rsidRDefault="00E80502" w:rsidP="00DC1333">
      <w:pPr>
        <w:widowControl w:val="0"/>
        <w:rPr>
          <w:sz w:val="20"/>
        </w:rPr>
      </w:pPr>
    </w:p>
    <w:p w:rsidR="00E80502" w:rsidRPr="009A6CA1" w:rsidRDefault="008F7CBE" w:rsidP="00DC1333">
      <w:pPr>
        <w:widowControl w:val="0"/>
        <w:rPr>
          <w:bCs/>
        </w:rPr>
      </w:pPr>
      <w:r w:rsidRPr="008F7CBE">
        <w:rPr>
          <w:bCs/>
          <w:sz w:val="20"/>
          <w:szCs w:val="22"/>
        </w:rPr>
        <w:t>LOGROS ALCANZADOS EN EL BIENIO 2014/15</w:t>
      </w:r>
    </w:p>
    <w:p w:rsidR="00E80502" w:rsidRPr="009A6CA1" w:rsidRDefault="00E80502" w:rsidP="00DC1333">
      <w:pPr>
        <w:widowControl w:val="0"/>
        <w:jc w:val="both"/>
      </w:pPr>
    </w:p>
    <w:p w:rsidR="00E80502" w:rsidRPr="007E4C6C" w:rsidRDefault="00E80502" w:rsidP="00E80502">
      <w:pPr>
        <w:widowControl w:val="0"/>
        <w:numPr>
          <w:ilvl w:val="0"/>
          <w:numId w:val="85"/>
        </w:numPr>
        <w:tabs>
          <w:tab w:val="left" w:pos="709"/>
        </w:tabs>
        <w:ind w:left="0" w:firstLine="0"/>
        <w:jc w:val="both"/>
        <w:rPr>
          <w:color w:val="000000" w:themeColor="text1"/>
          <w:sz w:val="20"/>
        </w:rPr>
      </w:pPr>
      <w:r w:rsidRPr="007E4C6C">
        <w:rPr>
          <w:bCs/>
          <w:sz w:val="20"/>
        </w:rPr>
        <w:t xml:space="preserve">El programa 18 concierne a la innovación y la P.I. en la confluencia de varios desafíos mundiales interrelacionados, en particular la salud mundial, el cambio climático y la seguridad alimentaria.  En el bienio 2014/15 el programa siguió contribuyendo </w:t>
      </w:r>
      <w:r w:rsidRPr="007E4C6C">
        <w:rPr>
          <w:bCs/>
          <w:color w:val="000000" w:themeColor="text1"/>
          <w:sz w:val="20"/>
        </w:rPr>
        <w:t xml:space="preserve">a mejorar la comprensión de los encargados de la formulación de políticas acerca de la relación existente entre los desafíos mundiales, la innovación y la propiedad intelectual, entre otras cosas, mediante las dos plataformas de múltiples interesados </w:t>
      </w:r>
      <w:r w:rsidRPr="007E4C6C">
        <w:rPr>
          <w:color w:val="000000" w:themeColor="text1"/>
          <w:sz w:val="20"/>
        </w:rPr>
        <w:t>(</w:t>
      </w:r>
      <w:r w:rsidRPr="007E4C6C">
        <w:rPr>
          <w:i/>
          <w:color w:val="000000" w:themeColor="text1"/>
          <w:sz w:val="20"/>
        </w:rPr>
        <w:t>WIPO Re:Search</w:t>
      </w:r>
      <w:r w:rsidRPr="007E4C6C">
        <w:rPr>
          <w:color w:val="000000" w:themeColor="text1"/>
          <w:sz w:val="20"/>
        </w:rPr>
        <w:t xml:space="preserve"> y </w:t>
      </w:r>
      <w:r w:rsidRPr="007E4C6C">
        <w:rPr>
          <w:i/>
          <w:color w:val="000000" w:themeColor="text1"/>
          <w:sz w:val="20"/>
        </w:rPr>
        <w:t>WIPO GREEN</w:t>
      </w:r>
      <w:r w:rsidRPr="007E4C6C">
        <w:rPr>
          <w:color w:val="000000" w:themeColor="text1"/>
          <w:sz w:val="20"/>
        </w:rPr>
        <w:t>, respectivamente) y la colaboración en curso con la OMS y la OMC, centrada en la interrelación entre la salud, la propiedad intelectual, la innovación y el comercio.  A lo largo del bienio se siguieron recibiendo comentarios positivos de una amplia gama de sectores interesados acerca de la labor desempeñada por la OMPI en el ámbito de la P</w:t>
      </w:r>
      <w:r>
        <w:rPr>
          <w:color w:val="000000" w:themeColor="text1"/>
          <w:sz w:val="20"/>
        </w:rPr>
        <w:t>.I. y los desafíos mundiales.</w:t>
      </w:r>
    </w:p>
    <w:p w:rsidR="00E80502" w:rsidRPr="009A6CA1" w:rsidRDefault="00E80502" w:rsidP="00DC1333">
      <w:pPr>
        <w:widowControl w:val="0"/>
        <w:tabs>
          <w:tab w:val="left" w:pos="709"/>
        </w:tabs>
        <w:jc w:val="both"/>
        <w:rPr>
          <w:color w:val="000000" w:themeColor="text1"/>
          <w:sz w:val="20"/>
        </w:rPr>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color w:val="000000" w:themeColor="text1"/>
          <w:sz w:val="20"/>
        </w:rPr>
        <w:t xml:space="preserve">En estrecha coordinación con los programas pertinentes, en particular los programas 20 (Relaciones exteriores, alianzas y oficinas en el exterior) y 30 (Pequeñas y medianas empresas (pymes) e innovación), la OMPI consolidó su posición como fuente fiable de apoyo, colaboración y referencia en lo que atañe a la información sobre cuestiones relativas a las políticas públicas y la P.I., lo que motivó las continuas solicitudes dirigidas a la Organización para contribuir y participar en foros organizados por otras organizaciones internacionales y no gubernamentales, incluidas la OMS, la OMC, las ONG, el sector privado y las universidades.  Durante el bienio se organizaron tres seminarios de la OMPI en los que los participantes pudieron intercambiar ideas, conocimientos especializados e información sobre Desafíos Mundiales:  i) </w:t>
      </w:r>
      <w:r w:rsidRPr="009A6CA1">
        <w:rPr>
          <w:bCs/>
          <w:i/>
          <w:color w:val="000000" w:themeColor="text1"/>
          <w:sz w:val="20"/>
        </w:rPr>
        <w:t>Patent Landscape for Renewable Energy</w:t>
      </w:r>
      <w:r w:rsidRPr="009A6CA1">
        <w:rPr>
          <w:bCs/>
          <w:color w:val="000000" w:themeColor="text1"/>
          <w:sz w:val="20"/>
        </w:rPr>
        <w:t xml:space="preserve"> (Actividad de patentamiento relacionada con las energías renovables) (junio de 2014)</w:t>
      </w:r>
      <w:r w:rsidRPr="009A6CA1">
        <w:rPr>
          <w:color w:val="000000" w:themeColor="text1"/>
          <w:sz w:val="20"/>
        </w:rPr>
        <w:t xml:space="preserve">; </w:t>
      </w:r>
      <w:r w:rsidRPr="009A6CA1">
        <w:rPr>
          <w:sz w:val="20"/>
        </w:rPr>
        <w:t xml:space="preserve"> </w:t>
      </w:r>
      <w:hyperlink r:id="rId160" w:history="1">
        <w:r w:rsidRPr="009A6CA1">
          <w:rPr>
            <w:rStyle w:val="Hyperlink"/>
            <w:i/>
            <w:sz w:val="20"/>
          </w:rPr>
          <w:t>Innovation and Access to Medicines:  A Case Study for HIV/AIDS and Hepatitis C</w:t>
        </w:r>
      </w:hyperlink>
      <w:r w:rsidRPr="009A6CA1">
        <w:rPr>
          <w:color w:val="000000" w:themeColor="text1"/>
          <w:sz w:val="20"/>
        </w:rPr>
        <w:t xml:space="preserve"> (Innovación y acceso a los medicamentos:  caso práctico en relación con el VIH/SIDA y la hepatitis C) (diciembre de 2014), y iii) </w:t>
      </w:r>
      <w:r w:rsidRPr="009A6CA1">
        <w:rPr>
          <w:bCs/>
          <w:i/>
          <w:kern w:val="36"/>
          <w:sz w:val="20"/>
        </w:rPr>
        <w:t>Advancing a New Generation of Products to Combat Neglected Tropical Diseases</w:t>
      </w:r>
      <w:r w:rsidRPr="009A6CA1">
        <w:rPr>
          <w:color w:val="000000" w:themeColor="text1"/>
          <w:sz w:val="20"/>
        </w:rPr>
        <w:t xml:space="preserve"> (Promoción de una nueva generación de productos “antipobreza” para luchar contra las enfermedades tropicales desatendidas) (octubre de 2015)</w:t>
      </w:r>
      <w:r w:rsidRPr="009A6CA1">
        <w:rPr>
          <w:sz w:val="20"/>
        </w:rPr>
        <w:t>.  Además se publicaron cuatro d</w:t>
      </w:r>
      <w:r w:rsidRPr="009A6CA1">
        <w:rPr>
          <w:rFonts w:eastAsia="Times New Roman"/>
          <w:color w:val="000000" w:themeColor="text1"/>
          <w:sz w:val="20"/>
        </w:rPr>
        <w:t>ocumentos de información sobre los desafíos mundiales</w:t>
      </w:r>
      <w:r w:rsidRPr="009A6CA1">
        <w:rPr>
          <w:rStyle w:val="FootnoteReference"/>
          <w:rFonts w:eastAsia="Times New Roman"/>
          <w:color w:val="000000" w:themeColor="text1"/>
          <w:sz w:val="20"/>
        </w:rPr>
        <w:footnoteReference w:id="102"/>
      </w:r>
      <w:r w:rsidRPr="009A6CA1">
        <w:rPr>
          <w:rFonts w:eastAsia="Times New Roman"/>
          <w:color w:val="000000" w:themeColor="text1"/>
          <w:sz w:val="20"/>
        </w:rPr>
        <w:t xml:space="preserve"> y tres informes sobre desafíos mundiales.</w:t>
      </w:r>
      <w:r w:rsidRPr="009A6CA1">
        <w:rPr>
          <w:rStyle w:val="FootnoteReference"/>
          <w:rFonts w:eastAsia="Times New Roman"/>
          <w:color w:val="000000" w:themeColor="text1"/>
          <w:sz w:val="20"/>
        </w:rPr>
        <w:footnoteReference w:id="103"/>
      </w:r>
      <w:r w:rsidRPr="009A6CA1">
        <w:rPr>
          <w:rFonts w:eastAsia="Times New Roman"/>
          <w:color w:val="000000" w:themeColor="text1"/>
          <w:sz w:val="20"/>
        </w:rPr>
        <w:t xml:space="preserve">  En el marco de la labor relativa al </w:t>
      </w:r>
      <w:r w:rsidRPr="009A6CA1">
        <w:rPr>
          <w:color w:val="000000" w:themeColor="text1"/>
          <w:sz w:val="20"/>
        </w:rPr>
        <w:t>fortalecimiento</w:t>
      </w:r>
      <w:r w:rsidRPr="009A6CA1">
        <w:rPr>
          <w:rFonts w:eastAsia="Times New Roman"/>
          <w:color w:val="000000" w:themeColor="text1"/>
          <w:sz w:val="20"/>
        </w:rPr>
        <w:t xml:space="preserve"> de capacidad en los países en desarrollo</w:t>
      </w:r>
      <w:r w:rsidRPr="009A6CA1">
        <w:rPr>
          <w:rFonts w:eastAsia="Times New Roman" w:cs="Times New Roman"/>
          <w:color w:val="000000" w:themeColor="text1"/>
          <w:sz w:val="20"/>
          <w:lang w:eastAsia="en-US"/>
        </w:rPr>
        <w:t xml:space="preserve"> </w:t>
      </w:r>
      <w:r w:rsidRPr="009A6CA1">
        <w:rPr>
          <w:rFonts w:eastAsia="Times New Roman"/>
          <w:color w:val="000000" w:themeColor="text1"/>
          <w:sz w:val="20"/>
        </w:rPr>
        <w:t xml:space="preserve">de la plataforma </w:t>
      </w:r>
      <w:r w:rsidRPr="009A6CA1">
        <w:rPr>
          <w:rFonts w:eastAsia="Times New Roman"/>
          <w:i/>
          <w:color w:val="000000" w:themeColor="text1"/>
          <w:sz w:val="20"/>
        </w:rPr>
        <w:t>WIPO Re</w:t>
      </w:r>
      <w:proofErr w:type="gramStart"/>
      <w:r w:rsidRPr="009A6CA1">
        <w:rPr>
          <w:rFonts w:eastAsia="Times New Roman"/>
          <w:i/>
          <w:color w:val="000000" w:themeColor="text1"/>
          <w:sz w:val="20"/>
        </w:rPr>
        <w:t>:Search</w:t>
      </w:r>
      <w:proofErr w:type="gramEnd"/>
      <w:r w:rsidRPr="009A6CA1">
        <w:rPr>
          <w:sz w:val="20"/>
        </w:rPr>
        <w:t xml:space="preserve">, se organizaron dos seminarios de formación sobre la gestión de la P.I., en coordinación con el programa 9 (Oficinas regionales) y el programa 30 </w:t>
      </w:r>
      <w:r w:rsidRPr="009A6CA1">
        <w:rPr>
          <w:color w:val="000000" w:themeColor="text1"/>
          <w:sz w:val="20"/>
        </w:rPr>
        <w:t>(Pequeñas y medianas empresas (pymes) e innovación)</w:t>
      </w:r>
      <w:r w:rsidRPr="009A6CA1">
        <w:rPr>
          <w:sz w:val="20"/>
        </w:rPr>
        <w:t>, dirigido a los científicos de los países en desarrollo que son miembros de la plataforma.</w:t>
      </w:r>
    </w:p>
    <w:p w:rsidR="00E80502" w:rsidRPr="009A6CA1" w:rsidRDefault="00E80502" w:rsidP="00DC1333">
      <w:pPr>
        <w:widowControl w:val="0"/>
        <w:tabs>
          <w:tab w:val="left" w:pos="0"/>
          <w:tab w:val="left" w:pos="1134"/>
        </w:tabs>
        <w:jc w:val="both"/>
        <w:rPr>
          <w:bCs/>
          <w:color w:val="000000" w:themeColor="text1"/>
          <w:sz w:val="20"/>
        </w:rPr>
      </w:pPr>
    </w:p>
    <w:p w:rsidR="00E80502" w:rsidRPr="009A6CA1" w:rsidRDefault="00E80502" w:rsidP="00E80502">
      <w:pPr>
        <w:widowControl w:val="0"/>
        <w:numPr>
          <w:ilvl w:val="0"/>
          <w:numId w:val="85"/>
        </w:numPr>
        <w:tabs>
          <w:tab w:val="left" w:pos="709"/>
        </w:tabs>
        <w:ind w:left="0" w:firstLine="0"/>
        <w:jc w:val="both"/>
        <w:rPr>
          <w:rFonts w:eastAsia="Times New Roman"/>
          <w:color w:val="000000" w:themeColor="text1"/>
          <w:sz w:val="20"/>
        </w:rPr>
      </w:pPr>
      <w:r w:rsidRPr="009A6CA1">
        <w:rPr>
          <w:color w:val="000000" w:themeColor="text1"/>
          <w:sz w:val="20"/>
        </w:rPr>
        <w:t xml:space="preserve">La plataforma </w:t>
      </w:r>
      <w:r w:rsidRPr="009A6CA1">
        <w:rPr>
          <w:i/>
          <w:color w:val="000000" w:themeColor="text1"/>
          <w:sz w:val="20"/>
        </w:rPr>
        <w:t>WIPO GREEN</w:t>
      </w:r>
      <w:r w:rsidRPr="009A6CA1">
        <w:rPr>
          <w:color w:val="000000" w:themeColor="text1"/>
          <w:sz w:val="20"/>
        </w:rPr>
        <w:t xml:space="preserve">, que fue inaugurada en noviembre de 2013, celebró en 2014 su primer año de actividad.  Gracias a la realización de campañas de sensibilización dirigidas a destinatarios específicos, en el bienio 2014/15 se logró potenciar </w:t>
      </w:r>
      <w:r w:rsidRPr="009A6CA1">
        <w:rPr>
          <w:i/>
          <w:color w:val="000000" w:themeColor="text1"/>
          <w:sz w:val="20"/>
        </w:rPr>
        <w:t>considerablemente</w:t>
      </w:r>
      <w:r w:rsidRPr="009A6CA1">
        <w:rPr>
          <w:color w:val="000000" w:themeColor="text1"/>
          <w:sz w:val="20"/>
        </w:rPr>
        <w:t xml:space="preserve"> la visibilidad de </w:t>
      </w:r>
      <w:r w:rsidRPr="009A6CA1">
        <w:rPr>
          <w:i/>
          <w:color w:val="000000" w:themeColor="text1"/>
          <w:sz w:val="20"/>
        </w:rPr>
        <w:t>WIPO GREEN</w:t>
      </w:r>
      <w:proofErr w:type="gramStart"/>
      <w:r w:rsidRPr="009A6CA1">
        <w:rPr>
          <w:i/>
          <w:color w:val="000000" w:themeColor="text1"/>
          <w:sz w:val="20"/>
        </w:rPr>
        <w:t>:  El</w:t>
      </w:r>
      <w:proofErr w:type="gramEnd"/>
      <w:r w:rsidRPr="009A6CA1">
        <w:rPr>
          <w:i/>
          <w:color w:val="000000" w:themeColor="text1"/>
          <w:sz w:val="20"/>
        </w:rPr>
        <w:t xml:space="preserve"> mercado de la tecnología sostenible</w:t>
      </w:r>
      <w:r w:rsidRPr="009A6CA1">
        <w:rPr>
          <w:color w:val="000000" w:themeColor="text1"/>
          <w:sz w:val="20"/>
        </w:rPr>
        <w:t xml:space="preserve">.  La red de asociados aumentó de 36 en 2013 </w:t>
      </w:r>
      <w:r>
        <w:rPr>
          <w:color w:val="000000" w:themeColor="text1"/>
          <w:sz w:val="20"/>
        </w:rPr>
        <w:t>a </w:t>
      </w:r>
      <w:r w:rsidRPr="009A6CA1">
        <w:rPr>
          <w:color w:val="000000" w:themeColor="text1"/>
          <w:sz w:val="20"/>
        </w:rPr>
        <w:t xml:space="preserve">54 en 2014 y 65 en 2015, y el número de usuarios inscritos se triplicó, pasando de 160 en 2013 a 490 al final de 2015.  También aumentó más del doble el contenido de la base de datos </w:t>
      </w:r>
      <w:r w:rsidRPr="009A6CA1">
        <w:rPr>
          <w:rFonts w:eastAsia="Times New Roman"/>
          <w:i/>
          <w:color w:val="000000" w:themeColor="text1"/>
          <w:sz w:val="20"/>
        </w:rPr>
        <w:t>WIPO GREEN</w:t>
      </w:r>
      <w:r w:rsidRPr="009A6CA1">
        <w:rPr>
          <w:rFonts w:eastAsia="Times New Roman"/>
          <w:color w:val="000000" w:themeColor="text1"/>
          <w:sz w:val="20"/>
        </w:rPr>
        <w:t>, pasando de 830 registros en 2013 a 2.181 en 2015, gracias a los acuerdos de integración de bases de datos y las aportaciones individuales de datos.</w:t>
      </w:r>
    </w:p>
    <w:p w:rsidR="00E80502" w:rsidRPr="009A6CA1" w:rsidRDefault="00E80502" w:rsidP="00DC1333">
      <w:pPr>
        <w:pStyle w:val="ListParagraph"/>
        <w:ind w:left="0"/>
        <w:rPr>
          <w:color w:val="000000" w:themeColor="text1"/>
          <w:lang w:val="es-ES"/>
        </w:rPr>
      </w:pPr>
    </w:p>
    <w:p w:rsidR="00E80502" w:rsidRPr="009A6CA1" w:rsidRDefault="00E80502" w:rsidP="00DC1333">
      <w:pPr>
        <w:pStyle w:val="ListParagraph"/>
        <w:keepNext/>
        <w:keepLines/>
        <w:jc w:val="center"/>
        <w:rPr>
          <w:color w:val="000000" w:themeColor="text1"/>
          <w:lang w:val="es-ES"/>
        </w:rPr>
      </w:pPr>
      <w:r w:rsidRPr="009A6CA1">
        <w:rPr>
          <w:rFonts w:cs="Arial"/>
          <w:i/>
          <w:sz w:val="16"/>
          <w:szCs w:val="16"/>
          <w:lang w:val="es-ES"/>
        </w:rPr>
        <w:lastRenderedPageBreak/>
        <w:t xml:space="preserve">WIPO GREEN: </w:t>
      </w:r>
      <w:r>
        <w:rPr>
          <w:rFonts w:cs="Arial"/>
          <w:i/>
          <w:sz w:val="16"/>
          <w:szCs w:val="16"/>
          <w:lang w:val="es-ES"/>
        </w:rPr>
        <w:t>N</w:t>
      </w:r>
      <w:proofErr w:type="gramStart"/>
      <w:r>
        <w:rPr>
          <w:rFonts w:cs="Arial"/>
          <w:i/>
          <w:sz w:val="16"/>
          <w:szCs w:val="16"/>
          <w:lang w:val="es-ES"/>
        </w:rPr>
        <w:t>.º</w:t>
      </w:r>
      <w:proofErr w:type="gramEnd"/>
      <w:r w:rsidRPr="009A6CA1">
        <w:rPr>
          <w:rFonts w:cs="Arial"/>
          <w:i/>
          <w:sz w:val="16"/>
          <w:szCs w:val="16"/>
          <w:lang w:val="es-ES"/>
        </w:rPr>
        <w:t xml:space="preserve"> de asociados, usuarios inscritos y aportaciones de datos, 2013-2015</w:t>
      </w:r>
    </w:p>
    <w:p w:rsidR="00E80502" w:rsidRDefault="00E80502" w:rsidP="00DC1333">
      <w:pPr>
        <w:pStyle w:val="ListParagraph"/>
        <w:keepNext/>
        <w:keepLines/>
        <w:ind w:left="0"/>
        <w:rPr>
          <w:color w:val="000000" w:themeColor="text1"/>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86"/>
      </w:tblGrid>
      <w:tr w:rsidR="00E80502" w:rsidTr="00DC1333">
        <w:trPr>
          <w:jc w:val="center"/>
        </w:trPr>
        <w:tc>
          <w:tcPr>
            <w:tcW w:w="4606" w:type="dxa"/>
          </w:tcPr>
          <w:p w:rsidR="00E80502" w:rsidRDefault="00E80502" w:rsidP="00DC1333">
            <w:pPr>
              <w:pStyle w:val="Default"/>
              <w:tabs>
                <w:tab w:val="left" w:pos="709"/>
              </w:tabs>
              <w:jc w:val="center"/>
              <w:rPr>
                <w:rFonts w:eastAsia="Times New Roman"/>
                <w:bCs/>
                <w:color w:val="auto"/>
                <w:sz w:val="20"/>
                <w:szCs w:val="20"/>
              </w:rPr>
            </w:pPr>
            <w:r>
              <w:rPr>
                <w:rFonts w:eastAsia="Times New Roman"/>
                <w:bCs/>
                <w:noProof/>
                <w:color w:val="auto"/>
                <w:sz w:val="20"/>
                <w:szCs w:val="20"/>
                <w:lang w:eastAsia="en-US"/>
              </w:rPr>
              <w:drawing>
                <wp:inline distT="0" distB="0" distL="0" distR="0" wp14:anchorId="7E373496" wp14:editId="26E95362">
                  <wp:extent cx="2846760" cy="1690576"/>
                  <wp:effectExtent l="0" t="0" r="0" b="508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50961" cy="1693071"/>
                          </a:xfrm>
                          <a:prstGeom prst="rect">
                            <a:avLst/>
                          </a:prstGeom>
                          <a:noFill/>
                          <a:ln>
                            <a:noFill/>
                          </a:ln>
                        </pic:spPr>
                      </pic:pic>
                    </a:graphicData>
                  </a:graphic>
                </wp:inline>
              </w:drawing>
            </w:r>
          </w:p>
        </w:tc>
        <w:tc>
          <w:tcPr>
            <w:tcW w:w="4637" w:type="dxa"/>
          </w:tcPr>
          <w:p w:rsidR="00E80502" w:rsidRDefault="00E80502" w:rsidP="00DC1333">
            <w:pPr>
              <w:pStyle w:val="Default"/>
              <w:tabs>
                <w:tab w:val="left" w:pos="709"/>
              </w:tabs>
              <w:jc w:val="both"/>
              <w:rPr>
                <w:rFonts w:eastAsia="Times New Roman"/>
                <w:bCs/>
                <w:color w:val="auto"/>
                <w:sz w:val="20"/>
                <w:szCs w:val="20"/>
              </w:rPr>
            </w:pPr>
            <w:r>
              <w:rPr>
                <w:rFonts w:eastAsia="Times New Roman"/>
                <w:bCs/>
                <w:noProof/>
                <w:color w:val="auto"/>
                <w:sz w:val="20"/>
                <w:szCs w:val="20"/>
                <w:lang w:eastAsia="en-US"/>
              </w:rPr>
              <w:drawing>
                <wp:inline distT="0" distB="0" distL="0" distR="0" wp14:anchorId="603097DD" wp14:editId="433EDB24">
                  <wp:extent cx="2838893" cy="169780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55561" cy="1707771"/>
                          </a:xfrm>
                          <a:prstGeom prst="rect">
                            <a:avLst/>
                          </a:prstGeom>
                          <a:noFill/>
                          <a:ln>
                            <a:noFill/>
                          </a:ln>
                        </pic:spPr>
                      </pic:pic>
                    </a:graphicData>
                  </a:graphic>
                </wp:inline>
              </w:drawing>
            </w:r>
          </w:p>
        </w:tc>
      </w:tr>
    </w:tbl>
    <w:p w:rsidR="00E80502" w:rsidRDefault="00E80502" w:rsidP="00DC1333">
      <w:pPr>
        <w:pStyle w:val="ListParagraph"/>
        <w:keepNext/>
        <w:keepLines/>
        <w:ind w:left="0"/>
        <w:rPr>
          <w:color w:val="000000" w:themeColor="text1"/>
          <w:lang w:val="es-ES"/>
        </w:rPr>
      </w:pPr>
    </w:p>
    <w:p w:rsidR="00E80502" w:rsidRPr="009A6CA1" w:rsidRDefault="00E80502" w:rsidP="00DC1333">
      <w:pPr>
        <w:pStyle w:val="ListParagraph"/>
        <w:keepNext/>
        <w:keepLines/>
        <w:ind w:left="0"/>
        <w:rPr>
          <w:color w:val="000000" w:themeColor="text1"/>
          <w:lang w:val="es-ES"/>
        </w:rPr>
      </w:pPr>
    </w:p>
    <w:p w:rsidR="00E80502" w:rsidRPr="009A6CA1" w:rsidRDefault="00E80502" w:rsidP="00E80502">
      <w:pPr>
        <w:keepNext/>
        <w:keepLines/>
        <w:widowControl w:val="0"/>
        <w:numPr>
          <w:ilvl w:val="0"/>
          <w:numId w:val="85"/>
        </w:numPr>
        <w:tabs>
          <w:tab w:val="left" w:pos="709"/>
        </w:tabs>
        <w:ind w:left="0" w:firstLine="0"/>
        <w:jc w:val="both"/>
        <w:rPr>
          <w:rFonts w:eastAsia="Times New Roman"/>
          <w:color w:val="000000" w:themeColor="text1"/>
          <w:sz w:val="20"/>
        </w:rPr>
      </w:pPr>
      <w:r w:rsidRPr="009A6CA1">
        <w:rPr>
          <w:rFonts w:eastAsia="Times New Roman"/>
          <w:color w:val="000000" w:themeColor="text1"/>
          <w:sz w:val="20"/>
        </w:rPr>
        <w:t xml:space="preserve">Aunque durante el bienio 2014/15 se mantuvo el objetivo de constituir un sólido grupo de colaboradores y </w:t>
      </w:r>
      <w:r w:rsidRPr="009A6CA1">
        <w:rPr>
          <w:color w:val="000000" w:themeColor="text1"/>
          <w:sz w:val="20"/>
        </w:rPr>
        <w:t>aumentar</w:t>
      </w:r>
      <w:r w:rsidRPr="009A6CA1">
        <w:rPr>
          <w:rFonts w:eastAsia="Times New Roman"/>
          <w:color w:val="000000" w:themeColor="text1"/>
          <w:sz w:val="20"/>
        </w:rPr>
        <w:t xml:space="preserve"> el número de registros para propiciar una mayor interacción con el mercado y el uso de la plataforma a los fines de las transacciones, en este momento no se dispone de ningún registro de transacciones concretadas </w:t>
      </w:r>
      <w:r w:rsidRPr="009A6CA1">
        <w:rPr>
          <w:color w:val="000000" w:themeColor="text1"/>
          <w:sz w:val="20"/>
        </w:rPr>
        <w:t>que puedan atribuirse directamente al uso de</w:t>
      </w:r>
      <w:r w:rsidRPr="009A6CA1">
        <w:rPr>
          <w:rFonts w:eastAsia="Times New Roman"/>
          <w:color w:val="000000" w:themeColor="text1"/>
          <w:sz w:val="20"/>
        </w:rPr>
        <w:t xml:space="preserve"> </w:t>
      </w:r>
      <w:r w:rsidRPr="009A6CA1">
        <w:rPr>
          <w:rFonts w:eastAsia="Times New Roman"/>
          <w:i/>
          <w:color w:val="000000" w:themeColor="text1"/>
          <w:sz w:val="20"/>
        </w:rPr>
        <w:t>WIPO GREEN</w:t>
      </w:r>
      <w:r w:rsidRPr="009A6CA1">
        <w:rPr>
          <w:rFonts w:eastAsia="Times New Roman"/>
          <w:color w:val="000000" w:themeColor="text1"/>
          <w:sz w:val="20"/>
        </w:rPr>
        <w:t xml:space="preserve">.  Por otra parte, también contribuyó a que no se concretaran transacciones el hecho de que </w:t>
      </w:r>
      <w:r w:rsidRPr="009A6CA1">
        <w:rPr>
          <w:rFonts w:eastAsia="Times New Roman"/>
          <w:i/>
          <w:color w:val="000000" w:themeColor="text1"/>
          <w:sz w:val="20"/>
        </w:rPr>
        <w:t>WIPO GREEN</w:t>
      </w:r>
      <w:r w:rsidRPr="009A6CA1">
        <w:rPr>
          <w:rFonts w:eastAsia="Times New Roman"/>
          <w:color w:val="000000" w:themeColor="text1"/>
          <w:sz w:val="20"/>
        </w:rPr>
        <w:t xml:space="preserve"> no cuente actualmente con un “centro de vínculos de cooperación” o un proveedor de servicios y de que, por lo general, el tiempo necesario para la concertación de acuerdos sea largo.  En 2015 la labor se centró en </w:t>
      </w:r>
      <w:r w:rsidRPr="009A6CA1">
        <w:rPr>
          <w:color w:val="000000" w:themeColor="text1"/>
          <w:sz w:val="20"/>
        </w:rPr>
        <w:t>ayudar</w:t>
      </w:r>
      <w:r w:rsidRPr="009A6CA1">
        <w:rPr>
          <w:rFonts w:eastAsia="Times New Roman"/>
          <w:color w:val="000000" w:themeColor="text1"/>
          <w:sz w:val="20"/>
        </w:rPr>
        <w:t xml:space="preserve"> a las personas que hacen las búsquedas a precisar sus necesidades y facilitar conexiones.  Por consiguiente, en 2015 se introdujeron directrices más detalladas para esas personas, lo que se tradujo en una mejora de la calidad de la descripción de las necesidades.  En el primer acto de establecimiento de contactos que organizó la OMPI en 2015, bajo el título Facilitar la transferencia y la difusión de tecnología limpia</w:t>
      </w:r>
      <w:proofErr w:type="gramStart"/>
      <w:r w:rsidRPr="009A6CA1">
        <w:rPr>
          <w:rFonts w:eastAsia="Times New Roman"/>
          <w:color w:val="000000" w:themeColor="text1"/>
          <w:sz w:val="20"/>
        </w:rPr>
        <w:t>:  oportunidades</w:t>
      </w:r>
      <w:proofErr w:type="gramEnd"/>
      <w:r w:rsidRPr="009A6CA1">
        <w:rPr>
          <w:rFonts w:eastAsia="Times New Roman"/>
          <w:color w:val="000000" w:themeColor="text1"/>
          <w:sz w:val="20"/>
        </w:rPr>
        <w:t xml:space="preserve"> de un proyecto piloto sobre tratamiento de aguas residuales en el sudeste asiático, que tuvo lugar en Manila (Filipinas), las partes firmaron 16 cartas de intenciones.</w:t>
      </w:r>
    </w:p>
    <w:p w:rsidR="00E80502" w:rsidRPr="009A6CA1" w:rsidRDefault="00E80502" w:rsidP="00DC1333">
      <w:pPr>
        <w:widowControl w:val="0"/>
        <w:tabs>
          <w:tab w:val="left" w:pos="0"/>
        </w:tabs>
        <w:jc w:val="both"/>
        <w:rPr>
          <w:color w:val="000000" w:themeColor="text1"/>
          <w:sz w:val="20"/>
        </w:rPr>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i/>
          <w:color w:val="000000" w:themeColor="text1"/>
          <w:sz w:val="20"/>
        </w:rPr>
        <w:t>WIPO Re:Search</w:t>
      </w:r>
      <w:r w:rsidRPr="009A6CA1">
        <w:rPr>
          <w:color w:val="000000" w:themeColor="text1"/>
          <w:sz w:val="20"/>
        </w:rPr>
        <w:t xml:space="preserve"> – Compartir la innovación en la lucha contra las enfermedades tropicales desatendidas – logró un mayor reconocimiento como plataforma de apoyo a la innovación, los conocimientos, la transferencia de tecnología y el fortalecimiento de capacidades relacionados con la investigación en el ámbito de las enfermedades tropicales desatendidas, la tuberculosis y el paludismo.  En el transcurso del bienio se registraron 52 nuevas colaboraciones entre miembros de la plataforma y se incorporaron 20 miembros nuevos, 6 de ellos de países en desarrollo, alcanzado un total de 96 colaboraciones y 100 miembros, de los que 22 procedían de países en desarrollo.  Además, el potencial de la plataforma para la transferencia de tecnología de países desarrollados a países en desarrollo respecto de los activos de propiedad intelectual, incluidos los conocimientos especializados y la capacidad técnica, se concretó en la continuación de la concesión de licencias sabáticas a 6 científicos africanos para que realizaran labores de investigación en instituciones de investigación extranjeras.  Las licencias sabáticas, que arrancaron en el bienio pasado, fueron posibles gracias a un fondo fiduciario dotado por el Gobierno australiano.  Cuatro de ellas ya habían finalizado al término del bienio.</w:t>
      </w:r>
    </w:p>
    <w:p w:rsidR="00E80502" w:rsidRPr="009A6CA1" w:rsidRDefault="00E80502" w:rsidP="00DC1333">
      <w:pPr>
        <w:widowControl w:val="0"/>
        <w:tabs>
          <w:tab w:val="left" w:pos="709"/>
        </w:tabs>
        <w:jc w:val="both"/>
        <w:rPr>
          <w:bCs/>
        </w:rPr>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color w:val="000000" w:themeColor="text1"/>
          <w:sz w:val="20"/>
        </w:rPr>
        <w:t>La cooperación trilateral entre la OMS, la OMPI y la OMC siguió centrándose en la mejora de la comprensión entre los responsables de la formulación de políticas de la interacción entre la salud, la P.I. y el comercio.  En noviembre de 2014 y octubre de 2015 tuvieron lugar en Ginebra los simposios trilaterales cuarto y quinto, en los que se examinaron los desafíos y las oportunidades en la esfera de la innovación en materia de salud en los países de ingresos medianos y las políticas públicas necesarias para asegurar que el rápido crecimiento económico contribuya al acceso y a una cobertura sanitaria universal.  En octubre de 2015, en el marco de la cooperación trilateral, se organizó de forma conjunta un seminario técnico sobre criterios de patentabilidad que obtuvo muy buena acogida entre los participantes en general.</w:t>
      </w:r>
    </w:p>
    <w:p w:rsidR="00E80502" w:rsidRPr="009A6CA1" w:rsidRDefault="00E80502" w:rsidP="00DC1333">
      <w:pPr>
        <w:widowControl w:val="0"/>
        <w:tabs>
          <w:tab w:val="left" w:pos="709"/>
        </w:tabs>
        <w:jc w:val="both"/>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color w:val="000000" w:themeColor="text1"/>
          <w:sz w:val="20"/>
        </w:rPr>
        <w:t>En el ámbito de la P.I. y la política de competencia, los Estados miembros siguieron manifestando interés en mantener un diálogo destinado a mejorar su comprensión sobre la relación entre la P.I. y la política de competencia.  Se recibieron solicitudes tanto de las oficinas de P.I. como de las administraciones competentes en materia de competencia, incluso de países menos familiarizados con las cuestiones relacionadas con la competencia en el ámbito de la P.I.</w:t>
      </w:r>
    </w:p>
    <w:p w:rsidR="00E80502" w:rsidRPr="009A6CA1" w:rsidRDefault="00E80502" w:rsidP="00DC1333">
      <w:pPr>
        <w:widowControl w:val="0"/>
        <w:tabs>
          <w:tab w:val="left" w:pos="709"/>
        </w:tabs>
        <w:jc w:val="both"/>
        <w:rPr>
          <w:color w:val="000000" w:themeColor="text1"/>
          <w:sz w:val="20"/>
        </w:rPr>
      </w:pPr>
    </w:p>
    <w:p w:rsidR="00E80502" w:rsidRPr="009A6CA1" w:rsidRDefault="00E80502" w:rsidP="0006462C">
      <w:pPr>
        <w:widowControl w:val="0"/>
        <w:numPr>
          <w:ilvl w:val="0"/>
          <w:numId w:val="85"/>
        </w:numPr>
        <w:tabs>
          <w:tab w:val="left" w:pos="709"/>
        </w:tabs>
        <w:ind w:left="0" w:firstLine="0"/>
        <w:jc w:val="both"/>
        <w:rPr>
          <w:color w:val="000000" w:themeColor="text1"/>
          <w:sz w:val="20"/>
        </w:rPr>
      </w:pPr>
      <w:r w:rsidRPr="009A6CA1">
        <w:rPr>
          <w:color w:val="000000" w:themeColor="text1"/>
          <w:sz w:val="20"/>
        </w:rPr>
        <w:t xml:space="preserve">El número de administraciones competentes en materia de competencia que han mantenido una colaboración con la OMPI aumentó a 39 y se consolidó la cooperación estructurada e informal con otras </w:t>
      </w:r>
      <w:r w:rsidRPr="009A6CA1">
        <w:rPr>
          <w:color w:val="000000" w:themeColor="text1"/>
          <w:sz w:val="20"/>
        </w:rPr>
        <w:lastRenderedPageBreak/>
        <w:t>organizaciones competentes en ese campo, en particular la OCDE, la UNCTAD, la OMC, la Red Internacional de Competencia y el Mercado Común para el África Oriental y Meridional (COMESA), que se había iniciado en el bienio anterior.  La OMPI coorganizó y/o participó en nueve talleres.  Estas actividades conjuntas de las oficinas de P.I. y las administraciones competentes en materia de competencia sirvieron de foro para el diálogo y el debate sobre la conexión existente entre la P.I. y la política de competencia.</w:t>
      </w:r>
    </w:p>
    <w:p w:rsidR="00E80502" w:rsidRPr="009A6CA1" w:rsidRDefault="00E80502" w:rsidP="00DC1333">
      <w:pPr>
        <w:widowControl w:val="0"/>
        <w:tabs>
          <w:tab w:val="left" w:pos="709"/>
        </w:tabs>
        <w:jc w:val="both"/>
        <w:rPr>
          <w:color w:val="000000" w:themeColor="text1"/>
          <w:sz w:val="20"/>
        </w:rPr>
      </w:pPr>
    </w:p>
    <w:p w:rsidR="00E80502" w:rsidRPr="009A6CA1" w:rsidRDefault="00E80502" w:rsidP="00E80502">
      <w:pPr>
        <w:widowControl w:val="0"/>
        <w:numPr>
          <w:ilvl w:val="0"/>
          <w:numId w:val="85"/>
        </w:numPr>
        <w:tabs>
          <w:tab w:val="left" w:pos="709"/>
        </w:tabs>
        <w:ind w:left="0" w:firstLine="0"/>
        <w:jc w:val="both"/>
        <w:rPr>
          <w:color w:val="000000" w:themeColor="text1"/>
          <w:sz w:val="20"/>
        </w:rPr>
      </w:pPr>
      <w:r w:rsidRPr="009A6CA1">
        <w:rPr>
          <w:color w:val="000000" w:themeColor="text1"/>
          <w:sz w:val="20"/>
        </w:rPr>
        <w:t>La concepción, planificación y ejecución de las actividades del programa 18 se basaron en las recomendaciones pertinentes de la Agenda para el Desarrollo, en particular las recomendaciones 19, 25, 30, 40 y 42.</w:t>
      </w:r>
    </w:p>
    <w:p w:rsidR="00E80502" w:rsidRPr="009A6CA1" w:rsidRDefault="00E80502" w:rsidP="00DC1333">
      <w:pPr>
        <w:widowControl w:val="0"/>
        <w:tabs>
          <w:tab w:val="left" w:pos="0"/>
          <w:tab w:val="left" w:pos="709"/>
        </w:tabs>
        <w:jc w:val="both"/>
        <w:rPr>
          <w:bCs/>
          <w:szCs w:val="22"/>
        </w:rPr>
      </w:pPr>
    </w:p>
    <w:p w:rsidR="00E80502" w:rsidRPr="009A6CA1" w:rsidRDefault="00E80502" w:rsidP="00DC1333">
      <w:pPr>
        <w:widowControl w:val="0"/>
        <w:tabs>
          <w:tab w:val="left" w:pos="709"/>
        </w:tabs>
        <w:rPr>
          <w:bCs/>
          <w:szCs w:val="22"/>
        </w:rPr>
      </w:pPr>
    </w:p>
    <w:p w:rsidR="00E80502" w:rsidRPr="009A6CA1" w:rsidRDefault="008F7CBE" w:rsidP="00DC1333">
      <w:pPr>
        <w:widowControl w:val="0"/>
        <w:rPr>
          <w:szCs w:val="22"/>
        </w:rPr>
      </w:pPr>
      <w:r w:rsidRPr="008F7CBE">
        <w:rPr>
          <w:sz w:val="20"/>
          <w:szCs w:val="22"/>
        </w:rPr>
        <w:t>DATOS SOBRE EL RENDIMIENTO</w:t>
      </w:r>
    </w:p>
    <w:p w:rsidR="00E80502" w:rsidRPr="009A6CA1" w:rsidRDefault="00E80502" w:rsidP="00DC1333">
      <w:pPr>
        <w:widowControl w:val="0"/>
        <w:rPr>
          <w:bCs/>
          <w:szCs w:val="22"/>
        </w:rPr>
      </w:pPr>
    </w:p>
    <w:tbl>
      <w:tblPr>
        <w:tblW w:w="5036"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54"/>
        <w:gridCol w:w="64"/>
        <w:gridCol w:w="108"/>
        <w:gridCol w:w="2244"/>
        <w:gridCol w:w="183"/>
        <w:gridCol w:w="15"/>
        <w:gridCol w:w="1166"/>
        <w:gridCol w:w="87"/>
        <w:gridCol w:w="85"/>
        <w:gridCol w:w="2312"/>
        <w:gridCol w:w="13"/>
        <w:gridCol w:w="52"/>
        <w:gridCol w:w="79"/>
        <w:gridCol w:w="1178"/>
      </w:tblGrid>
      <w:tr w:rsidR="00E80502" w:rsidRPr="009A6CA1" w:rsidTr="00DC1333">
        <w:trPr>
          <w:cantSplit/>
          <w:trHeight w:val="479"/>
        </w:trPr>
        <w:tc>
          <w:tcPr>
            <w:tcW w:w="5000" w:type="pct"/>
            <w:gridSpan w:val="14"/>
            <w:tcBorders>
              <w:top w:val="single" w:sz="4" w:space="0" w:color="auto"/>
              <w:bottom w:val="single" w:sz="4" w:space="0" w:color="auto"/>
            </w:tcBorders>
            <w:shd w:val="clear" w:color="auto" w:fill="C6D9F1" w:themeFill="text2" w:themeFillTint="33"/>
            <w:vAlign w:val="center"/>
          </w:tcPr>
          <w:p w:rsidR="00E80502" w:rsidRPr="009A6CA1" w:rsidRDefault="00E80502" w:rsidP="00DC1333">
            <w:pPr>
              <w:spacing w:before="120" w:after="120"/>
              <w:ind w:left="2019" w:hanging="2019"/>
              <w:rPr>
                <w:b/>
                <w:bCs/>
                <w:sz w:val="16"/>
                <w:szCs w:val="16"/>
              </w:rPr>
            </w:pPr>
            <w:r w:rsidRPr="009A6CA1">
              <w:rPr>
                <w:b/>
                <w:bCs/>
                <w:sz w:val="16"/>
                <w:szCs w:val="16"/>
              </w:rPr>
              <w:t>Resultado previsto:</w:t>
            </w:r>
            <w:r w:rsidRPr="009A6CA1">
              <w:rPr>
                <w:b/>
                <w:bCs/>
                <w:sz w:val="16"/>
                <w:szCs w:val="16"/>
              </w:rPr>
              <w:tab/>
            </w:r>
            <w:r w:rsidRPr="009A6CA1">
              <w:rPr>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E80502" w:rsidRPr="009A6CA1" w:rsidTr="00DC1333">
        <w:trPr>
          <w:cantSplit/>
        </w:trPr>
        <w:tc>
          <w:tcPr>
            <w:tcW w:w="1065" w:type="pct"/>
            <w:tcBorders>
              <w:top w:val="single" w:sz="4" w:space="0" w:color="auto"/>
            </w:tcBorders>
            <w:shd w:val="clear" w:color="auto" w:fill="auto"/>
            <w:vAlign w:val="center"/>
          </w:tcPr>
          <w:p w:rsidR="00E80502" w:rsidRPr="009A6CA1" w:rsidRDefault="00E80502" w:rsidP="00DC1333">
            <w:pPr>
              <w:widowControl w:val="0"/>
              <w:rPr>
                <w:sz w:val="16"/>
                <w:szCs w:val="16"/>
              </w:rPr>
            </w:pPr>
            <w:r w:rsidRPr="009A6CA1">
              <w:rPr>
                <w:b/>
                <w:sz w:val="16"/>
                <w:szCs w:val="16"/>
              </w:rPr>
              <w:t>Indicadores de rendimiento</w:t>
            </w:r>
          </w:p>
        </w:tc>
        <w:tc>
          <w:tcPr>
            <w:tcW w:w="1253" w:type="pct"/>
            <w:gridSpan w:val="3"/>
            <w:tcBorders>
              <w:top w:val="single" w:sz="4" w:space="0" w:color="auto"/>
            </w:tcBorders>
            <w:shd w:val="clear" w:color="auto" w:fill="auto"/>
            <w:vAlign w:val="center"/>
          </w:tcPr>
          <w:p w:rsidR="00E80502" w:rsidRPr="009A6CA1" w:rsidRDefault="00E80502" w:rsidP="00DC1333">
            <w:pPr>
              <w:widowControl w:val="0"/>
              <w:rPr>
                <w:b/>
                <w:bCs/>
                <w:sz w:val="16"/>
                <w:szCs w:val="16"/>
              </w:rPr>
            </w:pPr>
            <w:r w:rsidRPr="009A6CA1">
              <w:rPr>
                <w:b/>
                <w:bCs/>
                <w:sz w:val="16"/>
                <w:szCs w:val="16"/>
              </w:rPr>
              <w:t>Referencia</w:t>
            </w:r>
          </w:p>
        </w:tc>
        <w:tc>
          <w:tcPr>
            <w:tcW w:w="797" w:type="pct"/>
            <w:gridSpan w:val="5"/>
            <w:tcBorders>
              <w:top w:val="single" w:sz="4" w:space="0" w:color="auto"/>
            </w:tcBorders>
            <w:shd w:val="clear" w:color="auto" w:fill="auto"/>
            <w:tcMar>
              <w:top w:w="110" w:type="dxa"/>
            </w:tcMar>
            <w:vAlign w:val="center"/>
          </w:tcPr>
          <w:p w:rsidR="00E80502" w:rsidRPr="009A6CA1" w:rsidRDefault="00E80502" w:rsidP="00DC1333">
            <w:pPr>
              <w:widowControl w:val="0"/>
              <w:rPr>
                <w:b/>
                <w:sz w:val="16"/>
                <w:szCs w:val="16"/>
              </w:rPr>
            </w:pPr>
            <w:r w:rsidRPr="009A6CA1">
              <w:rPr>
                <w:b/>
                <w:sz w:val="16"/>
                <w:szCs w:val="16"/>
              </w:rPr>
              <w:t>Objetivos</w:t>
            </w:r>
          </w:p>
        </w:tc>
        <w:tc>
          <w:tcPr>
            <w:tcW w:w="1233" w:type="pct"/>
            <w:gridSpan w:val="3"/>
            <w:tcBorders>
              <w:top w:val="single" w:sz="4" w:space="0" w:color="auto"/>
            </w:tcBorders>
            <w:shd w:val="clear" w:color="auto" w:fill="FFFFFF"/>
            <w:tcMar>
              <w:top w:w="110" w:type="dxa"/>
            </w:tcMar>
            <w:vAlign w:val="center"/>
          </w:tcPr>
          <w:p w:rsidR="00E80502" w:rsidRPr="009A6CA1" w:rsidRDefault="00E80502" w:rsidP="00DC1333">
            <w:pPr>
              <w:widowControl w:val="0"/>
              <w:rPr>
                <w:sz w:val="16"/>
                <w:szCs w:val="16"/>
              </w:rPr>
            </w:pPr>
            <w:r w:rsidRPr="009A6CA1">
              <w:rPr>
                <w:b/>
                <w:sz w:val="16"/>
                <w:szCs w:val="16"/>
              </w:rPr>
              <w:t>Datos sobre el rendimiento</w:t>
            </w:r>
          </w:p>
        </w:tc>
        <w:tc>
          <w:tcPr>
            <w:tcW w:w="652" w:type="pct"/>
            <w:gridSpan w:val="2"/>
            <w:tcBorders>
              <w:top w:val="single" w:sz="4" w:space="0" w:color="auto"/>
            </w:tcBorders>
            <w:shd w:val="clear" w:color="auto" w:fill="auto"/>
            <w:tcMar>
              <w:top w:w="110" w:type="dxa"/>
            </w:tcMar>
            <w:vAlign w:val="center"/>
          </w:tcPr>
          <w:p w:rsidR="00E80502" w:rsidRPr="009A6CA1" w:rsidRDefault="00E80502" w:rsidP="00DC1333">
            <w:pPr>
              <w:widowControl w:val="0"/>
              <w:ind w:right="-107"/>
              <w:jc w:val="center"/>
              <w:rPr>
                <w:b/>
                <w:bCs/>
                <w:sz w:val="16"/>
                <w:szCs w:val="16"/>
              </w:rPr>
            </w:pPr>
            <w:r w:rsidRPr="009A6CA1">
              <w:rPr>
                <w:b/>
                <w:bCs/>
                <w:sz w:val="16"/>
                <w:szCs w:val="16"/>
              </w:rPr>
              <w:t>Clave de colores</w:t>
            </w:r>
          </w:p>
        </w:tc>
      </w:tr>
      <w:tr w:rsidR="00E80502" w:rsidRPr="009A6CA1" w:rsidTr="00DC1333">
        <w:trPr>
          <w:cantSplit/>
        </w:trPr>
        <w:tc>
          <w:tcPr>
            <w:tcW w:w="1065" w:type="pct"/>
            <w:tcBorders>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t>Número de acuerdos de acogida de científicos de países en desarrollo</w:t>
            </w:r>
          </w:p>
          <w:p w:rsidR="00E80502" w:rsidRPr="009A6CA1" w:rsidRDefault="00E80502" w:rsidP="00DC1333">
            <w:pPr>
              <w:widowControl w:val="0"/>
              <w:rPr>
                <w:sz w:val="16"/>
                <w:szCs w:val="16"/>
              </w:rPr>
            </w:pPr>
          </w:p>
        </w:tc>
        <w:tc>
          <w:tcPr>
            <w:tcW w:w="1253" w:type="pct"/>
            <w:gridSpan w:val="3"/>
            <w:tcBorders>
              <w:bottom w:val="single" w:sz="4" w:space="0" w:color="auto"/>
            </w:tcBorders>
            <w:shd w:val="clear" w:color="auto" w:fill="auto"/>
          </w:tcPr>
          <w:p w:rsidR="00E80502" w:rsidRPr="009A6CA1" w:rsidRDefault="00E80502" w:rsidP="00DC1333">
            <w:pPr>
              <w:widowControl w:val="0"/>
            </w:pPr>
            <w:r w:rsidRPr="009A6CA1">
              <w:rPr>
                <w:i/>
                <w:iCs/>
                <w:sz w:val="16"/>
                <w:szCs w:val="16"/>
              </w:rPr>
              <w:t>Referencia original en el</w:t>
            </w:r>
            <w:r w:rsidRPr="009A6CA1">
              <w:rPr>
                <w:i/>
                <w:iCs/>
                <w:sz w:val="16"/>
                <w:szCs w:val="16"/>
              </w:rPr>
              <w:br/>
              <w:t>presupuesto de 2014/15</w:t>
            </w:r>
            <w:r w:rsidRPr="009A6CA1">
              <w:rPr>
                <w:i/>
                <w:sz w:val="16"/>
                <w:szCs w:val="16"/>
              </w:rPr>
              <w:t xml:space="preserve">: </w:t>
            </w:r>
            <w:r w:rsidRPr="009A6CA1">
              <w:rPr>
                <w:sz w:val="16"/>
                <w:szCs w:val="16"/>
              </w:rPr>
              <w:t xml:space="preserve"> </w:t>
            </w:r>
            <w:r w:rsidRPr="009A6CA1">
              <w:rPr>
                <w:i/>
                <w:sz w:val="16"/>
                <w:szCs w:val="16"/>
              </w:rPr>
              <w:t>5</w:t>
            </w:r>
          </w:p>
          <w:p w:rsidR="00E80502" w:rsidRPr="009A6CA1" w:rsidRDefault="00E80502" w:rsidP="00DC1333">
            <w:pPr>
              <w:widowControl w:val="0"/>
              <w:rPr>
                <w:sz w:val="16"/>
                <w:szCs w:val="16"/>
              </w:rPr>
            </w:pPr>
          </w:p>
        </w:tc>
        <w:tc>
          <w:tcPr>
            <w:tcW w:w="797" w:type="pct"/>
            <w:gridSpan w:val="5"/>
            <w:tcBorders>
              <w:bottom w:val="single" w:sz="4" w:space="0" w:color="auto"/>
            </w:tcBorders>
            <w:shd w:val="clear" w:color="auto" w:fill="auto"/>
            <w:tcMar>
              <w:top w:w="110" w:type="dxa"/>
            </w:tcMar>
          </w:tcPr>
          <w:p w:rsidR="00E80502" w:rsidRPr="009A6CA1" w:rsidRDefault="00E80502" w:rsidP="00DC1333">
            <w:pPr>
              <w:widowControl w:val="0"/>
              <w:autoSpaceDE w:val="0"/>
              <w:autoSpaceDN w:val="0"/>
              <w:adjustRightInd w:val="0"/>
              <w:rPr>
                <w:color w:val="808080"/>
                <w:sz w:val="16"/>
                <w:szCs w:val="16"/>
              </w:rPr>
            </w:pPr>
            <w:r w:rsidRPr="009A6CA1">
              <w:rPr>
                <w:sz w:val="16"/>
                <w:szCs w:val="16"/>
              </w:rPr>
              <w:t>4</w:t>
            </w:r>
          </w:p>
        </w:tc>
        <w:tc>
          <w:tcPr>
            <w:tcW w:w="1233" w:type="pct"/>
            <w:gridSpan w:val="3"/>
            <w:tcBorders>
              <w:bottom w:val="single" w:sz="4" w:space="0" w:color="auto"/>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1 nuevo acuerdo de acogida</w:t>
            </w:r>
          </w:p>
        </w:tc>
        <w:tc>
          <w:tcPr>
            <w:tcW w:w="652" w:type="pct"/>
            <w:gridSpan w:val="2"/>
            <w:tcBorders>
              <w:bottom w:val="single" w:sz="4" w:space="0" w:color="auto"/>
            </w:tcBorders>
            <w:shd w:val="clear" w:color="auto" w:fill="auto"/>
            <w:tcMar>
              <w:top w:w="110" w:type="dxa"/>
            </w:tcMar>
          </w:tcPr>
          <w:p w:rsidR="00E80502" w:rsidRPr="009A6CA1" w:rsidRDefault="00E80502" w:rsidP="00DC1333">
            <w:pPr>
              <w:widowControl w:val="0"/>
              <w:jc w:val="center"/>
              <w:rPr>
                <w:b/>
                <w:bCs/>
                <w:color w:val="808080"/>
                <w:sz w:val="16"/>
                <w:szCs w:val="16"/>
              </w:rPr>
            </w:pPr>
            <w:r w:rsidRPr="009A6CA1">
              <w:rPr>
                <w:b/>
                <w:bCs/>
                <w:color w:val="FF0000"/>
                <w:sz w:val="16"/>
                <w:szCs w:val="16"/>
              </w:rPr>
              <w:t>No logrado</w:t>
            </w:r>
          </w:p>
        </w:tc>
      </w:tr>
      <w:tr w:rsidR="00E80502" w:rsidRPr="009A6CA1" w:rsidTr="00DC1333">
        <w:trPr>
          <w:cantSplit/>
          <w:trHeight w:val="492"/>
        </w:trPr>
        <w:tc>
          <w:tcPr>
            <w:tcW w:w="5000" w:type="pct"/>
            <w:gridSpan w:val="14"/>
            <w:tcBorders>
              <w:top w:val="single" w:sz="4" w:space="0" w:color="auto"/>
              <w:bottom w:val="single" w:sz="4" w:space="0" w:color="auto"/>
            </w:tcBorders>
            <w:shd w:val="clear" w:color="auto" w:fill="C6D9F1" w:themeFill="text2" w:themeFillTint="33"/>
            <w:vAlign w:val="center"/>
          </w:tcPr>
          <w:p w:rsidR="00E80502" w:rsidRPr="009A6CA1" w:rsidRDefault="00E80502" w:rsidP="00DC1333">
            <w:pPr>
              <w:spacing w:before="120" w:after="120"/>
              <w:ind w:left="2019" w:hanging="2019"/>
              <w:rPr>
                <w:b/>
                <w:bCs/>
                <w:sz w:val="16"/>
                <w:szCs w:val="16"/>
              </w:rPr>
            </w:pPr>
            <w:r w:rsidRPr="009A6CA1">
              <w:rPr>
                <w:b/>
                <w:bCs/>
                <w:sz w:val="16"/>
                <w:szCs w:val="16"/>
              </w:rPr>
              <w:t>Resultado previsto:</w:t>
            </w:r>
            <w:r w:rsidRPr="009A6CA1">
              <w:rPr>
                <w:b/>
                <w:bCs/>
                <w:sz w:val="16"/>
                <w:szCs w:val="16"/>
              </w:rPr>
              <w:tab/>
            </w:r>
            <w:r w:rsidRPr="009A6CA1">
              <w:rPr>
                <w:sz w:val="16"/>
                <w:szCs w:val="16"/>
              </w:rPr>
              <w:t>IV.2 Mejora del acceso y uso de información de P.I. por parte de instituciones de P.I. y el público para fomentar la innovación y la creatividad</w:t>
            </w:r>
          </w:p>
        </w:tc>
      </w:tr>
      <w:tr w:rsidR="00E80502" w:rsidRPr="009A6CA1" w:rsidTr="00DC1333">
        <w:trPr>
          <w:cantSplit/>
        </w:trPr>
        <w:tc>
          <w:tcPr>
            <w:tcW w:w="1065" w:type="pct"/>
            <w:tcBorders>
              <w:top w:val="single" w:sz="4" w:space="0" w:color="auto"/>
            </w:tcBorders>
            <w:shd w:val="clear" w:color="auto" w:fill="auto"/>
            <w:vAlign w:val="center"/>
          </w:tcPr>
          <w:p w:rsidR="00E80502" w:rsidRPr="009A6CA1" w:rsidRDefault="00E80502" w:rsidP="00DC1333">
            <w:pPr>
              <w:widowControl w:val="0"/>
              <w:rPr>
                <w:sz w:val="16"/>
                <w:szCs w:val="16"/>
              </w:rPr>
            </w:pPr>
            <w:r w:rsidRPr="009A6CA1">
              <w:rPr>
                <w:b/>
                <w:sz w:val="16"/>
                <w:szCs w:val="16"/>
              </w:rPr>
              <w:t>Indicadores de rendimiento</w:t>
            </w:r>
          </w:p>
        </w:tc>
        <w:tc>
          <w:tcPr>
            <w:tcW w:w="1253" w:type="pct"/>
            <w:gridSpan w:val="3"/>
            <w:tcBorders>
              <w:top w:val="single" w:sz="4" w:space="0" w:color="auto"/>
            </w:tcBorders>
            <w:shd w:val="clear" w:color="auto" w:fill="auto"/>
            <w:vAlign w:val="center"/>
          </w:tcPr>
          <w:p w:rsidR="00E80502" w:rsidRPr="009A6CA1" w:rsidRDefault="00E80502" w:rsidP="00DC1333">
            <w:pPr>
              <w:widowControl w:val="0"/>
              <w:rPr>
                <w:b/>
                <w:bCs/>
                <w:sz w:val="16"/>
                <w:szCs w:val="16"/>
              </w:rPr>
            </w:pPr>
            <w:r w:rsidRPr="009A6CA1">
              <w:rPr>
                <w:b/>
                <w:bCs/>
                <w:sz w:val="16"/>
                <w:szCs w:val="16"/>
              </w:rPr>
              <w:t>Referencia</w:t>
            </w:r>
          </w:p>
        </w:tc>
        <w:tc>
          <w:tcPr>
            <w:tcW w:w="797" w:type="pct"/>
            <w:gridSpan w:val="5"/>
            <w:tcBorders>
              <w:top w:val="single" w:sz="4" w:space="0" w:color="auto"/>
            </w:tcBorders>
            <w:shd w:val="clear" w:color="auto" w:fill="auto"/>
            <w:tcMar>
              <w:top w:w="110" w:type="dxa"/>
            </w:tcMar>
            <w:vAlign w:val="center"/>
          </w:tcPr>
          <w:p w:rsidR="00E80502" w:rsidRPr="009A6CA1" w:rsidRDefault="00E80502" w:rsidP="00DC1333">
            <w:pPr>
              <w:widowControl w:val="0"/>
              <w:rPr>
                <w:b/>
                <w:sz w:val="16"/>
                <w:szCs w:val="16"/>
              </w:rPr>
            </w:pPr>
            <w:r w:rsidRPr="009A6CA1">
              <w:rPr>
                <w:b/>
                <w:sz w:val="16"/>
                <w:szCs w:val="16"/>
              </w:rPr>
              <w:t>Objetivos</w:t>
            </w:r>
          </w:p>
        </w:tc>
        <w:tc>
          <w:tcPr>
            <w:tcW w:w="1233" w:type="pct"/>
            <w:gridSpan w:val="3"/>
            <w:tcBorders>
              <w:top w:val="single" w:sz="4" w:space="0" w:color="auto"/>
            </w:tcBorders>
            <w:shd w:val="clear" w:color="auto" w:fill="FFFFFF"/>
            <w:tcMar>
              <w:top w:w="110" w:type="dxa"/>
            </w:tcMar>
            <w:vAlign w:val="center"/>
          </w:tcPr>
          <w:p w:rsidR="00E80502" w:rsidRPr="009A6CA1" w:rsidRDefault="00E80502" w:rsidP="00DC1333">
            <w:pPr>
              <w:widowControl w:val="0"/>
              <w:rPr>
                <w:sz w:val="16"/>
                <w:szCs w:val="16"/>
              </w:rPr>
            </w:pPr>
            <w:r w:rsidRPr="009A6CA1">
              <w:rPr>
                <w:b/>
                <w:sz w:val="16"/>
                <w:szCs w:val="16"/>
              </w:rPr>
              <w:t>Datos sobre el rendimiento</w:t>
            </w:r>
          </w:p>
        </w:tc>
        <w:tc>
          <w:tcPr>
            <w:tcW w:w="652" w:type="pct"/>
            <w:gridSpan w:val="2"/>
            <w:tcBorders>
              <w:top w:val="single" w:sz="4" w:space="0" w:color="auto"/>
            </w:tcBorders>
            <w:shd w:val="clear" w:color="auto" w:fill="auto"/>
            <w:tcMar>
              <w:top w:w="110" w:type="dxa"/>
            </w:tcMar>
            <w:vAlign w:val="center"/>
          </w:tcPr>
          <w:p w:rsidR="00E80502" w:rsidRPr="009A6CA1" w:rsidRDefault="00E80502" w:rsidP="00DC1333">
            <w:pPr>
              <w:widowControl w:val="0"/>
              <w:ind w:right="-107"/>
              <w:jc w:val="center"/>
              <w:rPr>
                <w:b/>
                <w:bCs/>
                <w:sz w:val="16"/>
                <w:szCs w:val="16"/>
              </w:rPr>
            </w:pPr>
            <w:r w:rsidRPr="009A6CA1">
              <w:rPr>
                <w:b/>
                <w:bCs/>
                <w:sz w:val="16"/>
                <w:szCs w:val="16"/>
              </w:rPr>
              <w:t>Clave de colores</w:t>
            </w:r>
          </w:p>
        </w:tc>
      </w:tr>
      <w:tr w:rsidR="00E80502" w:rsidRPr="009A6CA1" w:rsidTr="00DC1333">
        <w:trPr>
          <w:cantSplit/>
        </w:trPr>
        <w:tc>
          <w:tcPr>
            <w:tcW w:w="1065" w:type="pct"/>
            <w:tcBorders>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t xml:space="preserve">Número de países que han verificado los datos e incluido medicamentos esenciales nacionales en </w:t>
            </w:r>
            <w:r w:rsidRPr="009A6CA1">
              <w:rPr>
                <w:i/>
                <w:sz w:val="16"/>
                <w:szCs w:val="16"/>
              </w:rPr>
              <w:t>WIPO Essential</w:t>
            </w:r>
            <w:r w:rsidRPr="009A6CA1">
              <w:rPr>
                <w:sz w:val="16"/>
                <w:szCs w:val="16"/>
              </w:rPr>
              <w:t xml:space="preserve"> </w:t>
            </w:r>
          </w:p>
        </w:tc>
        <w:tc>
          <w:tcPr>
            <w:tcW w:w="1253" w:type="pct"/>
            <w:gridSpan w:val="3"/>
            <w:tcBorders>
              <w:bottom w:val="single" w:sz="4" w:space="0" w:color="auto"/>
            </w:tcBorders>
            <w:shd w:val="clear" w:color="auto" w:fill="auto"/>
          </w:tcPr>
          <w:p w:rsidR="00E80502" w:rsidRPr="009A6CA1" w:rsidRDefault="00E80502" w:rsidP="00DC1333">
            <w:pPr>
              <w:widowControl w:val="0"/>
            </w:pPr>
            <w:r w:rsidRPr="009A6CA1">
              <w:rPr>
                <w:sz w:val="16"/>
                <w:szCs w:val="16"/>
              </w:rPr>
              <w:t xml:space="preserve">0 (cero). </w:t>
            </w:r>
          </w:p>
          <w:p w:rsidR="00E80502" w:rsidRPr="009A6CA1" w:rsidRDefault="00E80502" w:rsidP="00DC1333">
            <w:pPr>
              <w:widowControl w:val="0"/>
              <w:rPr>
                <w:sz w:val="16"/>
                <w:szCs w:val="16"/>
              </w:rPr>
            </w:pPr>
          </w:p>
        </w:tc>
        <w:tc>
          <w:tcPr>
            <w:tcW w:w="797" w:type="pct"/>
            <w:gridSpan w:val="5"/>
            <w:tcBorders>
              <w:bottom w:val="single" w:sz="4" w:space="0" w:color="auto"/>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1 país por región (África, Asia, América Latina y el Caribe).</w:t>
            </w:r>
          </w:p>
        </w:tc>
        <w:tc>
          <w:tcPr>
            <w:tcW w:w="1233" w:type="pct"/>
            <w:gridSpan w:val="3"/>
            <w:tcBorders>
              <w:bottom w:val="single" w:sz="4" w:space="0" w:color="auto"/>
            </w:tcBorders>
            <w:shd w:val="clear" w:color="auto" w:fill="FFFFFF"/>
            <w:tcMar>
              <w:top w:w="110" w:type="dxa"/>
            </w:tcMar>
          </w:tcPr>
          <w:p w:rsidR="00E80502" w:rsidRPr="009A6CA1" w:rsidRDefault="00E80502" w:rsidP="00DC1333">
            <w:pPr>
              <w:widowControl w:val="0"/>
              <w:rPr>
                <w:sz w:val="16"/>
                <w:szCs w:val="16"/>
              </w:rPr>
            </w:pPr>
            <w:r w:rsidRPr="009A6CA1">
              <w:rPr>
                <w:sz w:val="16"/>
                <w:szCs w:val="16"/>
              </w:rPr>
              <w:t xml:space="preserve">En 2014 </w:t>
            </w:r>
            <w:r w:rsidRPr="009A6CA1">
              <w:rPr>
                <w:i/>
                <w:sz w:val="16"/>
                <w:szCs w:val="16"/>
              </w:rPr>
              <w:t>WIPO Essential</w:t>
            </w:r>
            <w:r w:rsidRPr="009A6CA1">
              <w:rPr>
                <w:sz w:val="16"/>
                <w:szCs w:val="16"/>
              </w:rPr>
              <w:t xml:space="preserve"> se redefinió como el estudio de la situación de las patentes de medicamentos que figuran en la</w:t>
            </w:r>
            <w:r w:rsidRPr="009A6CA1">
              <w:t xml:space="preserve"> </w:t>
            </w:r>
            <w:r w:rsidRPr="009A6CA1">
              <w:rPr>
                <w:sz w:val="16"/>
                <w:szCs w:val="16"/>
              </w:rPr>
              <w:t>Lista Modelo de Medicamentos Esenciales de la OMS.</w:t>
            </w:r>
          </w:p>
        </w:tc>
        <w:tc>
          <w:tcPr>
            <w:tcW w:w="652" w:type="pct"/>
            <w:gridSpan w:val="2"/>
            <w:tcBorders>
              <w:bottom w:val="single" w:sz="4" w:space="0" w:color="auto"/>
            </w:tcBorders>
            <w:shd w:val="clear" w:color="auto" w:fill="auto"/>
            <w:tcMar>
              <w:top w:w="110" w:type="dxa"/>
            </w:tcMar>
          </w:tcPr>
          <w:p w:rsidR="00E80502" w:rsidRPr="009A6CA1" w:rsidRDefault="00044DA1" w:rsidP="00044DA1">
            <w:pPr>
              <w:widowControl w:val="0"/>
              <w:jc w:val="center"/>
              <w:rPr>
                <w:b/>
                <w:bCs/>
                <w:sz w:val="14"/>
                <w:szCs w:val="14"/>
              </w:rPr>
            </w:pPr>
            <w:r>
              <w:rPr>
                <w:b/>
                <w:bCs/>
                <w:sz w:val="14"/>
                <w:szCs w:val="14"/>
              </w:rPr>
              <w:t>Discontinuado</w:t>
            </w:r>
          </w:p>
        </w:tc>
      </w:tr>
      <w:tr w:rsidR="00E80502" w:rsidRPr="009A6CA1" w:rsidTr="00DC1333">
        <w:trPr>
          <w:cantSplit/>
          <w:trHeight w:val="430"/>
        </w:trPr>
        <w:tc>
          <w:tcPr>
            <w:tcW w:w="5000" w:type="pct"/>
            <w:gridSpan w:val="14"/>
            <w:tcBorders>
              <w:top w:val="single" w:sz="4" w:space="0" w:color="auto"/>
              <w:bottom w:val="single" w:sz="4" w:space="0" w:color="auto"/>
            </w:tcBorders>
            <w:shd w:val="clear" w:color="auto" w:fill="C6D9F1" w:themeFill="text2" w:themeFillTint="33"/>
            <w:vAlign w:val="center"/>
          </w:tcPr>
          <w:p w:rsidR="00E80502" w:rsidRPr="009A6CA1" w:rsidRDefault="00E80502" w:rsidP="00DC1333">
            <w:pPr>
              <w:spacing w:before="120" w:after="120"/>
              <w:ind w:left="2019" w:hanging="2019"/>
              <w:rPr>
                <w:b/>
                <w:bCs/>
                <w:sz w:val="16"/>
                <w:szCs w:val="16"/>
              </w:rPr>
            </w:pPr>
            <w:r w:rsidRPr="009A6CA1">
              <w:rPr>
                <w:b/>
                <w:bCs/>
                <w:sz w:val="16"/>
                <w:szCs w:val="16"/>
              </w:rPr>
              <w:t>Resultado previsto:</w:t>
            </w:r>
            <w:r w:rsidRPr="009A6CA1">
              <w:rPr>
                <w:b/>
                <w:bCs/>
                <w:sz w:val="16"/>
                <w:szCs w:val="16"/>
              </w:rPr>
              <w:tab/>
            </w:r>
            <w:r w:rsidRPr="009A6CA1">
              <w:rPr>
                <w:sz w:val="16"/>
                <w:szCs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E80502" w:rsidRPr="009A6CA1" w:rsidTr="00431ECD">
        <w:trPr>
          <w:cantSplit/>
        </w:trPr>
        <w:tc>
          <w:tcPr>
            <w:tcW w:w="1154" w:type="pct"/>
            <w:gridSpan w:val="3"/>
            <w:tcBorders>
              <w:top w:val="single" w:sz="4" w:space="0" w:color="auto"/>
              <w:bottom w:val="nil"/>
            </w:tcBorders>
            <w:shd w:val="clear" w:color="auto" w:fill="auto"/>
            <w:vAlign w:val="center"/>
          </w:tcPr>
          <w:p w:rsidR="00E80502" w:rsidRPr="009A6CA1" w:rsidRDefault="00E80502" w:rsidP="00DC1333">
            <w:pPr>
              <w:widowControl w:val="0"/>
              <w:rPr>
                <w:sz w:val="16"/>
                <w:szCs w:val="16"/>
              </w:rPr>
            </w:pPr>
            <w:r w:rsidRPr="009A6CA1">
              <w:rPr>
                <w:b/>
                <w:sz w:val="16"/>
                <w:szCs w:val="16"/>
              </w:rPr>
              <w:t>Indicadores de rendimiento</w:t>
            </w:r>
          </w:p>
        </w:tc>
        <w:tc>
          <w:tcPr>
            <w:tcW w:w="1267" w:type="pct"/>
            <w:gridSpan w:val="3"/>
            <w:tcBorders>
              <w:top w:val="single" w:sz="4" w:space="0" w:color="auto"/>
              <w:bottom w:val="nil"/>
            </w:tcBorders>
            <w:shd w:val="clear" w:color="auto" w:fill="auto"/>
            <w:vAlign w:val="center"/>
          </w:tcPr>
          <w:p w:rsidR="00E80502" w:rsidRPr="009A6CA1" w:rsidRDefault="00E80502" w:rsidP="00DC1333">
            <w:pPr>
              <w:widowControl w:val="0"/>
              <w:rPr>
                <w:b/>
                <w:bCs/>
                <w:sz w:val="16"/>
                <w:szCs w:val="16"/>
              </w:rPr>
            </w:pPr>
            <w:r w:rsidRPr="009A6CA1">
              <w:rPr>
                <w:b/>
                <w:bCs/>
                <w:sz w:val="16"/>
                <w:szCs w:val="16"/>
              </w:rPr>
              <w:t>Referencia</w:t>
            </w:r>
          </w:p>
        </w:tc>
        <w:tc>
          <w:tcPr>
            <w:tcW w:w="605" w:type="pct"/>
            <w:tcBorders>
              <w:top w:val="single" w:sz="4" w:space="0" w:color="auto"/>
              <w:bottom w:val="nil"/>
            </w:tcBorders>
            <w:shd w:val="clear" w:color="auto" w:fill="auto"/>
            <w:tcMar>
              <w:top w:w="110" w:type="dxa"/>
            </w:tcMar>
            <w:vAlign w:val="center"/>
          </w:tcPr>
          <w:p w:rsidR="00E80502" w:rsidRPr="009A6CA1" w:rsidRDefault="00E80502" w:rsidP="00DC1333">
            <w:pPr>
              <w:widowControl w:val="0"/>
              <w:rPr>
                <w:b/>
                <w:sz w:val="16"/>
                <w:szCs w:val="16"/>
              </w:rPr>
            </w:pPr>
            <w:r w:rsidRPr="009A6CA1">
              <w:rPr>
                <w:b/>
                <w:sz w:val="16"/>
                <w:szCs w:val="16"/>
              </w:rPr>
              <w:t>Objetivos</w:t>
            </w:r>
          </w:p>
        </w:tc>
        <w:tc>
          <w:tcPr>
            <w:tcW w:w="1295" w:type="pct"/>
            <w:gridSpan w:val="4"/>
            <w:tcBorders>
              <w:top w:val="single" w:sz="4" w:space="0" w:color="auto"/>
              <w:bottom w:val="nil"/>
            </w:tcBorders>
            <w:shd w:val="clear" w:color="auto" w:fill="FFFFFF"/>
            <w:tcMar>
              <w:top w:w="110" w:type="dxa"/>
            </w:tcMar>
            <w:vAlign w:val="center"/>
          </w:tcPr>
          <w:p w:rsidR="00E80502" w:rsidRPr="009A6CA1" w:rsidRDefault="00E80502" w:rsidP="00DC1333">
            <w:pPr>
              <w:widowControl w:val="0"/>
              <w:rPr>
                <w:sz w:val="16"/>
                <w:szCs w:val="16"/>
              </w:rPr>
            </w:pPr>
            <w:r w:rsidRPr="009A6CA1">
              <w:rPr>
                <w:b/>
                <w:sz w:val="16"/>
                <w:szCs w:val="16"/>
              </w:rPr>
              <w:t>Datos sobre el rendimiento</w:t>
            </w:r>
          </w:p>
        </w:tc>
        <w:tc>
          <w:tcPr>
            <w:tcW w:w="680" w:type="pct"/>
            <w:gridSpan w:val="3"/>
            <w:tcBorders>
              <w:top w:val="single" w:sz="4" w:space="0" w:color="auto"/>
              <w:bottom w:val="nil"/>
            </w:tcBorders>
            <w:shd w:val="clear" w:color="auto" w:fill="auto"/>
            <w:tcMar>
              <w:top w:w="110" w:type="dxa"/>
            </w:tcMar>
            <w:vAlign w:val="center"/>
          </w:tcPr>
          <w:p w:rsidR="00E80502" w:rsidRPr="009A6CA1" w:rsidRDefault="00E80502" w:rsidP="00DC1333">
            <w:pPr>
              <w:widowControl w:val="0"/>
              <w:ind w:right="-107"/>
              <w:jc w:val="center"/>
              <w:rPr>
                <w:b/>
                <w:bCs/>
                <w:sz w:val="16"/>
                <w:szCs w:val="16"/>
              </w:rPr>
            </w:pPr>
            <w:r w:rsidRPr="009A6CA1">
              <w:rPr>
                <w:b/>
                <w:bCs/>
                <w:sz w:val="16"/>
                <w:szCs w:val="16"/>
              </w:rPr>
              <w:t>Clave de colores</w:t>
            </w:r>
          </w:p>
        </w:tc>
      </w:tr>
      <w:tr w:rsidR="00E80502" w:rsidRPr="009A6CA1" w:rsidTr="00431ECD">
        <w:trPr>
          <w:cantSplit/>
        </w:trPr>
        <w:tc>
          <w:tcPr>
            <w:tcW w:w="1154" w:type="pct"/>
            <w:gridSpan w:val="3"/>
            <w:tcBorders>
              <w:top w:val="nil"/>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t xml:space="preserve">Aumento del número de miembros de </w:t>
            </w:r>
            <w:r w:rsidRPr="009A6CA1">
              <w:rPr>
                <w:i/>
                <w:sz w:val="16"/>
                <w:szCs w:val="16"/>
              </w:rPr>
              <w:t>WIPO Re:Search</w:t>
            </w:r>
            <w:r w:rsidRPr="009A6CA1">
              <w:rPr>
                <w:sz w:val="16"/>
                <w:szCs w:val="16"/>
              </w:rPr>
              <w:t>, incluidos los procedentes de países en desarrollo y PMA</w:t>
            </w:r>
          </w:p>
        </w:tc>
        <w:tc>
          <w:tcPr>
            <w:tcW w:w="1267" w:type="pct"/>
            <w:gridSpan w:val="3"/>
            <w:tcBorders>
              <w:top w:val="nil"/>
              <w:bottom w:val="single" w:sz="4" w:space="0" w:color="auto"/>
            </w:tcBorders>
            <w:shd w:val="clear" w:color="auto" w:fill="auto"/>
          </w:tcPr>
          <w:p w:rsidR="00E80502" w:rsidRPr="009A6CA1" w:rsidRDefault="00E80502" w:rsidP="00DC1333">
            <w:pPr>
              <w:widowControl w:val="0"/>
              <w:rPr>
                <w:i/>
                <w:color w:val="002060"/>
                <w:sz w:val="16"/>
                <w:szCs w:val="16"/>
              </w:rPr>
            </w:pPr>
            <w:r w:rsidRPr="009A6CA1">
              <w:rPr>
                <w:i/>
                <w:color w:val="002060"/>
                <w:sz w:val="16"/>
                <w:szCs w:val="16"/>
              </w:rPr>
              <w:t xml:space="preserve">Referencia actualizada a fines de 2013:  </w:t>
            </w:r>
            <w:r w:rsidRPr="009A6CA1">
              <w:rPr>
                <w:color w:val="002060"/>
                <w:sz w:val="16"/>
                <w:szCs w:val="16"/>
              </w:rPr>
              <w:t xml:space="preserve">Durante el bienio, </w:t>
            </w:r>
            <w:r w:rsidRPr="009A6CA1">
              <w:rPr>
                <w:i/>
                <w:color w:val="002060"/>
                <w:sz w:val="16"/>
                <w:szCs w:val="16"/>
              </w:rPr>
              <w:t>WIPO Re:Search</w:t>
            </w:r>
            <w:r w:rsidRPr="009A6CA1">
              <w:rPr>
                <w:color w:val="002060"/>
                <w:sz w:val="16"/>
                <w:szCs w:val="16"/>
              </w:rPr>
              <w:t xml:space="preserve"> incorporó 49 nuevos miembros (proveedores, usuarios y colaboradores) y 167 nuevos registros en la base de datos:</w:t>
            </w:r>
          </w:p>
          <w:p w:rsidR="00E80502" w:rsidRPr="009A6CA1" w:rsidRDefault="00E80502" w:rsidP="00E80502">
            <w:pPr>
              <w:widowControl w:val="0"/>
              <w:numPr>
                <w:ilvl w:val="0"/>
                <w:numId w:val="83"/>
              </w:numPr>
              <w:ind w:left="278" w:hanging="278"/>
              <w:rPr>
                <w:color w:val="002060"/>
                <w:sz w:val="16"/>
                <w:szCs w:val="16"/>
              </w:rPr>
            </w:pPr>
            <w:r w:rsidRPr="009A6CA1">
              <w:rPr>
                <w:color w:val="002060"/>
                <w:sz w:val="16"/>
                <w:szCs w:val="16"/>
              </w:rPr>
              <w:t xml:space="preserve">30 nuevos miembros y 90 nuevos registros en 2012;  y  </w:t>
            </w:r>
          </w:p>
          <w:p w:rsidR="00E80502" w:rsidRPr="009A6CA1" w:rsidRDefault="00E80502" w:rsidP="00E80502">
            <w:pPr>
              <w:widowControl w:val="0"/>
              <w:numPr>
                <w:ilvl w:val="0"/>
                <w:numId w:val="83"/>
              </w:numPr>
              <w:ind w:left="278" w:hanging="278"/>
              <w:rPr>
                <w:color w:val="002060"/>
                <w:sz w:val="16"/>
                <w:szCs w:val="16"/>
              </w:rPr>
            </w:pPr>
            <w:r w:rsidRPr="009A6CA1">
              <w:rPr>
                <w:color w:val="002060"/>
                <w:sz w:val="16"/>
                <w:szCs w:val="16"/>
              </w:rPr>
              <w:t>19 nuevos miembros y 77 nuevos registros en 2013,</w:t>
            </w:r>
          </w:p>
          <w:p w:rsidR="00E80502" w:rsidRPr="009A6CA1" w:rsidRDefault="00E80502" w:rsidP="00DC1333">
            <w:pPr>
              <w:widowControl w:val="0"/>
              <w:rPr>
                <w:color w:val="002060"/>
                <w:sz w:val="16"/>
                <w:szCs w:val="16"/>
              </w:rPr>
            </w:pPr>
            <w:proofErr w:type="gramStart"/>
            <w:r w:rsidRPr="009A6CA1">
              <w:rPr>
                <w:color w:val="002060"/>
                <w:sz w:val="16"/>
                <w:szCs w:val="16"/>
              </w:rPr>
              <w:t>lo</w:t>
            </w:r>
            <w:proofErr w:type="gramEnd"/>
            <w:r w:rsidRPr="009A6CA1">
              <w:rPr>
                <w:color w:val="002060"/>
                <w:sz w:val="16"/>
                <w:szCs w:val="16"/>
              </w:rPr>
              <w:t xml:space="preserve"> que suma un total de 80 miembros y 247 registros.</w:t>
            </w:r>
          </w:p>
          <w:p w:rsidR="00E80502" w:rsidRPr="009A6CA1" w:rsidRDefault="00E80502" w:rsidP="00DC1333">
            <w:pPr>
              <w:widowControl w:val="0"/>
              <w:rPr>
                <w:sz w:val="16"/>
                <w:szCs w:val="16"/>
              </w:rPr>
            </w:pPr>
            <w:r w:rsidRPr="009A6CA1">
              <w:rPr>
                <w:color w:val="002060"/>
                <w:sz w:val="16"/>
                <w:szCs w:val="16"/>
              </w:rPr>
              <w:br/>
            </w:r>
            <w:r w:rsidRPr="009A6CA1">
              <w:rPr>
                <w:i/>
                <w:iCs/>
                <w:color w:val="002060"/>
                <w:sz w:val="16"/>
                <w:szCs w:val="16"/>
              </w:rPr>
              <w:t>Referencia original en el</w:t>
            </w:r>
            <w:r w:rsidRPr="009A6CA1">
              <w:rPr>
                <w:i/>
                <w:iCs/>
                <w:color w:val="002060"/>
                <w:sz w:val="16"/>
                <w:szCs w:val="16"/>
              </w:rPr>
              <w:br/>
              <w:t>presupuesto de 2014/15</w:t>
            </w:r>
            <w:r w:rsidRPr="009A6CA1">
              <w:rPr>
                <w:i/>
                <w:color w:val="002060"/>
                <w:sz w:val="16"/>
                <w:szCs w:val="16"/>
              </w:rPr>
              <w:t>:</w:t>
            </w:r>
            <w:r w:rsidRPr="009A6CA1">
              <w:rPr>
                <w:color w:val="002060"/>
                <w:sz w:val="16"/>
                <w:szCs w:val="16"/>
              </w:rPr>
              <w:t xml:space="preserve">  67 miembros; 16 de países en desarrollo</w:t>
            </w:r>
          </w:p>
        </w:tc>
        <w:tc>
          <w:tcPr>
            <w:tcW w:w="605" w:type="pct"/>
            <w:tcBorders>
              <w:top w:val="nil"/>
              <w:bottom w:val="single" w:sz="4" w:space="0" w:color="auto"/>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15 (de los que al menos 5 proceden de países en desarrollo y PMA).</w:t>
            </w:r>
          </w:p>
        </w:tc>
        <w:tc>
          <w:tcPr>
            <w:tcW w:w="1295" w:type="pct"/>
            <w:gridSpan w:val="4"/>
            <w:tcBorders>
              <w:top w:val="nil"/>
              <w:bottom w:val="single" w:sz="4" w:space="0" w:color="auto"/>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20 nuevos miembros (de los que 6 proceden de países en desarrollo y PMA)</w:t>
            </w:r>
          </w:p>
          <w:p w:rsidR="00E80502" w:rsidRPr="009A6CA1" w:rsidRDefault="00E80502" w:rsidP="00DC1333">
            <w:pPr>
              <w:widowControl w:val="0"/>
              <w:rPr>
                <w:sz w:val="16"/>
                <w:szCs w:val="16"/>
                <w:lang w:bidi="th-TH"/>
              </w:rPr>
            </w:pPr>
            <w:r w:rsidRPr="009A6CA1">
              <w:rPr>
                <w:sz w:val="16"/>
                <w:szCs w:val="16"/>
                <w:lang w:bidi="th-TH"/>
              </w:rPr>
              <w:t>100 miembros en total (de los que 22 proceden de países en desarrollo y PMA)</w:t>
            </w: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rPr>
            </w:pPr>
          </w:p>
        </w:tc>
        <w:tc>
          <w:tcPr>
            <w:tcW w:w="680" w:type="pct"/>
            <w:gridSpan w:val="3"/>
            <w:tcBorders>
              <w:top w:val="nil"/>
              <w:bottom w:val="single" w:sz="4" w:space="0" w:color="auto"/>
            </w:tcBorders>
            <w:shd w:val="clear" w:color="auto" w:fill="auto"/>
            <w:tcMar>
              <w:top w:w="110" w:type="dxa"/>
            </w:tcMar>
          </w:tcPr>
          <w:p w:rsidR="00E80502" w:rsidRPr="009A6CA1" w:rsidRDefault="00E80502" w:rsidP="00DC1333">
            <w:pPr>
              <w:widowControl w:val="0"/>
              <w:jc w:val="center"/>
              <w:rPr>
                <w:b/>
                <w:bCs/>
                <w:color w:val="808080"/>
                <w:sz w:val="16"/>
                <w:szCs w:val="16"/>
              </w:rPr>
            </w:pPr>
            <w:r w:rsidRPr="009A6CA1">
              <w:rPr>
                <w:b/>
                <w:bCs/>
                <w:color w:val="008000"/>
                <w:sz w:val="16"/>
                <w:szCs w:val="16"/>
              </w:rPr>
              <w:t>Plenamente logrado</w:t>
            </w:r>
          </w:p>
        </w:tc>
      </w:tr>
      <w:tr w:rsidR="00E80502" w:rsidRPr="009A6CA1" w:rsidTr="00072E16">
        <w:trPr>
          <w:cantSplit/>
        </w:trPr>
        <w:tc>
          <w:tcPr>
            <w:tcW w:w="1154" w:type="pct"/>
            <w:gridSpan w:val="3"/>
            <w:tcBorders>
              <w:top w:val="single" w:sz="4" w:space="0" w:color="auto"/>
              <w:bottom w:val="nil"/>
            </w:tcBorders>
            <w:shd w:val="clear" w:color="auto" w:fill="auto"/>
          </w:tcPr>
          <w:p w:rsidR="00E80502" w:rsidRPr="009A6CA1" w:rsidRDefault="00E80502" w:rsidP="00DC1333">
            <w:pPr>
              <w:widowControl w:val="0"/>
              <w:rPr>
                <w:sz w:val="16"/>
                <w:szCs w:val="16"/>
              </w:rPr>
            </w:pPr>
            <w:r w:rsidRPr="009A6CA1">
              <w:rPr>
                <w:sz w:val="16"/>
                <w:szCs w:val="16"/>
              </w:rPr>
              <w:lastRenderedPageBreak/>
              <w:t xml:space="preserve">Aumento de las contribuciones a la base de datos de </w:t>
            </w:r>
            <w:r w:rsidRPr="009A6CA1">
              <w:rPr>
                <w:i/>
                <w:sz w:val="16"/>
                <w:szCs w:val="16"/>
              </w:rPr>
              <w:t>WIPO Re:Search</w:t>
            </w:r>
          </w:p>
        </w:tc>
        <w:tc>
          <w:tcPr>
            <w:tcW w:w="1267" w:type="pct"/>
            <w:gridSpan w:val="3"/>
            <w:tcBorders>
              <w:top w:val="single" w:sz="4" w:space="0" w:color="auto"/>
              <w:bottom w:val="nil"/>
            </w:tcBorders>
            <w:shd w:val="clear" w:color="auto" w:fill="auto"/>
          </w:tcPr>
          <w:p w:rsidR="00E80502" w:rsidRPr="009A6CA1" w:rsidRDefault="00E80502" w:rsidP="00DC1333">
            <w:pPr>
              <w:widowControl w:val="0"/>
              <w:rPr>
                <w:color w:val="002060"/>
                <w:sz w:val="16"/>
                <w:szCs w:val="16"/>
              </w:rPr>
            </w:pPr>
            <w:r w:rsidRPr="009A6CA1">
              <w:rPr>
                <w:i/>
                <w:color w:val="002060"/>
                <w:sz w:val="16"/>
                <w:szCs w:val="16"/>
              </w:rPr>
              <w:t>Referencia actualizada a fines de 2013:</w:t>
            </w:r>
            <w:r w:rsidRPr="009A6CA1">
              <w:t xml:space="preserve"> </w:t>
            </w:r>
            <w:r w:rsidRPr="009A6CA1">
              <w:rPr>
                <w:i/>
                <w:color w:val="002060"/>
                <w:sz w:val="16"/>
                <w:szCs w:val="16"/>
              </w:rPr>
              <w:t>WIPO Re:Search</w:t>
            </w:r>
            <w:r w:rsidRPr="009A6CA1">
              <w:rPr>
                <w:color w:val="002060"/>
                <w:sz w:val="16"/>
                <w:szCs w:val="16"/>
              </w:rPr>
              <w:t xml:space="preserve"> había facilitado 44 colaboraciones de investigación (11 en 2012 y 33 en 2013</w:t>
            </w:r>
            <w:r w:rsidRPr="009A6CA1">
              <w:rPr>
                <w:i/>
                <w:color w:val="002060"/>
                <w:sz w:val="16"/>
                <w:szCs w:val="16"/>
              </w:rPr>
              <w:t xml:space="preserve">)  </w:t>
            </w:r>
            <w:r w:rsidRPr="009A6CA1">
              <w:rPr>
                <w:color w:val="002060"/>
                <w:sz w:val="16"/>
                <w:szCs w:val="16"/>
              </w:rPr>
              <w:t xml:space="preserve"> </w:t>
            </w:r>
          </w:p>
          <w:p w:rsidR="00E80502" w:rsidRPr="009A6CA1" w:rsidRDefault="00E80502" w:rsidP="00DC1333">
            <w:pPr>
              <w:widowControl w:val="0"/>
              <w:rPr>
                <w:i/>
                <w:color w:val="002060"/>
                <w:sz w:val="8"/>
                <w:szCs w:val="8"/>
              </w:rPr>
            </w:pPr>
            <w:r w:rsidRPr="009A6CA1">
              <w:rPr>
                <w:color w:val="993300"/>
                <w:sz w:val="16"/>
                <w:szCs w:val="16"/>
              </w:rPr>
              <w:br/>
            </w:r>
          </w:p>
          <w:p w:rsidR="00E80502" w:rsidRPr="009A6CA1" w:rsidRDefault="00E80502" w:rsidP="00DC1333">
            <w:pPr>
              <w:widowControl w:val="0"/>
              <w:rPr>
                <w:i/>
              </w:rPr>
            </w:pPr>
            <w:r w:rsidRPr="009A6CA1">
              <w:rPr>
                <w:i/>
                <w:iCs/>
                <w:sz w:val="16"/>
                <w:szCs w:val="16"/>
              </w:rPr>
              <w:t>Referencia original en el</w:t>
            </w:r>
            <w:r w:rsidRPr="009A6CA1">
              <w:rPr>
                <w:i/>
                <w:iCs/>
                <w:sz w:val="16"/>
                <w:szCs w:val="16"/>
              </w:rPr>
              <w:br/>
              <w:t>presupuesto de 2014/15</w:t>
            </w:r>
            <w:r w:rsidRPr="009A6CA1">
              <w:rPr>
                <w:i/>
                <w:sz w:val="16"/>
                <w:szCs w:val="16"/>
              </w:rPr>
              <w:t>:</w:t>
            </w:r>
            <w:r w:rsidRPr="009A6CA1">
              <w:rPr>
                <w:sz w:val="16"/>
                <w:szCs w:val="16"/>
              </w:rPr>
              <w:t xml:space="preserve">  200</w:t>
            </w:r>
          </w:p>
          <w:p w:rsidR="00E80502" w:rsidRPr="009A6CA1" w:rsidRDefault="00E80502" w:rsidP="00DC1333">
            <w:pPr>
              <w:widowControl w:val="0"/>
              <w:rPr>
                <w:sz w:val="16"/>
                <w:szCs w:val="16"/>
              </w:rPr>
            </w:pPr>
          </w:p>
        </w:tc>
        <w:tc>
          <w:tcPr>
            <w:tcW w:w="605" w:type="pct"/>
            <w:tcBorders>
              <w:top w:val="single" w:sz="4" w:space="0" w:color="auto"/>
              <w:bottom w:val="nil"/>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50%</w:t>
            </w:r>
          </w:p>
        </w:tc>
        <w:tc>
          <w:tcPr>
            <w:tcW w:w="1295" w:type="pct"/>
            <w:gridSpan w:val="4"/>
            <w:tcBorders>
              <w:top w:val="single" w:sz="4" w:space="0" w:color="auto"/>
              <w:bottom w:val="nil"/>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193 contribuciones a finales de 2015 (-22% en comparación con las 247 de finales de 2013)</w:t>
            </w: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lang w:bidi="th-TH"/>
              </w:rPr>
            </w:pPr>
            <w:r w:rsidRPr="009A6CA1">
              <w:rPr>
                <w:sz w:val="16"/>
                <w:szCs w:val="16"/>
                <w:lang w:bidi="th-TH"/>
              </w:rPr>
              <w:t>La disminución del número de registros en se debió a la salida de dos miembros</w:t>
            </w:r>
          </w:p>
          <w:p w:rsidR="00E80502" w:rsidRPr="009A6CA1" w:rsidRDefault="00E80502" w:rsidP="00DC1333">
            <w:pPr>
              <w:widowControl w:val="0"/>
              <w:rPr>
                <w:sz w:val="16"/>
                <w:szCs w:val="16"/>
                <w:lang w:bidi="th-TH"/>
              </w:rPr>
            </w:pPr>
          </w:p>
          <w:p w:rsidR="00E80502" w:rsidRPr="009A6CA1" w:rsidRDefault="00E80502" w:rsidP="00DC1333">
            <w:pPr>
              <w:widowControl w:val="0"/>
              <w:rPr>
                <w:sz w:val="16"/>
                <w:szCs w:val="16"/>
              </w:rPr>
            </w:pPr>
          </w:p>
        </w:tc>
        <w:tc>
          <w:tcPr>
            <w:tcW w:w="680" w:type="pct"/>
            <w:gridSpan w:val="3"/>
            <w:tcBorders>
              <w:top w:val="single" w:sz="4" w:space="0" w:color="auto"/>
              <w:bottom w:val="nil"/>
            </w:tcBorders>
            <w:shd w:val="clear" w:color="auto" w:fill="auto"/>
            <w:tcMar>
              <w:top w:w="110" w:type="dxa"/>
            </w:tcMar>
          </w:tcPr>
          <w:p w:rsidR="00E80502" w:rsidRPr="009A6CA1" w:rsidRDefault="00E80502" w:rsidP="00DC1333">
            <w:pPr>
              <w:widowControl w:val="0"/>
              <w:jc w:val="center"/>
              <w:rPr>
                <w:b/>
                <w:bCs/>
                <w:color w:val="FF0000"/>
                <w:sz w:val="16"/>
                <w:szCs w:val="16"/>
              </w:rPr>
            </w:pPr>
            <w:r w:rsidRPr="009A6CA1">
              <w:rPr>
                <w:b/>
                <w:bCs/>
                <w:color w:val="FF0000"/>
                <w:sz w:val="16"/>
                <w:szCs w:val="16"/>
              </w:rPr>
              <w:t>No logrado</w:t>
            </w:r>
          </w:p>
        </w:tc>
      </w:tr>
      <w:tr w:rsidR="00E80502" w:rsidRPr="009A6CA1" w:rsidTr="00072E16">
        <w:trPr>
          <w:cantSplit/>
        </w:trPr>
        <w:tc>
          <w:tcPr>
            <w:tcW w:w="1154" w:type="pct"/>
            <w:gridSpan w:val="3"/>
            <w:tcBorders>
              <w:top w:val="nil"/>
              <w:bottom w:val="nil"/>
            </w:tcBorders>
            <w:shd w:val="clear" w:color="auto" w:fill="auto"/>
          </w:tcPr>
          <w:p w:rsidR="00E80502" w:rsidRPr="009A6CA1" w:rsidRDefault="00E80502" w:rsidP="00DC1333">
            <w:pPr>
              <w:widowControl w:val="0"/>
              <w:rPr>
                <w:sz w:val="16"/>
                <w:szCs w:val="16"/>
              </w:rPr>
            </w:pPr>
            <w:r w:rsidRPr="009A6CA1">
              <w:rPr>
                <w:sz w:val="16"/>
                <w:szCs w:val="16"/>
              </w:rPr>
              <w:t xml:space="preserve">Aumento del número de acuerdos suscritos en el marco de </w:t>
            </w:r>
            <w:r w:rsidRPr="009A6CA1">
              <w:rPr>
                <w:i/>
                <w:sz w:val="16"/>
                <w:szCs w:val="16"/>
              </w:rPr>
              <w:t>WIPO Re:Search</w:t>
            </w:r>
            <w:r w:rsidRPr="009A6CA1">
              <w:rPr>
                <w:sz w:val="16"/>
                <w:szCs w:val="16"/>
              </w:rPr>
              <w:t xml:space="preserve"> que conducen a nuevas actividades de I+D, o a un aceleramiento de las mismas, en enfermedades tropicales desatendidas, paludismo y tuberculosis</w:t>
            </w:r>
          </w:p>
        </w:tc>
        <w:tc>
          <w:tcPr>
            <w:tcW w:w="1267" w:type="pct"/>
            <w:gridSpan w:val="3"/>
            <w:tcBorders>
              <w:top w:val="nil"/>
              <w:bottom w:val="nil"/>
            </w:tcBorders>
            <w:shd w:val="clear" w:color="auto" w:fill="auto"/>
          </w:tcPr>
          <w:p w:rsidR="00E80502" w:rsidRPr="009A6CA1" w:rsidRDefault="00E80502" w:rsidP="00DC1333">
            <w:pPr>
              <w:widowControl w:val="0"/>
              <w:rPr>
                <w:i/>
                <w:color w:val="002060"/>
                <w:sz w:val="16"/>
                <w:szCs w:val="16"/>
              </w:rPr>
            </w:pPr>
            <w:r w:rsidRPr="009A6CA1">
              <w:rPr>
                <w:i/>
                <w:color w:val="002060"/>
                <w:sz w:val="16"/>
                <w:szCs w:val="16"/>
              </w:rPr>
              <w:t xml:space="preserve">Referencia actualizada a fines de 2013: </w:t>
            </w:r>
            <w:r w:rsidRPr="009A6CA1">
              <w:rPr>
                <w:color w:val="002060"/>
                <w:sz w:val="16"/>
                <w:szCs w:val="16"/>
              </w:rPr>
              <w:t>44</w:t>
            </w:r>
          </w:p>
          <w:p w:rsidR="00E80502" w:rsidRPr="009A6CA1" w:rsidRDefault="00E80502" w:rsidP="00DC1333">
            <w:pPr>
              <w:widowControl w:val="0"/>
              <w:rPr>
                <w:i/>
                <w:color w:val="002060"/>
                <w:sz w:val="8"/>
                <w:szCs w:val="8"/>
              </w:rPr>
            </w:pPr>
            <w:r w:rsidRPr="009A6CA1">
              <w:rPr>
                <w:color w:val="993300"/>
                <w:sz w:val="16"/>
                <w:szCs w:val="16"/>
              </w:rPr>
              <w:br/>
            </w:r>
          </w:p>
          <w:p w:rsidR="00E80502" w:rsidRPr="009A6CA1" w:rsidRDefault="00E80502" w:rsidP="00DC1333">
            <w:pPr>
              <w:widowControl w:val="0"/>
              <w:rPr>
                <w:rFonts w:asciiTheme="minorHAnsi" w:eastAsiaTheme="minorHAnsi" w:hAnsiTheme="minorHAnsi" w:cstheme="minorBidi"/>
                <w:i/>
                <w:szCs w:val="22"/>
              </w:rPr>
            </w:pPr>
            <w:r w:rsidRPr="009A6CA1">
              <w:rPr>
                <w:i/>
                <w:iCs/>
                <w:sz w:val="16"/>
                <w:szCs w:val="16"/>
              </w:rPr>
              <w:t>Referencia original en el</w:t>
            </w:r>
            <w:r w:rsidRPr="009A6CA1">
              <w:rPr>
                <w:i/>
                <w:iCs/>
                <w:sz w:val="16"/>
                <w:szCs w:val="16"/>
              </w:rPr>
              <w:br/>
              <w:t>presupuesto de 2014/15</w:t>
            </w:r>
            <w:r w:rsidRPr="009A6CA1">
              <w:rPr>
                <w:i/>
                <w:sz w:val="16"/>
                <w:szCs w:val="16"/>
              </w:rPr>
              <w:t>:</w:t>
            </w:r>
            <w:r w:rsidRPr="009A6CA1">
              <w:rPr>
                <w:sz w:val="16"/>
                <w:szCs w:val="16"/>
              </w:rPr>
              <w:t xml:space="preserve">  16</w:t>
            </w:r>
          </w:p>
        </w:tc>
        <w:tc>
          <w:tcPr>
            <w:tcW w:w="605" w:type="pct"/>
            <w:tcBorders>
              <w:top w:val="nil"/>
              <w:bottom w:val="nil"/>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20</w:t>
            </w:r>
          </w:p>
        </w:tc>
        <w:tc>
          <w:tcPr>
            <w:tcW w:w="1295" w:type="pct"/>
            <w:gridSpan w:val="4"/>
            <w:tcBorders>
              <w:top w:val="nil"/>
              <w:bottom w:val="nil"/>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52 nuevos acuerdos de colaboración (96 acuerdos en total)</w:t>
            </w:r>
          </w:p>
        </w:tc>
        <w:tc>
          <w:tcPr>
            <w:tcW w:w="680" w:type="pct"/>
            <w:gridSpan w:val="3"/>
            <w:tcBorders>
              <w:top w:val="nil"/>
              <w:bottom w:val="nil"/>
            </w:tcBorders>
            <w:shd w:val="clear" w:color="auto" w:fill="auto"/>
            <w:tcMar>
              <w:top w:w="110" w:type="dxa"/>
            </w:tcMar>
          </w:tcPr>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tc>
      </w:tr>
      <w:tr w:rsidR="00E80502" w:rsidRPr="009A6CA1" w:rsidTr="00DC1333">
        <w:trPr>
          <w:cantSplit/>
          <w:trHeight w:val="421"/>
        </w:trPr>
        <w:tc>
          <w:tcPr>
            <w:tcW w:w="1154" w:type="pct"/>
            <w:gridSpan w:val="3"/>
            <w:tcBorders>
              <w:top w:val="nil"/>
              <w:bottom w:val="nil"/>
            </w:tcBorders>
            <w:shd w:val="clear" w:color="auto" w:fill="auto"/>
          </w:tcPr>
          <w:p w:rsidR="00E80502" w:rsidRPr="009A6CA1" w:rsidRDefault="00E80502" w:rsidP="00DC1333">
            <w:pPr>
              <w:widowControl w:val="0"/>
              <w:rPr>
                <w:sz w:val="16"/>
                <w:szCs w:val="16"/>
              </w:rPr>
            </w:pPr>
            <w:r w:rsidRPr="009A6CA1">
              <w:rPr>
                <w:sz w:val="16"/>
                <w:szCs w:val="16"/>
              </w:rPr>
              <w:t xml:space="preserve">Número de miembros de </w:t>
            </w:r>
            <w:r w:rsidRPr="009A6CA1">
              <w:rPr>
                <w:i/>
                <w:sz w:val="16"/>
                <w:szCs w:val="16"/>
              </w:rPr>
              <w:t>WIPO GREEN</w:t>
            </w:r>
          </w:p>
        </w:tc>
        <w:tc>
          <w:tcPr>
            <w:tcW w:w="1267" w:type="pct"/>
            <w:gridSpan w:val="3"/>
            <w:tcBorders>
              <w:top w:val="nil"/>
              <w:bottom w:val="nil"/>
            </w:tcBorders>
            <w:shd w:val="clear" w:color="auto" w:fill="auto"/>
          </w:tcPr>
          <w:p w:rsidR="00E80502" w:rsidRPr="009A6CA1" w:rsidRDefault="00E80502" w:rsidP="00DC1333">
            <w:pPr>
              <w:widowControl w:val="0"/>
              <w:rPr>
                <w:color w:val="002060"/>
                <w:sz w:val="16"/>
                <w:szCs w:val="16"/>
              </w:rPr>
            </w:pPr>
            <w:r w:rsidRPr="009A6CA1">
              <w:rPr>
                <w:i/>
                <w:color w:val="002060"/>
                <w:sz w:val="16"/>
                <w:szCs w:val="16"/>
              </w:rPr>
              <w:t xml:space="preserve">Referencia actualizada a fines de 2013: </w:t>
            </w:r>
            <w:r w:rsidRPr="009A6CA1">
              <w:rPr>
                <w:color w:val="002060"/>
                <w:sz w:val="16"/>
                <w:szCs w:val="16"/>
              </w:rPr>
              <w:t>36 asociados, 160 usuarios, 830 aportaciones</w:t>
            </w:r>
            <w:r w:rsidRPr="009A6CA1">
              <w:rPr>
                <w:rStyle w:val="FootnoteReference"/>
                <w:color w:val="002060"/>
                <w:sz w:val="16"/>
                <w:szCs w:val="16"/>
              </w:rPr>
              <w:footnoteReference w:id="104"/>
            </w:r>
          </w:p>
          <w:p w:rsidR="00E80502" w:rsidRPr="009A6CA1" w:rsidRDefault="00E80502" w:rsidP="00DC1333">
            <w:pPr>
              <w:widowControl w:val="0"/>
              <w:rPr>
                <w:i/>
                <w:color w:val="002060"/>
                <w:sz w:val="8"/>
                <w:szCs w:val="8"/>
              </w:rPr>
            </w:pPr>
            <w:r w:rsidRPr="009A6CA1">
              <w:rPr>
                <w:color w:val="993300"/>
                <w:sz w:val="16"/>
                <w:szCs w:val="16"/>
              </w:rPr>
              <w:br/>
            </w:r>
          </w:p>
          <w:p w:rsidR="00E80502" w:rsidRPr="009A6CA1" w:rsidRDefault="00E80502" w:rsidP="00DC1333">
            <w:pPr>
              <w:widowControl w:val="0"/>
            </w:pPr>
            <w:r w:rsidRPr="009A6CA1">
              <w:rPr>
                <w:i/>
                <w:iCs/>
                <w:sz w:val="16"/>
                <w:szCs w:val="16"/>
              </w:rPr>
              <w:t>Referencia original en el</w:t>
            </w:r>
            <w:r w:rsidRPr="009A6CA1">
              <w:rPr>
                <w:i/>
                <w:iCs/>
                <w:sz w:val="16"/>
                <w:szCs w:val="16"/>
              </w:rPr>
              <w:br/>
              <w:t>presupuesto de 2014/15</w:t>
            </w:r>
            <w:r w:rsidRPr="009A6CA1">
              <w:rPr>
                <w:i/>
                <w:sz w:val="16"/>
                <w:szCs w:val="16"/>
              </w:rPr>
              <w:t xml:space="preserve">:  </w:t>
            </w:r>
            <w:r w:rsidRPr="009A6CA1">
              <w:rPr>
                <w:sz w:val="16"/>
                <w:szCs w:val="16"/>
              </w:rPr>
              <w:t>1 asociado; 48 aportaciones</w:t>
            </w:r>
          </w:p>
          <w:p w:rsidR="00E80502" w:rsidRPr="009A6CA1" w:rsidRDefault="00E80502" w:rsidP="00DC1333">
            <w:pPr>
              <w:widowControl w:val="0"/>
              <w:rPr>
                <w:i/>
                <w:color w:val="002060"/>
                <w:sz w:val="16"/>
                <w:szCs w:val="16"/>
              </w:rPr>
            </w:pPr>
          </w:p>
        </w:tc>
        <w:tc>
          <w:tcPr>
            <w:tcW w:w="605" w:type="pct"/>
            <w:tcBorders>
              <w:top w:val="nil"/>
              <w:bottom w:val="nil"/>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10 nuevos asociados</w:t>
            </w:r>
          </w:p>
          <w:p w:rsidR="00E80502" w:rsidRPr="009A6CA1" w:rsidRDefault="00E80502" w:rsidP="00DC1333">
            <w:pPr>
              <w:widowControl w:val="0"/>
              <w:rPr>
                <w:sz w:val="16"/>
                <w:szCs w:val="16"/>
              </w:rPr>
            </w:pPr>
          </w:p>
          <w:p w:rsidR="00E80502" w:rsidRPr="009A6CA1" w:rsidRDefault="00E80502" w:rsidP="00DC1333">
            <w:pPr>
              <w:widowControl w:val="0"/>
              <w:rPr>
                <w:sz w:val="16"/>
                <w:szCs w:val="16"/>
              </w:rPr>
            </w:pPr>
            <w:r w:rsidRPr="009A6CA1">
              <w:rPr>
                <w:sz w:val="16"/>
                <w:szCs w:val="16"/>
              </w:rPr>
              <w:t>160 usuarios</w:t>
            </w:r>
          </w:p>
          <w:p w:rsidR="00E80502" w:rsidRPr="009A6CA1" w:rsidRDefault="00E80502" w:rsidP="00DC1333">
            <w:pPr>
              <w:widowControl w:val="0"/>
              <w:rPr>
                <w:sz w:val="16"/>
                <w:szCs w:val="16"/>
              </w:rPr>
            </w:pPr>
          </w:p>
          <w:p w:rsidR="00E80502" w:rsidRPr="009A6CA1" w:rsidRDefault="00E80502" w:rsidP="00DC1333">
            <w:pPr>
              <w:widowControl w:val="0"/>
              <w:rPr>
                <w:sz w:val="16"/>
                <w:szCs w:val="16"/>
              </w:rPr>
            </w:pPr>
            <w:r w:rsidRPr="009A6CA1">
              <w:rPr>
                <w:sz w:val="16"/>
                <w:szCs w:val="16"/>
              </w:rPr>
              <w:t>400 aportaciones</w:t>
            </w:r>
          </w:p>
        </w:tc>
        <w:tc>
          <w:tcPr>
            <w:tcW w:w="1295" w:type="pct"/>
            <w:gridSpan w:val="4"/>
            <w:tcBorders>
              <w:top w:val="nil"/>
              <w:bottom w:val="nil"/>
            </w:tcBorders>
            <w:shd w:val="clear" w:color="auto" w:fill="FFFFFF"/>
            <w:tcMar>
              <w:top w:w="110" w:type="dxa"/>
            </w:tcMar>
          </w:tcPr>
          <w:p w:rsidR="00E80502" w:rsidRPr="009A6CA1" w:rsidRDefault="00E80502" w:rsidP="00E80502">
            <w:pPr>
              <w:pStyle w:val="ListParagraph"/>
              <w:widowControl w:val="0"/>
              <w:numPr>
                <w:ilvl w:val="0"/>
                <w:numId w:val="84"/>
              </w:numPr>
              <w:rPr>
                <w:rFonts w:cs="Arial"/>
                <w:sz w:val="16"/>
                <w:szCs w:val="16"/>
                <w:lang w:val="es-ES" w:bidi="th-TH"/>
              </w:rPr>
            </w:pPr>
            <w:r w:rsidRPr="009A6CA1">
              <w:rPr>
                <w:rFonts w:cs="Arial"/>
                <w:sz w:val="16"/>
                <w:szCs w:val="16"/>
                <w:lang w:val="es-ES" w:bidi="th-TH"/>
              </w:rPr>
              <w:t>29 nuevos asociados (total:  65)</w:t>
            </w:r>
          </w:p>
          <w:p w:rsidR="00E80502" w:rsidRPr="009A6CA1" w:rsidRDefault="00E80502" w:rsidP="00E80502">
            <w:pPr>
              <w:pStyle w:val="ListParagraph"/>
              <w:widowControl w:val="0"/>
              <w:numPr>
                <w:ilvl w:val="0"/>
                <w:numId w:val="84"/>
              </w:numPr>
              <w:rPr>
                <w:rFonts w:cs="Arial"/>
                <w:sz w:val="16"/>
                <w:szCs w:val="16"/>
                <w:lang w:val="es-ES" w:bidi="th-TH"/>
              </w:rPr>
            </w:pPr>
            <w:r w:rsidRPr="009A6CA1">
              <w:rPr>
                <w:rFonts w:cs="Arial"/>
                <w:sz w:val="16"/>
                <w:szCs w:val="16"/>
                <w:lang w:val="es-ES" w:bidi="th-TH"/>
              </w:rPr>
              <w:t>330 nuevos usuarios (total:  490)</w:t>
            </w:r>
          </w:p>
          <w:p w:rsidR="00E80502" w:rsidRPr="009A6CA1" w:rsidRDefault="00E80502" w:rsidP="00E80502">
            <w:pPr>
              <w:pStyle w:val="ListParagraph"/>
              <w:widowControl w:val="0"/>
              <w:numPr>
                <w:ilvl w:val="0"/>
                <w:numId w:val="84"/>
              </w:numPr>
              <w:rPr>
                <w:rFonts w:cs="Arial"/>
                <w:sz w:val="16"/>
                <w:szCs w:val="16"/>
                <w:lang w:val="es-ES" w:bidi="th-TH"/>
              </w:rPr>
            </w:pPr>
            <w:r w:rsidRPr="009A6CA1">
              <w:rPr>
                <w:rFonts w:cs="Arial"/>
                <w:sz w:val="16"/>
                <w:szCs w:val="16"/>
                <w:lang w:val="es-ES" w:bidi="th-TH"/>
              </w:rPr>
              <w:t>1.351 nuevas aportaciones (total:  2.181)</w:t>
            </w:r>
            <w:r w:rsidRPr="009A6CA1">
              <w:rPr>
                <w:rStyle w:val="FootnoteReference"/>
                <w:rFonts w:cs="Arial"/>
                <w:sz w:val="16"/>
                <w:szCs w:val="16"/>
                <w:lang w:val="es-ES" w:bidi="th-TH"/>
              </w:rPr>
              <w:footnoteReference w:id="105"/>
            </w:r>
          </w:p>
        </w:tc>
        <w:tc>
          <w:tcPr>
            <w:tcW w:w="680" w:type="pct"/>
            <w:gridSpan w:val="3"/>
            <w:tcBorders>
              <w:top w:val="nil"/>
              <w:bottom w:val="nil"/>
            </w:tcBorders>
            <w:shd w:val="clear" w:color="auto" w:fill="auto"/>
            <w:tcMar>
              <w:top w:w="110" w:type="dxa"/>
            </w:tcMar>
          </w:tcPr>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tc>
      </w:tr>
      <w:tr w:rsidR="00E80502" w:rsidRPr="009A6CA1" w:rsidTr="003C4FE0">
        <w:trPr>
          <w:cantSplit/>
        </w:trPr>
        <w:tc>
          <w:tcPr>
            <w:tcW w:w="1154" w:type="pct"/>
            <w:gridSpan w:val="3"/>
            <w:tcBorders>
              <w:top w:val="nil"/>
              <w:bottom w:val="nil"/>
            </w:tcBorders>
            <w:shd w:val="clear" w:color="auto" w:fill="auto"/>
          </w:tcPr>
          <w:p w:rsidR="00E80502" w:rsidRPr="009A6CA1" w:rsidRDefault="00E80502" w:rsidP="00DC1333">
            <w:pPr>
              <w:widowControl w:val="0"/>
              <w:rPr>
                <w:sz w:val="16"/>
                <w:szCs w:val="16"/>
              </w:rPr>
            </w:pPr>
            <w:r w:rsidRPr="009A6CA1">
              <w:rPr>
                <w:sz w:val="16"/>
                <w:szCs w:val="16"/>
              </w:rPr>
              <w:t>Nº de vínculos establecidos entre WIPO GREEN y los mecanismos pertinentes, como los centros y redes de tecnología del clima (CMNUCC) y los centros de innovación climática (infoDev)</w:t>
            </w:r>
          </w:p>
          <w:p w:rsidR="00E80502" w:rsidRPr="009A6CA1" w:rsidRDefault="00E80502" w:rsidP="00DC1333">
            <w:pPr>
              <w:widowControl w:val="0"/>
              <w:rPr>
                <w:sz w:val="16"/>
                <w:szCs w:val="16"/>
              </w:rPr>
            </w:pPr>
          </w:p>
        </w:tc>
        <w:tc>
          <w:tcPr>
            <w:tcW w:w="1267" w:type="pct"/>
            <w:gridSpan w:val="3"/>
            <w:tcBorders>
              <w:top w:val="nil"/>
              <w:bottom w:val="nil"/>
            </w:tcBorders>
            <w:shd w:val="clear" w:color="auto" w:fill="auto"/>
          </w:tcPr>
          <w:p w:rsidR="00E80502" w:rsidRPr="009A6CA1" w:rsidRDefault="00E80502" w:rsidP="00DC1333">
            <w:pPr>
              <w:widowControl w:val="0"/>
              <w:rPr>
                <w:i/>
                <w:color w:val="002060"/>
                <w:sz w:val="16"/>
                <w:szCs w:val="16"/>
              </w:rPr>
            </w:pPr>
            <w:r w:rsidRPr="009A6CA1">
              <w:rPr>
                <w:i/>
                <w:color w:val="002060"/>
                <w:sz w:val="16"/>
                <w:szCs w:val="16"/>
              </w:rPr>
              <w:t xml:space="preserve">Referencia actualizada a fines de 2013: </w:t>
            </w:r>
          </w:p>
          <w:p w:rsidR="00E80502" w:rsidRPr="000D48EE" w:rsidRDefault="00E80502" w:rsidP="00DC1333">
            <w:pPr>
              <w:widowControl w:val="0"/>
              <w:rPr>
                <w:i/>
                <w:color w:val="002060"/>
                <w:sz w:val="16"/>
                <w:szCs w:val="16"/>
                <w:lang w:val="en-US"/>
              </w:rPr>
            </w:pPr>
            <w:r w:rsidRPr="000D48EE">
              <w:rPr>
                <w:color w:val="002060"/>
                <w:sz w:val="16"/>
                <w:szCs w:val="16"/>
                <w:lang w:val="en-US"/>
              </w:rPr>
              <w:t>1 (</w:t>
            </w:r>
            <w:r w:rsidRPr="000D48EE">
              <w:rPr>
                <w:i/>
                <w:color w:val="002060"/>
                <w:sz w:val="16"/>
                <w:szCs w:val="16"/>
                <w:lang w:val="en-US"/>
              </w:rPr>
              <w:t>East Africa Climate Innovation Network</w:t>
            </w:r>
            <w:r w:rsidRPr="000D48EE">
              <w:rPr>
                <w:color w:val="002060"/>
                <w:sz w:val="16"/>
                <w:szCs w:val="16"/>
                <w:lang w:val="en-US"/>
              </w:rPr>
              <w:t xml:space="preserve"> (EACIN))</w:t>
            </w:r>
          </w:p>
          <w:p w:rsidR="00E80502" w:rsidRPr="000D48EE" w:rsidRDefault="00E80502" w:rsidP="00DC1333">
            <w:pPr>
              <w:widowControl w:val="0"/>
              <w:rPr>
                <w:i/>
                <w:color w:val="002060"/>
                <w:sz w:val="8"/>
                <w:szCs w:val="8"/>
                <w:lang w:val="en-US"/>
              </w:rPr>
            </w:pPr>
            <w:r w:rsidRPr="000D48EE">
              <w:rPr>
                <w:color w:val="993300"/>
                <w:sz w:val="16"/>
                <w:szCs w:val="16"/>
                <w:lang w:val="en-US"/>
              </w:rPr>
              <w:br/>
            </w:r>
          </w:p>
          <w:p w:rsidR="00E80502" w:rsidRPr="009A6CA1" w:rsidRDefault="00E80502" w:rsidP="00DC1333">
            <w:pPr>
              <w:widowControl w:val="0"/>
            </w:pPr>
            <w:r w:rsidRPr="009A6CA1">
              <w:rPr>
                <w:i/>
                <w:iCs/>
                <w:sz w:val="16"/>
                <w:szCs w:val="16"/>
              </w:rPr>
              <w:t>Referencia original en el presupuesto de 2014/15</w:t>
            </w:r>
            <w:r w:rsidRPr="009A6CA1">
              <w:rPr>
                <w:i/>
                <w:sz w:val="16"/>
                <w:szCs w:val="16"/>
              </w:rPr>
              <w:t>:</w:t>
            </w:r>
            <w:r w:rsidRPr="009A6CA1">
              <w:t xml:space="preserve"> </w:t>
            </w:r>
            <w:r w:rsidRPr="009A6CA1">
              <w:rPr>
                <w:sz w:val="16"/>
                <w:szCs w:val="16"/>
              </w:rPr>
              <w:t xml:space="preserve">0 (cero)  </w:t>
            </w:r>
          </w:p>
          <w:p w:rsidR="00E80502" w:rsidRPr="009A6CA1" w:rsidRDefault="00E80502" w:rsidP="00DC1333">
            <w:pPr>
              <w:widowControl w:val="0"/>
              <w:rPr>
                <w:i/>
                <w:color w:val="002060"/>
                <w:sz w:val="16"/>
                <w:szCs w:val="16"/>
              </w:rPr>
            </w:pPr>
          </w:p>
        </w:tc>
        <w:tc>
          <w:tcPr>
            <w:tcW w:w="605" w:type="pct"/>
            <w:tcBorders>
              <w:top w:val="nil"/>
              <w:bottom w:val="nil"/>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3</w:t>
            </w:r>
          </w:p>
          <w:p w:rsidR="00E80502" w:rsidRPr="009A6CA1" w:rsidRDefault="00E80502" w:rsidP="00DC1333">
            <w:pPr>
              <w:widowControl w:val="0"/>
              <w:rPr>
                <w:sz w:val="16"/>
                <w:szCs w:val="16"/>
              </w:rPr>
            </w:pPr>
          </w:p>
        </w:tc>
        <w:tc>
          <w:tcPr>
            <w:tcW w:w="1295" w:type="pct"/>
            <w:gridSpan w:val="4"/>
            <w:tcBorders>
              <w:top w:val="nil"/>
              <w:bottom w:val="nil"/>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 xml:space="preserve">6 más en 2014/15:  </w:t>
            </w:r>
          </w:p>
          <w:p w:rsidR="00E80502" w:rsidRPr="009A6CA1" w:rsidRDefault="00E80502" w:rsidP="00E80502">
            <w:pPr>
              <w:pStyle w:val="ListParagraph"/>
              <w:numPr>
                <w:ilvl w:val="0"/>
                <w:numId w:val="86"/>
              </w:numPr>
              <w:rPr>
                <w:rFonts w:cs="Arial"/>
                <w:sz w:val="16"/>
                <w:szCs w:val="16"/>
                <w:lang w:val="es-ES" w:bidi="th-TH"/>
              </w:rPr>
            </w:pPr>
            <w:r w:rsidRPr="009A6CA1">
              <w:rPr>
                <w:sz w:val="16"/>
                <w:szCs w:val="16"/>
                <w:lang w:val="es-ES" w:bidi="th-TH"/>
              </w:rPr>
              <w:t>Centro y Red de Tecnología del Clima</w:t>
            </w:r>
          </w:p>
          <w:p w:rsidR="00E80502" w:rsidRPr="009A6CA1" w:rsidRDefault="00E80502" w:rsidP="00E80502">
            <w:pPr>
              <w:pStyle w:val="ListParagraph"/>
              <w:numPr>
                <w:ilvl w:val="0"/>
                <w:numId w:val="86"/>
              </w:numPr>
              <w:rPr>
                <w:rFonts w:cs="Arial"/>
                <w:sz w:val="16"/>
                <w:szCs w:val="16"/>
                <w:lang w:val="es-ES" w:bidi="th-TH"/>
              </w:rPr>
            </w:pPr>
            <w:r w:rsidRPr="009A6CA1">
              <w:rPr>
                <w:rFonts w:cs="Arial"/>
                <w:sz w:val="16"/>
                <w:szCs w:val="16"/>
                <w:lang w:val="es-ES" w:bidi="th-TH"/>
              </w:rPr>
              <w:t xml:space="preserve">infoDev </w:t>
            </w:r>
          </w:p>
          <w:p w:rsidR="00E80502" w:rsidRPr="009A6CA1" w:rsidRDefault="00E80502" w:rsidP="00E80502">
            <w:pPr>
              <w:pStyle w:val="ListParagraph"/>
              <w:numPr>
                <w:ilvl w:val="0"/>
                <w:numId w:val="86"/>
              </w:numPr>
              <w:rPr>
                <w:rFonts w:cs="Arial"/>
                <w:sz w:val="16"/>
                <w:szCs w:val="16"/>
                <w:lang w:val="es-ES" w:bidi="th-TH"/>
              </w:rPr>
            </w:pPr>
            <w:r w:rsidRPr="009A6CA1">
              <w:rPr>
                <w:rFonts w:cs="Arial"/>
                <w:sz w:val="16"/>
                <w:szCs w:val="16"/>
                <w:lang w:val="es-ES" w:bidi="th-TH"/>
              </w:rPr>
              <w:t>EcoPatent Commons</w:t>
            </w:r>
          </w:p>
          <w:p w:rsidR="00E80502" w:rsidRPr="009A6CA1" w:rsidRDefault="00E80502" w:rsidP="00E80502">
            <w:pPr>
              <w:pStyle w:val="ListParagraph"/>
              <w:numPr>
                <w:ilvl w:val="0"/>
                <w:numId w:val="86"/>
              </w:numPr>
              <w:rPr>
                <w:rFonts w:cs="Arial"/>
                <w:sz w:val="16"/>
                <w:szCs w:val="16"/>
                <w:lang w:val="es-ES" w:bidi="th-TH"/>
              </w:rPr>
            </w:pPr>
            <w:r w:rsidRPr="009A6CA1">
              <w:rPr>
                <w:sz w:val="16"/>
                <w:szCs w:val="16"/>
                <w:lang w:val="es-ES"/>
              </w:rPr>
              <w:t>Centro de Innovación Climática de Kenya (KCIC)</w:t>
            </w:r>
          </w:p>
          <w:p w:rsidR="00E80502" w:rsidRPr="009A6CA1" w:rsidRDefault="00E80502" w:rsidP="00E80502">
            <w:pPr>
              <w:pStyle w:val="ListParagraph"/>
              <w:numPr>
                <w:ilvl w:val="0"/>
                <w:numId w:val="86"/>
              </w:numPr>
              <w:rPr>
                <w:rFonts w:cs="Arial"/>
                <w:sz w:val="16"/>
                <w:szCs w:val="16"/>
                <w:lang w:val="es-ES" w:bidi="th-TH"/>
              </w:rPr>
            </w:pPr>
            <w:r w:rsidRPr="009A6CA1">
              <w:rPr>
                <w:sz w:val="16"/>
                <w:szCs w:val="16"/>
                <w:lang w:val="es-ES"/>
              </w:rPr>
              <w:t>Climate-KIC</w:t>
            </w:r>
          </w:p>
          <w:p w:rsidR="00E80502" w:rsidRPr="009A6CA1" w:rsidRDefault="00E80502" w:rsidP="00E80502">
            <w:pPr>
              <w:pStyle w:val="ListParagraph"/>
              <w:numPr>
                <w:ilvl w:val="0"/>
                <w:numId w:val="86"/>
              </w:numPr>
              <w:rPr>
                <w:rFonts w:cs="Arial"/>
                <w:sz w:val="16"/>
                <w:szCs w:val="16"/>
                <w:lang w:val="es-ES" w:bidi="th-TH"/>
              </w:rPr>
            </w:pPr>
            <w:r w:rsidRPr="009A6CA1">
              <w:rPr>
                <w:rFonts w:cs="Arial"/>
                <w:sz w:val="16"/>
                <w:szCs w:val="16"/>
                <w:lang w:val="es-ES" w:bidi="th-TH"/>
              </w:rPr>
              <w:t>Waseda Environmental Institute</w:t>
            </w:r>
          </w:p>
          <w:p w:rsidR="00E80502" w:rsidRPr="009A6CA1" w:rsidRDefault="00E80502" w:rsidP="00DC1333">
            <w:pPr>
              <w:widowControl w:val="0"/>
              <w:rPr>
                <w:sz w:val="16"/>
                <w:szCs w:val="16"/>
                <w:lang w:bidi="th-TH"/>
              </w:rPr>
            </w:pPr>
            <w:r w:rsidRPr="009A6CA1">
              <w:rPr>
                <w:sz w:val="16"/>
                <w:szCs w:val="16"/>
                <w:lang w:bidi="th-TH"/>
              </w:rPr>
              <w:t>(7 en total)</w:t>
            </w:r>
          </w:p>
        </w:tc>
        <w:tc>
          <w:tcPr>
            <w:tcW w:w="680" w:type="pct"/>
            <w:gridSpan w:val="3"/>
            <w:tcBorders>
              <w:top w:val="nil"/>
              <w:bottom w:val="nil"/>
            </w:tcBorders>
            <w:shd w:val="clear" w:color="auto" w:fill="auto"/>
            <w:tcMar>
              <w:top w:w="110" w:type="dxa"/>
            </w:tcMar>
          </w:tcPr>
          <w:p w:rsidR="00E80502" w:rsidRPr="009A6CA1" w:rsidRDefault="00E80502" w:rsidP="00DC1333">
            <w:pPr>
              <w:widowControl w:val="0"/>
              <w:ind w:right="-107"/>
              <w:jc w:val="center"/>
              <w:rPr>
                <w:b/>
                <w:bCs/>
                <w:color w:val="008000"/>
                <w:sz w:val="16"/>
                <w:szCs w:val="16"/>
              </w:rPr>
            </w:pPr>
            <w:r w:rsidRPr="009A6CA1">
              <w:rPr>
                <w:b/>
                <w:bCs/>
                <w:color w:val="008000"/>
                <w:sz w:val="16"/>
                <w:szCs w:val="16"/>
              </w:rPr>
              <w:t>Plenamente logrado</w:t>
            </w:r>
          </w:p>
        </w:tc>
      </w:tr>
      <w:tr w:rsidR="00E80502" w:rsidRPr="009A6CA1" w:rsidTr="003C4FE0">
        <w:trPr>
          <w:cantSplit/>
        </w:trPr>
        <w:tc>
          <w:tcPr>
            <w:tcW w:w="1154" w:type="pct"/>
            <w:gridSpan w:val="3"/>
            <w:tcBorders>
              <w:top w:val="nil"/>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t xml:space="preserve">Nº de acuerdos catalizados por medio de </w:t>
            </w:r>
            <w:r w:rsidRPr="009A6CA1">
              <w:rPr>
                <w:i/>
                <w:sz w:val="16"/>
                <w:szCs w:val="16"/>
              </w:rPr>
              <w:t>WIPO GREEN</w:t>
            </w:r>
            <w:r w:rsidRPr="009A6CA1">
              <w:rPr>
                <w:sz w:val="16"/>
                <w:szCs w:val="16"/>
              </w:rPr>
              <w:t xml:space="preserve"> que facilitan la transferencia de conocimiento así como la adaptación, transferencia o difusión de tecnología</w:t>
            </w:r>
          </w:p>
        </w:tc>
        <w:tc>
          <w:tcPr>
            <w:tcW w:w="1267" w:type="pct"/>
            <w:gridSpan w:val="3"/>
            <w:tcBorders>
              <w:top w:val="nil"/>
              <w:bottom w:val="single" w:sz="4" w:space="0" w:color="auto"/>
            </w:tcBorders>
            <w:shd w:val="clear" w:color="auto" w:fill="auto"/>
          </w:tcPr>
          <w:p w:rsidR="00E80502" w:rsidRPr="009A6CA1" w:rsidRDefault="00E80502" w:rsidP="00DC1333">
            <w:pPr>
              <w:keepNext/>
              <w:keepLines/>
              <w:widowControl w:val="0"/>
              <w:rPr>
                <w:color w:val="002060"/>
                <w:sz w:val="16"/>
                <w:szCs w:val="16"/>
              </w:rPr>
            </w:pPr>
            <w:r w:rsidRPr="009A6CA1">
              <w:rPr>
                <w:i/>
                <w:color w:val="002060"/>
                <w:sz w:val="16"/>
                <w:szCs w:val="16"/>
              </w:rPr>
              <w:t xml:space="preserve">Referencia actualizada a fines de 2013: </w:t>
            </w:r>
            <w:r w:rsidRPr="009A6CA1">
              <w:rPr>
                <w:color w:val="002060"/>
                <w:sz w:val="16"/>
                <w:szCs w:val="16"/>
              </w:rPr>
              <w:t xml:space="preserve">En 2012 y 2013 </w:t>
            </w:r>
            <w:r w:rsidRPr="009A6CA1">
              <w:rPr>
                <w:i/>
                <w:color w:val="002060"/>
                <w:sz w:val="16"/>
                <w:szCs w:val="16"/>
              </w:rPr>
              <w:t>WIPO GREEN</w:t>
            </w:r>
            <w:r w:rsidRPr="009A6CA1">
              <w:rPr>
                <w:color w:val="002060"/>
                <w:sz w:val="16"/>
                <w:szCs w:val="16"/>
              </w:rPr>
              <w:t xml:space="preserve"> concluyó : </w:t>
            </w:r>
          </w:p>
          <w:p w:rsidR="00E80502" w:rsidRPr="009A6CA1" w:rsidRDefault="00E80502" w:rsidP="00DC1333">
            <w:pPr>
              <w:keepNext/>
              <w:keepLines/>
              <w:widowControl w:val="0"/>
              <w:rPr>
                <w:color w:val="002060"/>
                <w:sz w:val="16"/>
                <w:szCs w:val="16"/>
              </w:rPr>
            </w:pPr>
            <w:r w:rsidRPr="009A6CA1">
              <w:rPr>
                <w:color w:val="002060"/>
                <w:sz w:val="16"/>
                <w:szCs w:val="16"/>
              </w:rPr>
              <w:t>Dos acuerdos con colaboradores externos para la integración de datos</w:t>
            </w:r>
          </w:p>
          <w:p w:rsidR="00E80502" w:rsidRPr="000D48EE" w:rsidRDefault="00E80502" w:rsidP="00DC1333">
            <w:pPr>
              <w:keepNext/>
              <w:keepLines/>
              <w:widowControl w:val="0"/>
              <w:rPr>
                <w:i/>
                <w:color w:val="002060"/>
                <w:sz w:val="8"/>
                <w:szCs w:val="8"/>
                <w:lang w:val="en-US"/>
              </w:rPr>
            </w:pPr>
            <w:r w:rsidRPr="000D48EE">
              <w:rPr>
                <w:color w:val="002060"/>
                <w:sz w:val="16"/>
                <w:szCs w:val="16"/>
                <w:lang w:val="en-US"/>
              </w:rPr>
              <w:t>(</w:t>
            </w:r>
            <w:r w:rsidRPr="000D48EE">
              <w:rPr>
                <w:i/>
                <w:color w:val="002060"/>
                <w:sz w:val="16"/>
                <w:szCs w:val="16"/>
                <w:lang w:val="en-US"/>
              </w:rPr>
              <w:t>Association of University Technology Managers</w:t>
            </w:r>
            <w:r w:rsidRPr="000D48EE">
              <w:rPr>
                <w:color w:val="002060"/>
                <w:sz w:val="16"/>
                <w:szCs w:val="16"/>
                <w:lang w:val="en-US"/>
              </w:rPr>
              <w:t xml:space="preserve"> (AUTM) y la </w:t>
            </w:r>
            <w:r w:rsidRPr="000D48EE">
              <w:rPr>
                <w:i/>
                <w:color w:val="002060"/>
                <w:sz w:val="16"/>
                <w:szCs w:val="16"/>
                <w:lang w:val="en-US"/>
              </w:rPr>
              <w:t>East Africa Climate Innovation Network</w:t>
            </w:r>
            <w:r w:rsidRPr="000D48EE">
              <w:rPr>
                <w:color w:val="002060"/>
                <w:sz w:val="16"/>
                <w:szCs w:val="16"/>
                <w:lang w:val="en-US"/>
              </w:rPr>
              <w:t xml:space="preserve"> (EACIN))</w:t>
            </w:r>
            <w:r w:rsidRPr="000D48EE">
              <w:rPr>
                <w:color w:val="993300"/>
                <w:sz w:val="16"/>
                <w:szCs w:val="16"/>
                <w:lang w:val="en-US"/>
              </w:rPr>
              <w:br/>
            </w:r>
          </w:p>
          <w:p w:rsidR="00E80502" w:rsidRPr="009A6CA1" w:rsidRDefault="00E80502" w:rsidP="00DC1333">
            <w:pPr>
              <w:keepNext/>
              <w:keepLines/>
              <w:widowControl w:val="0"/>
            </w:pPr>
            <w:r w:rsidRPr="009A6CA1">
              <w:rPr>
                <w:i/>
                <w:iCs/>
                <w:sz w:val="16"/>
                <w:szCs w:val="16"/>
              </w:rPr>
              <w:t>Referencia original en el presupuesto de 2014/15</w:t>
            </w:r>
            <w:r w:rsidRPr="009A6CA1">
              <w:rPr>
                <w:i/>
                <w:sz w:val="16"/>
                <w:szCs w:val="16"/>
              </w:rPr>
              <w:t>:</w:t>
            </w:r>
            <w:r w:rsidRPr="009A6CA1">
              <w:rPr>
                <w:sz w:val="16"/>
                <w:szCs w:val="16"/>
              </w:rPr>
              <w:t xml:space="preserve">  0 (cero)</w:t>
            </w:r>
          </w:p>
          <w:p w:rsidR="00E80502" w:rsidRPr="009A6CA1" w:rsidRDefault="00E80502" w:rsidP="00DC1333">
            <w:pPr>
              <w:keepNext/>
              <w:keepLines/>
              <w:widowControl w:val="0"/>
              <w:rPr>
                <w:i/>
                <w:color w:val="002060"/>
                <w:sz w:val="16"/>
                <w:szCs w:val="16"/>
              </w:rPr>
            </w:pPr>
          </w:p>
        </w:tc>
        <w:tc>
          <w:tcPr>
            <w:tcW w:w="605" w:type="pct"/>
            <w:tcBorders>
              <w:top w:val="nil"/>
              <w:bottom w:val="single" w:sz="4" w:space="0" w:color="auto"/>
            </w:tcBorders>
            <w:shd w:val="clear" w:color="auto" w:fill="auto"/>
            <w:tcMar>
              <w:top w:w="110" w:type="dxa"/>
            </w:tcMar>
          </w:tcPr>
          <w:p w:rsidR="00E80502" w:rsidRPr="009A6CA1" w:rsidRDefault="00E80502" w:rsidP="00DC1333">
            <w:pPr>
              <w:keepNext/>
              <w:keepLines/>
              <w:widowControl w:val="0"/>
              <w:rPr>
                <w:color w:val="808080"/>
                <w:sz w:val="16"/>
                <w:szCs w:val="16"/>
              </w:rPr>
            </w:pPr>
            <w:r w:rsidRPr="009A6CA1">
              <w:rPr>
                <w:sz w:val="16"/>
                <w:szCs w:val="16"/>
              </w:rPr>
              <w:t>250</w:t>
            </w:r>
          </w:p>
        </w:tc>
        <w:tc>
          <w:tcPr>
            <w:tcW w:w="1295" w:type="pct"/>
            <w:gridSpan w:val="4"/>
            <w:tcBorders>
              <w:top w:val="nil"/>
              <w:bottom w:val="single" w:sz="4" w:space="0" w:color="auto"/>
            </w:tcBorders>
            <w:shd w:val="clear" w:color="auto" w:fill="FFFFFF"/>
            <w:tcMar>
              <w:top w:w="110" w:type="dxa"/>
            </w:tcMar>
          </w:tcPr>
          <w:p w:rsidR="00E80502" w:rsidRPr="009A6CA1" w:rsidRDefault="00E80502" w:rsidP="00DC1333">
            <w:pPr>
              <w:keepNext/>
              <w:keepLines/>
              <w:widowControl w:val="0"/>
              <w:rPr>
                <w:sz w:val="16"/>
                <w:szCs w:val="16"/>
                <w:lang w:bidi="th-TH"/>
              </w:rPr>
            </w:pPr>
            <w:r w:rsidRPr="009A6CA1">
              <w:rPr>
                <w:sz w:val="16"/>
                <w:szCs w:val="16"/>
                <w:lang w:bidi="th-TH"/>
              </w:rPr>
              <w:t xml:space="preserve">5 nuevos acuerdos en 2014/15:  </w:t>
            </w:r>
          </w:p>
          <w:p w:rsidR="00E80502" w:rsidRPr="009A6CA1" w:rsidRDefault="00E80502" w:rsidP="00E80502">
            <w:pPr>
              <w:pStyle w:val="ListParagraph"/>
              <w:numPr>
                <w:ilvl w:val="0"/>
                <w:numId w:val="87"/>
              </w:numPr>
              <w:rPr>
                <w:rFonts w:cs="Arial"/>
                <w:sz w:val="16"/>
                <w:szCs w:val="16"/>
                <w:lang w:val="es-ES" w:bidi="th-TH"/>
              </w:rPr>
            </w:pPr>
            <w:r w:rsidRPr="009A6CA1">
              <w:rPr>
                <w:sz w:val="16"/>
                <w:szCs w:val="16"/>
                <w:lang w:val="es-ES" w:bidi="th-TH"/>
              </w:rPr>
              <w:t xml:space="preserve">Oficina Danesa de Patentes y Marcas </w:t>
            </w:r>
            <w:r w:rsidRPr="009A6CA1">
              <w:rPr>
                <w:rFonts w:cs="Arial"/>
                <w:sz w:val="16"/>
                <w:szCs w:val="16"/>
                <w:lang w:val="es-ES" w:bidi="th-TH"/>
              </w:rPr>
              <w:t>(DKPTO)</w:t>
            </w:r>
          </w:p>
          <w:p w:rsidR="00E80502" w:rsidRPr="009A6CA1" w:rsidRDefault="00E80502" w:rsidP="00E80502">
            <w:pPr>
              <w:pStyle w:val="ListParagraph"/>
              <w:numPr>
                <w:ilvl w:val="0"/>
                <w:numId w:val="87"/>
              </w:numPr>
              <w:rPr>
                <w:rFonts w:cs="Arial"/>
                <w:sz w:val="16"/>
                <w:szCs w:val="16"/>
                <w:lang w:val="es-ES" w:bidi="th-TH"/>
              </w:rPr>
            </w:pPr>
            <w:r w:rsidRPr="009A6CA1">
              <w:rPr>
                <w:rFonts w:cs="Arial"/>
                <w:sz w:val="16"/>
                <w:szCs w:val="16"/>
                <w:lang w:val="es-ES" w:bidi="th-TH"/>
              </w:rPr>
              <w:t>KOTEC</w:t>
            </w:r>
          </w:p>
          <w:p w:rsidR="00E80502" w:rsidRPr="009A6CA1" w:rsidRDefault="00E80502" w:rsidP="00E80502">
            <w:pPr>
              <w:pStyle w:val="ListParagraph"/>
              <w:numPr>
                <w:ilvl w:val="0"/>
                <w:numId w:val="87"/>
              </w:numPr>
              <w:rPr>
                <w:rFonts w:cs="Arial"/>
                <w:sz w:val="16"/>
                <w:szCs w:val="16"/>
                <w:lang w:val="es-ES" w:bidi="th-TH"/>
              </w:rPr>
            </w:pPr>
            <w:r w:rsidRPr="009A6CA1">
              <w:rPr>
                <w:rFonts w:cs="Arial"/>
                <w:sz w:val="16"/>
                <w:szCs w:val="16"/>
                <w:lang w:val="es-ES" w:bidi="th-TH"/>
              </w:rPr>
              <w:t>Technologie Allianz</w:t>
            </w:r>
          </w:p>
          <w:p w:rsidR="00E80502" w:rsidRPr="009A6CA1" w:rsidRDefault="00E80502" w:rsidP="00E80502">
            <w:pPr>
              <w:pStyle w:val="ListParagraph"/>
              <w:numPr>
                <w:ilvl w:val="0"/>
                <w:numId w:val="87"/>
              </w:numPr>
              <w:rPr>
                <w:rFonts w:cs="Arial"/>
                <w:sz w:val="16"/>
                <w:szCs w:val="16"/>
                <w:lang w:val="es-ES" w:bidi="th-TH"/>
              </w:rPr>
            </w:pPr>
            <w:r w:rsidRPr="009A6CA1">
              <w:rPr>
                <w:sz w:val="16"/>
                <w:szCs w:val="16"/>
                <w:lang w:val="es-ES" w:bidi="th-TH"/>
              </w:rPr>
              <w:t xml:space="preserve">Oficina de las Naciones Unidas para la Cooperación Sur-Sur </w:t>
            </w:r>
            <w:r w:rsidRPr="009A6CA1">
              <w:rPr>
                <w:rFonts w:cs="Arial"/>
                <w:sz w:val="16"/>
                <w:szCs w:val="16"/>
                <w:lang w:val="es-ES" w:bidi="th-TH"/>
              </w:rPr>
              <w:t xml:space="preserve">(UNOSSC) </w:t>
            </w:r>
          </w:p>
          <w:p w:rsidR="00E80502" w:rsidRPr="009A6CA1" w:rsidRDefault="00E80502" w:rsidP="00E80502">
            <w:pPr>
              <w:pStyle w:val="ListParagraph"/>
              <w:numPr>
                <w:ilvl w:val="0"/>
                <w:numId w:val="87"/>
              </w:numPr>
              <w:rPr>
                <w:rFonts w:cs="Arial"/>
                <w:sz w:val="16"/>
                <w:szCs w:val="16"/>
                <w:lang w:val="es-ES" w:bidi="th-TH"/>
              </w:rPr>
            </w:pPr>
            <w:r w:rsidRPr="009A6CA1">
              <w:rPr>
                <w:rFonts w:cs="Arial"/>
                <w:sz w:val="16"/>
                <w:szCs w:val="16"/>
                <w:lang w:val="es-ES" w:bidi="th-TH"/>
              </w:rPr>
              <w:t>Ministerio de Economía (Israel)</w:t>
            </w:r>
          </w:p>
          <w:p w:rsidR="00E80502" w:rsidRPr="009A6CA1" w:rsidRDefault="00E80502" w:rsidP="00DC1333">
            <w:pPr>
              <w:keepNext/>
              <w:keepLines/>
              <w:widowControl w:val="0"/>
              <w:rPr>
                <w:sz w:val="16"/>
                <w:szCs w:val="16"/>
                <w:lang w:bidi="th-TH"/>
              </w:rPr>
            </w:pPr>
            <w:r w:rsidRPr="009A6CA1">
              <w:rPr>
                <w:sz w:val="16"/>
                <w:szCs w:val="16"/>
                <w:lang w:bidi="th-TH"/>
              </w:rPr>
              <w:t>(7 en total)</w:t>
            </w:r>
          </w:p>
          <w:p w:rsidR="00E80502" w:rsidRPr="009A6CA1" w:rsidRDefault="00E80502" w:rsidP="00DC1333">
            <w:pPr>
              <w:keepNext/>
              <w:keepLines/>
              <w:widowControl w:val="0"/>
              <w:rPr>
                <w:sz w:val="16"/>
                <w:szCs w:val="16"/>
                <w:lang w:bidi="th-TH"/>
              </w:rPr>
            </w:pPr>
          </w:p>
        </w:tc>
        <w:tc>
          <w:tcPr>
            <w:tcW w:w="680" w:type="pct"/>
            <w:gridSpan w:val="3"/>
            <w:tcBorders>
              <w:top w:val="nil"/>
              <w:bottom w:val="single" w:sz="4" w:space="0" w:color="auto"/>
            </w:tcBorders>
            <w:shd w:val="clear" w:color="auto" w:fill="auto"/>
            <w:tcMar>
              <w:top w:w="110" w:type="dxa"/>
            </w:tcMar>
          </w:tcPr>
          <w:p w:rsidR="00E80502" w:rsidRPr="009A6CA1" w:rsidRDefault="00E80502" w:rsidP="00DC1333">
            <w:pPr>
              <w:keepNext/>
              <w:keepLines/>
              <w:widowControl w:val="0"/>
              <w:jc w:val="center"/>
              <w:rPr>
                <w:b/>
                <w:bCs/>
                <w:color w:val="FF0000"/>
                <w:sz w:val="16"/>
                <w:szCs w:val="16"/>
              </w:rPr>
            </w:pPr>
            <w:r w:rsidRPr="009A6CA1">
              <w:rPr>
                <w:b/>
                <w:bCs/>
                <w:color w:val="FF0000"/>
                <w:sz w:val="16"/>
                <w:szCs w:val="16"/>
              </w:rPr>
              <w:t>No logrado</w:t>
            </w:r>
          </w:p>
        </w:tc>
      </w:tr>
      <w:tr w:rsidR="00E80502" w:rsidRPr="009A6CA1" w:rsidTr="003C4FE0">
        <w:trPr>
          <w:cantSplit/>
        </w:trPr>
        <w:tc>
          <w:tcPr>
            <w:tcW w:w="1098" w:type="pct"/>
            <w:gridSpan w:val="2"/>
            <w:tcBorders>
              <w:top w:val="single" w:sz="4" w:space="0" w:color="auto"/>
              <w:left w:val="single" w:sz="4" w:space="0" w:color="auto"/>
              <w:bottom w:val="single" w:sz="4" w:space="0" w:color="auto"/>
            </w:tcBorders>
            <w:shd w:val="clear" w:color="auto" w:fill="auto"/>
          </w:tcPr>
          <w:p w:rsidR="00E80502" w:rsidRPr="009A6CA1" w:rsidRDefault="00E80502" w:rsidP="00DC1333">
            <w:pPr>
              <w:widowControl w:val="0"/>
              <w:rPr>
                <w:sz w:val="16"/>
                <w:szCs w:val="16"/>
              </w:rPr>
            </w:pPr>
            <w:r w:rsidRPr="009A6CA1">
              <w:rPr>
                <w:sz w:val="16"/>
                <w:szCs w:val="16"/>
              </w:rPr>
              <w:lastRenderedPageBreak/>
              <w:t>Nº de visitas a las páginas sobre desafíos mundiales del sitio web</w:t>
            </w:r>
          </w:p>
          <w:p w:rsidR="00E80502" w:rsidRPr="009A6CA1" w:rsidRDefault="00E80502" w:rsidP="00DC1333">
            <w:pPr>
              <w:widowControl w:val="0"/>
              <w:rPr>
                <w:sz w:val="16"/>
                <w:szCs w:val="16"/>
              </w:rPr>
            </w:pPr>
          </w:p>
        </w:tc>
        <w:tc>
          <w:tcPr>
            <w:tcW w:w="1315" w:type="pct"/>
            <w:gridSpan w:val="3"/>
            <w:tcBorders>
              <w:top w:val="single" w:sz="4" w:space="0" w:color="auto"/>
              <w:bottom w:val="single" w:sz="4" w:space="0" w:color="auto"/>
            </w:tcBorders>
            <w:shd w:val="clear" w:color="auto" w:fill="auto"/>
          </w:tcPr>
          <w:p w:rsidR="00E80502" w:rsidRPr="009A6CA1" w:rsidRDefault="00E80502" w:rsidP="00DC1333">
            <w:pPr>
              <w:keepNext/>
              <w:keepLines/>
              <w:widowControl w:val="0"/>
              <w:rPr>
                <w:i/>
                <w:color w:val="002060"/>
                <w:sz w:val="16"/>
                <w:szCs w:val="16"/>
              </w:rPr>
            </w:pPr>
            <w:r w:rsidRPr="009A6CA1">
              <w:rPr>
                <w:i/>
                <w:color w:val="002060"/>
                <w:sz w:val="16"/>
                <w:szCs w:val="16"/>
              </w:rPr>
              <w:t xml:space="preserve">Referencia actualizada a fines de 2013: </w:t>
            </w:r>
          </w:p>
          <w:p w:rsidR="00E80502" w:rsidRPr="009A6CA1" w:rsidRDefault="00E80502" w:rsidP="00DC1333">
            <w:pPr>
              <w:keepNext/>
              <w:keepLines/>
              <w:widowControl w:val="0"/>
              <w:rPr>
                <w:color w:val="002060"/>
                <w:sz w:val="16"/>
                <w:szCs w:val="16"/>
              </w:rPr>
            </w:pPr>
            <w:r w:rsidRPr="009A6CA1">
              <w:rPr>
                <w:color w:val="002060"/>
                <w:sz w:val="16"/>
                <w:szCs w:val="16"/>
              </w:rPr>
              <w:t>6.476 páginas vistas (GCD).</w:t>
            </w:r>
          </w:p>
          <w:p w:rsidR="00E80502" w:rsidRPr="009A6CA1" w:rsidRDefault="00E80502" w:rsidP="00DC1333">
            <w:pPr>
              <w:keepNext/>
              <w:keepLines/>
              <w:widowControl w:val="0"/>
              <w:rPr>
                <w:color w:val="002060"/>
                <w:sz w:val="16"/>
                <w:szCs w:val="16"/>
              </w:rPr>
            </w:pPr>
            <w:r w:rsidRPr="009A6CA1">
              <w:rPr>
                <w:color w:val="002060"/>
                <w:sz w:val="16"/>
                <w:szCs w:val="16"/>
              </w:rPr>
              <w:t>3.773 descargas de archivos en formato pdf.</w:t>
            </w:r>
          </w:p>
          <w:p w:rsidR="00E80502" w:rsidRPr="009A6CA1" w:rsidRDefault="00E80502" w:rsidP="00DC1333">
            <w:pPr>
              <w:keepNext/>
              <w:keepLines/>
              <w:widowControl w:val="0"/>
              <w:rPr>
                <w:color w:val="002060"/>
                <w:sz w:val="16"/>
                <w:szCs w:val="16"/>
              </w:rPr>
            </w:pPr>
            <w:r w:rsidRPr="009A6CA1">
              <w:rPr>
                <w:color w:val="002060"/>
                <w:sz w:val="16"/>
                <w:szCs w:val="16"/>
              </w:rPr>
              <w:t xml:space="preserve">73.648 páginas vistas de </w:t>
            </w:r>
            <w:r w:rsidRPr="009A6CA1">
              <w:rPr>
                <w:i/>
                <w:color w:val="002060"/>
                <w:sz w:val="16"/>
                <w:szCs w:val="16"/>
              </w:rPr>
              <w:t>WIPO GREEN</w:t>
            </w:r>
          </w:p>
          <w:p w:rsidR="00E80502" w:rsidRPr="009A6CA1" w:rsidRDefault="00E80502" w:rsidP="00DC1333">
            <w:pPr>
              <w:keepNext/>
              <w:keepLines/>
              <w:widowControl w:val="0"/>
              <w:rPr>
                <w:color w:val="002060"/>
                <w:sz w:val="16"/>
                <w:szCs w:val="16"/>
              </w:rPr>
            </w:pPr>
            <w:r w:rsidRPr="009A6CA1">
              <w:rPr>
                <w:color w:val="002060"/>
                <w:sz w:val="16"/>
                <w:szCs w:val="16"/>
              </w:rPr>
              <w:t xml:space="preserve">60.712 páginas vistas de </w:t>
            </w:r>
            <w:r w:rsidRPr="009A6CA1">
              <w:rPr>
                <w:i/>
                <w:color w:val="002060"/>
                <w:sz w:val="16"/>
                <w:szCs w:val="16"/>
              </w:rPr>
              <w:t>WIPO Re:Search</w:t>
            </w:r>
          </w:p>
          <w:p w:rsidR="00E80502" w:rsidRPr="009A6CA1" w:rsidRDefault="00E80502" w:rsidP="00DC1333">
            <w:pPr>
              <w:widowControl w:val="0"/>
              <w:rPr>
                <w:i/>
                <w:color w:val="002060"/>
                <w:sz w:val="16"/>
                <w:szCs w:val="16"/>
              </w:rPr>
            </w:pPr>
          </w:p>
          <w:p w:rsidR="00E80502" w:rsidRPr="009A6CA1" w:rsidRDefault="00E80502" w:rsidP="00DC1333">
            <w:pPr>
              <w:widowControl w:val="0"/>
              <w:rPr>
                <w:i/>
                <w:color w:val="002060"/>
                <w:sz w:val="16"/>
                <w:szCs w:val="16"/>
              </w:rPr>
            </w:pPr>
            <w:r w:rsidRPr="009A6CA1">
              <w:rPr>
                <w:i/>
                <w:iCs/>
                <w:sz w:val="16"/>
                <w:szCs w:val="16"/>
              </w:rPr>
              <w:t>Referencia original en el presupuesto de 2014/15</w:t>
            </w:r>
            <w:proofErr w:type="gramStart"/>
            <w:r w:rsidRPr="009A6CA1">
              <w:rPr>
                <w:i/>
                <w:sz w:val="16"/>
                <w:szCs w:val="16"/>
              </w:rPr>
              <w:t>:</w:t>
            </w:r>
            <w:r w:rsidRPr="009A6CA1">
              <w:rPr>
                <w:sz w:val="16"/>
                <w:szCs w:val="16"/>
              </w:rPr>
              <w:t xml:space="preserve">  n.d</w:t>
            </w:r>
            <w:proofErr w:type="gramEnd"/>
            <w:r w:rsidRPr="009A6CA1">
              <w:rPr>
                <w:sz w:val="16"/>
                <w:szCs w:val="16"/>
              </w:rPr>
              <w:t>.</w:t>
            </w:r>
            <w:r w:rsidRPr="009A6CA1">
              <w:rPr>
                <w:sz w:val="16"/>
                <w:szCs w:val="16"/>
              </w:rPr>
              <w:br/>
            </w:r>
          </w:p>
        </w:tc>
        <w:tc>
          <w:tcPr>
            <w:tcW w:w="658" w:type="pct"/>
            <w:gridSpan w:val="3"/>
            <w:tcBorders>
              <w:top w:val="single" w:sz="4" w:space="0" w:color="auto"/>
              <w:bottom w:val="single" w:sz="4" w:space="0" w:color="auto"/>
            </w:tcBorders>
            <w:shd w:val="clear" w:color="auto" w:fill="auto"/>
            <w:tcMar>
              <w:top w:w="110" w:type="dxa"/>
            </w:tcMar>
          </w:tcPr>
          <w:p w:rsidR="00E80502" w:rsidRPr="009A6CA1" w:rsidRDefault="00E80502" w:rsidP="00DC1333">
            <w:pPr>
              <w:widowControl w:val="0"/>
              <w:rPr>
                <w:sz w:val="16"/>
                <w:szCs w:val="16"/>
              </w:rPr>
            </w:pPr>
            <w:r w:rsidRPr="009A6CA1">
              <w:rPr>
                <w:sz w:val="16"/>
                <w:szCs w:val="16"/>
              </w:rPr>
              <w:t>Aumento del 50%.</w:t>
            </w:r>
          </w:p>
        </w:tc>
        <w:tc>
          <w:tcPr>
            <w:tcW w:w="1243" w:type="pct"/>
            <w:gridSpan w:val="2"/>
            <w:tcBorders>
              <w:top w:val="single" w:sz="4" w:space="0" w:color="auto"/>
              <w:bottom w:val="single" w:sz="4" w:space="0" w:color="auto"/>
            </w:tcBorders>
            <w:shd w:val="clear" w:color="auto" w:fill="FFFFFF"/>
            <w:tcMar>
              <w:top w:w="110" w:type="dxa"/>
            </w:tcMar>
          </w:tcPr>
          <w:p w:rsidR="00E80502" w:rsidRPr="009A6CA1" w:rsidRDefault="00E80502" w:rsidP="00DC1333">
            <w:pPr>
              <w:widowControl w:val="0"/>
              <w:rPr>
                <w:sz w:val="16"/>
                <w:szCs w:val="16"/>
                <w:lang w:bidi="th-TH"/>
              </w:rPr>
            </w:pPr>
            <w:r w:rsidRPr="009A6CA1">
              <w:rPr>
                <w:sz w:val="16"/>
                <w:szCs w:val="16"/>
                <w:lang w:bidi="th-TH"/>
              </w:rPr>
              <w:t xml:space="preserve">Número de páginas vistas: </w:t>
            </w:r>
          </w:p>
          <w:p w:rsidR="00E80502" w:rsidRPr="009A6CA1" w:rsidRDefault="00E80502" w:rsidP="00DC1333">
            <w:pPr>
              <w:widowControl w:val="0"/>
              <w:spacing w:after="120"/>
              <w:rPr>
                <w:sz w:val="16"/>
                <w:szCs w:val="16"/>
                <w:lang w:bidi="th-TH"/>
              </w:rPr>
            </w:pPr>
            <w:r w:rsidRPr="009A6CA1">
              <w:rPr>
                <w:sz w:val="16"/>
                <w:szCs w:val="16"/>
                <w:lang w:bidi="th-TH"/>
              </w:rPr>
              <w:t>-  GCD (División de Desafíos Mundiales):  2.693</w:t>
            </w:r>
          </w:p>
          <w:p w:rsidR="00E80502" w:rsidRPr="009A6CA1" w:rsidRDefault="00E80502" w:rsidP="00DC1333">
            <w:pPr>
              <w:widowControl w:val="0"/>
              <w:spacing w:after="120"/>
              <w:rPr>
                <w:sz w:val="16"/>
                <w:szCs w:val="16"/>
                <w:lang w:bidi="th-TH"/>
              </w:rPr>
            </w:pPr>
            <w:r w:rsidRPr="009A6CA1">
              <w:rPr>
                <w:sz w:val="16"/>
                <w:szCs w:val="16"/>
                <w:lang w:bidi="th-TH"/>
              </w:rPr>
              <w:t>-  Descargas de archivos en formato pdf:  42.253</w:t>
            </w:r>
          </w:p>
          <w:p w:rsidR="00E80502" w:rsidRPr="000D48EE" w:rsidRDefault="00E80502" w:rsidP="00DC1333">
            <w:pPr>
              <w:widowControl w:val="0"/>
              <w:spacing w:after="120"/>
              <w:rPr>
                <w:sz w:val="16"/>
                <w:szCs w:val="16"/>
                <w:lang w:val="en-US" w:bidi="th-TH"/>
              </w:rPr>
            </w:pPr>
            <w:r w:rsidRPr="000D48EE">
              <w:rPr>
                <w:sz w:val="16"/>
                <w:szCs w:val="16"/>
                <w:lang w:val="en-US" w:bidi="th-TH"/>
              </w:rPr>
              <w:t>-  WIPO GREEN:  207.716</w:t>
            </w:r>
          </w:p>
          <w:p w:rsidR="00E80502" w:rsidRPr="000D48EE" w:rsidRDefault="00E80502" w:rsidP="00DC1333">
            <w:pPr>
              <w:widowControl w:val="0"/>
              <w:spacing w:after="120"/>
              <w:rPr>
                <w:sz w:val="16"/>
                <w:szCs w:val="16"/>
                <w:lang w:val="en-US" w:bidi="th-TH"/>
              </w:rPr>
            </w:pPr>
            <w:r w:rsidRPr="000D48EE">
              <w:rPr>
                <w:sz w:val="16"/>
                <w:szCs w:val="16"/>
                <w:lang w:val="en-US" w:bidi="th-TH"/>
              </w:rPr>
              <w:t xml:space="preserve">-  </w:t>
            </w:r>
            <w:r w:rsidRPr="000D48EE">
              <w:rPr>
                <w:i/>
                <w:sz w:val="16"/>
                <w:szCs w:val="16"/>
                <w:lang w:val="en-US" w:bidi="th-TH"/>
              </w:rPr>
              <w:t>WIPO Re:Search</w:t>
            </w:r>
            <w:r w:rsidRPr="000D48EE">
              <w:rPr>
                <w:sz w:val="16"/>
                <w:szCs w:val="16"/>
                <w:lang w:val="en-US" w:bidi="th-TH"/>
              </w:rPr>
              <w:t>:  62.118</w:t>
            </w:r>
          </w:p>
          <w:p w:rsidR="00E80502" w:rsidRPr="009A6CA1" w:rsidRDefault="00E80502" w:rsidP="00DC1333">
            <w:pPr>
              <w:widowControl w:val="0"/>
              <w:spacing w:after="120"/>
              <w:rPr>
                <w:sz w:val="16"/>
                <w:szCs w:val="16"/>
                <w:lang w:bidi="th-TH"/>
              </w:rPr>
            </w:pPr>
            <w:r w:rsidRPr="009A6CA1">
              <w:rPr>
                <w:sz w:val="16"/>
                <w:szCs w:val="16"/>
                <w:lang w:bidi="th-TH"/>
              </w:rPr>
              <w:t>-  La salud mundial y la P.I.:  31.800</w:t>
            </w:r>
          </w:p>
          <w:p w:rsidR="00E80502" w:rsidRPr="009A6CA1" w:rsidRDefault="00E80502" w:rsidP="00DC1333">
            <w:pPr>
              <w:widowControl w:val="0"/>
              <w:spacing w:after="120"/>
              <w:rPr>
                <w:sz w:val="16"/>
                <w:szCs w:val="16"/>
                <w:lang w:bidi="th-TH"/>
              </w:rPr>
            </w:pPr>
            <w:r w:rsidRPr="009A6CA1">
              <w:rPr>
                <w:sz w:val="16"/>
                <w:szCs w:val="16"/>
                <w:lang w:bidi="th-TH"/>
              </w:rPr>
              <w:t xml:space="preserve">    El cambio climático y la P.I.:  4.952</w:t>
            </w:r>
          </w:p>
        </w:tc>
        <w:tc>
          <w:tcPr>
            <w:tcW w:w="687" w:type="pct"/>
            <w:gridSpan w:val="4"/>
            <w:tcBorders>
              <w:top w:val="single" w:sz="4" w:space="0" w:color="auto"/>
              <w:bottom w:val="single" w:sz="4" w:space="0" w:color="auto"/>
              <w:right w:val="single" w:sz="4" w:space="0" w:color="auto"/>
            </w:tcBorders>
            <w:shd w:val="clear" w:color="auto" w:fill="auto"/>
            <w:tcMar>
              <w:top w:w="110" w:type="dxa"/>
            </w:tcMar>
          </w:tcPr>
          <w:p w:rsidR="00E80502" w:rsidRPr="009A6CA1" w:rsidRDefault="00E80502" w:rsidP="00DC1333">
            <w:pPr>
              <w:widowControl w:val="0"/>
              <w:jc w:val="center"/>
              <w:rPr>
                <w:b/>
                <w:bCs/>
                <w:color w:val="FF0000"/>
                <w:sz w:val="16"/>
                <w:szCs w:val="16"/>
              </w:rPr>
            </w:pPr>
          </w:p>
          <w:p w:rsidR="00E80502" w:rsidRPr="009A6CA1" w:rsidRDefault="00E80502" w:rsidP="00DC1333">
            <w:pPr>
              <w:widowControl w:val="0"/>
              <w:jc w:val="center"/>
              <w:rPr>
                <w:b/>
                <w:bCs/>
                <w:color w:val="FF0000"/>
                <w:sz w:val="16"/>
                <w:szCs w:val="16"/>
              </w:rPr>
            </w:pPr>
            <w:r w:rsidRPr="009A6CA1">
              <w:rPr>
                <w:b/>
                <w:bCs/>
                <w:color w:val="FF0000"/>
                <w:sz w:val="16"/>
                <w:szCs w:val="16"/>
              </w:rPr>
              <w:t>No logrado</w:t>
            </w:r>
          </w:p>
          <w:p w:rsidR="00E80502" w:rsidRPr="009A6CA1" w:rsidRDefault="00E80502" w:rsidP="00DC1333">
            <w:pPr>
              <w:widowControl w:val="0"/>
              <w:jc w:val="center"/>
              <w:rPr>
                <w:b/>
                <w:bCs/>
                <w:color w:val="FF0000"/>
                <w:sz w:val="16"/>
                <w:szCs w:val="16"/>
              </w:rPr>
            </w:pPr>
          </w:p>
          <w:p w:rsidR="00E80502" w:rsidRPr="009A6CA1" w:rsidRDefault="00E80502" w:rsidP="00DC1333">
            <w:pPr>
              <w:widowControl w:val="0"/>
              <w:jc w:val="center"/>
              <w:rPr>
                <w:b/>
                <w:bCs/>
                <w:color w:val="FF0000"/>
                <w:sz w:val="15"/>
                <w:szCs w:val="15"/>
              </w:rPr>
            </w:pPr>
          </w:p>
          <w:p w:rsidR="00E80502" w:rsidRPr="009A6CA1" w:rsidRDefault="00E80502" w:rsidP="00DC1333">
            <w:pPr>
              <w:widowControl w:val="0"/>
              <w:jc w:val="center"/>
              <w:rPr>
                <w:b/>
                <w:bCs/>
                <w:color w:val="FF0000"/>
                <w:sz w:val="15"/>
                <w:szCs w:val="15"/>
              </w:rPr>
            </w:pPr>
          </w:p>
          <w:p w:rsidR="00E80502" w:rsidRPr="009A6CA1" w:rsidRDefault="00E80502" w:rsidP="00DC1333">
            <w:pPr>
              <w:widowControl w:val="0"/>
              <w:spacing w:after="60"/>
              <w:jc w:val="center"/>
              <w:rPr>
                <w:b/>
                <w:bCs/>
                <w:color w:val="A6A6A6" w:themeColor="background1" w:themeShade="A6"/>
                <w:sz w:val="16"/>
                <w:szCs w:val="16"/>
              </w:rPr>
            </w:pPr>
            <w:r w:rsidRPr="009A6CA1">
              <w:rPr>
                <w:b/>
                <w:bCs/>
                <w:color w:val="008000"/>
                <w:sz w:val="16"/>
                <w:szCs w:val="16"/>
              </w:rPr>
              <w:t>Plenamente logrado</w:t>
            </w:r>
            <w:r w:rsidRPr="009A6CA1">
              <w:rPr>
                <w:b/>
                <w:bCs/>
                <w:color w:val="A6A6A6" w:themeColor="background1" w:themeShade="A6"/>
                <w:sz w:val="16"/>
                <w:szCs w:val="16"/>
              </w:rPr>
              <w:t xml:space="preserve"> </w:t>
            </w:r>
          </w:p>
          <w:p w:rsidR="00E80502" w:rsidRPr="009A6CA1" w:rsidRDefault="00E80502" w:rsidP="00DC1333">
            <w:pPr>
              <w:widowControl w:val="0"/>
              <w:jc w:val="center"/>
              <w:rPr>
                <w:b/>
                <w:bCs/>
              </w:rPr>
            </w:pPr>
            <w:r w:rsidRPr="009A6CA1">
              <w:rPr>
                <w:b/>
                <w:bCs/>
                <w:color w:val="008000"/>
                <w:sz w:val="16"/>
                <w:szCs w:val="16"/>
              </w:rPr>
              <w:t>Plenamente logrado</w:t>
            </w:r>
          </w:p>
          <w:p w:rsidR="00E80502" w:rsidRPr="009A6CA1" w:rsidRDefault="00E80502" w:rsidP="00DC1333">
            <w:pPr>
              <w:widowControl w:val="0"/>
              <w:jc w:val="center"/>
              <w:rPr>
                <w:b/>
                <w:bCs/>
              </w:rPr>
            </w:pPr>
          </w:p>
          <w:p w:rsidR="00E80502" w:rsidRPr="009A6CA1" w:rsidRDefault="00E80502" w:rsidP="00DC1333">
            <w:pPr>
              <w:widowControl w:val="0"/>
              <w:jc w:val="center"/>
              <w:rPr>
                <w:bCs/>
                <w:color w:val="808080"/>
                <w:sz w:val="16"/>
                <w:szCs w:val="16"/>
              </w:rPr>
            </w:pPr>
            <w:r w:rsidRPr="009A6CA1">
              <w:rPr>
                <w:b/>
                <w:bCs/>
                <w:color w:val="FF0000"/>
                <w:sz w:val="16"/>
                <w:szCs w:val="16"/>
              </w:rPr>
              <w:t>No logrado</w:t>
            </w:r>
          </w:p>
        </w:tc>
      </w:tr>
      <w:tr w:rsidR="00E80502" w:rsidRPr="009A6CA1" w:rsidTr="00DC1333">
        <w:trPr>
          <w:cantSplit/>
          <w:trHeight w:val="521"/>
        </w:trPr>
        <w:tc>
          <w:tcPr>
            <w:tcW w:w="5000" w:type="pct"/>
            <w:gridSpan w:val="14"/>
            <w:tcBorders>
              <w:top w:val="single" w:sz="4" w:space="0" w:color="auto"/>
              <w:bottom w:val="single" w:sz="4" w:space="0" w:color="auto"/>
            </w:tcBorders>
            <w:shd w:val="clear" w:color="auto" w:fill="C6D9F1" w:themeFill="text2" w:themeFillTint="33"/>
            <w:vAlign w:val="center"/>
          </w:tcPr>
          <w:p w:rsidR="00E80502" w:rsidRPr="009A6CA1" w:rsidRDefault="00E80502" w:rsidP="00DC1333">
            <w:pPr>
              <w:keepNext/>
              <w:spacing w:before="120" w:after="120"/>
              <w:ind w:left="2019" w:hanging="2019"/>
              <w:rPr>
                <w:b/>
                <w:bCs/>
                <w:sz w:val="16"/>
                <w:szCs w:val="16"/>
              </w:rPr>
            </w:pPr>
            <w:r w:rsidRPr="009A6CA1">
              <w:rPr>
                <w:b/>
                <w:bCs/>
                <w:sz w:val="16"/>
                <w:szCs w:val="16"/>
              </w:rPr>
              <w:t>Resultado previsto:</w:t>
            </w:r>
            <w:r w:rsidRPr="009A6CA1">
              <w:rPr>
                <w:b/>
                <w:bCs/>
                <w:sz w:val="16"/>
                <w:szCs w:val="16"/>
              </w:rPr>
              <w:tab/>
            </w:r>
            <w:r w:rsidRPr="009A6CA1">
              <w:rPr>
                <w:sz w:val="16"/>
                <w:szCs w:val="16"/>
              </w:rPr>
              <w:t>VII.3 Mayor credibilidad de la OMPI en tanto que foro para el análisis de cuestiones en el ámbito de la P.I. y la política de competencia</w:t>
            </w:r>
          </w:p>
        </w:tc>
      </w:tr>
      <w:tr w:rsidR="00E80502" w:rsidRPr="009A6CA1" w:rsidTr="00DC1333">
        <w:trPr>
          <w:cantSplit/>
        </w:trPr>
        <w:tc>
          <w:tcPr>
            <w:tcW w:w="1098" w:type="pct"/>
            <w:gridSpan w:val="2"/>
            <w:tcBorders>
              <w:top w:val="single" w:sz="4" w:space="0" w:color="auto"/>
            </w:tcBorders>
            <w:shd w:val="clear" w:color="auto" w:fill="auto"/>
            <w:vAlign w:val="center"/>
          </w:tcPr>
          <w:p w:rsidR="00E80502" w:rsidRPr="009A6CA1" w:rsidRDefault="00E80502" w:rsidP="00DC1333">
            <w:pPr>
              <w:keepNext/>
              <w:widowControl w:val="0"/>
              <w:rPr>
                <w:sz w:val="16"/>
                <w:szCs w:val="16"/>
              </w:rPr>
            </w:pPr>
            <w:r w:rsidRPr="009A6CA1">
              <w:rPr>
                <w:b/>
                <w:sz w:val="16"/>
                <w:szCs w:val="16"/>
              </w:rPr>
              <w:t>Indicadores de rendimiento</w:t>
            </w:r>
          </w:p>
        </w:tc>
        <w:tc>
          <w:tcPr>
            <w:tcW w:w="1315" w:type="pct"/>
            <w:gridSpan w:val="3"/>
            <w:tcBorders>
              <w:top w:val="single" w:sz="4" w:space="0" w:color="auto"/>
            </w:tcBorders>
            <w:shd w:val="clear" w:color="auto" w:fill="auto"/>
            <w:vAlign w:val="center"/>
          </w:tcPr>
          <w:p w:rsidR="00E80502" w:rsidRPr="009A6CA1" w:rsidRDefault="00E80502" w:rsidP="00DC1333">
            <w:pPr>
              <w:keepNext/>
              <w:widowControl w:val="0"/>
              <w:rPr>
                <w:b/>
                <w:bCs/>
                <w:sz w:val="16"/>
                <w:szCs w:val="16"/>
              </w:rPr>
            </w:pPr>
            <w:r w:rsidRPr="009A6CA1">
              <w:rPr>
                <w:b/>
                <w:bCs/>
                <w:sz w:val="16"/>
                <w:szCs w:val="16"/>
              </w:rPr>
              <w:t>Referencia</w:t>
            </w:r>
          </w:p>
        </w:tc>
        <w:tc>
          <w:tcPr>
            <w:tcW w:w="658" w:type="pct"/>
            <w:gridSpan w:val="3"/>
            <w:tcBorders>
              <w:top w:val="single" w:sz="4" w:space="0" w:color="auto"/>
            </w:tcBorders>
            <w:shd w:val="clear" w:color="auto" w:fill="auto"/>
            <w:tcMar>
              <w:top w:w="110" w:type="dxa"/>
            </w:tcMar>
            <w:vAlign w:val="center"/>
          </w:tcPr>
          <w:p w:rsidR="00E80502" w:rsidRPr="009A6CA1" w:rsidRDefault="00E80502" w:rsidP="00DC1333">
            <w:pPr>
              <w:keepNext/>
              <w:widowControl w:val="0"/>
              <w:rPr>
                <w:b/>
                <w:sz w:val="16"/>
                <w:szCs w:val="16"/>
              </w:rPr>
            </w:pPr>
            <w:r w:rsidRPr="009A6CA1">
              <w:rPr>
                <w:b/>
                <w:sz w:val="16"/>
                <w:szCs w:val="16"/>
              </w:rPr>
              <w:t>Objetivos</w:t>
            </w:r>
          </w:p>
        </w:tc>
        <w:tc>
          <w:tcPr>
            <w:tcW w:w="1318" w:type="pct"/>
            <w:gridSpan w:val="5"/>
            <w:tcBorders>
              <w:top w:val="single" w:sz="4" w:space="0" w:color="auto"/>
            </w:tcBorders>
            <w:shd w:val="clear" w:color="auto" w:fill="FFFFFF"/>
            <w:tcMar>
              <w:top w:w="110" w:type="dxa"/>
            </w:tcMar>
            <w:vAlign w:val="center"/>
          </w:tcPr>
          <w:p w:rsidR="00E80502" w:rsidRPr="009A6CA1" w:rsidRDefault="00E80502" w:rsidP="00DC1333">
            <w:pPr>
              <w:keepNext/>
              <w:widowControl w:val="0"/>
              <w:rPr>
                <w:sz w:val="16"/>
                <w:szCs w:val="16"/>
              </w:rPr>
            </w:pPr>
            <w:r w:rsidRPr="009A6CA1">
              <w:rPr>
                <w:b/>
                <w:sz w:val="16"/>
                <w:szCs w:val="16"/>
              </w:rPr>
              <w:t>Datos sobre el rendimiento</w:t>
            </w:r>
          </w:p>
        </w:tc>
        <w:tc>
          <w:tcPr>
            <w:tcW w:w="612" w:type="pct"/>
            <w:tcBorders>
              <w:top w:val="single" w:sz="4" w:space="0" w:color="auto"/>
            </w:tcBorders>
            <w:shd w:val="clear" w:color="auto" w:fill="auto"/>
            <w:tcMar>
              <w:top w:w="110" w:type="dxa"/>
            </w:tcMar>
            <w:vAlign w:val="center"/>
          </w:tcPr>
          <w:p w:rsidR="00E80502" w:rsidRPr="009A6CA1" w:rsidRDefault="00E80502" w:rsidP="00DC1333">
            <w:pPr>
              <w:keepNext/>
              <w:widowControl w:val="0"/>
              <w:ind w:right="-107"/>
              <w:jc w:val="center"/>
              <w:rPr>
                <w:b/>
                <w:bCs/>
                <w:sz w:val="16"/>
                <w:szCs w:val="16"/>
              </w:rPr>
            </w:pPr>
            <w:r w:rsidRPr="009A6CA1">
              <w:rPr>
                <w:b/>
                <w:bCs/>
                <w:sz w:val="16"/>
                <w:szCs w:val="16"/>
              </w:rPr>
              <w:t>Clave de colores</w:t>
            </w:r>
          </w:p>
        </w:tc>
      </w:tr>
      <w:tr w:rsidR="00E80502" w:rsidRPr="009A6CA1" w:rsidTr="00DC1333">
        <w:trPr>
          <w:cantSplit/>
        </w:trPr>
        <w:tc>
          <w:tcPr>
            <w:tcW w:w="1098" w:type="pct"/>
            <w:gridSpan w:val="2"/>
            <w:shd w:val="clear" w:color="auto" w:fill="auto"/>
          </w:tcPr>
          <w:p w:rsidR="00E80502" w:rsidRPr="009A6CA1" w:rsidRDefault="00E80502" w:rsidP="00DC1333">
            <w:pPr>
              <w:keepNext/>
              <w:widowControl w:val="0"/>
              <w:rPr>
                <w:sz w:val="16"/>
                <w:szCs w:val="16"/>
              </w:rPr>
            </w:pPr>
            <w:r w:rsidRPr="009A6CA1">
              <w:rPr>
                <w:sz w:val="16"/>
                <w:szCs w:val="16"/>
              </w:rPr>
              <w:t>Nº de países que solicitan la aportación específica de la OMPI en materia de P.I. en relación con la política de competencia</w:t>
            </w:r>
          </w:p>
        </w:tc>
        <w:tc>
          <w:tcPr>
            <w:tcW w:w="1315" w:type="pct"/>
            <w:gridSpan w:val="3"/>
            <w:shd w:val="clear" w:color="auto" w:fill="auto"/>
          </w:tcPr>
          <w:p w:rsidR="00E80502" w:rsidRPr="009A6CA1" w:rsidRDefault="00E80502" w:rsidP="00DC1333">
            <w:pPr>
              <w:keepNext/>
              <w:widowControl w:val="0"/>
              <w:rPr>
                <w:i/>
                <w:color w:val="002060"/>
                <w:sz w:val="16"/>
                <w:szCs w:val="16"/>
              </w:rPr>
            </w:pPr>
            <w:r w:rsidRPr="009A6CA1">
              <w:rPr>
                <w:i/>
                <w:color w:val="002060"/>
                <w:sz w:val="16"/>
                <w:szCs w:val="16"/>
              </w:rPr>
              <w:t xml:space="preserve">Referencia actualizada a fines de 2013: </w:t>
            </w:r>
          </w:p>
          <w:p w:rsidR="00E80502" w:rsidRPr="009A6CA1" w:rsidRDefault="00E80502" w:rsidP="00DC1333">
            <w:pPr>
              <w:keepNext/>
              <w:widowControl w:val="0"/>
              <w:rPr>
                <w:i/>
                <w:color w:val="002060"/>
                <w:sz w:val="16"/>
                <w:szCs w:val="16"/>
              </w:rPr>
            </w:pPr>
            <w:r w:rsidRPr="009A6CA1">
              <w:rPr>
                <w:color w:val="002060"/>
                <w:sz w:val="16"/>
                <w:szCs w:val="16"/>
              </w:rPr>
              <w:t>Seis solicitudes de debates bilaterales (Chile, Brasil, Ecuador, India, República Dominicana, República de Moldova) y una solicitud de asistencia legislativa (Bhután).</w:t>
            </w:r>
            <w:r w:rsidRPr="009A6CA1">
              <w:rPr>
                <w:i/>
                <w:color w:val="002060"/>
                <w:sz w:val="16"/>
                <w:szCs w:val="16"/>
                <w:highlight w:val="red"/>
              </w:rPr>
              <w:t xml:space="preserve"> </w:t>
            </w:r>
          </w:p>
          <w:p w:rsidR="00E80502" w:rsidRPr="009A6CA1" w:rsidRDefault="00E80502" w:rsidP="00DC1333">
            <w:pPr>
              <w:keepNext/>
              <w:widowControl w:val="0"/>
              <w:rPr>
                <w:sz w:val="16"/>
                <w:szCs w:val="16"/>
              </w:rPr>
            </w:pPr>
            <w:r w:rsidRPr="009A6CA1">
              <w:rPr>
                <w:color w:val="993300"/>
                <w:sz w:val="16"/>
                <w:szCs w:val="16"/>
              </w:rPr>
              <w:br/>
            </w:r>
            <w:r w:rsidRPr="009A6CA1">
              <w:rPr>
                <w:i/>
                <w:iCs/>
                <w:sz w:val="16"/>
                <w:szCs w:val="16"/>
              </w:rPr>
              <w:t>Referencia original en el presupuesto de 2014/15</w:t>
            </w:r>
            <w:r w:rsidRPr="009A6CA1">
              <w:rPr>
                <w:i/>
                <w:sz w:val="16"/>
                <w:szCs w:val="16"/>
              </w:rPr>
              <w:t>:</w:t>
            </w:r>
            <w:r w:rsidRPr="009A6CA1">
              <w:rPr>
                <w:sz w:val="16"/>
                <w:szCs w:val="16"/>
              </w:rPr>
              <w:t xml:space="preserve">  12</w:t>
            </w:r>
          </w:p>
          <w:p w:rsidR="00E80502" w:rsidRPr="009A6CA1" w:rsidRDefault="00E80502" w:rsidP="00DC1333">
            <w:pPr>
              <w:keepNext/>
              <w:widowControl w:val="0"/>
              <w:rPr>
                <w:sz w:val="16"/>
                <w:szCs w:val="16"/>
              </w:rPr>
            </w:pPr>
          </w:p>
        </w:tc>
        <w:tc>
          <w:tcPr>
            <w:tcW w:w="658" w:type="pct"/>
            <w:gridSpan w:val="3"/>
            <w:shd w:val="clear" w:color="auto" w:fill="auto"/>
            <w:tcMar>
              <w:top w:w="110" w:type="dxa"/>
            </w:tcMar>
          </w:tcPr>
          <w:p w:rsidR="00E80502" w:rsidRPr="009A6CA1" w:rsidRDefault="00E80502" w:rsidP="00DC1333">
            <w:pPr>
              <w:keepNext/>
              <w:widowControl w:val="0"/>
              <w:rPr>
                <w:sz w:val="16"/>
                <w:szCs w:val="16"/>
              </w:rPr>
            </w:pPr>
            <w:r w:rsidRPr="009A6CA1">
              <w:rPr>
                <w:sz w:val="16"/>
                <w:szCs w:val="16"/>
              </w:rPr>
              <w:t>15</w:t>
            </w:r>
          </w:p>
        </w:tc>
        <w:tc>
          <w:tcPr>
            <w:tcW w:w="1318" w:type="pct"/>
            <w:gridSpan w:val="5"/>
            <w:shd w:val="clear" w:color="auto" w:fill="FFFFFF"/>
            <w:tcMar>
              <w:top w:w="110" w:type="dxa"/>
            </w:tcMar>
          </w:tcPr>
          <w:p w:rsidR="00E80502" w:rsidRPr="009A6CA1" w:rsidRDefault="00E80502" w:rsidP="00DC1333">
            <w:pPr>
              <w:keepNext/>
              <w:widowControl w:val="0"/>
              <w:rPr>
                <w:sz w:val="16"/>
                <w:szCs w:val="16"/>
                <w:lang w:bidi="th-TH"/>
              </w:rPr>
            </w:pPr>
            <w:r w:rsidRPr="009A6CA1">
              <w:rPr>
                <w:sz w:val="16"/>
                <w:szCs w:val="16"/>
                <w:lang w:bidi="th-TH"/>
              </w:rPr>
              <w:t>16 solicitudes/seguimiento de debates bilaterales (Brasil, Colombia, Cuba, Ecuador, El Salvador, Filipinas, Honduras, India, Italia, Kuwait, Perú, Región Administrativa Especial de Macao (China), República Dominicana, Singapur, Sudáfrica, Viet Nam)</w:t>
            </w:r>
          </w:p>
        </w:tc>
        <w:tc>
          <w:tcPr>
            <w:tcW w:w="612" w:type="pct"/>
            <w:shd w:val="clear" w:color="auto" w:fill="auto"/>
            <w:tcMar>
              <w:top w:w="110" w:type="dxa"/>
            </w:tcMar>
          </w:tcPr>
          <w:p w:rsidR="00E80502" w:rsidRPr="009A6CA1" w:rsidRDefault="00E80502" w:rsidP="00DC1333">
            <w:pPr>
              <w:keepNext/>
              <w:widowControl w:val="0"/>
              <w:jc w:val="center"/>
              <w:rPr>
                <w:b/>
                <w:bCs/>
                <w:color w:val="008000"/>
                <w:sz w:val="15"/>
                <w:szCs w:val="15"/>
              </w:rPr>
            </w:pPr>
            <w:r w:rsidRPr="009A6CA1">
              <w:rPr>
                <w:b/>
                <w:bCs/>
                <w:color w:val="008000"/>
                <w:sz w:val="16"/>
                <w:szCs w:val="16"/>
              </w:rPr>
              <w:t>No logrado</w:t>
            </w:r>
          </w:p>
        </w:tc>
      </w:tr>
      <w:tr w:rsidR="00E80502" w:rsidRPr="009A6CA1" w:rsidTr="00DC1333">
        <w:trPr>
          <w:cantSplit/>
        </w:trPr>
        <w:tc>
          <w:tcPr>
            <w:tcW w:w="1098" w:type="pct"/>
            <w:gridSpan w:val="2"/>
            <w:shd w:val="clear" w:color="auto" w:fill="auto"/>
          </w:tcPr>
          <w:p w:rsidR="00E80502" w:rsidRPr="009A6CA1" w:rsidRDefault="00E80502" w:rsidP="00DC1333">
            <w:pPr>
              <w:widowControl w:val="0"/>
              <w:rPr>
                <w:sz w:val="16"/>
                <w:szCs w:val="16"/>
              </w:rPr>
            </w:pPr>
            <w:r w:rsidRPr="009A6CA1">
              <w:rPr>
                <w:sz w:val="16"/>
                <w:szCs w:val="16"/>
              </w:rPr>
              <w:t xml:space="preserve">Nº y diversidad de sectores interesados (oficinas de P.I., </w:t>
            </w:r>
            <w:r w:rsidRPr="009A6CA1">
              <w:rPr>
                <w:bCs/>
                <w:sz w:val="16"/>
                <w:szCs w:val="16"/>
              </w:rPr>
              <w:t>administraciones</w:t>
            </w:r>
            <w:r w:rsidRPr="009A6CA1">
              <w:rPr>
                <w:sz w:val="16"/>
                <w:szCs w:val="16"/>
              </w:rPr>
              <w:t xml:space="preserve"> competentes en materia de competencia, OIG y ONG) que entablan diálogo con la OMPI</w:t>
            </w:r>
          </w:p>
        </w:tc>
        <w:tc>
          <w:tcPr>
            <w:tcW w:w="1315" w:type="pct"/>
            <w:gridSpan w:val="3"/>
            <w:shd w:val="clear" w:color="auto" w:fill="auto"/>
          </w:tcPr>
          <w:p w:rsidR="00E80502" w:rsidRPr="009A6CA1" w:rsidRDefault="00E80502" w:rsidP="00DC1333">
            <w:pPr>
              <w:keepNext/>
              <w:keepLines/>
              <w:widowControl w:val="0"/>
              <w:rPr>
                <w:color w:val="002060"/>
                <w:sz w:val="16"/>
                <w:szCs w:val="16"/>
              </w:rPr>
            </w:pPr>
            <w:r w:rsidRPr="009A6CA1">
              <w:rPr>
                <w:i/>
                <w:color w:val="002060"/>
                <w:sz w:val="16"/>
                <w:szCs w:val="16"/>
              </w:rPr>
              <w:t>Referencia actualizada a fines de 2013</w:t>
            </w:r>
            <w:proofErr w:type="gramStart"/>
            <w:r w:rsidRPr="009A6CA1">
              <w:rPr>
                <w:i/>
                <w:color w:val="002060"/>
                <w:sz w:val="16"/>
                <w:szCs w:val="16"/>
              </w:rPr>
              <w:t>:</w:t>
            </w:r>
            <w:r w:rsidRPr="009A6CA1">
              <w:rPr>
                <w:color w:val="002060"/>
                <w:sz w:val="16"/>
                <w:szCs w:val="16"/>
              </w:rPr>
              <w:t xml:space="preserve">  Se</w:t>
            </w:r>
            <w:proofErr w:type="gramEnd"/>
            <w:r w:rsidRPr="009A6CA1">
              <w:rPr>
                <w:color w:val="002060"/>
                <w:sz w:val="16"/>
                <w:szCs w:val="16"/>
              </w:rPr>
              <w:t xml:space="preserve"> organizaron 19 talleres y reuniones en los que participaron 38 administraciones competentes en materia de competencia y 5 OIG.  Establecimiento de coordinación informal con UNCTAD, la OMC y la OCDE.  Participación activa en la Red Internacional de Competencia.  Cooperación con el COMESA. </w:t>
            </w:r>
          </w:p>
          <w:p w:rsidR="00E80502" w:rsidRPr="009A6CA1" w:rsidRDefault="00E80502" w:rsidP="00DC1333">
            <w:pPr>
              <w:keepNext/>
              <w:keepLines/>
              <w:widowControl w:val="0"/>
              <w:rPr>
                <w:i/>
                <w:color w:val="002060"/>
                <w:sz w:val="16"/>
                <w:szCs w:val="16"/>
              </w:rPr>
            </w:pPr>
          </w:p>
          <w:p w:rsidR="00E80502" w:rsidRPr="009A6CA1" w:rsidRDefault="00E80502" w:rsidP="00DC1333">
            <w:pPr>
              <w:keepNext/>
              <w:keepLines/>
              <w:widowControl w:val="0"/>
              <w:rPr>
                <w:sz w:val="16"/>
                <w:szCs w:val="16"/>
              </w:rPr>
            </w:pPr>
            <w:r w:rsidRPr="009A6CA1">
              <w:rPr>
                <w:i/>
                <w:iCs/>
                <w:sz w:val="16"/>
                <w:szCs w:val="16"/>
              </w:rPr>
              <w:t>Referencia original en el presupuesto de 2014/15</w:t>
            </w:r>
            <w:r w:rsidRPr="009A6CA1">
              <w:rPr>
                <w:i/>
                <w:sz w:val="16"/>
                <w:szCs w:val="16"/>
              </w:rPr>
              <w:t>:</w:t>
            </w:r>
            <w:r w:rsidRPr="009A6CA1">
              <w:rPr>
                <w:sz w:val="16"/>
                <w:szCs w:val="16"/>
              </w:rPr>
              <w:t xml:space="preserve"> La OMPI ha colaborado con 25 </w:t>
            </w:r>
            <w:r w:rsidRPr="009A6CA1">
              <w:rPr>
                <w:bCs/>
                <w:sz w:val="16"/>
                <w:szCs w:val="16"/>
              </w:rPr>
              <w:t>administraciones</w:t>
            </w:r>
            <w:r w:rsidRPr="009A6CA1">
              <w:rPr>
                <w:sz w:val="16"/>
                <w:szCs w:val="16"/>
              </w:rPr>
              <w:t xml:space="preserve"> nacionales competentes en materia de competencia y con 3 OIG. </w:t>
            </w:r>
          </w:p>
          <w:p w:rsidR="00E80502" w:rsidRPr="009A6CA1" w:rsidRDefault="00E80502" w:rsidP="00DC1333">
            <w:pPr>
              <w:keepNext/>
              <w:keepLines/>
              <w:widowControl w:val="0"/>
              <w:rPr>
                <w:sz w:val="16"/>
                <w:szCs w:val="16"/>
              </w:rPr>
            </w:pPr>
          </w:p>
        </w:tc>
        <w:tc>
          <w:tcPr>
            <w:tcW w:w="658" w:type="pct"/>
            <w:gridSpan w:val="3"/>
            <w:shd w:val="clear" w:color="auto" w:fill="auto"/>
            <w:tcMar>
              <w:top w:w="110" w:type="dxa"/>
            </w:tcMar>
          </w:tcPr>
          <w:p w:rsidR="00E80502" w:rsidRPr="009A6CA1" w:rsidRDefault="00E80502" w:rsidP="00DC1333">
            <w:pPr>
              <w:widowControl w:val="0"/>
              <w:autoSpaceDE w:val="0"/>
              <w:autoSpaceDN w:val="0"/>
              <w:adjustRightInd w:val="0"/>
              <w:ind w:left="-78" w:right="-147"/>
              <w:rPr>
                <w:sz w:val="16"/>
                <w:szCs w:val="16"/>
              </w:rPr>
            </w:pPr>
            <w:r w:rsidRPr="009A6CA1">
              <w:rPr>
                <w:sz w:val="16"/>
                <w:szCs w:val="16"/>
              </w:rPr>
              <w:t xml:space="preserve">Mayor número </w:t>
            </w:r>
            <w:r w:rsidRPr="009A6CA1">
              <w:rPr>
                <w:sz w:val="16"/>
                <w:szCs w:val="16"/>
              </w:rPr>
              <w:br/>
              <w:t xml:space="preserve">de partes interesadas que participan en actividades de la OMPI:  35 </w:t>
            </w:r>
            <w:r w:rsidRPr="009A6CA1">
              <w:rPr>
                <w:bCs/>
                <w:sz w:val="16"/>
                <w:szCs w:val="16"/>
              </w:rPr>
              <w:t>administraciones</w:t>
            </w:r>
            <w:r w:rsidRPr="009A6CA1">
              <w:rPr>
                <w:sz w:val="16"/>
                <w:szCs w:val="16"/>
              </w:rPr>
              <w:t xml:space="preserve"> nacionales y cinco OIG/ONG</w:t>
            </w:r>
          </w:p>
        </w:tc>
        <w:tc>
          <w:tcPr>
            <w:tcW w:w="1318" w:type="pct"/>
            <w:gridSpan w:val="5"/>
            <w:shd w:val="clear" w:color="auto" w:fill="FFFFFF"/>
            <w:tcMar>
              <w:top w:w="110" w:type="dxa"/>
            </w:tcMar>
          </w:tcPr>
          <w:p w:rsidR="00E80502" w:rsidRPr="009A6CA1" w:rsidRDefault="00E80502" w:rsidP="00DC1333">
            <w:pPr>
              <w:widowControl w:val="0"/>
              <w:rPr>
                <w:sz w:val="16"/>
                <w:szCs w:val="16"/>
              </w:rPr>
            </w:pPr>
            <w:r w:rsidRPr="009A6CA1">
              <w:rPr>
                <w:sz w:val="16"/>
                <w:szCs w:val="16"/>
                <w:lang w:bidi="th-TH"/>
              </w:rPr>
              <w:t xml:space="preserve">Participación de 39 nuevas </w:t>
            </w:r>
            <w:r w:rsidRPr="009A6CA1">
              <w:rPr>
                <w:bCs/>
                <w:sz w:val="16"/>
                <w:szCs w:val="16"/>
                <w:lang w:bidi="th-TH"/>
              </w:rPr>
              <w:t>administraciones</w:t>
            </w:r>
            <w:r w:rsidRPr="009A6CA1">
              <w:rPr>
                <w:sz w:val="16"/>
                <w:szCs w:val="16"/>
                <w:lang w:bidi="th-TH"/>
              </w:rPr>
              <w:t xml:space="preserve"> nacionales competentes en materia de competencia y continuación de la colaboración con 5 OIG/ONG (OCDE, UNCTAD, la OMC, Red Internacional de Competencia, COMESA).  Participación activa en la Red Internacional de Competencia (incluida la pertenencia al Grupo de Trabajo sobre Conductas Unilaterales).  Cooperación con la UE.</w:t>
            </w:r>
          </w:p>
        </w:tc>
        <w:tc>
          <w:tcPr>
            <w:tcW w:w="612" w:type="pct"/>
            <w:shd w:val="clear" w:color="auto" w:fill="auto"/>
            <w:tcMar>
              <w:top w:w="110" w:type="dxa"/>
            </w:tcMar>
          </w:tcPr>
          <w:p w:rsidR="00E80502" w:rsidRPr="009A6CA1" w:rsidRDefault="00E80502" w:rsidP="00DC1333">
            <w:pPr>
              <w:widowControl w:val="0"/>
              <w:jc w:val="center"/>
              <w:rPr>
                <w:b/>
                <w:bCs/>
                <w:color w:val="008000"/>
                <w:sz w:val="15"/>
                <w:szCs w:val="15"/>
              </w:rPr>
            </w:pPr>
            <w:r w:rsidRPr="009A6CA1">
              <w:rPr>
                <w:b/>
                <w:bCs/>
                <w:color w:val="008000"/>
                <w:sz w:val="16"/>
                <w:szCs w:val="16"/>
              </w:rPr>
              <w:t>Plenamente logrado</w:t>
            </w:r>
          </w:p>
        </w:tc>
      </w:tr>
    </w:tbl>
    <w:p w:rsidR="00E80502" w:rsidRDefault="00E80502" w:rsidP="00DC1333">
      <w:pPr>
        <w:widowControl w:val="0"/>
        <w:rPr>
          <w:color w:val="000000"/>
          <w:szCs w:val="22"/>
        </w:rPr>
      </w:pPr>
    </w:p>
    <w:p w:rsidR="00E80502" w:rsidRPr="009A6CA1" w:rsidRDefault="00E80502" w:rsidP="00DC1333">
      <w:pPr>
        <w:widowControl w:val="0"/>
        <w:rPr>
          <w:color w:val="000000"/>
          <w:szCs w:val="22"/>
        </w:rPr>
      </w:pPr>
    </w:p>
    <w:p w:rsidR="00E80502" w:rsidRPr="009A6CA1" w:rsidRDefault="008F7CBE" w:rsidP="006B15B0">
      <w:pPr>
        <w:keepNext/>
        <w:rPr>
          <w:color w:val="000000"/>
          <w:szCs w:val="22"/>
        </w:rPr>
      </w:pPr>
      <w:r w:rsidRPr="008F7CBE">
        <w:rPr>
          <w:sz w:val="20"/>
        </w:rPr>
        <w:lastRenderedPageBreak/>
        <w:t>INFORMACIÓN SOBRE LOS RIESGOS PLANTEADOS EN EL BIENIO</w:t>
      </w:r>
    </w:p>
    <w:p w:rsidR="00E80502" w:rsidRPr="009A6CA1" w:rsidRDefault="00E80502" w:rsidP="006B15B0">
      <w:pPr>
        <w:keepNext/>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200"/>
        <w:gridCol w:w="2310"/>
        <w:gridCol w:w="2306"/>
      </w:tblGrid>
      <w:tr w:rsidR="00E80502" w:rsidRPr="009A6CA1" w:rsidTr="00DC1333">
        <w:trPr>
          <w:cantSplit/>
          <w:trHeight w:val="851"/>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E80502" w:rsidRPr="009A6CA1" w:rsidRDefault="00E80502" w:rsidP="006B15B0">
            <w:pPr>
              <w:keepNext/>
              <w:jc w:val="center"/>
              <w:rPr>
                <w:b/>
                <w:iCs/>
                <w:sz w:val="18"/>
                <w:szCs w:val="18"/>
              </w:rPr>
            </w:pPr>
            <w:r w:rsidRPr="009A6CA1">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E80502" w:rsidRPr="009A6CA1" w:rsidRDefault="00E80502" w:rsidP="006B15B0">
            <w:pPr>
              <w:keepNext/>
              <w:jc w:val="center"/>
              <w:rPr>
                <w:b/>
                <w:bCs/>
                <w:iCs/>
                <w:sz w:val="18"/>
                <w:szCs w:val="18"/>
              </w:rPr>
            </w:pPr>
            <w:r w:rsidRPr="009A6CA1">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E80502" w:rsidRPr="009A6CA1" w:rsidRDefault="00E80502" w:rsidP="006B15B0">
            <w:pPr>
              <w:keepNext/>
              <w:jc w:val="center"/>
              <w:rPr>
                <w:b/>
                <w:bCs/>
                <w:sz w:val="18"/>
                <w:szCs w:val="18"/>
              </w:rPr>
            </w:pPr>
            <w:r w:rsidRPr="009A6CA1">
              <w:rPr>
                <w:b/>
                <w:bCs/>
                <w:iCs/>
                <w:sz w:val="18"/>
                <w:szCs w:val="18"/>
              </w:rPr>
              <w:t>Evolución de los riesgos y estrategias de mitigación durante el bienio</w:t>
            </w:r>
          </w:p>
        </w:tc>
        <w:tc>
          <w:tcPr>
            <w:tcW w:w="2306" w:type="dxa"/>
            <w:tcBorders>
              <w:top w:val="single" w:sz="4" w:space="0" w:color="auto"/>
              <w:bottom w:val="single" w:sz="4" w:space="0" w:color="auto"/>
            </w:tcBorders>
            <w:shd w:val="clear" w:color="auto" w:fill="C6D9F1" w:themeFill="text2" w:themeFillTint="33"/>
          </w:tcPr>
          <w:p w:rsidR="00E80502" w:rsidRPr="009A6CA1" w:rsidRDefault="00E80502" w:rsidP="006B15B0">
            <w:pPr>
              <w:keepNext/>
              <w:jc w:val="center"/>
              <w:rPr>
                <w:b/>
                <w:bCs/>
                <w:sz w:val="18"/>
                <w:szCs w:val="18"/>
              </w:rPr>
            </w:pPr>
            <w:r w:rsidRPr="009A6CA1">
              <w:rPr>
                <w:b/>
                <w:bCs/>
                <w:sz w:val="18"/>
                <w:szCs w:val="18"/>
              </w:rPr>
              <w:t>Incidencia en el rendimiento del programa</w:t>
            </w:r>
          </w:p>
        </w:tc>
      </w:tr>
      <w:tr w:rsidR="00E80502" w:rsidRPr="009A6CA1" w:rsidTr="00DC1333">
        <w:trPr>
          <w:cantSplit/>
          <w:trHeight w:val="1350"/>
        </w:trPr>
        <w:tc>
          <w:tcPr>
            <w:tcW w:w="2420" w:type="dxa"/>
            <w:tcBorders>
              <w:top w:val="single" w:sz="4" w:space="0" w:color="auto"/>
            </w:tcBorders>
            <w:shd w:val="clear" w:color="auto" w:fill="auto"/>
            <w:tcMar>
              <w:top w:w="113" w:type="dxa"/>
              <w:bottom w:w="85" w:type="dxa"/>
            </w:tcMar>
          </w:tcPr>
          <w:p w:rsidR="00E80502" w:rsidRPr="009A6CA1" w:rsidRDefault="00E80502" w:rsidP="006B15B0">
            <w:pPr>
              <w:keepNext/>
              <w:rPr>
                <w:sz w:val="16"/>
                <w:szCs w:val="16"/>
              </w:rPr>
            </w:pPr>
            <w:r w:rsidRPr="009A6CA1">
              <w:rPr>
                <w:sz w:val="16"/>
                <w:szCs w:val="16"/>
              </w:rPr>
              <w:t>La falta o la disminución del interés de las entidades participantes en las plataformas, el abandono de algunos miembros o la publicación insuficiente de información en una plataforma por parte de algunos miembros afectan directamente al funcionamiento de las plataformas y a la función que se espera que cumplan, así como a la credibilidad de los proyectos, por lo que las plataformas podrían acabar perdiendo su pertinencia al compararlas con proyectos de plataformas similares al margen de la OMPI</w:t>
            </w:r>
          </w:p>
        </w:tc>
        <w:tc>
          <w:tcPr>
            <w:tcW w:w="2200" w:type="dxa"/>
            <w:tcBorders>
              <w:top w:val="single" w:sz="4" w:space="0" w:color="auto"/>
            </w:tcBorders>
            <w:shd w:val="clear" w:color="auto" w:fill="auto"/>
            <w:tcMar>
              <w:top w:w="113" w:type="dxa"/>
              <w:bottom w:w="85" w:type="dxa"/>
            </w:tcMar>
          </w:tcPr>
          <w:p w:rsidR="00E80502" w:rsidRPr="009A6CA1" w:rsidRDefault="00E80502" w:rsidP="006B15B0">
            <w:pPr>
              <w:keepNext/>
              <w:rPr>
                <w:i/>
                <w:sz w:val="16"/>
                <w:szCs w:val="16"/>
              </w:rPr>
            </w:pPr>
            <w:r w:rsidRPr="009A6CA1">
              <w:rPr>
                <w:sz w:val="16"/>
                <w:szCs w:val="16"/>
              </w:rPr>
              <w:t>Un examen continuo de la estrategia, el entorno y la planificación que permita una detección temprana de las tendencias y la toma de medidas adecuadas lo antes posible</w:t>
            </w:r>
          </w:p>
        </w:tc>
        <w:tc>
          <w:tcPr>
            <w:tcW w:w="2310" w:type="dxa"/>
            <w:tcBorders>
              <w:top w:val="single" w:sz="4" w:space="0" w:color="auto"/>
            </w:tcBorders>
          </w:tcPr>
          <w:p w:rsidR="00E80502" w:rsidRPr="009A6CA1" w:rsidRDefault="00E80502" w:rsidP="006B15B0">
            <w:pPr>
              <w:keepNext/>
              <w:rPr>
                <w:sz w:val="16"/>
                <w:szCs w:val="16"/>
                <w:highlight w:val="yellow"/>
              </w:rPr>
            </w:pPr>
            <w:r w:rsidRPr="009A6CA1">
              <w:rPr>
                <w:sz w:val="16"/>
                <w:szCs w:val="16"/>
              </w:rPr>
              <w:t xml:space="preserve">En 2015 se produjo la salida de un segundo miembro de </w:t>
            </w:r>
            <w:r w:rsidRPr="009A6CA1">
              <w:rPr>
                <w:i/>
                <w:sz w:val="16"/>
                <w:szCs w:val="16"/>
              </w:rPr>
              <w:t>WIPO Re</w:t>
            </w:r>
            <w:proofErr w:type="gramStart"/>
            <w:r w:rsidRPr="009A6CA1">
              <w:rPr>
                <w:i/>
                <w:sz w:val="16"/>
                <w:szCs w:val="16"/>
              </w:rPr>
              <w:t>:Search</w:t>
            </w:r>
            <w:proofErr w:type="gramEnd"/>
            <w:r w:rsidRPr="009A6CA1">
              <w:rPr>
                <w:sz w:val="16"/>
                <w:szCs w:val="16"/>
              </w:rPr>
              <w:t>, tras la salida de un miembro del sector privado en 2013.  Los esfuerzos continuos a fin de incorporar nuevos miembros institucionales fructificaron y resultaron adecuados para compensar la salida de esos dos miembros.  Ningún asociado de WIPO GREEN abandonó el consorcio.</w:t>
            </w:r>
          </w:p>
        </w:tc>
        <w:tc>
          <w:tcPr>
            <w:tcW w:w="2306" w:type="dxa"/>
            <w:tcBorders>
              <w:top w:val="single" w:sz="4" w:space="0" w:color="auto"/>
            </w:tcBorders>
          </w:tcPr>
          <w:p w:rsidR="00E80502" w:rsidRPr="009A6CA1" w:rsidRDefault="00E80502" w:rsidP="006B15B0">
            <w:pPr>
              <w:keepNext/>
              <w:rPr>
                <w:sz w:val="16"/>
                <w:szCs w:val="16"/>
              </w:rPr>
            </w:pPr>
            <w:r w:rsidRPr="009A6CA1">
              <w:rPr>
                <w:sz w:val="16"/>
                <w:szCs w:val="16"/>
              </w:rPr>
              <w:t xml:space="preserve">La salida de </w:t>
            </w:r>
            <w:r w:rsidRPr="009A6CA1">
              <w:rPr>
                <w:i/>
                <w:sz w:val="16"/>
                <w:szCs w:val="16"/>
              </w:rPr>
              <w:t>WIPO Re</w:t>
            </w:r>
            <w:proofErr w:type="gramStart"/>
            <w:r w:rsidRPr="009A6CA1">
              <w:rPr>
                <w:i/>
                <w:sz w:val="16"/>
                <w:szCs w:val="16"/>
              </w:rPr>
              <w:t>:Search</w:t>
            </w:r>
            <w:proofErr w:type="gramEnd"/>
            <w:r w:rsidRPr="009A6CA1">
              <w:rPr>
                <w:sz w:val="16"/>
                <w:szCs w:val="16"/>
              </w:rPr>
              <w:t xml:space="preserve"> del miembro del sector privado se vio compensada por la entrada de tres nuevos miembros institucionales (uno en 2014 y dos en 2015).  La salida de un miembro de </w:t>
            </w:r>
            <w:r w:rsidRPr="009A6CA1">
              <w:rPr>
                <w:i/>
                <w:sz w:val="16"/>
                <w:szCs w:val="16"/>
              </w:rPr>
              <w:t>WIPO Re</w:t>
            </w:r>
            <w:proofErr w:type="gramStart"/>
            <w:r w:rsidRPr="009A6CA1">
              <w:rPr>
                <w:i/>
                <w:sz w:val="16"/>
                <w:szCs w:val="16"/>
              </w:rPr>
              <w:t>:Search</w:t>
            </w:r>
            <w:proofErr w:type="gramEnd"/>
            <w:r w:rsidRPr="009A6CA1">
              <w:rPr>
                <w:sz w:val="16"/>
                <w:szCs w:val="16"/>
              </w:rPr>
              <w:t xml:space="preserve"> en 2013 se había traducido en una reducción del 27% de registros en la base de datos en 2014, lo que se vio compensado parcialmente por el aumento del 7% de registros en la base de datos registrado en 2015.</w:t>
            </w:r>
          </w:p>
        </w:tc>
      </w:tr>
      <w:tr w:rsidR="00E80502" w:rsidRPr="009A6CA1" w:rsidTr="00DC1333">
        <w:trPr>
          <w:trHeight w:val="390"/>
        </w:trPr>
        <w:tc>
          <w:tcPr>
            <w:tcW w:w="2420" w:type="dxa"/>
            <w:shd w:val="clear" w:color="auto" w:fill="auto"/>
            <w:tcMar>
              <w:top w:w="113" w:type="dxa"/>
              <w:bottom w:w="85" w:type="dxa"/>
            </w:tcMar>
          </w:tcPr>
          <w:p w:rsidR="00E80502" w:rsidRPr="009A6CA1" w:rsidRDefault="00E80502" w:rsidP="00DC1333">
            <w:pPr>
              <w:rPr>
                <w:sz w:val="16"/>
                <w:szCs w:val="16"/>
              </w:rPr>
            </w:pPr>
            <w:r w:rsidRPr="009A6CA1">
              <w:rPr>
                <w:sz w:val="16"/>
                <w:szCs w:val="16"/>
              </w:rPr>
              <w:t>La accesibilidad técnica de las bases de datos de P.I. y la continuidad del funcionamiento y la fiabilidad de la infraestructura de esas bases.  Los problemas recurrentes de disponibilidad de datos pueden afectar negativamente a la reputación y la credibilidad de la OMPI</w:t>
            </w:r>
          </w:p>
        </w:tc>
        <w:tc>
          <w:tcPr>
            <w:tcW w:w="2200" w:type="dxa"/>
            <w:shd w:val="clear" w:color="auto" w:fill="auto"/>
            <w:tcMar>
              <w:top w:w="113" w:type="dxa"/>
              <w:bottom w:w="85" w:type="dxa"/>
            </w:tcMar>
          </w:tcPr>
          <w:p w:rsidR="00E80502" w:rsidRPr="009A6CA1" w:rsidRDefault="00E80502" w:rsidP="00DC1333">
            <w:pPr>
              <w:rPr>
                <w:sz w:val="16"/>
                <w:szCs w:val="16"/>
              </w:rPr>
            </w:pPr>
            <w:r w:rsidRPr="009A6CA1">
              <w:rPr>
                <w:sz w:val="16"/>
                <w:szCs w:val="16"/>
              </w:rPr>
              <w:t>Velar por que se presten los servicios pertinentes, se comercialicen estos eficazmente y se mantenga un contacto estrecho con las principales partes interesadas</w:t>
            </w:r>
          </w:p>
        </w:tc>
        <w:tc>
          <w:tcPr>
            <w:tcW w:w="2310" w:type="dxa"/>
          </w:tcPr>
          <w:p w:rsidR="00E80502" w:rsidRPr="009A6CA1" w:rsidRDefault="00E80502" w:rsidP="00DC1333">
            <w:pPr>
              <w:rPr>
                <w:sz w:val="16"/>
                <w:szCs w:val="16"/>
              </w:rPr>
            </w:pPr>
            <w:r w:rsidRPr="009A6CA1">
              <w:rPr>
                <w:sz w:val="16"/>
                <w:szCs w:val="16"/>
              </w:rPr>
              <w:t>El riesgo sigue siendo importante.  La División de T.I. llevó a cabo con carácter regular revisiones y pruebas de la funcionalidad de ambas bases de datos, lo que resultó ser una estrategia eficaz de mitigación.</w:t>
            </w:r>
          </w:p>
        </w:tc>
        <w:tc>
          <w:tcPr>
            <w:tcW w:w="2306" w:type="dxa"/>
          </w:tcPr>
          <w:p w:rsidR="00E80502" w:rsidRPr="009A6CA1" w:rsidRDefault="00E80502" w:rsidP="00DC1333">
            <w:pPr>
              <w:rPr>
                <w:sz w:val="16"/>
                <w:szCs w:val="16"/>
              </w:rPr>
            </w:pPr>
            <w:r w:rsidRPr="009A6CA1">
              <w:rPr>
                <w:sz w:val="16"/>
                <w:szCs w:val="16"/>
              </w:rPr>
              <w:t>Las dos bases de datos funcionaron por lo general de forma estable, por lo que no se produjo ninguna situación que incidiera en el rendimiento del programa.</w:t>
            </w:r>
          </w:p>
        </w:tc>
      </w:tr>
      <w:tr w:rsidR="00E80502" w:rsidRPr="009A6CA1" w:rsidTr="00DC1333">
        <w:trPr>
          <w:trHeight w:val="824"/>
        </w:trPr>
        <w:tc>
          <w:tcPr>
            <w:tcW w:w="2420" w:type="dxa"/>
            <w:shd w:val="clear" w:color="auto" w:fill="auto"/>
            <w:tcMar>
              <w:top w:w="113" w:type="dxa"/>
              <w:bottom w:w="85" w:type="dxa"/>
            </w:tcMar>
          </w:tcPr>
          <w:p w:rsidR="00E80502" w:rsidRPr="009A6CA1" w:rsidRDefault="00E80502" w:rsidP="00DC1333">
            <w:pPr>
              <w:jc w:val="both"/>
              <w:rPr>
                <w:sz w:val="16"/>
                <w:szCs w:val="16"/>
              </w:rPr>
            </w:pPr>
            <w:r w:rsidRPr="009A6CA1">
              <w:rPr>
                <w:sz w:val="16"/>
                <w:szCs w:val="16"/>
              </w:rPr>
              <w:t>El grado de participación de los organismos nacionales en la labor de la OMPI en materia de P.I. y competencia es menor del previsto</w:t>
            </w:r>
          </w:p>
        </w:tc>
        <w:tc>
          <w:tcPr>
            <w:tcW w:w="2200" w:type="dxa"/>
            <w:shd w:val="clear" w:color="auto" w:fill="auto"/>
            <w:tcMar>
              <w:top w:w="113" w:type="dxa"/>
              <w:bottom w:w="85" w:type="dxa"/>
            </w:tcMar>
          </w:tcPr>
          <w:p w:rsidR="00E80502" w:rsidRPr="009A6CA1" w:rsidRDefault="00E80502" w:rsidP="00DC1333">
            <w:pPr>
              <w:keepNext/>
              <w:keepLines/>
              <w:jc w:val="both"/>
              <w:rPr>
                <w:sz w:val="16"/>
                <w:szCs w:val="16"/>
              </w:rPr>
            </w:pPr>
            <w:r w:rsidRPr="009A6CA1">
              <w:rPr>
                <w:sz w:val="16"/>
                <w:szCs w:val="16"/>
              </w:rPr>
              <w:t>Fortalecimiento de la sensibilización sistemática de los Estados miembros, difusión de ejemplos de cooperación fructífera entre las administraciones competentes en materia de P.I. y competencia, y entre las organizaciones intergubernamentales y las ONG</w:t>
            </w:r>
          </w:p>
        </w:tc>
        <w:tc>
          <w:tcPr>
            <w:tcW w:w="2310" w:type="dxa"/>
          </w:tcPr>
          <w:p w:rsidR="00E80502" w:rsidRPr="009A6CA1" w:rsidRDefault="00E80502" w:rsidP="00DC1333">
            <w:pPr>
              <w:pStyle w:val="ListParagraph"/>
              <w:keepNext/>
              <w:keepLines/>
              <w:tabs>
                <w:tab w:val="left" w:pos="709"/>
              </w:tabs>
              <w:ind w:left="0"/>
              <w:jc w:val="both"/>
              <w:rPr>
                <w:bCs/>
                <w:lang w:val="es-ES"/>
              </w:rPr>
            </w:pPr>
            <w:r w:rsidRPr="009A6CA1">
              <w:rPr>
                <w:sz w:val="16"/>
                <w:szCs w:val="16"/>
                <w:lang w:val="es-ES"/>
              </w:rPr>
              <w:t>El grado de participación siguió siendo elevado durante el bienio 2014/15, así como la colaboración continuada en el marco de la labor del programa con las oficinas de P.I. y las administraciones competentes en materia de competencia, en particular e</w:t>
            </w:r>
            <w:r w:rsidRPr="009A6CA1">
              <w:rPr>
                <w:bCs/>
                <w:sz w:val="16"/>
                <w:szCs w:val="16"/>
                <w:lang w:val="es-ES"/>
              </w:rPr>
              <w:t>n talleres en los que ambas comunidades intercambiaron impresiones acerca de la relación entre la P.I. y la competencia.</w:t>
            </w:r>
          </w:p>
          <w:p w:rsidR="00E80502" w:rsidRPr="009A6CA1" w:rsidRDefault="00E80502" w:rsidP="00DC1333">
            <w:pPr>
              <w:keepNext/>
              <w:keepLines/>
              <w:rPr>
                <w:sz w:val="16"/>
                <w:szCs w:val="16"/>
              </w:rPr>
            </w:pPr>
          </w:p>
        </w:tc>
        <w:tc>
          <w:tcPr>
            <w:tcW w:w="2306" w:type="dxa"/>
          </w:tcPr>
          <w:p w:rsidR="00E80502" w:rsidRPr="009A6CA1" w:rsidRDefault="00E80502" w:rsidP="00DC1333">
            <w:pPr>
              <w:keepNext/>
              <w:keepLines/>
              <w:rPr>
                <w:sz w:val="16"/>
                <w:szCs w:val="16"/>
              </w:rPr>
            </w:pPr>
            <w:r w:rsidRPr="009A6CA1">
              <w:rPr>
                <w:sz w:val="16"/>
                <w:szCs w:val="16"/>
              </w:rPr>
              <w:t>Durante el bienio 2014/15 no se produjo ninguna incidencia sustancial en el rendimiento del programa.</w:t>
            </w:r>
          </w:p>
        </w:tc>
      </w:tr>
    </w:tbl>
    <w:p w:rsidR="00E80502" w:rsidRDefault="00E80502" w:rsidP="00DC1333">
      <w:pPr>
        <w:widowControl w:val="0"/>
        <w:rPr>
          <w:color w:val="000000"/>
          <w:szCs w:val="22"/>
        </w:rPr>
      </w:pPr>
    </w:p>
    <w:p w:rsidR="00E80502" w:rsidRPr="009A6CA1" w:rsidRDefault="00E80502" w:rsidP="00DC1333">
      <w:pPr>
        <w:widowControl w:val="0"/>
        <w:rPr>
          <w:color w:val="000000"/>
          <w:szCs w:val="22"/>
        </w:rPr>
      </w:pPr>
    </w:p>
    <w:p w:rsidR="00E80502" w:rsidRPr="009A6CA1" w:rsidRDefault="00403D2C" w:rsidP="00DC1333">
      <w:pPr>
        <w:keepNext/>
        <w:keepLines/>
        <w:widowControl w:val="0"/>
        <w:rPr>
          <w:b/>
          <w:sz w:val="18"/>
          <w:szCs w:val="18"/>
        </w:rPr>
      </w:pPr>
      <w:r w:rsidRPr="00403D2C">
        <w:rPr>
          <w:sz w:val="20"/>
          <w:szCs w:val="22"/>
        </w:rPr>
        <w:lastRenderedPageBreak/>
        <w:t>UTILIZACIÓN DE LOS RECURSOS</w:t>
      </w:r>
    </w:p>
    <w:p w:rsidR="00E80502" w:rsidRPr="009A6CA1" w:rsidRDefault="00E80502" w:rsidP="00DC1333">
      <w:pPr>
        <w:keepNext/>
        <w:keepLines/>
        <w:widowControl w:val="0"/>
        <w:rPr>
          <w:sz w:val="16"/>
          <w:szCs w:val="16"/>
        </w:rPr>
      </w:pPr>
    </w:p>
    <w:p w:rsidR="00E80502" w:rsidRPr="009A6CA1" w:rsidRDefault="00E80502" w:rsidP="00DC1333">
      <w:pPr>
        <w:pStyle w:val="NormalWeb"/>
        <w:keepNext/>
        <w:keepLines/>
        <w:widowControl w:val="0"/>
        <w:spacing w:before="0" w:beforeAutospacing="0" w:after="0" w:afterAutospacing="0"/>
        <w:jc w:val="center"/>
        <w:rPr>
          <w:sz w:val="20"/>
          <w:szCs w:val="20"/>
          <w:lang w:val="es-ES"/>
        </w:rPr>
      </w:pPr>
      <w:r w:rsidRPr="009A6CA1">
        <w:rPr>
          <w:sz w:val="20"/>
          <w:szCs w:val="20"/>
          <w:lang w:val="es-ES"/>
        </w:rPr>
        <w:t xml:space="preserve">Presupuesto y gastos reales (por resultado) </w:t>
      </w:r>
    </w:p>
    <w:p w:rsidR="00E80502" w:rsidRPr="009A6CA1" w:rsidRDefault="00E80502" w:rsidP="00DC1333">
      <w:pPr>
        <w:pStyle w:val="NormalWeb"/>
        <w:keepNext/>
        <w:keepLines/>
        <w:widowControl w:val="0"/>
        <w:spacing w:before="0" w:beforeAutospacing="0" w:after="0" w:afterAutospacing="0"/>
        <w:jc w:val="center"/>
        <w:rPr>
          <w:i/>
          <w:iCs/>
          <w:sz w:val="20"/>
          <w:szCs w:val="20"/>
          <w:lang w:val="es-ES"/>
        </w:rPr>
      </w:pPr>
      <w:r w:rsidRPr="009A6CA1">
        <w:rPr>
          <w:i/>
          <w:iCs/>
          <w:sz w:val="20"/>
          <w:szCs w:val="20"/>
          <w:lang w:val="es-ES"/>
        </w:rPr>
        <w:t>(</w:t>
      </w:r>
      <w:proofErr w:type="gramStart"/>
      <w:r w:rsidRPr="009A6CA1">
        <w:rPr>
          <w:i/>
          <w:iCs/>
          <w:sz w:val="20"/>
          <w:szCs w:val="20"/>
          <w:lang w:val="es-ES"/>
        </w:rPr>
        <w:t>en</w:t>
      </w:r>
      <w:proofErr w:type="gramEnd"/>
      <w:r w:rsidRPr="009A6CA1">
        <w:rPr>
          <w:i/>
          <w:iCs/>
          <w:sz w:val="20"/>
          <w:szCs w:val="20"/>
          <w:lang w:val="es-ES"/>
        </w:rPr>
        <w:t xml:space="preserve"> miles de francos suizos)</w:t>
      </w:r>
    </w:p>
    <w:p w:rsidR="00E80502" w:rsidRPr="009A6CA1" w:rsidRDefault="00E80502" w:rsidP="00DC1333">
      <w:pPr>
        <w:pStyle w:val="NormalWeb"/>
        <w:keepNext/>
        <w:keepLines/>
        <w:widowControl w:val="0"/>
        <w:spacing w:before="0" w:beforeAutospacing="0" w:after="0" w:afterAutospacing="0"/>
        <w:jc w:val="center"/>
        <w:rPr>
          <w:sz w:val="20"/>
          <w:szCs w:val="20"/>
          <w:lang w:val="es-ES"/>
        </w:rPr>
      </w:pPr>
    </w:p>
    <w:p w:rsidR="00E80502" w:rsidRPr="009A6CA1" w:rsidRDefault="00E80502" w:rsidP="00DC1333">
      <w:pPr>
        <w:widowControl w:val="0"/>
        <w:jc w:val="center"/>
      </w:pPr>
      <w:bookmarkStart w:id="157" w:name="Bm18"/>
      <w:bookmarkStart w:id="158" w:name="Punto18"/>
      <w:r>
        <w:rPr>
          <w:noProof/>
          <w:lang w:val="en-US" w:eastAsia="en-US"/>
        </w:rPr>
        <w:drawing>
          <wp:inline distT="0" distB="0" distL="0" distR="0" wp14:anchorId="5D69D675" wp14:editId="4055334D">
            <wp:extent cx="5676900" cy="79343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76900" cy="7934325"/>
                    </a:xfrm>
                    <a:prstGeom prst="rect">
                      <a:avLst/>
                    </a:prstGeom>
                    <a:noFill/>
                    <a:ln>
                      <a:noFill/>
                    </a:ln>
                  </pic:spPr>
                </pic:pic>
              </a:graphicData>
            </a:graphic>
          </wp:inline>
        </w:drawing>
      </w:r>
      <w:bookmarkEnd w:id="157"/>
      <w:bookmarkEnd w:id="158"/>
    </w:p>
    <w:p w:rsidR="00E80502" w:rsidRPr="009A6CA1" w:rsidRDefault="00E80502" w:rsidP="00DC1333">
      <w:pPr>
        <w:widowControl w:val="0"/>
        <w:rPr>
          <w:sz w:val="20"/>
        </w:rPr>
      </w:pPr>
    </w:p>
    <w:p w:rsidR="00E80502" w:rsidRPr="009A6CA1" w:rsidRDefault="00E80502" w:rsidP="00DC1333">
      <w:pPr>
        <w:widowControl w:val="0"/>
        <w:rPr>
          <w:sz w:val="20"/>
        </w:rPr>
      </w:pPr>
    </w:p>
    <w:p w:rsidR="00E80502" w:rsidRPr="009A6CA1" w:rsidRDefault="00E80502" w:rsidP="00DC1333">
      <w:pPr>
        <w:pStyle w:val="NormalWeb"/>
        <w:keepNext/>
        <w:widowControl w:val="0"/>
        <w:spacing w:before="0" w:beforeAutospacing="0" w:after="0" w:afterAutospacing="0"/>
        <w:jc w:val="center"/>
        <w:rPr>
          <w:sz w:val="20"/>
          <w:szCs w:val="20"/>
          <w:lang w:val="es-ES"/>
        </w:rPr>
      </w:pPr>
      <w:r w:rsidRPr="009A6CA1">
        <w:rPr>
          <w:sz w:val="20"/>
          <w:szCs w:val="20"/>
          <w:lang w:val="es-ES"/>
        </w:rPr>
        <w:lastRenderedPageBreak/>
        <w:t xml:space="preserve">Presupuesto y gastos reales (de personal y no relativos a personal) </w:t>
      </w:r>
    </w:p>
    <w:p w:rsidR="00E80502" w:rsidRPr="009A6CA1" w:rsidRDefault="00E80502" w:rsidP="00DC1333">
      <w:pPr>
        <w:pStyle w:val="NormalWeb"/>
        <w:keepNext/>
        <w:widowControl w:val="0"/>
        <w:spacing w:before="0" w:beforeAutospacing="0" w:after="0" w:afterAutospacing="0"/>
        <w:jc w:val="center"/>
        <w:rPr>
          <w:i/>
          <w:iCs/>
          <w:sz w:val="20"/>
          <w:szCs w:val="20"/>
          <w:lang w:val="es-ES"/>
        </w:rPr>
      </w:pPr>
      <w:r w:rsidRPr="009A6CA1">
        <w:rPr>
          <w:i/>
          <w:iCs/>
          <w:sz w:val="20"/>
          <w:szCs w:val="20"/>
          <w:lang w:val="es-ES"/>
        </w:rPr>
        <w:t>(</w:t>
      </w:r>
      <w:proofErr w:type="gramStart"/>
      <w:r w:rsidRPr="009A6CA1">
        <w:rPr>
          <w:i/>
          <w:iCs/>
          <w:sz w:val="20"/>
          <w:szCs w:val="20"/>
          <w:lang w:val="es-ES"/>
        </w:rPr>
        <w:t>en</w:t>
      </w:r>
      <w:proofErr w:type="gramEnd"/>
      <w:r w:rsidRPr="009A6CA1">
        <w:rPr>
          <w:i/>
          <w:iCs/>
          <w:sz w:val="20"/>
          <w:szCs w:val="20"/>
          <w:lang w:val="es-ES"/>
        </w:rPr>
        <w:t xml:space="preserve"> miles de francos suizos)</w:t>
      </w:r>
    </w:p>
    <w:p w:rsidR="00E80502" w:rsidRPr="009A6CA1" w:rsidRDefault="00E80502" w:rsidP="00DC1333">
      <w:pPr>
        <w:pStyle w:val="NormalWeb"/>
        <w:keepNext/>
        <w:widowControl w:val="0"/>
        <w:spacing w:before="0" w:beforeAutospacing="0" w:after="0" w:afterAutospacing="0"/>
        <w:jc w:val="center"/>
        <w:rPr>
          <w:lang w:val="es-ES"/>
        </w:rPr>
      </w:pPr>
    </w:p>
    <w:p w:rsidR="00E80502" w:rsidRPr="009A6CA1" w:rsidRDefault="00E80502" w:rsidP="00DC1333">
      <w:pPr>
        <w:keepNext/>
        <w:widowControl w:val="0"/>
        <w:jc w:val="center"/>
      </w:pPr>
      <w:bookmarkStart w:id="159" w:name="Point18"/>
      <w:r>
        <w:rPr>
          <w:noProof/>
          <w:lang w:val="en-US" w:eastAsia="en-US"/>
        </w:rPr>
        <w:drawing>
          <wp:inline distT="0" distB="0" distL="0" distR="0" wp14:anchorId="1F9DE0EC" wp14:editId="06CA904F">
            <wp:extent cx="5940425" cy="1052902"/>
            <wp:effectExtent l="0" t="0" r="317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0425" cy="1052902"/>
                    </a:xfrm>
                    <a:prstGeom prst="rect">
                      <a:avLst/>
                    </a:prstGeom>
                    <a:noFill/>
                    <a:ln>
                      <a:noFill/>
                    </a:ln>
                  </pic:spPr>
                </pic:pic>
              </a:graphicData>
            </a:graphic>
          </wp:inline>
        </w:drawing>
      </w:r>
      <w:bookmarkEnd w:id="159"/>
    </w:p>
    <w:p w:rsidR="00E80502" w:rsidRDefault="00E80502" w:rsidP="00DC1333">
      <w:pPr>
        <w:keepNext/>
        <w:widowControl w:val="0"/>
        <w:autoSpaceDE w:val="0"/>
        <w:autoSpaceDN w:val="0"/>
        <w:adjustRightInd w:val="0"/>
        <w:rPr>
          <w:sz w:val="20"/>
        </w:rPr>
      </w:pPr>
    </w:p>
    <w:p w:rsidR="00E80502" w:rsidRPr="009A6CA1" w:rsidRDefault="00E80502" w:rsidP="00DC1333">
      <w:pPr>
        <w:widowControl w:val="0"/>
        <w:autoSpaceDE w:val="0"/>
        <w:autoSpaceDN w:val="0"/>
        <w:adjustRightInd w:val="0"/>
        <w:rPr>
          <w:sz w:val="20"/>
        </w:rPr>
      </w:pPr>
    </w:p>
    <w:p w:rsidR="00E80502" w:rsidRPr="009A6CA1" w:rsidRDefault="00403D2C" w:rsidP="001F0F1A">
      <w:pPr>
        <w:widowControl w:val="0"/>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E80502" w:rsidRPr="009A6CA1" w:rsidRDefault="00E80502" w:rsidP="00DC1333">
      <w:pPr>
        <w:widowControl w:val="0"/>
        <w:rPr>
          <w:sz w:val="20"/>
          <w:lang w:eastAsia="ko-KR"/>
        </w:rPr>
      </w:pPr>
    </w:p>
    <w:p w:rsidR="00E80502" w:rsidRPr="009A6CA1" w:rsidRDefault="00E80502" w:rsidP="001F0F1A">
      <w:pPr>
        <w:widowControl w:val="0"/>
        <w:numPr>
          <w:ilvl w:val="0"/>
          <w:numId w:val="85"/>
        </w:numPr>
        <w:tabs>
          <w:tab w:val="left" w:pos="709"/>
        </w:tabs>
        <w:ind w:left="0" w:firstLine="0"/>
        <w:jc w:val="both"/>
        <w:rPr>
          <w:sz w:val="20"/>
          <w:lang w:eastAsia="ko-KR"/>
        </w:rPr>
      </w:pPr>
      <w:r w:rsidRPr="009A6CA1">
        <w:rPr>
          <w:sz w:val="20"/>
          <w:lang w:eastAsia="ko-KR"/>
        </w:rPr>
        <w:t>La disminución neta de los recursos de personal se debe a</w:t>
      </w:r>
      <w:proofErr w:type="gramStart"/>
      <w:r w:rsidRPr="009A6CA1">
        <w:rPr>
          <w:sz w:val="20"/>
          <w:lang w:eastAsia="ko-KR"/>
        </w:rPr>
        <w:t>:  i</w:t>
      </w:r>
      <w:proofErr w:type="gramEnd"/>
      <w:r w:rsidRPr="009A6CA1">
        <w:rPr>
          <w:sz w:val="20"/>
          <w:lang w:eastAsia="ko-KR"/>
        </w:rPr>
        <w:t>) el traslado temporal de un miembro del personal al programa 6 con objeto de apoyar la labor relativa a las nuevas adhesiones al Sistema de Madrid, y ii) el traslado de un miembro del personal del programa debido a los cambios producidos en la Organización con motivo de la entrada en funciones del nuevo equipo directivo en diciembre de 2014.</w:t>
      </w:r>
    </w:p>
    <w:p w:rsidR="00E80502" w:rsidRPr="009A6CA1" w:rsidRDefault="00E80502" w:rsidP="001F0F1A">
      <w:pPr>
        <w:widowControl w:val="0"/>
        <w:tabs>
          <w:tab w:val="left" w:pos="709"/>
        </w:tabs>
        <w:autoSpaceDE w:val="0"/>
        <w:autoSpaceDN w:val="0"/>
        <w:jc w:val="both"/>
        <w:rPr>
          <w:sz w:val="20"/>
          <w:lang w:eastAsia="ko-KR"/>
        </w:rPr>
      </w:pPr>
    </w:p>
    <w:p w:rsidR="00E80502" w:rsidRPr="009A6CA1" w:rsidRDefault="00E80502" w:rsidP="001F0F1A">
      <w:pPr>
        <w:widowControl w:val="0"/>
        <w:numPr>
          <w:ilvl w:val="0"/>
          <w:numId w:val="85"/>
        </w:numPr>
        <w:tabs>
          <w:tab w:val="left" w:pos="709"/>
        </w:tabs>
        <w:ind w:left="0" w:firstLine="0"/>
        <w:jc w:val="both"/>
        <w:rPr>
          <w:sz w:val="20"/>
          <w:lang w:eastAsia="ko-KR"/>
        </w:rPr>
      </w:pPr>
      <w:r w:rsidRPr="009A6CA1">
        <w:rPr>
          <w:sz w:val="20"/>
          <w:lang w:eastAsia="ko-KR"/>
        </w:rPr>
        <w:t xml:space="preserve">El aumento de recursos no relativos a personal se debe a:  i) la transferencia de fondos procedentes de los programas 6 y 9 en relación con los servicios contractuales necesarios para compensar los traslados temporales mencionados, con miras a asegurar la continuidad de la labor relativa a las plataformas y aplicaciones de T.I. de la OMPI en el Sector de Cuestiones Mundiales;  ii) la transferencia de más recursos no relativos a personal para respaldar la creciente utilización y las mejoras de las plataformas de la OMPI, y iii) la transferencia de más fondos para cumplir las obligaciones de la OMPI en relación con </w:t>
      </w:r>
      <w:r w:rsidRPr="009A6CA1">
        <w:rPr>
          <w:bCs/>
          <w:i/>
          <w:color w:val="000000" w:themeColor="text1"/>
          <w:sz w:val="20"/>
        </w:rPr>
        <w:t>WIPO Re:Search</w:t>
      </w:r>
      <w:r w:rsidRPr="009A6CA1">
        <w:rPr>
          <w:bCs/>
          <w:color w:val="000000" w:themeColor="text1"/>
          <w:sz w:val="20"/>
        </w:rPr>
        <w:t>, de acuerdo con el memorando de entendimiento firmado con Bio Ventures for Global Health (BVGH).</w:t>
      </w:r>
    </w:p>
    <w:p w:rsidR="00E80502" w:rsidRPr="009A6CA1" w:rsidRDefault="00E80502" w:rsidP="001F0F1A">
      <w:pPr>
        <w:widowControl w:val="0"/>
        <w:tabs>
          <w:tab w:val="left" w:pos="709"/>
        </w:tabs>
        <w:jc w:val="both"/>
        <w:rPr>
          <w:sz w:val="20"/>
          <w:lang w:eastAsia="ko-KR"/>
        </w:rPr>
      </w:pPr>
    </w:p>
    <w:p w:rsidR="00E80502" w:rsidRPr="009A6CA1" w:rsidRDefault="00E80502" w:rsidP="001F0F1A">
      <w:pPr>
        <w:widowControl w:val="0"/>
        <w:numPr>
          <w:ilvl w:val="0"/>
          <w:numId w:val="85"/>
        </w:numPr>
        <w:tabs>
          <w:tab w:val="left" w:pos="709"/>
        </w:tabs>
        <w:ind w:left="0" w:firstLine="0"/>
        <w:jc w:val="both"/>
        <w:rPr>
          <w:sz w:val="20"/>
          <w:lang w:eastAsia="ko-KR"/>
        </w:rPr>
      </w:pPr>
      <w:r w:rsidRPr="009A6CA1">
        <w:rPr>
          <w:sz w:val="20"/>
          <w:lang w:eastAsia="ko-KR"/>
        </w:rPr>
        <w:t>En general, los ajustes efectuados en todos los resultados previstos en el</w:t>
      </w:r>
      <w:r w:rsidRPr="009A6CA1">
        <w:rPr>
          <w:sz w:val="20"/>
        </w:rPr>
        <w:t xml:space="preserve"> </w:t>
      </w:r>
      <w:r w:rsidRPr="009A6CA1">
        <w:rPr>
          <w:sz w:val="20"/>
          <w:lang w:eastAsia="ko-KR"/>
        </w:rPr>
        <w:t>presupuesto final de 2014/15 tras las transferencias reflejan la aplicación de la nueva metodología para la asignación de recursos de personal, que es más precisa, y resulta de las mejoras aportadas al sistema de planificación de la gestión del rendimiento institucional para la planificación anual del trabajo en 2014 y 2015.</w:t>
      </w:r>
    </w:p>
    <w:p w:rsidR="00E80502" w:rsidRPr="009A6CA1" w:rsidRDefault="00E80502" w:rsidP="001F0F1A">
      <w:pPr>
        <w:widowControl w:val="0"/>
        <w:tabs>
          <w:tab w:val="left" w:pos="709"/>
        </w:tabs>
        <w:autoSpaceDE w:val="0"/>
        <w:autoSpaceDN w:val="0"/>
        <w:jc w:val="both"/>
        <w:rPr>
          <w:sz w:val="20"/>
          <w:lang w:eastAsia="ko-KR"/>
        </w:rPr>
      </w:pPr>
    </w:p>
    <w:p w:rsidR="00E80502" w:rsidRPr="009A6CA1" w:rsidRDefault="00E80502" w:rsidP="001F0F1A">
      <w:pPr>
        <w:pStyle w:val="ListParagraph"/>
        <w:widowControl w:val="0"/>
        <w:numPr>
          <w:ilvl w:val="0"/>
          <w:numId w:val="85"/>
        </w:numPr>
        <w:tabs>
          <w:tab w:val="left" w:pos="709"/>
        </w:tabs>
        <w:ind w:left="0" w:firstLine="0"/>
        <w:jc w:val="both"/>
        <w:rPr>
          <w:rFonts w:cs="Arial"/>
          <w:bCs/>
          <w:lang w:val="es-ES"/>
        </w:rPr>
      </w:pPr>
      <w:r w:rsidRPr="009A6CA1">
        <w:rPr>
          <w:rFonts w:cs="Arial"/>
          <w:lang w:val="es-ES"/>
        </w:rPr>
        <w:t>Los recursos asignados a los resultados previstos I.1, II.8, II.9, VI.1, VI.2 y VIII.5 en el marco del presente programa reflejan los esfuerzos que ha dedicado la Oficina del Subdirector General del Sector de Cuestiones Mundiales a las actividades de los programas 4, 7, 17 y 20, respectivamente.</w:t>
      </w:r>
    </w:p>
    <w:p w:rsidR="00E80502" w:rsidRPr="009A6CA1" w:rsidRDefault="00E80502" w:rsidP="001F0F1A">
      <w:pPr>
        <w:widowControl w:val="0"/>
        <w:tabs>
          <w:tab w:val="left" w:pos="709"/>
        </w:tabs>
        <w:autoSpaceDE w:val="0"/>
        <w:autoSpaceDN w:val="0"/>
        <w:jc w:val="both"/>
        <w:rPr>
          <w:sz w:val="20"/>
          <w:lang w:eastAsia="ko-KR"/>
        </w:rPr>
      </w:pPr>
    </w:p>
    <w:p w:rsidR="00E80502" w:rsidRPr="009A6CA1" w:rsidRDefault="00403D2C" w:rsidP="001F0F1A">
      <w:pPr>
        <w:widowControl w:val="0"/>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E80502" w:rsidRPr="009A6CA1" w:rsidRDefault="00E80502" w:rsidP="001F0F1A">
      <w:pPr>
        <w:widowControl w:val="0"/>
        <w:tabs>
          <w:tab w:val="left" w:pos="709"/>
        </w:tabs>
        <w:jc w:val="both"/>
        <w:rPr>
          <w:sz w:val="20"/>
          <w:u w:val="single"/>
          <w:lang w:eastAsia="ko-KR"/>
        </w:rPr>
      </w:pPr>
    </w:p>
    <w:p w:rsidR="00E80502" w:rsidRPr="009A6CA1" w:rsidRDefault="00E80502" w:rsidP="001F0F1A">
      <w:pPr>
        <w:pStyle w:val="ListParagraph"/>
        <w:widowControl w:val="0"/>
        <w:numPr>
          <w:ilvl w:val="0"/>
          <w:numId w:val="85"/>
        </w:numPr>
        <w:tabs>
          <w:tab w:val="left" w:pos="709"/>
        </w:tabs>
        <w:ind w:left="0" w:firstLine="0"/>
        <w:jc w:val="both"/>
        <w:rPr>
          <w:rFonts w:ascii="Calibri" w:hAnsi="Calibri"/>
          <w:lang w:val="es-ES"/>
        </w:rPr>
      </w:pPr>
      <w:r w:rsidRPr="009A6CA1">
        <w:rPr>
          <w:rFonts w:cs="Arial"/>
          <w:lang w:val="es-ES" w:eastAsia="ko-KR"/>
        </w:rPr>
        <w:t>La ligera infrautilización de los recursos no relativos a personal refleja</w:t>
      </w:r>
      <w:proofErr w:type="gramStart"/>
      <w:r w:rsidRPr="009A6CA1">
        <w:rPr>
          <w:rFonts w:cs="Arial"/>
          <w:lang w:val="es-ES" w:eastAsia="ko-KR"/>
        </w:rPr>
        <w:t>:  i</w:t>
      </w:r>
      <w:proofErr w:type="gramEnd"/>
      <w:r w:rsidRPr="009A6CA1">
        <w:rPr>
          <w:rFonts w:cs="Arial"/>
          <w:lang w:val="es-ES" w:eastAsia="ko-KR"/>
        </w:rPr>
        <w:t>) los ahorros de costos, en particular en relación con los viajes y la organización de reuniones, y ii) la jubilación del Director de P.I. y Política de Competencia a mediados de 2015.</w:t>
      </w:r>
    </w:p>
    <w:p w:rsidR="00E80502" w:rsidRDefault="00E80502" w:rsidP="001F0F1A">
      <w:pPr>
        <w:tabs>
          <w:tab w:val="left" w:pos="709"/>
        </w:tabs>
      </w:pPr>
    </w:p>
    <w:p w:rsidR="00E80502" w:rsidRDefault="00E80502"/>
    <w:p w:rsidR="00E80502" w:rsidRPr="009A6CA1" w:rsidRDefault="00E80502"/>
    <w:p w:rsidR="00E80502" w:rsidRPr="00E80502" w:rsidRDefault="00E80502" w:rsidP="00FA423E">
      <w:pPr>
        <w:rPr>
          <w:b/>
          <w:bCs/>
          <w:iCs/>
          <w:caps/>
          <w:lang w:eastAsia="da-DK"/>
        </w:rPr>
      </w:pPr>
    </w:p>
    <w:p w:rsidR="00FA423E" w:rsidRPr="00E80502" w:rsidRDefault="00FA423E" w:rsidP="00FA423E">
      <w:pPr>
        <w:rPr>
          <w:b/>
          <w:bCs/>
          <w:iCs/>
          <w:caps/>
          <w:lang w:eastAsia="da-DK"/>
        </w:rPr>
      </w:pPr>
      <w:r w:rsidRPr="00E80502">
        <w:rPr>
          <w:b/>
          <w:bCs/>
          <w:iCs/>
          <w:caps/>
          <w:lang w:eastAsia="da-DK"/>
        </w:rPr>
        <w:br w:type="page"/>
      </w:r>
    </w:p>
    <w:p w:rsidR="00FA423E" w:rsidRPr="00F171B5" w:rsidRDefault="00FA423E" w:rsidP="00FA423E">
      <w:pPr>
        <w:pStyle w:val="StyleHeading214ptAuto"/>
        <w:rPr>
          <w:rFonts w:ascii="Arial" w:hAnsi="Arial" w:cs="Arial"/>
          <w:sz w:val="20"/>
          <w:szCs w:val="20"/>
          <w:lang w:val="es-ES"/>
        </w:rPr>
      </w:pPr>
      <w:bookmarkStart w:id="160" w:name="_Toc455159099"/>
      <w:bookmarkEnd w:id="153"/>
      <w:r w:rsidRPr="00F171B5">
        <w:rPr>
          <w:rFonts w:ascii="Arial" w:hAnsi="Arial" w:cs="Arial"/>
          <w:sz w:val="20"/>
          <w:szCs w:val="20"/>
          <w:lang w:val="es-ES_tradnl"/>
        </w:rPr>
        <w:lastRenderedPageBreak/>
        <w:t>META ESTRATÉGICA VIII</w:t>
      </w:r>
      <w:bookmarkEnd w:id="160"/>
    </w:p>
    <w:p w:rsidR="00FA423E" w:rsidRPr="00F171B5" w:rsidRDefault="00FA423E" w:rsidP="00FA423E">
      <w:pPr>
        <w:jc w:val="center"/>
        <w:rPr>
          <w:sz w:val="20"/>
        </w:rPr>
      </w:pPr>
    </w:p>
    <w:bookmarkEnd w:id="154"/>
    <w:p w:rsidR="00FA423E" w:rsidRPr="00F171B5" w:rsidRDefault="00FA423E" w:rsidP="00FA423E">
      <w:pPr>
        <w:jc w:val="center"/>
        <w:rPr>
          <w:b/>
          <w:sz w:val="20"/>
        </w:rPr>
      </w:pPr>
      <w:r w:rsidRPr="00F171B5">
        <w:rPr>
          <w:b/>
          <w:sz w:val="20"/>
          <w:lang w:val="es-ES_tradnl"/>
        </w:rPr>
        <w:t xml:space="preserve">COMUNICACIÓN EFICAZ ENTRE LA OMPI, SUS ESTADOS MIEMBROS Y TODAS </w:t>
      </w:r>
      <w:r w:rsidRPr="00F171B5">
        <w:rPr>
          <w:b/>
          <w:sz w:val="20"/>
          <w:lang w:val="es-ES_tradnl"/>
        </w:rPr>
        <w:br/>
        <w:t>LAS PARTES INTERESADAS</w:t>
      </w:r>
    </w:p>
    <w:p w:rsidR="00FA423E" w:rsidRPr="00F171B5" w:rsidRDefault="00FA423E" w:rsidP="00FA423E">
      <w:pPr>
        <w:jc w:val="center"/>
        <w:rPr>
          <w:b/>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240EE09F" wp14:editId="69CBF6E5">
            <wp:extent cx="5940425" cy="299852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0425" cy="2998528"/>
                    </a:xfrm>
                    <a:prstGeom prst="rect">
                      <a:avLst/>
                    </a:prstGeom>
                    <a:noFill/>
                    <a:ln>
                      <a:noFill/>
                    </a:ln>
                  </pic:spPr>
                </pic:pic>
              </a:graphicData>
            </a:graphic>
          </wp:inline>
        </w:drawing>
      </w:r>
    </w:p>
    <w:p w:rsidR="00FA423E" w:rsidRPr="00F171B5" w:rsidRDefault="00FA423E" w:rsidP="00FA423E">
      <w:pP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2"/>
        <w:gridCol w:w="4043"/>
        <w:gridCol w:w="1705"/>
        <w:gridCol w:w="840"/>
      </w:tblGrid>
      <w:tr w:rsidR="00FA423E" w:rsidRPr="00AF5E7C" w:rsidTr="00DC1333">
        <w:trPr>
          <w:cantSplit/>
          <w:trHeight w:val="383"/>
          <w:tblHeader/>
        </w:trPr>
        <w:tc>
          <w:tcPr>
            <w:tcW w:w="154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6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sz w:val="18"/>
                <w:szCs w:val="18"/>
              </w:rPr>
            </w:pPr>
            <w:r w:rsidRPr="007E4934">
              <w:rPr>
                <w:b/>
                <w:sz w:val="18"/>
                <w:szCs w:val="18"/>
                <w:lang w:val="es-ES_tradnl"/>
              </w:rPr>
              <w:t>Indicadores de rendimiento</w:t>
            </w:r>
          </w:p>
        </w:tc>
        <w:tc>
          <w:tcPr>
            <w:tcW w:w="92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ind w:left="85"/>
              <w:jc w:val="center"/>
              <w:rPr>
                <w:sz w:val="18"/>
                <w:szCs w:val="18"/>
              </w:rPr>
            </w:pPr>
            <w:r w:rsidRPr="007E4934">
              <w:rPr>
                <w:b/>
                <w:sz w:val="18"/>
                <w:szCs w:val="18"/>
                <w:lang w:val="es-ES_tradnl"/>
              </w:rPr>
              <w:t>Programas responsables</w:t>
            </w:r>
          </w:p>
        </w:tc>
        <w:tc>
          <w:tcPr>
            <w:tcW w:w="375" w:type="pct"/>
            <w:tcBorders>
              <w:top w:val="single" w:sz="4" w:space="0" w:color="auto"/>
              <w:bottom w:val="single" w:sz="4" w:space="0" w:color="auto"/>
            </w:tcBorders>
            <w:shd w:val="clear" w:color="auto" w:fill="DAEEF3" w:themeFill="accent5" w:themeFillTint="33"/>
          </w:tcPr>
          <w:p w:rsidR="00FA423E" w:rsidRPr="007E4934" w:rsidRDefault="00FA423E" w:rsidP="00DC1333">
            <w:pPr>
              <w:spacing w:after="120"/>
              <w:ind w:left="-17" w:firstLine="32"/>
              <w:jc w:val="center"/>
              <w:rPr>
                <w:b/>
                <w:bCs/>
                <w:sz w:val="18"/>
                <w:szCs w:val="18"/>
              </w:rPr>
            </w:pPr>
            <w:r w:rsidRPr="007E4934">
              <w:rPr>
                <w:b/>
                <w:bCs/>
                <w:sz w:val="18"/>
                <w:szCs w:val="18"/>
                <w:lang w:val="es-ES_tradnl"/>
              </w:rPr>
              <w:t>Clave de colores</w:t>
            </w:r>
          </w:p>
        </w:tc>
      </w:tr>
      <w:tr w:rsidR="00FA423E" w:rsidRPr="00AF5E7C" w:rsidTr="00DC1333">
        <w:trPr>
          <w:cantSplit/>
          <w:trHeight w:val="408"/>
        </w:trPr>
        <w:tc>
          <w:tcPr>
            <w:tcW w:w="1541" w:type="pct"/>
            <w:vMerge w:val="restar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VIII.1 Comunicación más eficaz con el público en general acerca de la P.I. y la función de la OMPI</w:t>
            </w:r>
          </w:p>
        </w:tc>
        <w:tc>
          <w:tcPr>
            <w:tcW w:w="2160"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Grado de interés público generado por importantes actividades/logros de la OMPI</w:t>
            </w:r>
          </w:p>
        </w:tc>
        <w:tc>
          <w:tcPr>
            <w:tcW w:w="924"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tcBorders>
              <w:top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32"/>
        </w:trPr>
        <w:tc>
          <w:tcPr>
            <w:tcW w:w="1541" w:type="pct"/>
            <w:vMerge/>
            <w:shd w:val="clear" w:color="auto" w:fill="auto"/>
            <w:tcMar>
              <w:top w:w="113" w:type="dxa"/>
              <w:bottom w:w="85" w:type="dxa"/>
            </w:tcMar>
          </w:tcPr>
          <w:p w:rsidR="00FA423E" w:rsidRPr="007E4934" w:rsidRDefault="00FA423E" w:rsidP="00DC1333">
            <w:pPr>
              <w:rPr>
                <w:sz w:val="16"/>
                <w:szCs w:val="16"/>
              </w:rPr>
            </w:pPr>
          </w:p>
        </w:tc>
        <w:tc>
          <w:tcPr>
            <w:tcW w:w="2160"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opiniones favorables de las partes interesadas sobre la misión, las actividades y la imagen institucional de la OMPI</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31"/>
        </w:trPr>
        <w:tc>
          <w:tcPr>
            <w:tcW w:w="1541" w:type="pct"/>
            <w:vMerge/>
            <w:shd w:val="clear" w:color="auto" w:fill="auto"/>
            <w:tcMar>
              <w:top w:w="113" w:type="dxa"/>
              <w:bottom w:w="85" w:type="dxa"/>
            </w:tcMar>
          </w:tcPr>
          <w:p w:rsidR="00FA423E" w:rsidRPr="007E4934" w:rsidRDefault="00FA423E" w:rsidP="00DC1333">
            <w:pPr>
              <w:rPr>
                <w:sz w:val="16"/>
                <w:szCs w:val="16"/>
              </w:rPr>
            </w:pPr>
          </w:p>
        </w:tc>
        <w:tc>
          <w:tcPr>
            <w:tcW w:w="2160" w:type="pct"/>
            <w:vMerge/>
            <w:shd w:val="clear" w:color="auto" w:fill="auto"/>
            <w:tcMar>
              <w:top w:w="113" w:type="dxa"/>
              <w:bottom w:w="85" w:type="dxa"/>
            </w:tcMar>
          </w:tcPr>
          <w:p w:rsidR="00FA423E" w:rsidRPr="007E4934" w:rsidRDefault="00FA423E" w:rsidP="00DC1333">
            <w:pPr>
              <w:rPr>
                <w:sz w:val="16"/>
                <w:szCs w:val="16"/>
              </w:rPr>
            </w:pP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43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aumento del material de prensa, vídeos y fotografías de la OMPI vistos por el público</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color w:val="FF0000"/>
                <w:szCs w:val="22"/>
              </w:rPr>
              <w:sym w:font="Wingdings" w:char="F06C"/>
            </w:r>
            <w:r w:rsidRPr="00CC3F44">
              <w:rPr>
                <w:color w:val="FF0000"/>
                <w:szCs w:val="22"/>
              </w:rPr>
              <w:sym w:font="Wingdings" w:char="F06C"/>
            </w:r>
            <w:r w:rsidRPr="00CC3F44">
              <w:rPr>
                <w:color w:val="008000"/>
                <w:szCs w:val="22"/>
              </w:rPr>
              <w:sym w:font="Wingdings" w:char="F06C"/>
            </w:r>
          </w:p>
        </w:tc>
      </w:tr>
      <w:tr w:rsidR="00FA423E" w:rsidRPr="00AF5E7C" w:rsidTr="00DC1333">
        <w:trPr>
          <w:cantSplit/>
          <w:trHeight w:val="429"/>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aumento de la participación global en el Día Mundial de la P.I. por medio de la página de Facebook (alcance global de la campaña)</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5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aumento del número de consultas de las publicaciones de Internet</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rPr>
                <w:color w:val="0070C0"/>
                <w:szCs w:val="22"/>
              </w:rPr>
            </w:pPr>
            <w:r w:rsidRPr="00CC3F44">
              <w:rPr>
                <w:color w:val="A6A6A6" w:themeColor="background1" w:themeShade="A6"/>
                <w:szCs w:val="22"/>
              </w:rPr>
              <w:sym w:font="Wingdings" w:char="F06C"/>
            </w:r>
            <w:r w:rsidRPr="00CC3F44">
              <w:rPr>
                <w:color w:val="008000"/>
                <w:szCs w:val="22"/>
              </w:rPr>
              <w:sym w:font="Wingdings" w:char="F06C"/>
            </w:r>
          </w:p>
        </w:tc>
      </w:tr>
      <w:tr w:rsidR="00FA423E" w:rsidRPr="00AF5E7C" w:rsidTr="00DC1333">
        <w:trPr>
          <w:cantSplit/>
          <w:trHeight w:val="25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satisfechos con el sitio web de la OMPI</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33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Aumento de la influencia y la participación de la OMPI en los medios sociales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szCs w:val="22"/>
              </w:rPr>
              <w:sym w:font="Wingdings" w:char="F06C"/>
            </w:r>
            <w:r w:rsidRPr="00CC3F44">
              <w:rPr>
                <w:color w:val="008000"/>
                <w:szCs w:val="22"/>
              </w:rPr>
              <w:sym w:font="Wingdings" w:char="F06C"/>
            </w:r>
          </w:p>
        </w:tc>
      </w:tr>
      <w:tr w:rsidR="00FA423E" w:rsidRPr="00AF5E7C" w:rsidTr="00DC1333">
        <w:trPr>
          <w:cantSplit/>
          <w:trHeight w:val="335"/>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Aumento del tráfico en el sitio web de las Oficinas de la OMPI en el exterior</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r w:rsidRPr="00CC3F44">
              <w:rPr>
                <w:color w:val="008000"/>
                <w:szCs w:val="22"/>
              </w:rPr>
              <w:sym w:font="Wingdings" w:char="F06C"/>
            </w:r>
            <w:r w:rsidRPr="00CC3F44">
              <w:rPr>
                <w:color w:val="E26B0A"/>
                <w:szCs w:val="22"/>
              </w:rPr>
              <w:sym w:font="Wingdings" w:char="F06C"/>
            </w:r>
          </w:p>
        </w:tc>
      </w:tr>
      <w:tr w:rsidR="00FA423E" w:rsidRPr="00AF5E7C" w:rsidTr="00DC1333">
        <w:trPr>
          <w:cantSplit/>
          <w:trHeight w:val="202"/>
        </w:trPr>
        <w:tc>
          <w:tcPr>
            <w:tcW w:w="1541"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VIII.2 Mejora en la prestación de servicios y la atención de consultas</w:t>
            </w: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satisfechos con los servicios de la Biblioteca</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32"/>
        </w:trPr>
        <w:tc>
          <w:tcPr>
            <w:tcW w:w="1541" w:type="pct"/>
            <w:vMerge/>
            <w:shd w:val="clear" w:color="auto" w:fill="auto"/>
            <w:tcMar>
              <w:top w:w="113" w:type="dxa"/>
              <w:bottom w:w="85" w:type="dxa"/>
            </w:tcMar>
          </w:tcPr>
          <w:p w:rsidR="00FA423E" w:rsidRPr="007E4934" w:rsidRDefault="00FA423E" w:rsidP="00DC1333">
            <w:pPr>
              <w:rPr>
                <w:sz w:val="16"/>
                <w:szCs w:val="16"/>
              </w:rPr>
            </w:pPr>
          </w:p>
        </w:tc>
        <w:tc>
          <w:tcPr>
            <w:tcW w:w="2160"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Índice de satisfacción de los clientes y partes interesadas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r w:rsidRPr="00CC3F44">
              <w:rPr>
                <w:color w:val="A6A6A6" w:themeColor="background1" w:themeShade="A6"/>
                <w:szCs w:val="22"/>
              </w:rPr>
              <w:sym w:font="Wingdings" w:char="F06C"/>
            </w:r>
          </w:p>
        </w:tc>
      </w:tr>
      <w:tr w:rsidR="00FA423E" w:rsidRPr="00AF5E7C" w:rsidTr="00DC1333">
        <w:trPr>
          <w:cantSplit/>
          <w:trHeight w:val="231"/>
        </w:trPr>
        <w:tc>
          <w:tcPr>
            <w:tcW w:w="1541" w:type="pct"/>
            <w:vMerge/>
            <w:shd w:val="clear" w:color="auto" w:fill="auto"/>
            <w:tcMar>
              <w:top w:w="113" w:type="dxa"/>
              <w:bottom w:w="85" w:type="dxa"/>
            </w:tcMar>
          </w:tcPr>
          <w:p w:rsidR="00FA423E" w:rsidRPr="007E4934" w:rsidRDefault="00FA423E" w:rsidP="00DC1333">
            <w:pPr>
              <w:rPr>
                <w:sz w:val="16"/>
                <w:szCs w:val="16"/>
              </w:rPr>
            </w:pPr>
          </w:p>
        </w:tc>
        <w:tc>
          <w:tcPr>
            <w:tcW w:w="2160" w:type="pct"/>
            <w:vMerge/>
            <w:shd w:val="clear" w:color="auto" w:fill="auto"/>
            <w:tcMar>
              <w:top w:w="113" w:type="dxa"/>
              <w:bottom w:w="85" w:type="dxa"/>
            </w:tcMar>
          </w:tcPr>
          <w:p w:rsidR="00FA423E" w:rsidRPr="007E4934" w:rsidRDefault="00FA423E" w:rsidP="00DC1333">
            <w:pPr>
              <w:rPr>
                <w:sz w:val="16"/>
                <w:szCs w:val="16"/>
              </w:rPr>
            </w:pP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r w:rsidRPr="00CC3F44">
              <w:rPr>
                <w:color w:val="A6A6A6" w:themeColor="background1" w:themeShade="A6"/>
                <w:szCs w:val="22"/>
              </w:rPr>
              <w:sym w:font="Wingdings" w:char="F06C"/>
            </w:r>
            <w:r w:rsidRPr="00CC3F44">
              <w:rPr>
                <w:color w:val="008000"/>
                <w:szCs w:val="22"/>
              </w:rPr>
              <w:sym w:font="Wingdings" w:char="F06C"/>
            </w:r>
          </w:p>
        </w:tc>
      </w:tr>
      <w:tr w:rsidR="00FA423E" w:rsidRPr="00AF5E7C" w:rsidTr="00DC1333">
        <w:trPr>
          <w:cantSplit/>
          <w:trHeight w:val="31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Se cumplen los objetivos definidos en el sitio web de la OMPI para la calidad del servicio</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19</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29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Duración de la tramitación de las peticiones de información</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r w:rsidRPr="00CC3F44">
              <w:rPr>
                <w:color w:val="A6A6A6" w:themeColor="background1" w:themeShade="A6"/>
                <w:szCs w:val="22"/>
              </w:rPr>
              <w:sym w:font="Wingdings" w:char="F06C"/>
            </w:r>
            <w:r w:rsidRPr="00CC3F44">
              <w:rPr>
                <w:color w:val="008000"/>
                <w:szCs w:val="22"/>
              </w:rPr>
              <w:sym w:font="Wingdings" w:char="F06C"/>
            </w:r>
          </w:p>
        </w:tc>
      </w:tr>
      <w:tr w:rsidR="00FA423E" w:rsidRPr="00AF5E7C" w:rsidTr="00DC1333">
        <w:trPr>
          <w:cantSplit/>
          <w:trHeight w:val="463"/>
        </w:trPr>
        <w:tc>
          <w:tcPr>
            <w:tcW w:w="154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VIII.3 Atención eficaz a los Estados miembros</w:t>
            </w: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sesiones de Comité precedidas de reuniones informativas para los Estados miembros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2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cartas dirigidas al Director General por los Estados miembros que han obtenido respuesta en el plazo de dos semanas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35"/>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notificaciones de adhesión y otras medidas relacionadas con los tratados tramitadas de manera puntual</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09"/>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Índice de satisfacción de los Estados miembros respecto de la preparación y funcionamiento de las Asambleas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Publicación puntual de los documentos de las Asambleas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22"/>
        </w:trPr>
        <w:tc>
          <w:tcPr>
            <w:tcW w:w="154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VIII.4 Intercambios abiertos, transparentes y dinámicos con las partes interesadas no gubernamentales</w:t>
            </w: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Participación eficaz y en mayor grado de las partes interesadas no gubernamentales en las actividades de la OMPI y viceversa</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37"/>
        </w:trPr>
        <w:tc>
          <w:tcPr>
            <w:tcW w:w="154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VIII.5 La OMPI participa y colabora eficazmente en los procesos y negociaciones de las NN.UU. y otras OIG</w:t>
            </w: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Utilización de las aportaciones de la OMPI en informes, resoluciones y documentos de procesos de las partes interesadas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73"/>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respuestas cursadas puntualmente atendiendo a peticiones externas de aportación por parte de las NN.UU., OIG, etc.</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36"/>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programas de P.I. ejecutados conjuntamente con otros organismos de NN.UU. y otras OIG</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20</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47"/>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Nuevas iniciativas conjuntas con otros organismos de las NN.UU.</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375"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83"/>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bCs/>
                <w:sz w:val="16"/>
                <w:szCs w:val="16"/>
              </w:rPr>
            </w:pPr>
            <w:r w:rsidRPr="007E4934">
              <w:rPr>
                <w:bCs/>
                <w:sz w:val="16"/>
                <w:szCs w:val="16"/>
                <w:lang w:val="es-ES_tradnl"/>
              </w:rPr>
              <w:t>Recomendaciones del Comité de Alto Nivel sobre Gestión y de las redes subsidiarias que se han dado por aplicadas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375"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400"/>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productos y servicios contratados y adquiridos a nivel local en comparación con el importe total de los adquiridos para actividades de desarrollo</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375" w:type="pct"/>
            <w:shd w:val="clear" w:color="auto" w:fill="FFFFFF"/>
          </w:tcPr>
          <w:p w:rsidR="00FA423E" w:rsidRPr="00CC3F44" w:rsidRDefault="00FA423E" w:rsidP="00DC1333">
            <w:pPr>
              <w:jc w:val="center"/>
            </w:pPr>
            <w:r w:rsidRPr="00CC3F44">
              <w:rPr>
                <w:color w:val="FF0000"/>
                <w:szCs w:val="22"/>
              </w:rPr>
              <w:sym w:font="Wingdings" w:char="F06C"/>
            </w:r>
            <w:r w:rsidRPr="00CC3F44">
              <w:rPr>
                <w:color w:val="008000"/>
                <w:szCs w:val="22"/>
              </w:rPr>
              <w:sym w:font="Wingdings" w:char="F06C"/>
            </w:r>
          </w:p>
        </w:tc>
      </w:tr>
      <w:tr w:rsidR="00FA423E" w:rsidRPr="00AF5E7C" w:rsidTr="00DC1333">
        <w:trPr>
          <w:cantSplit/>
          <w:trHeight w:val="518"/>
        </w:trPr>
        <w:tc>
          <w:tcPr>
            <w:tcW w:w="1541" w:type="pct"/>
            <w:shd w:val="clear" w:color="auto" w:fill="auto"/>
            <w:tcMar>
              <w:top w:w="113" w:type="dxa"/>
              <w:bottom w:w="85" w:type="dxa"/>
            </w:tcMar>
          </w:tcPr>
          <w:p w:rsidR="00FA423E" w:rsidRPr="007E4934" w:rsidRDefault="00FA423E" w:rsidP="00DC1333">
            <w:pPr>
              <w:rPr>
                <w:sz w:val="16"/>
                <w:szCs w:val="16"/>
              </w:rPr>
            </w:pPr>
          </w:p>
        </w:tc>
        <w:tc>
          <w:tcPr>
            <w:tcW w:w="2160"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gastos efectuados con arreglo a las prácticas vigentes en NN.UU. (licitaciones comunes o aprovechamiento de los contratos)</w:t>
            </w:r>
          </w:p>
        </w:tc>
        <w:tc>
          <w:tcPr>
            <w:tcW w:w="924"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375"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bl>
    <w:p w:rsidR="00FA423E" w:rsidRDefault="00FA423E" w:rsidP="00FA423E"/>
    <w:p w:rsidR="00FA423E" w:rsidRDefault="00FA423E" w:rsidP="00FA423E">
      <w:pPr>
        <w:autoSpaceDE w:val="0"/>
        <w:autoSpaceDN w:val="0"/>
        <w:jc w:val="both"/>
      </w:pPr>
    </w:p>
    <w:p w:rsidR="00EE330E" w:rsidRDefault="00EE330E">
      <w:r>
        <w:br w:type="page"/>
      </w:r>
    </w:p>
    <w:p w:rsidR="00285417" w:rsidRPr="00CA51CD" w:rsidRDefault="00285417" w:rsidP="00DC1333">
      <w:pPr>
        <w:pStyle w:val="Heading2"/>
        <w:tabs>
          <w:tab w:val="left" w:pos="2410"/>
        </w:tabs>
        <w:ind w:left="2410" w:hanging="2410"/>
        <w:jc w:val="both"/>
        <w:rPr>
          <w:b/>
        </w:rPr>
      </w:pPr>
      <w:bookmarkStart w:id="161" w:name="_Toc422927432"/>
      <w:bookmarkStart w:id="162" w:name="_Toc455159100"/>
      <w:r w:rsidRPr="00CA51CD">
        <w:rPr>
          <w:b/>
        </w:rPr>
        <w:lastRenderedPageBreak/>
        <w:t>PROGRAMA 19</w:t>
      </w:r>
      <w:r w:rsidRPr="00CA51CD">
        <w:rPr>
          <w:b/>
        </w:rPr>
        <w:tab/>
        <w:t>COMUNICACIONES</w:t>
      </w:r>
      <w:bookmarkEnd w:id="161"/>
      <w:bookmarkEnd w:id="162"/>
    </w:p>
    <w:p w:rsidR="00285417" w:rsidRPr="00CA51CD" w:rsidRDefault="00285417" w:rsidP="00DC1333">
      <w:pPr>
        <w:tabs>
          <w:tab w:val="left" w:pos="1985"/>
        </w:tabs>
        <w:jc w:val="both"/>
        <w:rPr>
          <w:sz w:val="20"/>
        </w:rPr>
      </w:pPr>
    </w:p>
    <w:p w:rsidR="00285417" w:rsidRPr="00CA51CD" w:rsidRDefault="00285417" w:rsidP="00DC1333">
      <w:pPr>
        <w:tabs>
          <w:tab w:val="left" w:pos="2410"/>
        </w:tabs>
        <w:ind w:left="2410" w:hanging="2410"/>
        <w:jc w:val="both"/>
        <w:rPr>
          <w:b/>
          <w:sz w:val="20"/>
        </w:rPr>
      </w:pPr>
      <w:r w:rsidRPr="00CA51CD">
        <w:rPr>
          <w:b/>
          <w:sz w:val="20"/>
        </w:rPr>
        <w:t>Director de programa</w:t>
      </w:r>
      <w:r w:rsidRPr="00CA51CD">
        <w:rPr>
          <w:b/>
          <w:sz w:val="20"/>
        </w:rPr>
        <w:tab/>
        <w:t>Sr. J. Tarpey</w:t>
      </w:r>
      <w:r w:rsidR="00F00024">
        <w:rPr>
          <w:b/>
          <w:sz w:val="20"/>
        </w:rPr>
        <w:t xml:space="preserve"> (funcionario encargado)</w:t>
      </w:r>
    </w:p>
    <w:p w:rsidR="00285417" w:rsidRPr="00CA51CD" w:rsidRDefault="00285417" w:rsidP="00DC1333">
      <w:pPr>
        <w:jc w:val="both"/>
        <w:rPr>
          <w:sz w:val="20"/>
        </w:rPr>
      </w:pPr>
    </w:p>
    <w:p w:rsidR="00285417" w:rsidRPr="00CA51CD" w:rsidRDefault="00285417" w:rsidP="00DC1333">
      <w:pPr>
        <w:jc w:val="both"/>
        <w:rPr>
          <w:sz w:val="20"/>
        </w:rPr>
      </w:pPr>
    </w:p>
    <w:p w:rsidR="00285417" w:rsidRPr="00CA51CD" w:rsidRDefault="008F7CBE" w:rsidP="00DC1333">
      <w:pPr>
        <w:widowControl w:val="0"/>
        <w:rPr>
          <w:bCs/>
        </w:rPr>
      </w:pPr>
      <w:r w:rsidRPr="008F7CBE">
        <w:rPr>
          <w:bCs/>
          <w:sz w:val="20"/>
          <w:szCs w:val="22"/>
        </w:rPr>
        <w:t>LOGROS ALCANZADOS EN EL BIENIO 2014/15</w:t>
      </w:r>
    </w:p>
    <w:p w:rsidR="00285417" w:rsidRPr="00CA51CD" w:rsidRDefault="00285417" w:rsidP="00DC1333">
      <w:pPr>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El programa 19 se siguió centrando en crear y distribuir contenidos pertinentes y de calidad, aumentar la visibilidad de la OMPI y el entendimiento del público hacia sus actividades y fortalecer la cultura de servicio en la Organización.</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El importante proyecto del boletín de noticias dio como resultado una nueva solución de </w:t>
      </w:r>
      <w:r w:rsidRPr="00CA51CD">
        <w:rPr>
          <w:rFonts w:cs="Arial"/>
          <w:b/>
          <w:lang w:val="es-ES"/>
        </w:rPr>
        <w:t>comercialización por correo electrónico</w:t>
      </w:r>
      <w:r w:rsidRPr="00CA51CD">
        <w:rPr>
          <w:rFonts w:cs="Arial"/>
          <w:lang w:val="es-ES"/>
        </w:rPr>
        <w:t xml:space="preserve"> que transformó la capacidad de la OMPI para ofrecer a las partes interesadas unas comunicaciones digitales eficaces y adaptadas.  El proyecto incluía revisar y rediseñar por completo las diversas ofertas de boletines de noticias de la OMPI, el establecimiento de una política en materia de boletines de noticias para velar por la calidad del servicio que se ofrece a los suscriptores y la puesta en funcionamiento en junio de 2015 de una plataforma sofisticada para el envío por correo electrónico del boletín de noticias en seis idiomas.  Durante los primeros seis meses de funcionamiento se enviaron desde los distintos ámbitos de la OMPI 508 correos con boletines de noticias.  La plataforma de correo permitió asimismo poner en marcha el WIPO Wire, un boletín quincenal de noticias en seis idiomas que ofrece por primera vez la posibilidad de mantenerse al tanto de la gran variedad de actividades y recursos gratuitos de la OMPI de una forma rápida e interesante.  Más de 10.000 personas se suscribieron al boletín WIPO Wire durante los seis meses que transcurrieron desde su puesta en marcha hasta el final de 2015, incluidos funcionarios de los Estados miembros, profesionales de la P.I. y encargados de la formulación de políticas de 173 países.</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Se consiguió aumentar la </w:t>
      </w:r>
      <w:r w:rsidRPr="00CA51CD">
        <w:rPr>
          <w:rFonts w:cs="Arial"/>
          <w:b/>
          <w:lang w:val="es-ES"/>
        </w:rPr>
        <w:t>repercusión</w:t>
      </w:r>
      <w:r w:rsidRPr="00CA51CD">
        <w:rPr>
          <w:rFonts w:cs="Arial"/>
          <w:lang w:val="es-ES"/>
        </w:rPr>
        <w:t xml:space="preserve"> mediática de las actividades más importantes y los lanzamientos de productos de la OMPI gracias a la mayor integración entre los contenidos y la estrategia relativa a los medios de comunicación.  El Índice Mundial de Innovación se convirtió en uno de los temas más populares en Twitter en Londres el día en que se presentó la edición de 2015 en el Reino Unido.  La presencia de los informes más emblemáticos de la OMPI (el Índice Mundial de Innovación;  el Informe mundial sobre la propiedad intelectual;  las reseñas anuales de los Sistemas del PCT, Madrid y La Haya, y los Indicadores mundiales de propiedad intelectual) en algunos de los medios de comunicación más influyentes a nivel mundial ayudó a situarlos como fuentes mundiales de referencia en lo que respecta a datos sobre la P.I. y la innovación.  Gracias a la promoción del Informe mundial sobre la propiedad intelectual se consiguió que se publicaran alrededor de 200 artículos de prensa al respecto durante la semana posterior a su publicación.  Mediante la difusión conjunta en la prensa y las redes sociales a fin de promover la Conferencia Ministerial de Dakar 2014 se obtuvo una gran cobertura mediática en África, tanto en los medios audiovisuales como en Internet, fomentando así el interés público por las cuestiones relativas a la P.I. y el desarrollo.  Todas las actividades importantes contaron con páginas web en los seis idiomas.  Las iniciativas de apoyo al Consorcio de Libros Accesibles se vieron respaldadas por la elaboración de un emocionante vídeo sobre las actividades de fortalecimiento de capacidades llevadas a cabo por el Consorcio en la India.</w:t>
      </w:r>
    </w:p>
    <w:p w:rsidR="00285417" w:rsidRPr="00CA51CD" w:rsidRDefault="00285417" w:rsidP="00DC1333">
      <w:pPr>
        <w:pStyle w:val="ListParagraph"/>
        <w:tabs>
          <w:tab w:val="left" w:pos="709"/>
        </w:tabs>
        <w:ind w:left="0"/>
        <w:jc w:val="both"/>
        <w:rPr>
          <w:rFonts w:cs="Arial"/>
          <w:lang w:val="es-ES"/>
        </w:rPr>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La </w:t>
      </w:r>
      <w:r w:rsidRPr="00CA51CD">
        <w:rPr>
          <w:rFonts w:cs="Arial"/>
          <w:b/>
          <w:lang w:val="es-ES"/>
        </w:rPr>
        <w:t>participación</w:t>
      </w:r>
      <w:r w:rsidRPr="00CA51CD">
        <w:rPr>
          <w:rFonts w:cs="Arial"/>
          <w:lang w:val="es-ES"/>
        </w:rPr>
        <w:t xml:space="preserve"> de los Estados miembros y el público en la campaña del Día Mundial de la P.I. siguió siendo muy elevada durante los dos años del bienio.  El tema en 2015</w:t>
      </w:r>
      <w:proofErr w:type="gramStart"/>
      <w:r w:rsidRPr="00CA51CD">
        <w:rPr>
          <w:rFonts w:cs="Arial"/>
          <w:lang w:val="es-ES"/>
        </w:rPr>
        <w:t>:  movilízate</w:t>
      </w:r>
      <w:proofErr w:type="gramEnd"/>
      <w:r w:rsidRPr="00CA51CD">
        <w:rPr>
          <w:rFonts w:cs="Arial"/>
          <w:lang w:val="es-ES"/>
        </w:rPr>
        <w:t xml:space="preserve"> por la música, sirvió de inspiración a más de 350 actividades con motivo del día de la P.I. en 105 países (en comparación con 236 eventos en 93 países en 2013), entre los que se incluyó una mesa redonda y una exposición en la sede de la OMPI que contó una con gran asistencia. Los tuits sobre el Día Mundial de la P.I. 2015 (#WorldIPDay) obtuvieron 5,2 millones de impresiones potenciales (en comparación con 1,55 en 2013) y alrededor de 900 retuits.  La participación alcanzó un caráct</w:t>
      </w:r>
      <w:r>
        <w:rPr>
          <w:rFonts w:cs="Arial"/>
          <w:lang w:val="es-ES"/>
        </w:rPr>
        <w:t>er verdaderamente mundial, y en </w:t>
      </w:r>
      <w:r w:rsidRPr="00CA51CD">
        <w:rPr>
          <w:rFonts w:cs="Arial"/>
          <w:lang w:val="es-ES"/>
        </w:rPr>
        <w:t>2014 la versión en chino de la página web del Día Mundial de la P.I. recibió más visitas que la versión en inglés, y el mayor número de "me gusta" en Facebook procedió respectivamente de la India, los Estados Unidos de América, México, Egipto y el Brasil.</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Entre las comunicaciones cara a cara se incluyó el popular programa de reuniones de información de la OMPI.  Durante el bienio 2014/15 el personal llevó a cabo presentaciones individualizadas con 178 grupos de visitantes entre los que se incluyen más de 4.000 estudiantes universitarios de todo el mundo.  La participación en actividades locales como la jornada de puertas abiertas de las Naciones Unidas ofreció asimismo oportunidades de divulgación con muy buena acogida por parte del público de Ginebra.</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El impulso encaminado a crear </w:t>
      </w:r>
      <w:r w:rsidRPr="00CA51CD">
        <w:rPr>
          <w:rFonts w:cs="Arial"/>
          <w:b/>
          <w:lang w:val="es-ES"/>
        </w:rPr>
        <w:t>contenidos editoriales y visuales</w:t>
      </w:r>
      <w:r w:rsidRPr="00CA51CD">
        <w:rPr>
          <w:rFonts w:cs="Arial"/>
          <w:lang w:val="es-ES"/>
        </w:rPr>
        <w:t xml:space="preserve"> de calidad siguió dando resultados durante el bienio 2014/15.  Una infografía elaborada para presentar el Índice Mundial de Innovación 2015 se retuiteó más de 400 veces, convirtiéndose así en la pieza más compartida en las redes sociales de todas las que ha creado la OMPI hasta la fecha.  Durante el bienio se diseñaron más de 425 productos para utilizarlos en versión impresa y en línea, por ejemplo folletos, publicaciones, contenidos web, y materiales promocionales en varios idiomas.  La Revista de la OMPI, que se publica cada dos meses, alcanzó un millón de visitas únicas durante el bieni</w:t>
      </w:r>
      <w:r>
        <w:rPr>
          <w:rFonts w:cs="Arial"/>
          <w:lang w:val="es-ES"/>
        </w:rPr>
        <w:t>o, lo que supone un aumento del </w:t>
      </w:r>
      <w:r w:rsidRPr="00CA51CD">
        <w:rPr>
          <w:rFonts w:cs="Arial"/>
          <w:lang w:val="es-ES"/>
        </w:rPr>
        <w:t>19%, y los lectores compartieron con regularidad los artículos en las redes sociales.  El renovado Centro de Medios de Comunicación de la OMPI se creó a modo de ventana para mostrar la labor que lleva a cabo la Organización y como esta beneficia al público en general de todo el mundo, por medio de contenidos de vídeo, pequeños reportajes y narraciones más largas.  La lectura de los comunicados de prensa tradicionales descendió ligeramente (1,6%), siguiendo la línea de las tendencias mundiales de la comunicación y, por su parte, el Centro de Medios de Comunicación obtuvo más de 500.000 visitas únicas durante el bienio gracias a su mayor accesibilidad de sus contenidos.</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La OMPI siguió intensificando la producción de </w:t>
      </w:r>
      <w:r w:rsidRPr="00CA51CD">
        <w:rPr>
          <w:rFonts w:cs="Arial"/>
          <w:b/>
          <w:lang w:val="es-ES"/>
        </w:rPr>
        <w:t>vídeos</w:t>
      </w:r>
      <w:r w:rsidRPr="00CA51CD">
        <w:rPr>
          <w:rFonts w:cs="Arial"/>
          <w:lang w:val="es-ES"/>
        </w:rPr>
        <w:t xml:space="preserve"> en respuesta a la preferencia mundial por el vídeo como medio de comunicación.  Durante el bienio 2014/15 se crearon 272 vídeos nuevos, de los que 161 se publicaron en YouTube, entre ellos noticias, historias sobre innovadores o creadores y piezas promocionales.  El éxito colosal de visitas que disfrutó el dibujo animado Póroro durante el bienio</w:t>
      </w:r>
      <w:r>
        <w:rPr>
          <w:rFonts w:cs="Arial"/>
          <w:lang w:val="es-ES"/>
        </w:rPr>
        <w:t> </w:t>
      </w:r>
      <w:r w:rsidRPr="00CA51CD">
        <w:rPr>
          <w:rFonts w:cs="Arial"/>
          <w:lang w:val="es-ES"/>
        </w:rPr>
        <w:t>2012/13 disminuyó, pero el número de visitantes para los demás vídeos (no animados) continuó su tendencia al alza.  El total de visualizaciones del canal de YouTube de la OMPI (desde sus comienzos en abril de 2013) superó la barrera de los nueve millones.  Las fotos publicadas por la OMPI en Flickr obtuvieron más de 2,5 millones de visionados durante el bienio, con lo que el total de visionados se situó en 3,4 millones, mientras que el bienio anterior la cifra había sido de 900.000 visionados.</w:t>
      </w:r>
    </w:p>
    <w:p w:rsidR="00285417" w:rsidRPr="00CA51CD" w:rsidRDefault="00285417" w:rsidP="00DC1333">
      <w:pPr>
        <w:tabs>
          <w:tab w:val="left" w:pos="709"/>
        </w:tabs>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La segunda fase de la revisión del </w:t>
      </w:r>
      <w:r w:rsidRPr="00CA51CD">
        <w:rPr>
          <w:rFonts w:cs="Arial"/>
          <w:b/>
          <w:lang w:val="es-ES"/>
        </w:rPr>
        <w:t>sitio web</w:t>
      </w:r>
      <w:r w:rsidRPr="00CA51CD">
        <w:rPr>
          <w:rFonts w:cs="Arial"/>
          <w:lang w:val="es-ES"/>
        </w:rPr>
        <w:t xml:space="preserve"> de la OMPI avanzó a buen ritmo, habiéndose llevado a cabo una limpieza, mejora y rediseño sistemáticos de las páginas de los niveles inferiores;  una mejora de la capacidad de búsqueda;  una actualización técnica del sistema de gestión de contenidos, y preparado las nuevas mejoras del diseño visual que se comenzarán a aplicar en 2016.  Se crearon nuevos contenidos web, relacionados por ejemplo con las oficinas en el exterior;  las mujeres y la P.I.; las Asambleas, y todas las actividades y productos importantes y nuevas iniciativas.  Se otorgó gran prioridad a aumentar la traducción y publicación de los contenidos web en los seis idiomas con rapidez.  En 2015 el personal de la División Lingüística recibió formación a fin de introducir directamente en el sitio web contenidos en árabe, chino y ruso, mejorando así la calidad, la cantidad y la rapidez de la publicación en la web en estos idiomas.  Las </w:t>
      </w:r>
      <w:r w:rsidRPr="00CA51CD">
        <w:rPr>
          <w:rFonts w:cs="Arial"/>
          <w:b/>
          <w:lang w:val="es-ES"/>
        </w:rPr>
        <w:t>redes sociales</w:t>
      </w:r>
      <w:r w:rsidRPr="00CA51CD">
        <w:rPr>
          <w:rFonts w:cs="Arial"/>
          <w:lang w:val="es-ES"/>
        </w:rPr>
        <w:t xml:space="preserve"> de la OMPI siguieron consiguiendo buenos niveles de participación en Twitter y se comenzó a trabajar en una revisión de la estrategia de medios sociales con miras a aplicarla durante el bienio 2016/17.</w:t>
      </w:r>
    </w:p>
    <w:p w:rsidR="00285417" w:rsidRPr="00CA51CD" w:rsidRDefault="00285417" w:rsidP="00DC1333">
      <w:pPr>
        <w:pStyle w:val="ListParagraph"/>
        <w:tabs>
          <w:tab w:val="left" w:pos="709"/>
        </w:tabs>
        <w:ind w:left="0"/>
        <w:jc w:val="both"/>
        <w:rPr>
          <w:rFonts w:cs="Arial"/>
          <w:lang w:val="es-ES"/>
        </w:rPr>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Se aplicó la política de distribución de </w:t>
      </w:r>
      <w:r w:rsidRPr="00CA51CD">
        <w:rPr>
          <w:rFonts w:cs="Arial"/>
          <w:b/>
          <w:lang w:val="es-ES"/>
        </w:rPr>
        <w:t>publicaciones</w:t>
      </w:r>
      <w:r w:rsidRPr="00CA51CD">
        <w:rPr>
          <w:rFonts w:cs="Arial"/>
          <w:lang w:val="es-ES"/>
        </w:rPr>
        <w:t xml:space="preserve"> con el fin de que todas las publicaciones y los estudios de la OMPI se puedan descargar gratuitamente.  Se redoblaron los esfuerzos encaminados a reducir la producción, el almacenamiento y el envío de publicaciones en papel, incluso mediante la puesta en marcha de un servicio externo de impresión a demanda.  A finales de 2015 se introdujo un nuevo sistema de gestión de las publicaciones en sustitución del sistema de control de las existencias y tramitación de pedidos, que se había quedado obsoleto, que debería ayudar a mejorar aún más la eficacia en función de los costos.  En respuesta a las solicitudes formuladas por los Estados miembros, durante el bienio se crearon 15 nuevas bibliotecas depositarias, con lo que el total se sitúa en 105 y, por su parte, la Biblioteca de la OMPI recibió 2.044 visitantes y respondió a 1.323 solicitudes de información procedentes de todo el mundo.</w:t>
      </w:r>
    </w:p>
    <w:p w:rsidR="00285417" w:rsidRPr="00CA51CD" w:rsidRDefault="00285417" w:rsidP="00DC1333">
      <w:pPr>
        <w:jc w:val="both"/>
      </w:pPr>
    </w:p>
    <w:p w:rsidR="00285417" w:rsidRPr="00CA51CD" w:rsidRDefault="00285417" w:rsidP="00285417">
      <w:pPr>
        <w:pStyle w:val="ListParagraph"/>
        <w:numPr>
          <w:ilvl w:val="0"/>
          <w:numId w:val="88"/>
        </w:numPr>
        <w:tabs>
          <w:tab w:val="left" w:pos="709"/>
        </w:tabs>
        <w:ind w:left="0" w:firstLine="0"/>
        <w:jc w:val="both"/>
        <w:rPr>
          <w:rFonts w:cs="Arial"/>
          <w:lang w:val="es-ES"/>
        </w:rPr>
      </w:pPr>
      <w:r w:rsidRPr="00CA51CD">
        <w:rPr>
          <w:rFonts w:cs="Arial"/>
          <w:lang w:val="es-ES"/>
        </w:rPr>
        <w:t xml:space="preserve">Durante el bienio 2014/15 se integró en el resto de la Organización el trabajo sobre </w:t>
      </w:r>
      <w:r w:rsidRPr="00CA51CD">
        <w:rPr>
          <w:rFonts w:cs="Arial"/>
          <w:b/>
          <w:lang w:val="es-ES"/>
        </w:rPr>
        <w:t>desarrollo de la imagen</w:t>
      </w:r>
      <w:r w:rsidRPr="00CA51CD">
        <w:rPr>
          <w:rFonts w:cs="Arial"/>
          <w:lang w:val="es-ES"/>
        </w:rPr>
        <w:t xml:space="preserve"> llevado a cabo en el bienio anterior para ayudar a mejorar la identidad institucional de la OMPI.  Los procesos de revisión editorial y del diseño garantizaron que se prestara atención de forma sistemática a la claridad y la coherencia en la expresión de la función, la misión y los valores de la OMPI de cara a todas sus comunicaciones verbales y visuales.  A raíz de la encuesta realizada en 2014 sobre la impresión que tienen las partes interesadas acerca de la OMPI, se identificaron los principales atributos que guiaron a dichas partes a evaluar la Organización, y se desarrolló una herramienta para evaluar el funcionamiento de la OMPI en relación con esos factores clave para la reputación de la Organización.</w:t>
      </w:r>
    </w:p>
    <w:p w:rsidR="00285417" w:rsidRPr="00CA51CD" w:rsidRDefault="00285417" w:rsidP="00DC1333">
      <w:pPr>
        <w:jc w:val="both"/>
      </w:pPr>
    </w:p>
    <w:p w:rsidR="00285417" w:rsidRPr="00CA51CD" w:rsidRDefault="00285417" w:rsidP="00285417">
      <w:pPr>
        <w:pStyle w:val="ListParagraph"/>
        <w:numPr>
          <w:ilvl w:val="0"/>
          <w:numId w:val="88"/>
        </w:numPr>
        <w:tabs>
          <w:tab w:val="left" w:pos="709"/>
        </w:tabs>
        <w:ind w:left="0" w:firstLine="0"/>
        <w:jc w:val="both"/>
        <w:rPr>
          <w:lang w:val="es-ES"/>
        </w:rPr>
      </w:pPr>
      <w:r w:rsidRPr="00CA51CD">
        <w:rPr>
          <w:lang w:val="es-ES"/>
        </w:rPr>
        <w:lastRenderedPageBreak/>
        <w:t xml:space="preserve">El compromiso firme de responder con eficacia y prontitud a las distintas partes interesadas siguió formando una parte fundamental del empeño permanente en fomentar una </w:t>
      </w:r>
      <w:r w:rsidRPr="00CA51CD">
        <w:rPr>
          <w:b/>
          <w:lang w:val="es-ES"/>
        </w:rPr>
        <w:t>cultura de servicio</w:t>
      </w:r>
      <w:r w:rsidRPr="00CA51CD">
        <w:rPr>
          <w:lang w:val="es-ES"/>
        </w:rPr>
        <w:t xml:space="preserve"> e incluyó la introducción de la nueva Carta de Servicio de la OMPI y la realización de presentaciones internas y actividades de sensibilización de la opinión pública, así como la segunda semana de la “netiqueta”.  El personal del Centro de Atención al Cliente tramitó el 92% de las 10.280 consultas recibidas en menos de un día de trabajo y el 100% de las 283 quejas recibidas en menos de ocho horas de trabajo.  El sistema de notificación de consultas de la OMPI se integró en los equipos de atención al cliente del Registro de Madrid, permitiendo tramitar con más eficacia más de 7.000 consultas de los clientes al mes, y 12.000 en toda la Organización.  Entre las medidas destinadas a supervisar el nivel de </w:t>
      </w:r>
      <w:r w:rsidRPr="00CA51CD">
        <w:rPr>
          <w:b/>
          <w:lang w:val="es-ES"/>
        </w:rPr>
        <w:t>satisfacción de los clientes</w:t>
      </w:r>
      <w:r w:rsidRPr="00CA51CD">
        <w:rPr>
          <w:lang w:val="es-ES"/>
        </w:rPr>
        <w:t xml:space="preserve"> se incluyó la realización de encuestas de satisfacción entre los usuarios del PCT (por primera vez en nueve idiomas) y el Registro de Madrid.</w:t>
      </w:r>
    </w:p>
    <w:p w:rsidR="00285417" w:rsidRPr="00CA51CD" w:rsidRDefault="00285417" w:rsidP="00DC1333">
      <w:pPr>
        <w:jc w:val="both"/>
      </w:pPr>
    </w:p>
    <w:p w:rsidR="00285417" w:rsidRPr="00CA51CD" w:rsidRDefault="00285417" w:rsidP="00285417">
      <w:pPr>
        <w:pStyle w:val="ListParagraph"/>
        <w:numPr>
          <w:ilvl w:val="0"/>
          <w:numId w:val="88"/>
        </w:numPr>
        <w:tabs>
          <w:tab w:val="left" w:pos="709"/>
        </w:tabs>
        <w:ind w:left="0" w:firstLine="0"/>
        <w:jc w:val="both"/>
        <w:rPr>
          <w:rFonts w:eastAsia="SimSun"/>
          <w:lang w:val="es-ES" w:eastAsia="zh-CN"/>
        </w:rPr>
      </w:pPr>
      <w:r w:rsidRPr="00CA51CD">
        <w:rPr>
          <w:rFonts w:eastAsia="SimSun" w:cs="Arial"/>
          <w:lang w:val="es-ES" w:eastAsia="zh-CN"/>
        </w:rPr>
        <w:t xml:space="preserve">El diseño, la planificación y la ejecución de las actividades del programa 19 se basaron en las recomendaciones pertinentes de la A.D.  En el marco del programa 19 se siguió ampliando la base de datos de casos prácticos </w:t>
      </w:r>
      <w:r w:rsidRPr="00CA51CD">
        <w:rPr>
          <w:rFonts w:eastAsia="SimSun" w:cs="Arial"/>
          <w:i/>
          <w:lang w:val="es-ES" w:eastAsia="zh-CN"/>
        </w:rPr>
        <w:t>IP Advantage</w:t>
      </w:r>
      <w:r w:rsidRPr="00CA51CD">
        <w:rPr>
          <w:rFonts w:eastAsia="SimSun" w:cs="Arial"/>
          <w:lang w:val="es-ES" w:eastAsia="zh-CN"/>
        </w:rPr>
        <w:t xml:space="preserve"> (una iniciativa de la A.D. respaldada por el CDIP), que </w:t>
      </w:r>
      <w:r>
        <w:rPr>
          <w:rFonts w:eastAsia="SimSun" w:cs="Arial"/>
          <w:lang w:val="es-ES" w:eastAsia="zh-CN"/>
        </w:rPr>
        <w:t>recibió </w:t>
      </w:r>
      <w:r w:rsidRPr="00CA51CD">
        <w:rPr>
          <w:rFonts w:eastAsia="SimSun" w:cs="Arial"/>
          <w:lang w:val="es-ES" w:eastAsia="zh-CN"/>
        </w:rPr>
        <w:t>468.200 visitas durante el bienio 2014/15 (en comparación con 312.000 en el bienio 2012/13), y se facilitó apoyo a las comunicaciones (editoriales, diseño, vídeo, internet y otras) relacionadas con numerosos productos derivados de la A.D. y con los resultados obtenidos gracias a otros programas de la Organización.</w:t>
      </w:r>
    </w:p>
    <w:p w:rsidR="00285417" w:rsidRPr="00CA51CD" w:rsidRDefault="00285417" w:rsidP="00DC1333">
      <w:pPr>
        <w:jc w:val="both"/>
        <w:rPr>
          <w:sz w:val="20"/>
        </w:rPr>
      </w:pPr>
    </w:p>
    <w:p w:rsidR="00285417" w:rsidRPr="00CA51CD" w:rsidRDefault="00285417" w:rsidP="00DC1333">
      <w:pPr>
        <w:rPr>
          <w:sz w:val="20"/>
        </w:rPr>
      </w:pPr>
    </w:p>
    <w:p w:rsidR="00285417" w:rsidRPr="00CA51CD" w:rsidRDefault="008F7CBE" w:rsidP="00DC1333">
      <w:pPr>
        <w:jc w:val="both"/>
        <w:rPr>
          <w:szCs w:val="22"/>
        </w:rPr>
      </w:pPr>
      <w:r w:rsidRPr="008F7CBE">
        <w:rPr>
          <w:sz w:val="20"/>
          <w:szCs w:val="22"/>
        </w:rPr>
        <w:t>DATOS SOBRE EL RENDIMIENTO</w:t>
      </w:r>
    </w:p>
    <w:p w:rsidR="00285417" w:rsidRPr="00CA51CD" w:rsidRDefault="00285417" w:rsidP="00DC1333">
      <w:pPr>
        <w:jc w:val="both"/>
        <w:rPr>
          <w:b/>
          <w:sz w:val="16"/>
          <w:szCs w:val="16"/>
        </w:rPr>
      </w:pPr>
    </w:p>
    <w:tbl>
      <w:tblPr>
        <w:tblW w:w="4944"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87"/>
        <w:gridCol w:w="2553"/>
        <w:gridCol w:w="1420"/>
        <w:gridCol w:w="2128"/>
        <w:gridCol w:w="1276"/>
      </w:tblGrid>
      <w:tr w:rsidR="00285417" w:rsidRPr="00CA51CD" w:rsidTr="00DC1333">
        <w:trPr>
          <w:trHeight w:val="435"/>
        </w:trPr>
        <w:tc>
          <w:tcPr>
            <w:tcW w:w="5000" w:type="pct"/>
            <w:gridSpan w:val="5"/>
            <w:tcBorders>
              <w:top w:val="single" w:sz="4" w:space="0" w:color="auto"/>
              <w:bottom w:val="single" w:sz="4" w:space="0" w:color="auto"/>
            </w:tcBorders>
            <w:shd w:val="clear" w:color="auto" w:fill="C6D9F1" w:themeFill="text2" w:themeFillTint="33"/>
            <w:vAlign w:val="center"/>
          </w:tcPr>
          <w:p w:rsidR="00285417" w:rsidRPr="00CA51CD" w:rsidRDefault="00285417" w:rsidP="00DC1333">
            <w:pPr>
              <w:keepNext/>
              <w:keepLines/>
              <w:spacing w:before="120" w:after="120"/>
              <w:ind w:left="1985" w:hanging="1985"/>
              <w:rPr>
                <w:b/>
                <w:bCs/>
                <w:sz w:val="16"/>
                <w:szCs w:val="16"/>
              </w:rPr>
            </w:pPr>
            <w:r w:rsidRPr="00CA51CD">
              <w:rPr>
                <w:b/>
                <w:bCs/>
                <w:sz w:val="16"/>
                <w:szCs w:val="16"/>
              </w:rPr>
              <w:t>Resultado previsto</w:t>
            </w:r>
            <w:r w:rsidRPr="00CA51CD">
              <w:rPr>
                <w:bCs/>
                <w:sz w:val="16"/>
                <w:szCs w:val="16"/>
              </w:rPr>
              <w:t>:</w:t>
            </w:r>
            <w:r w:rsidRPr="00CA51CD">
              <w:rPr>
                <w:b/>
                <w:bCs/>
                <w:sz w:val="16"/>
                <w:szCs w:val="16"/>
              </w:rPr>
              <w:tab/>
            </w:r>
            <w:r w:rsidRPr="00CA51CD">
              <w:rPr>
                <w:bCs/>
                <w:sz w:val="16"/>
                <w:szCs w:val="16"/>
              </w:rPr>
              <w:t>VIII.1 Comunicación más eficaz con el público en general acerca de la P.I. y la función de la OMPI</w:t>
            </w:r>
          </w:p>
        </w:tc>
      </w:tr>
      <w:tr w:rsidR="00285417" w:rsidRPr="00CA51CD" w:rsidTr="00DC1333">
        <w:tc>
          <w:tcPr>
            <w:tcW w:w="1103" w:type="pct"/>
            <w:tcBorders>
              <w:top w:val="single" w:sz="4" w:space="0" w:color="auto"/>
            </w:tcBorders>
            <w:vAlign w:val="center"/>
          </w:tcPr>
          <w:p w:rsidR="00285417" w:rsidRPr="00CA51CD" w:rsidRDefault="00285417" w:rsidP="00DC1333">
            <w:pPr>
              <w:rPr>
                <w:sz w:val="16"/>
                <w:szCs w:val="16"/>
              </w:rPr>
            </w:pPr>
            <w:r w:rsidRPr="00CA51CD">
              <w:rPr>
                <w:b/>
                <w:sz w:val="16"/>
                <w:szCs w:val="16"/>
              </w:rPr>
              <w:t>Indicadores de rendimiento</w:t>
            </w:r>
          </w:p>
        </w:tc>
        <w:tc>
          <w:tcPr>
            <w:tcW w:w="1349" w:type="pct"/>
            <w:tcBorders>
              <w:top w:val="single" w:sz="4" w:space="0" w:color="auto"/>
            </w:tcBorders>
            <w:shd w:val="clear" w:color="auto" w:fill="auto"/>
            <w:vAlign w:val="center"/>
          </w:tcPr>
          <w:p w:rsidR="00285417" w:rsidRPr="00CA51CD" w:rsidRDefault="00285417" w:rsidP="00DC1333">
            <w:pPr>
              <w:rPr>
                <w:b/>
                <w:bCs/>
                <w:sz w:val="16"/>
                <w:szCs w:val="16"/>
              </w:rPr>
            </w:pPr>
            <w:r w:rsidRPr="00CA51CD">
              <w:rPr>
                <w:b/>
                <w:bCs/>
                <w:sz w:val="16"/>
                <w:szCs w:val="16"/>
              </w:rPr>
              <w:t>Referencia</w:t>
            </w:r>
          </w:p>
        </w:tc>
        <w:tc>
          <w:tcPr>
            <w:tcW w:w="750" w:type="pct"/>
            <w:tcBorders>
              <w:top w:val="single" w:sz="4" w:space="0" w:color="auto"/>
            </w:tcBorders>
            <w:tcMar>
              <w:top w:w="110" w:type="dxa"/>
            </w:tcMar>
            <w:vAlign w:val="center"/>
          </w:tcPr>
          <w:p w:rsidR="00285417" w:rsidRPr="00CA51CD" w:rsidRDefault="00285417" w:rsidP="00DC1333">
            <w:pPr>
              <w:rPr>
                <w:b/>
                <w:bCs/>
                <w:sz w:val="16"/>
                <w:szCs w:val="16"/>
              </w:rPr>
            </w:pPr>
            <w:r w:rsidRPr="00CA51CD">
              <w:rPr>
                <w:b/>
                <w:bCs/>
                <w:sz w:val="16"/>
                <w:szCs w:val="16"/>
              </w:rPr>
              <w:t>Objetivos</w:t>
            </w:r>
          </w:p>
        </w:tc>
        <w:tc>
          <w:tcPr>
            <w:tcW w:w="1124" w:type="pct"/>
            <w:tcBorders>
              <w:top w:val="single" w:sz="4" w:space="0" w:color="auto"/>
            </w:tcBorders>
            <w:shd w:val="clear" w:color="auto" w:fill="FFFFFF"/>
            <w:tcMar>
              <w:top w:w="110" w:type="dxa"/>
            </w:tcMar>
            <w:vAlign w:val="center"/>
          </w:tcPr>
          <w:p w:rsidR="00285417" w:rsidRPr="00CA51CD" w:rsidRDefault="00285417" w:rsidP="00DC1333">
            <w:pPr>
              <w:rPr>
                <w:sz w:val="16"/>
                <w:szCs w:val="16"/>
              </w:rPr>
            </w:pPr>
            <w:r w:rsidRPr="00CA51CD">
              <w:rPr>
                <w:b/>
                <w:sz w:val="16"/>
                <w:szCs w:val="16"/>
              </w:rPr>
              <w:t>Datos sobre el rendimiento</w:t>
            </w:r>
          </w:p>
        </w:tc>
        <w:tc>
          <w:tcPr>
            <w:tcW w:w="674" w:type="pct"/>
            <w:tcBorders>
              <w:top w:val="single" w:sz="4" w:space="0" w:color="auto"/>
            </w:tcBorders>
            <w:tcMar>
              <w:top w:w="110" w:type="dxa"/>
            </w:tcMar>
            <w:vAlign w:val="center"/>
          </w:tcPr>
          <w:p w:rsidR="00285417" w:rsidRPr="00CA51CD" w:rsidRDefault="00285417" w:rsidP="00DC1333">
            <w:pPr>
              <w:keepNext/>
              <w:keepLines/>
              <w:rPr>
                <w:b/>
                <w:bCs/>
                <w:sz w:val="16"/>
                <w:szCs w:val="16"/>
              </w:rPr>
            </w:pPr>
            <w:r w:rsidRPr="00CA51CD">
              <w:rPr>
                <w:b/>
                <w:bCs/>
                <w:sz w:val="16"/>
                <w:szCs w:val="16"/>
              </w:rPr>
              <w:t>Clave de colores</w:t>
            </w:r>
          </w:p>
        </w:tc>
      </w:tr>
      <w:tr w:rsidR="00285417" w:rsidRPr="00CA51CD" w:rsidTr="00DC1333">
        <w:tc>
          <w:tcPr>
            <w:tcW w:w="1103" w:type="pct"/>
          </w:tcPr>
          <w:p w:rsidR="00285417" w:rsidRPr="00CA51CD" w:rsidRDefault="00285417" w:rsidP="00DC1333">
            <w:pPr>
              <w:ind w:right="170"/>
              <w:rPr>
                <w:sz w:val="16"/>
                <w:szCs w:val="16"/>
              </w:rPr>
            </w:pPr>
            <w:r w:rsidRPr="00CA51CD">
              <w:rPr>
                <w:sz w:val="16"/>
                <w:szCs w:val="16"/>
              </w:rPr>
              <w:t>Grado de interés público generado por importantes actividades/logros de la OMPI</w:t>
            </w:r>
          </w:p>
        </w:tc>
        <w:tc>
          <w:tcPr>
            <w:tcW w:w="1349" w:type="pct"/>
            <w:shd w:val="clear" w:color="auto" w:fill="auto"/>
          </w:tcPr>
          <w:p w:rsidR="00285417" w:rsidRPr="00CA51CD" w:rsidRDefault="00285417" w:rsidP="00DC1333">
            <w:pPr>
              <w:ind w:left="-102"/>
              <w:rPr>
                <w:color w:val="002060"/>
                <w:sz w:val="16"/>
                <w:szCs w:val="16"/>
              </w:rPr>
            </w:pPr>
            <w:r w:rsidRPr="00CA51CD">
              <w:rPr>
                <w:i/>
                <w:color w:val="002060"/>
                <w:sz w:val="16"/>
                <w:szCs w:val="16"/>
              </w:rPr>
              <w:t xml:space="preserve">Referencia actualizada fin 2013: </w:t>
            </w:r>
            <w:r w:rsidRPr="00CA51CD">
              <w:rPr>
                <w:color w:val="002060"/>
                <w:sz w:val="16"/>
                <w:szCs w:val="16"/>
              </w:rPr>
              <w:t>Actividad de muestra: publicación del Índice Mundial de Innovación.</w:t>
            </w:r>
            <w:r w:rsidRPr="00CA51CD">
              <w:rPr>
                <w:i/>
                <w:color w:val="002060"/>
                <w:sz w:val="16"/>
                <w:szCs w:val="16"/>
              </w:rPr>
              <w:t xml:space="preserve">  </w:t>
            </w:r>
            <w:r w:rsidRPr="00CA51CD">
              <w:rPr>
                <w:color w:val="002060"/>
                <w:sz w:val="16"/>
                <w:szCs w:val="16"/>
              </w:rPr>
              <w:t xml:space="preserve">45.564 visitantes + 685 vídeos visionados (en las 11 semanas tras la publicación de 2013) de todo el contenido web (páginas web, comunicados de prensa, infografías) </w:t>
            </w:r>
          </w:p>
          <w:p w:rsidR="00285417" w:rsidRPr="00CA51CD" w:rsidRDefault="00285417" w:rsidP="00DC1333">
            <w:pPr>
              <w:keepNext/>
              <w:rPr>
                <w:i/>
                <w:sz w:val="8"/>
                <w:szCs w:val="8"/>
              </w:rPr>
            </w:pPr>
          </w:p>
          <w:p w:rsidR="00285417" w:rsidRPr="00CA51CD" w:rsidRDefault="00285417" w:rsidP="00DC1333">
            <w:pPr>
              <w:keepNext/>
              <w:ind w:left="-102"/>
              <w:rPr>
                <w:sz w:val="16"/>
                <w:szCs w:val="16"/>
              </w:rPr>
            </w:pPr>
            <w:r w:rsidRPr="00CA51CD">
              <w:rPr>
                <w:i/>
                <w:sz w:val="16"/>
                <w:szCs w:val="16"/>
              </w:rPr>
              <w:t>Referencia original en el presupuesto de 2014/15</w:t>
            </w:r>
            <w:r w:rsidRPr="00CA51CD">
              <w:rPr>
                <w:sz w:val="16"/>
                <w:szCs w:val="16"/>
              </w:rPr>
              <w:t>: (Actividad de muestra) 12.111 visitantes al comunicado de prensa sobre el Índice Mundial de Innovación de 2012 en el período de un mes.</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Aumento del 10% en las visitas de las páginas pertinentes</w:t>
            </w:r>
          </w:p>
        </w:tc>
        <w:tc>
          <w:tcPr>
            <w:tcW w:w="1124" w:type="pct"/>
            <w:shd w:val="clear" w:color="auto" w:fill="FFFFFF"/>
            <w:tcMar>
              <w:top w:w="110" w:type="dxa"/>
            </w:tcMar>
          </w:tcPr>
          <w:p w:rsidR="00285417" w:rsidRPr="00CA51CD" w:rsidRDefault="00285417" w:rsidP="00DC1333">
            <w:pPr>
              <w:keepNext/>
              <w:keepLines/>
              <w:rPr>
                <w:sz w:val="16"/>
                <w:szCs w:val="16"/>
              </w:rPr>
            </w:pPr>
            <w:r w:rsidRPr="00CA51CD">
              <w:rPr>
                <w:sz w:val="16"/>
                <w:szCs w:val="16"/>
              </w:rPr>
              <w:t>Publicación del Índice Mundial de Innovación:  Visitas en total (en un período de 11 semanas tras la publicación) 53.062 visitas a los contenidos web+ 9.563 vídeos visionados en 2014;  y 140475 visitas a los contenidos web+ 10.653 vídeos visionados en 2015.</w:t>
            </w:r>
          </w:p>
          <w:p w:rsidR="00285417" w:rsidRPr="00CA51CD" w:rsidRDefault="00285417" w:rsidP="00DC1333">
            <w:pPr>
              <w:keepNext/>
              <w:keepLines/>
              <w:rPr>
                <w:sz w:val="16"/>
                <w:szCs w:val="16"/>
              </w:rPr>
            </w:pPr>
          </w:p>
          <w:p w:rsidR="00285417" w:rsidRPr="00CA51CD" w:rsidRDefault="00285417" w:rsidP="00DC1333">
            <w:pPr>
              <w:keepNext/>
              <w:keepLines/>
              <w:rPr>
                <w:sz w:val="16"/>
                <w:szCs w:val="16"/>
              </w:rPr>
            </w:pPr>
            <w:r w:rsidRPr="00CA51CD">
              <w:rPr>
                <w:sz w:val="16"/>
                <w:szCs w:val="16"/>
              </w:rPr>
              <w:t>Aumento (2015 en comparación con 2013) = +208% en los contenidos web;  y +1455% en los vídeos</w:t>
            </w:r>
          </w:p>
        </w:tc>
        <w:tc>
          <w:tcPr>
            <w:tcW w:w="674" w:type="pct"/>
            <w:tcMar>
              <w:top w:w="110" w:type="dxa"/>
            </w:tcMar>
          </w:tcPr>
          <w:p w:rsidR="00285417" w:rsidRPr="00CA51CD" w:rsidRDefault="00285417" w:rsidP="00DC1333">
            <w:pPr>
              <w:keepNext/>
              <w:keepLines/>
              <w:ind w:left="-108"/>
              <w:jc w:val="center"/>
              <w:rPr>
                <w:b/>
                <w:color w:val="00B050"/>
                <w:sz w:val="16"/>
                <w:szCs w:val="16"/>
              </w:rPr>
            </w:pPr>
            <w:r w:rsidRPr="00CA51CD">
              <w:rPr>
                <w:b/>
                <w:color w:val="00B050"/>
                <w:sz w:val="16"/>
                <w:szCs w:val="16"/>
              </w:rPr>
              <w:t>Plenamente logrado</w:t>
            </w:r>
          </w:p>
        </w:tc>
      </w:tr>
      <w:tr w:rsidR="00285417" w:rsidRPr="00CA51CD" w:rsidTr="00DC1333">
        <w:trPr>
          <w:trHeight w:val="232"/>
        </w:trPr>
        <w:tc>
          <w:tcPr>
            <w:tcW w:w="1103" w:type="pct"/>
          </w:tcPr>
          <w:p w:rsidR="00285417" w:rsidRPr="00CA51CD" w:rsidRDefault="00285417" w:rsidP="00DC1333">
            <w:pPr>
              <w:ind w:right="170"/>
              <w:rPr>
                <w:sz w:val="16"/>
                <w:szCs w:val="16"/>
              </w:rPr>
            </w:pPr>
            <w:r w:rsidRPr="00CA51CD">
              <w:rPr>
                <w:sz w:val="16"/>
                <w:szCs w:val="16"/>
              </w:rPr>
              <w:t>Porcentaje de opiniones favorables de las partes interesadas sobre la misión, las actividades y la imagen institucional de la OMPI</w:t>
            </w:r>
          </w:p>
        </w:tc>
        <w:tc>
          <w:tcPr>
            <w:tcW w:w="1349" w:type="pct"/>
            <w:shd w:val="clear" w:color="auto" w:fill="auto"/>
          </w:tcPr>
          <w:p w:rsidR="00285417" w:rsidRPr="00CA51CD" w:rsidRDefault="00285417" w:rsidP="00DC1333">
            <w:pPr>
              <w:ind w:left="-102"/>
              <w:rPr>
                <w:color w:val="002060"/>
                <w:sz w:val="16"/>
                <w:szCs w:val="16"/>
              </w:rPr>
            </w:pPr>
            <w:r w:rsidRPr="00CA51CD">
              <w:rPr>
                <w:i/>
                <w:color w:val="002060"/>
                <w:sz w:val="16"/>
                <w:szCs w:val="16"/>
              </w:rPr>
              <w:t>Referencia actualizada fin 2013</w:t>
            </w:r>
            <w:r w:rsidRPr="00CA51CD">
              <w:rPr>
                <w:color w:val="002060"/>
                <w:sz w:val="16"/>
                <w:szCs w:val="16"/>
              </w:rPr>
              <w:t>: El 87% de los encuestados opinan que la imagen de la OMPI es buena, muy buena o excelente.  El 81% de quienes respondieron a la encuesta creen que la OMPI es el foro internacional adecuado para la promoción de la P.I. (Resultados de la encuesta de prestación óptima de servicios de la OMPI, agosto de 2013)</w:t>
            </w:r>
            <w:r w:rsidRPr="00CA51CD">
              <w:rPr>
                <w:rStyle w:val="FootnoteReference"/>
                <w:color w:val="002060"/>
                <w:sz w:val="16"/>
                <w:szCs w:val="16"/>
              </w:rPr>
              <w:footnoteReference w:id="106"/>
            </w:r>
            <w:r w:rsidRPr="00CA51CD">
              <w:rPr>
                <w:color w:val="002060"/>
                <w:sz w:val="16"/>
                <w:szCs w:val="16"/>
              </w:rPr>
              <w:t xml:space="preserve"> </w:t>
            </w:r>
          </w:p>
          <w:p w:rsidR="00285417" w:rsidRPr="00CA51CD" w:rsidRDefault="00285417" w:rsidP="00DC1333">
            <w:pPr>
              <w:keepNext/>
              <w:rPr>
                <w:i/>
                <w:color w:val="002060"/>
                <w:sz w:val="8"/>
                <w:szCs w:val="8"/>
              </w:rPr>
            </w:pPr>
          </w:p>
          <w:p w:rsidR="00285417" w:rsidRPr="00CA51CD" w:rsidRDefault="00285417" w:rsidP="00DC1333">
            <w:pPr>
              <w:keepNext/>
              <w:ind w:left="-102"/>
              <w:rPr>
                <w:sz w:val="16"/>
                <w:szCs w:val="16"/>
              </w:rPr>
            </w:pPr>
            <w:r w:rsidRPr="00CA51CD">
              <w:rPr>
                <w:i/>
                <w:sz w:val="16"/>
                <w:szCs w:val="16"/>
              </w:rPr>
              <w:t>Referencia original en el presupuesto de 2014/15:</w:t>
            </w:r>
            <w:r w:rsidRPr="00CA51CD">
              <w:rPr>
                <w:i/>
                <w:iCs/>
                <w:sz w:val="16"/>
                <w:szCs w:val="16"/>
              </w:rPr>
              <w:t xml:space="preserve">  </w:t>
            </w:r>
          </w:p>
          <w:p w:rsidR="00285417" w:rsidRDefault="00285417" w:rsidP="00DC1333">
            <w:pPr>
              <w:ind w:left="-102"/>
              <w:rPr>
                <w:color w:val="000000"/>
                <w:sz w:val="16"/>
                <w:szCs w:val="16"/>
              </w:rPr>
            </w:pPr>
            <w:r w:rsidRPr="00CA51CD">
              <w:rPr>
                <w:color w:val="000000"/>
                <w:sz w:val="16"/>
                <w:szCs w:val="16"/>
              </w:rPr>
              <w:t xml:space="preserve">El 65% de los encuestados </w:t>
            </w:r>
            <w:r w:rsidRPr="00CA51CD">
              <w:rPr>
                <w:color w:val="000000"/>
                <w:sz w:val="16"/>
                <w:szCs w:val="16"/>
              </w:rPr>
              <w:lastRenderedPageBreak/>
              <w:t>consideran que la OMPI es el líder mundial de la protección y promoción de la P.I. (Encuesta sobre la impresión que tienen las partes interesadas acerca de la OMPI, enero de 2012)</w:t>
            </w:r>
          </w:p>
          <w:p w:rsidR="00285417" w:rsidRPr="00CA51CD" w:rsidRDefault="00285417" w:rsidP="00DC1333">
            <w:pPr>
              <w:ind w:left="-102"/>
              <w:rPr>
                <w:sz w:val="16"/>
                <w:szCs w:val="16"/>
              </w:rPr>
            </w:pP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lastRenderedPageBreak/>
              <w:t>75%</w:t>
            </w:r>
          </w:p>
        </w:tc>
        <w:tc>
          <w:tcPr>
            <w:tcW w:w="1124" w:type="pct"/>
            <w:shd w:val="clear" w:color="auto" w:fill="FFFFFF"/>
            <w:tcMar>
              <w:top w:w="110" w:type="dxa"/>
            </w:tcMar>
          </w:tcPr>
          <w:p w:rsidR="00285417" w:rsidRPr="00CA51CD" w:rsidRDefault="00285417" w:rsidP="00DC1333">
            <w:pPr>
              <w:rPr>
                <w:sz w:val="16"/>
                <w:szCs w:val="16"/>
              </w:rPr>
            </w:pPr>
            <w:r w:rsidRPr="00CA51CD">
              <w:rPr>
                <w:sz w:val="16"/>
                <w:szCs w:val="16"/>
              </w:rPr>
              <w:t>El 70% de los encuestados consideran que la OMPI es el foro mundial en materia de promoción, servicios, política, información y cooperación en torno a la P.I.</w:t>
            </w:r>
            <w:r w:rsidRPr="00CA51CD">
              <w:rPr>
                <w:rStyle w:val="FootnoteReference"/>
                <w:sz w:val="16"/>
                <w:szCs w:val="16"/>
              </w:rPr>
              <w:footnoteReference w:id="107"/>
            </w:r>
            <w:r w:rsidRPr="00CA51CD">
              <w:rPr>
                <w:sz w:val="16"/>
                <w:szCs w:val="16"/>
              </w:rPr>
              <w:t xml:space="preserve"> ; el 85% de los encuestados está de acuerdo o completamente de acuerdo en que la OMPI tiene buena reputación en general.  </w:t>
            </w:r>
          </w:p>
          <w:p w:rsidR="00285417" w:rsidRPr="00CA51CD" w:rsidRDefault="00285417" w:rsidP="00DC1333">
            <w:pPr>
              <w:rPr>
                <w:sz w:val="16"/>
                <w:szCs w:val="16"/>
              </w:rPr>
            </w:pPr>
            <w:r w:rsidRPr="00CA51CD">
              <w:rPr>
                <w:sz w:val="16"/>
                <w:szCs w:val="16"/>
              </w:rPr>
              <w:t xml:space="preserve">(Fuente:  Encuesta sobre la impresión que tienen las partes interesadas acerca </w:t>
            </w:r>
            <w:r w:rsidRPr="00CA51CD">
              <w:rPr>
                <w:sz w:val="16"/>
                <w:szCs w:val="16"/>
              </w:rPr>
              <w:lastRenderedPageBreak/>
              <w:t xml:space="preserve">de la OMPI, junio de 2014) </w:t>
            </w:r>
          </w:p>
        </w:tc>
        <w:tc>
          <w:tcPr>
            <w:tcW w:w="674" w:type="pct"/>
            <w:tcMar>
              <w:top w:w="110" w:type="dxa"/>
            </w:tcMar>
          </w:tcPr>
          <w:p w:rsidR="00285417" w:rsidRPr="00CA51CD" w:rsidRDefault="00285417" w:rsidP="00DC1333">
            <w:pPr>
              <w:keepNext/>
              <w:keepLines/>
              <w:ind w:left="-108"/>
              <w:jc w:val="center"/>
              <w:rPr>
                <w:b/>
                <w:bCs/>
                <w:color w:val="00B050"/>
                <w:sz w:val="16"/>
                <w:szCs w:val="16"/>
              </w:rPr>
            </w:pPr>
            <w:r w:rsidRPr="00CA51CD">
              <w:rPr>
                <w:b/>
                <w:color w:val="00B050"/>
                <w:sz w:val="16"/>
                <w:szCs w:val="16"/>
              </w:rPr>
              <w:lastRenderedPageBreak/>
              <w:t>Plenamente logrado</w:t>
            </w:r>
          </w:p>
        </w:tc>
      </w:tr>
      <w:tr w:rsidR="00285417" w:rsidRPr="00CA51CD" w:rsidTr="00DC1333">
        <w:trPr>
          <w:trHeight w:val="1422"/>
        </w:trPr>
        <w:tc>
          <w:tcPr>
            <w:tcW w:w="1103" w:type="pct"/>
          </w:tcPr>
          <w:p w:rsidR="00285417" w:rsidRPr="00CA51CD" w:rsidRDefault="00285417" w:rsidP="00DC1333">
            <w:pPr>
              <w:ind w:right="170"/>
              <w:rPr>
                <w:sz w:val="16"/>
                <w:szCs w:val="16"/>
              </w:rPr>
            </w:pPr>
            <w:r w:rsidRPr="00CA51CD">
              <w:rPr>
                <w:sz w:val="16"/>
                <w:szCs w:val="16"/>
              </w:rPr>
              <w:lastRenderedPageBreak/>
              <w:t>Porcentaje de aumento del material de prensa, vídeos y fotografías de la OMPI vistos por el público</w:t>
            </w:r>
          </w:p>
        </w:tc>
        <w:tc>
          <w:tcPr>
            <w:tcW w:w="1349" w:type="pct"/>
            <w:shd w:val="clear" w:color="auto" w:fill="auto"/>
          </w:tcPr>
          <w:p w:rsidR="00285417" w:rsidRPr="00CA51CD" w:rsidRDefault="00285417" w:rsidP="00DC1333">
            <w:pPr>
              <w:ind w:left="-102"/>
              <w:rPr>
                <w:color w:val="002060"/>
                <w:sz w:val="16"/>
                <w:szCs w:val="16"/>
              </w:rPr>
            </w:pPr>
            <w:r w:rsidRPr="00CA51CD">
              <w:rPr>
                <w:i/>
                <w:color w:val="002060"/>
                <w:sz w:val="16"/>
                <w:szCs w:val="16"/>
              </w:rPr>
              <w:t xml:space="preserve">Referencia actualizada fin 2013:  </w:t>
            </w:r>
            <w:r w:rsidRPr="00CA51CD">
              <w:rPr>
                <w:color w:val="002060"/>
                <w:sz w:val="16"/>
                <w:szCs w:val="16"/>
              </w:rPr>
              <w:t xml:space="preserve">i) El promedio de visitantes únicos absolutos por comunicado de prensa era de 5.506 (143.169 visitas para 26 artículos publicados en 2013 en todos los idiomas);  </w:t>
            </w:r>
          </w:p>
          <w:p w:rsidR="00285417" w:rsidRPr="00CA51CD" w:rsidRDefault="00285417" w:rsidP="00DC1333">
            <w:pPr>
              <w:ind w:left="-102"/>
              <w:rPr>
                <w:color w:val="002060"/>
                <w:sz w:val="16"/>
                <w:szCs w:val="16"/>
              </w:rPr>
            </w:pPr>
            <w:r w:rsidRPr="00CA51CD">
              <w:rPr>
                <w:color w:val="002060"/>
                <w:sz w:val="16"/>
                <w:szCs w:val="16"/>
              </w:rPr>
              <w:t>ii) El promedio de visualizaciones por vídeo era de 16.612 (3.787.601 visitas para 228</w:t>
            </w:r>
            <w:r w:rsidRPr="00CA51CD">
              <w:rPr>
                <w:rStyle w:val="FootnoteReference"/>
                <w:color w:val="002060"/>
                <w:sz w:val="16"/>
                <w:szCs w:val="16"/>
              </w:rPr>
              <w:footnoteReference w:id="108"/>
            </w:r>
            <w:r w:rsidRPr="00CA51CD">
              <w:rPr>
                <w:color w:val="002060"/>
                <w:sz w:val="16"/>
                <w:szCs w:val="16"/>
              </w:rPr>
              <w:t xml:space="preserve"> vídeos)</w:t>
            </w:r>
          </w:p>
          <w:p w:rsidR="00285417" w:rsidRPr="00CA51CD" w:rsidRDefault="00285417" w:rsidP="00DC1333">
            <w:pPr>
              <w:ind w:left="-102"/>
              <w:rPr>
                <w:color w:val="002060"/>
                <w:sz w:val="16"/>
                <w:szCs w:val="16"/>
              </w:rPr>
            </w:pPr>
            <w:r w:rsidRPr="00CA51CD">
              <w:rPr>
                <w:color w:val="002060"/>
                <w:sz w:val="16"/>
                <w:szCs w:val="16"/>
              </w:rPr>
              <w:t>iii) 900.000 visualizaciones de</w:t>
            </w:r>
            <w:r w:rsidRPr="00CA51CD">
              <w:rPr>
                <w:color w:val="000000"/>
                <w:sz w:val="16"/>
                <w:szCs w:val="16"/>
              </w:rPr>
              <w:t xml:space="preserve"> </w:t>
            </w:r>
            <w:r w:rsidRPr="00CA51CD">
              <w:rPr>
                <w:color w:val="002060"/>
                <w:sz w:val="16"/>
                <w:szCs w:val="16"/>
              </w:rPr>
              <w:t xml:space="preserve">fotos en Flickr </w:t>
            </w:r>
          </w:p>
          <w:p w:rsidR="00285417" w:rsidRDefault="00285417" w:rsidP="00DC1333">
            <w:pPr>
              <w:rPr>
                <w:i/>
                <w:color w:val="002060"/>
                <w:sz w:val="8"/>
                <w:szCs w:val="8"/>
              </w:rPr>
            </w:pPr>
          </w:p>
          <w:p w:rsidR="00285417" w:rsidRPr="00CA51CD" w:rsidRDefault="00285417" w:rsidP="00DC1333">
            <w:pPr>
              <w:rPr>
                <w:i/>
                <w:color w:val="002060"/>
                <w:sz w:val="8"/>
                <w:szCs w:val="8"/>
              </w:rPr>
            </w:pPr>
          </w:p>
          <w:p w:rsidR="00285417" w:rsidRPr="00CA51CD" w:rsidRDefault="00285417" w:rsidP="00DC1333">
            <w:pPr>
              <w:keepNext/>
              <w:ind w:left="-102"/>
              <w:rPr>
                <w:sz w:val="16"/>
                <w:szCs w:val="16"/>
              </w:rPr>
            </w:pPr>
            <w:r w:rsidRPr="00CA51CD">
              <w:rPr>
                <w:i/>
                <w:sz w:val="16"/>
                <w:szCs w:val="16"/>
              </w:rPr>
              <w:t>Referencia original en el presupuesto de 2014/15:</w:t>
            </w:r>
            <w:r w:rsidRPr="00CA51CD">
              <w:rPr>
                <w:sz w:val="16"/>
                <w:szCs w:val="16"/>
              </w:rPr>
              <w:t xml:space="preserve">  </w:t>
            </w:r>
          </w:p>
          <w:p w:rsidR="00285417" w:rsidRDefault="00285417" w:rsidP="00DC1333">
            <w:pPr>
              <w:ind w:left="-102"/>
              <w:rPr>
                <w:sz w:val="16"/>
                <w:szCs w:val="16"/>
              </w:rPr>
            </w:pPr>
            <w:r w:rsidRPr="00CA51CD">
              <w:rPr>
                <w:sz w:val="16"/>
                <w:szCs w:val="16"/>
              </w:rPr>
              <w:t>i) En 2012, el promedio de visitantes únicos absolutos por comunicado de prensa era de 3.575. (92.958 para 26 artículos publicados en 2012)</w:t>
            </w:r>
          </w:p>
          <w:p w:rsidR="00285417" w:rsidRPr="00CA51CD" w:rsidRDefault="00285417" w:rsidP="00DC1333">
            <w:pPr>
              <w:ind w:left="-102"/>
              <w:rPr>
                <w:sz w:val="16"/>
                <w:szCs w:val="16"/>
              </w:rPr>
            </w:pPr>
            <w:r w:rsidRPr="00CA51CD">
              <w:rPr>
                <w:color w:val="000000"/>
                <w:sz w:val="16"/>
                <w:szCs w:val="16"/>
              </w:rPr>
              <w:t>ii) En 2012, el promedio de visualizaciones por vídeo era de 3.280 (478.888 visitas para un total de 146 vídeos)</w:t>
            </w:r>
          </w:p>
          <w:p w:rsidR="00285417" w:rsidRPr="00CA51CD" w:rsidRDefault="00285417" w:rsidP="00DC1333">
            <w:pPr>
              <w:ind w:left="-102"/>
              <w:rPr>
                <w:sz w:val="16"/>
                <w:szCs w:val="16"/>
              </w:rPr>
            </w:pPr>
          </w:p>
          <w:p w:rsidR="00285417" w:rsidRPr="00CA51CD" w:rsidRDefault="00285417" w:rsidP="00DC1333">
            <w:pPr>
              <w:ind w:left="-102"/>
              <w:rPr>
                <w:sz w:val="16"/>
                <w:szCs w:val="16"/>
              </w:rPr>
            </w:pPr>
            <w:r w:rsidRPr="00CA51CD">
              <w:rPr>
                <w:sz w:val="16"/>
                <w:szCs w:val="16"/>
              </w:rPr>
              <w:t>iii) 155.000 visualizaciones de fotos en Flickr a fines de 2012</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xml:space="preserve">i) Aumento del 10 % en el promedio de </w:t>
            </w:r>
            <w:r w:rsidRPr="00CA51CD">
              <w:rPr>
                <w:color w:val="000000"/>
                <w:sz w:val="16"/>
                <w:szCs w:val="16"/>
              </w:rPr>
              <w:t>visitantes</w:t>
            </w:r>
            <w:r w:rsidRPr="00CA51CD">
              <w:rPr>
                <w:sz w:val="16"/>
                <w:szCs w:val="16"/>
              </w:rPr>
              <w:t xml:space="preserve"> por comunicado de prensa</w:t>
            </w: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Default="00285417" w:rsidP="00DC1333">
            <w:pPr>
              <w:rPr>
                <w:sz w:val="16"/>
                <w:szCs w:val="16"/>
              </w:rPr>
            </w:pPr>
          </w:p>
          <w:p w:rsidR="00285417" w:rsidRPr="00CA51CD" w:rsidRDefault="00285417" w:rsidP="00DC1333">
            <w:pPr>
              <w:rPr>
                <w:sz w:val="16"/>
                <w:szCs w:val="16"/>
              </w:rPr>
            </w:pPr>
          </w:p>
          <w:p w:rsidR="00285417" w:rsidRPr="00CA51CD" w:rsidRDefault="00285417" w:rsidP="00DC1333">
            <w:pPr>
              <w:autoSpaceDE w:val="0"/>
              <w:autoSpaceDN w:val="0"/>
              <w:adjustRightInd w:val="0"/>
              <w:ind w:left="-50" w:right="-96"/>
              <w:rPr>
                <w:sz w:val="16"/>
                <w:szCs w:val="16"/>
              </w:rPr>
            </w:pPr>
            <w:r w:rsidRPr="00CA51CD">
              <w:rPr>
                <w:sz w:val="16"/>
                <w:szCs w:val="16"/>
              </w:rPr>
              <w:t xml:space="preserve">ii) Aumento del 10% en el promedio de </w:t>
            </w:r>
            <w:r w:rsidRPr="00CA51CD">
              <w:rPr>
                <w:color w:val="000000"/>
                <w:sz w:val="16"/>
                <w:szCs w:val="16"/>
              </w:rPr>
              <w:t>visualizaciones</w:t>
            </w:r>
            <w:r w:rsidRPr="00CA51CD">
              <w:rPr>
                <w:sz w:val="16"/>
                <w:szCs w:val="16"/>
              </w:rPr>
              <w:t xml:space="preserve"> por vídeo del canal de la OMPI en YouTube</w:t>
            </w: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rPr>
              <w:t>iii) Objetivo:</w:t>
            </w:r>
          </w:p>
          <w:p w:rsidR="00285417" w:rsidRPr="00CA51CD" w:rsidRDefault="00285417" w:rsidP="00DC1333">
            <w:pPr>
              <w:autoSpaceDE w:val="0"/>
              <w:autoSpaceDN w:val="0"/>
              <w:adjustRightInd w:val="0"/>
              <w:ind w:left="-50" w:right="-96"/>
              <w:rPr>
                <w:sz w:val="16"/>
                <w:szCs w:val="16"/>
              </w:rPr>
            </w:pPr>
            <w:r w:rsidRPr="00CA51CD">
              <w:rPr>
                <w:sz w:val="16"/>
                <w:szCs w:val="16"/>
              </w:rPr>
              <w:t xml:space="preserve">Otras 300.000 </w:t>
            </w:r>
            <w:r w:rsidRPr="00CA51CD">
              <w:rPr>
                <w:color w:val="000000"/>
                <w:sz w:val="16"/>
                <w:szCs w:val="16"/>
              </w:rPr>
              <w:t>visualizaciones</w:t>
            </w:r>
            <w:r w:rsidRPr="00CA51CD">
              <w:rPr>
                <w:sz w:val="16"/>
                <w:szCs w:val="16"/>
              </w:rPr>
              <w:t xml:space="preserve"> en Flickr</w:t>
            </w:r>
          </w:p>
        </w:tc>
        <w:tc>
          <w:tcPr>
            <w:tcW w:w="1124" w:type="pct"/>
            <w:shd w:val="clear" w:color="auto" w:fill="FFFFFF"/>
            <w:tcMar>
              <w:top w:w="110" w:type="dxa"/>
            </w:tcMar>
          </w:tcPr>
          <w:p w:rsidR="00285417" w:rsidRPr="00CA51CD" w:rsidRDefault="00285417" w:rsidP="00DC1333">
            <w:pPr>
              <w:rPr>
                <w:sz w:val="16"/>
                <w:szCs w:val="16"/>
              </w:rPr>
            </w:pPr>
            <w:r w:rsidRPr="00CA51CD">
              <w:rPr>
                <w:sz w:val="16"/>
                <w:szCs w:val="16"/>
              </w:rPr>
              <w:t>En 2014/15:</w:t>
            </w:r>
          </w:p>
          <w:p w:rsidR="00285417" w:rsidRPr="00CA51CD" w:rsidRDefault="00285417" w:rsidP="00DC1333">
            <w:pPr>
              <w:rPr>
                <w:sz w:val="16"/>
                <w:szCs w:val="16"/>
              </w:rPr>
            </w:pPr>
            <w:r w:rsidRPr="00CA51CD">
              <w:rPr>
                <w:sz w:val="16"/>
                <w:szCs w:val="16"/>
              </w:rPr>
              <w:t xml:space="preserve">i) El promedio de visitantes únicos absolutos por comunicado de prensa era de 4.467 (-1,6% en comparación con 2012/13)  </w:t>
            </w:r>
          </w:p>
          <w:p w:rsidR="00285417" w:rsidRPr="00CA51CD" w:rsidRDefault="00285417" w:rsidP="00285417">
            <w:pPr>
              <w:pStyle w:val="ListParagraph"/>
              <w:numPr>
                <w:ilvl w:val="0"/>
                <w:numId w:val="89"/>
              </w:numPr>
              <w:rPr>
                <w:rFonts w:cs="Arial"/>
                <w:sz w:val="16"/>
                <w:szCs w:val="16"/>
                <w:lang w:val="es-ES"/>
              </w:rPr>
            </w:pPr>
            <w:r w:rsidRPr="00CA51CD">
              <w:rPr>
                <w:rFonts w:cs="Arial"/>
                <w:sz w:val="16"/>
                <w:szCs w:val="16"/>
                <w:lang w:val="es-ES"/>
              </w:rPr>
              <w:t xml:space="preserve">75.173 </w:t>
            </w:r>
            <w:r w:rsidRPr="00CA51CD">
              <w:rPr>
                <w:sz w:val="16"/>
                <w:szCs w:val="16"/>
                <w:lang w:val="es-ES"/>
              </w:rPr>
              <w:t>visitas para 18 artículos publicados</w:t>
            </w:r>
            <w:r w:rsidRPr="00CA51CD">
              <w:rPr>
                <w:rFonts w:cs="Arial"/>
                <w:sz w:val="16"/>
                <w:szCs w:val="16"/>
                <w:lang w:val="es-ES"/>
              </w:rPr>
              <w:t xml:space="preserve"> en 2014. (-24,2% en comparación con 2013)</w:t>
            </w:r>
          </w:p>
          <w:p w:rsidR="00285417" w:rsidRPr="00CA51CD" w:rsidRDefault="00285417" w:rsidP="00285417">
            <w:pPr>
              <w:pStyle w:val="ListParagraph"/>
              <w:numPr>
                <w:ilvl w:val="0"/>
                <w:numId w:val="89"/>
              </w:numPr>
              <w:rPr>
                <w:rFonts w:cs="Arial"/>
                <w:sz w:val="16"/>
                <w:szCs w:val="16"/>
                <w:lang w:val="es-ES"/>
              </w:rPr>
            </w:pPr>
            <w:r w:rsidRPr="00CA51CD">
              <w:rPr>
                <w:rFonts w:cs="Arial"/>
                <w:sz w:val="16"/>
                <w:szCs w:val="16"/>
                <w:lang w:val="es-ES"/>
              </w:rPr>
              <w:t xml:space="preserve">72.232 </w:t>
            </w:r>
            <w:r w:rsidRPr="00CA51CD">
              <w:rPr>
                <w:sz w:val="16"/>
                <w:szCs w:val="16"/>
                <w:lang w:val="es-ES"/>
              </w:rPr>
              <w:t>visitas para 15 artículos publicados</w:t>
            </w:r>
            <w:r w:rsidRPr="00CA51CD">
              <w:rPr>
                <w:rFonts w:cs="Arial"/>
                <w:sz w:val="16"/>
                <w:szCs w:val="16"/>
                <w:lang w:val="es-ES"/>
              </w:rPr>
              <w:t xml:space="preserve"> en 2015 (-12,5% en comparación con 2014)</w:t>
            </w: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rPr>
              <w:t xml:space="preserve">ii) El promedio de visualizaciones por vídeo fue 12.871 (5.006.946 visualizaciones para 389 vídeos a finales de 2014/15) (-31%) </w:t>
            </w:r>
          </w:p>
          <w:p w:rsidR="00285417" w:rsidRPr="00CA51CD" w:rsidRDefault="00285417" w:rsidP="00DC1333">
            <w:pPr>
              <w:rPr>
                <w:sz w:val="16"/>
                <w:szCs w:val="16"/>
              </w:rPr>
            </w:pP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rPr>
              <w:t>iii)  Otras 2.541.702 visualizaciones en Flickr (+182%) (3.441.702 visualizaciones en total a finales de 2015)</w:t>
            </w:r>
          </w:p>
        </w:tc>
        <w:tc>
          <w:tcPr>
            <w:tcW w:w="674" w:type="pct"/>
            <w:tcMar>
              <w:top w:w="110" w:type="dxa"/>
            </w:tcMar>
          </w:tcPr>
          <w:p w:rsidR="00285417" w:rsidRPr="00CA51CD" w:rsidRDefault="00285417" w:rsidP="00DC1333">
            <w:pPr>
              <w:keepNext/>
              <w:keepLines/>
              <w:ind w:left="-108"/>
              <w:jc w:val="center"/>
              <w:rPr>
                <w:b/>
                <w:bCs/>
                <w:color w:val="FF0000"/>
                <w:sz w:val="16"/>
                <w:szCs w:val="16"/>
              </w:rPr>
            </w:pPr>
            <w:r w:rsidRPr="00CA51CD">
              <w:rPr>
                <w:b/>
                <w:bCs/>
                <w:color w:val="FF0000"/>
                <w:sz w:val="16"/>
                <w:szCs w:val="16"/>
              </w:rPr>
              <w:t>No logrado</w:t>
            </w: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jc w:val="center"/>
              <w:rPr>
                <w:b/>
                <w:bCs/>
                <w:color w:val="FF0000"/>
                <w:sz w:val="16"/>
                <w:szCs w:val="16"/>
              </w:rPr>
            </w:pPr>
          </w:p>
          <w:p w:rsidR="00285417" w:rsidRPr="00CA51CD" w:rsidRDefault="00285417" w:rsidP="00DC1333">
            <w:pPr>
              <w:keepNext/>
              <w:keepLines/>
              <w:ind w:left="-108"/>
              <w:jc w:val="center"/>
              <w:rPr>
                <w:b/>
                <w:bCs/>
                <w:color w:val="FF0000"/>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jc w:val="center"/>
              <w:rPr>
                <w:b/>
                <w:color w:val="FF0000"/>
                <w:sz w:val="16"/>
                <w:szCs w:val="16"/>
              </w:rPr>
            </w:pPr>
            <w:r w:rsidRPr="00CA51CD">
              <w:rPr>
                <w:b/>
                <w:color w:val="FF0000"/>
                <w:sz w:val="16"/>
                <w:szCs w:val="16"/>
              </w:rPr>
              <w:t>No logrado</w:t>
            </w: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Pr="00CA51CD" w:rsidRDefault="00285417" w:rsidP="00DC1333">
            <w:pPr>
              <w:keepNext/>
              <w:keepLines/>
              <w:ind w:left="-108"/>
              <w:jc w:val="center"/>
              <w:rPr>
                <w:b/>
                <w:sz w:val="16"/>
                <w:szCs w:val="16"/>
              </w:rPr>
            </w:pPr>
          </w:p>
          <w:p w:rsidR="00285417" w:rsidRDefault="00285417" w:rsidP="00DC1333">
            <w:pPr>
              <w:keepNext/>
              <w:keepLines/>
              <w:ind w:left="-108"/>
              <w:jc w:val="center"/>
              <w:rPr>
                <w:b/>
                <w:color w:val="00B050"/>
                <w:sz w:val="16"/>
                <w:szCs w:val="16"/>
              </w:rPr>
            </w:pPr>
            <w:r w:rsidRPr="00CA51CD">
              <w:rPr>
                <w:b/>
                <w:color w:val="00B050"/>
                <w:sz w:val="16"/>
                <w:szCs w:val="16"/>
              </w:rPr>
              <w:t>Plenamente logrado</w:t>
            </w:r>
          </w:p>
          <w:p w:rsidR="00285417" w:rsidRPr="00CA51CD" w:rsidRDefault="00285417" w:rsidP="00DC1333">
            <w:pPr>
              <w:keepNext/>
              <w:keepLines/>
              <w:ind w:left="-108"/>
              <w:jc w:val="center"/>
              <w:rPr>
                <w:b/>
                <w:sz w:val="16"/>
                <w:szCs w:val="16"/>
              </w:rPr>
            </w:pPr>
          </w:p>
        </w:tc>
      </w:tr>
      <w:tr w:rsidR="00285417" w:rsidRPr="00CA51CD" w:rsidTr="00DC1333">
        <w:trPr>
          <w:trHeight w:val="1874"/>
        </w:trPr>
        <w:tc>
          <w:tcPr>
            <w:tcW w:w="1103" w:type="pct"/>
          </w:tcPr>
          <w:p w:rsidR="00285417" w:rsidRPr="00CA51CD" w:rsidRDefault="00285417" w:rsidP="00DC1333">
            <w:pPr>
              <w:rPr>
                <w:sz w:val="16"/>
                <w:szCs w:val="16"/>
              </w:rPr>
            </w:pPr>
            <w:r w:rsidRPr="00CA51CD">
              <w:rPr>
                <w:sz w:val="16"/>
                <w:szCs w:val="16"/>
              </w:rPr>
              <w:t>Porcentaje de aumento de la participación global en el Día Mundial de la P.I. por medio de la página de Facebook (alcance global de la campaña)</w:t>
            </w:r>
          </w:p>
        </w:tc>
        <w:tc>
          <w:tcPr>
            <w:tcW w:w="1349" w:type="pct"/>
            <w:shd w:val="clear" w:color="auto" w:fill="auto"/>
          </w:tcPr>
          <w:p w:rsidR="00285417" w:rsidRPr="00CA51CD" w:rsidRDefault="00285417" w:rsidP="00DC1333">
            <w:pPr>
              <w:rPr>
                <w:color w:val="002060"/>
                <w:sz w:val="16"/>
                <w:szCs w:val="16"/>
              </w:rPr>
            </w:pPr>
            <w:r w:rsidRPr="00CA51CD">
              <w:rPr>
                <w:i/>
                <w:color w:val="002060"/>
                <w:sz w:val="16"/>
                <w:szCs w:val="16"/>
              </w:rPr>
              <w:t xml:space="preserve">Referencia actualizada a fines de 2013: </w:t>
            </w:r>
            <w:r w:rsidRPr="00CA51CD">
              <w:rPr>
                <w:color w:val="002060"/>
                <w:sz w:val="16"/>
                <w:szCs w:val="16"/>
              </w:rPr>
              <w:t xml:space="preserve">414.121 personas accedieron a contenido sobre el Día Mundial de la P.I. mediante la campaña llevada a cabo en Facebook en 2013 (alcance total [constante]) </w:t>
            </w:r>
          </w:p>
          <w:p w:rsidR="00285417" w:rsidRPr="00CA51CD" w:rsidRDefault="00285417" w:rsidP="00DC1333">
            <w:pPr>
              <w:rPr>
                <w:i/>
                <w:color w:val="002060"/>
                <w:sz w:val="8"/>
                <w:szCs w:val="8"/>
              </w:rPr>
            </w:pPr>
          </w:p>
          <w:p w:rsidR="00285417" w:rsidRPr="00CA51CD" w:rsidRDefault="00285417" w:rsidP="00DC1333">
            <w:pPr>
              <w:rPr>
                <w:sz w:val="16"/>
                <w:szCs w:val="16"/>
              </w:rPr>
            </w:pPr>
            <w:r w:rsidRPr="00CA51CD">
              <w:rPr>
                <w:i/>
                <w:color w:val="000000"/>
                <w:sz w:val="16"/>
                <w:szCs w:val="16"/>
              </w:rPr>
              <w:t>Referencia original en el presupuesto de 2014/15:</w:t>
            </w:r>
            <w:r w:rsidRPr="00CA51CD">
              <w:rPr>
                <w:color w:val="000000"/>
                <w:sz w:val="16"/>
                <w:szCs w:val="16"/>
              </w:rPr>
              <w:t xml:space="preserve"> 379.600 personas accedieron a contenido sobre el Día Mundial de la P.I. mediante la campaña llevada a cabo en Facebook en 2012</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color w:val="000000"/>
                <w:sz w:val="16"/>
                <w:szCs w:val="16"/>
              </w:rPr>
              <w:t>Aumento del 30% en el número de personas que acceden a contenido sobre el Día Mundial de la P.I. por medio de Facebook (alcance total)</w:t>
            </w:r>
          </w:p>
        </w:tc>
        <w:tc>
          <w:tcPr>
            <w:tcW w:w="1124" w:type="pct"/>
            <w:shd w:val="clear" w:color="auto" w:fill="FFFFFF"/>
            <w:tcMar>
              <w:top w:w="110" w:type="dxa"/>
            </w:tcMar>
          </w:tcPr>
          <w:p w:rsidR="00285417" w:rsidRPr="00CA51CD" w:rsidRDefault="00285417" w:rsidP="00DC1333">
            <w:pPr>
              <w:rPr>
                <w:bCs/>
                <w:sz w:val="16"/>
                <w:szCs w:val="16"/>
              </w:rPr>
            </w:pPr>
            <w:r w:rsidRPr="00CA51CD">
              <w:rPr>
                <w:bCs/>
                <w:sz w:val="16"/>
                <w:szCs w:val="16"/>
              </w:rPr>
              <w:t>En 2014/15, 1.020.128 personas en total accedieron a contenidos sobre el Día Mundial de la P.I. mediante las campañas llevadas a cabo en Facebook (+28,5% en comparación con 2012/13)</w:t>
            </w:r>
          </w:p>
          <w:p w:rsidR="00285417" w:rsidRPr="00CA51CD" w:rsidRDefault="00285417" w:rsidP="00285417">
            <w:pPr>
              <w:pStyle w:val="ListParagraph"/>
              <w:numPr>
                <w:ilvl w:val="0"/>
                <w:numId w:val="90"/>
              </w:numPr>
              <w:rPr>
                <w:rFonts w:cs="Arial"/>
                <w:sz w:val="16"/>
                <w:szCs w:val="16"/>
                <w:lang w:val="es-ES"/>
              </w:rPr>
            </w:pPr>
            <w:r w:rsidRPr="00CA51CD">
              <w:rPr>
                <w:rFonts w:cs="Arial"/>
                <w:sz w:val="16"/>
                <w:szCs w:val="16"/>
                <w:lang w:val="es-ES"/>
              </w:rPr>
              <w:t>563.816 en 2014</w:t>
            </w:r>
          </w:p>
          <w:p w:rsidR="00285417" w:rsidRPr="00CA51CD" w:rsidRDefault="00285417" w:rsidP="00285417">
            <w:pPr>
              <w:pStyle w:val="ListParagraph"/>
              <w:numPr>
                <w:ilvl w:val="0"/>
                <w:numId w:val="90"/>
              </w:numPr>
              <w:rPr>
                <w:rFonts w:cs="Arial"/>
                <w:sz w:val="16"/>
                <w:szCs w:val="16"/>
                <w:lang w:val="es-ES"/>
              </w:rPr>
            </w:pPr>
            <w:r w:rsidRPr="00CA51CD">
              <w:rPr>
                <w:rFonts w:cs="Arial"/>
                <w:sz w:val="16"/>
                <w:szCs w:val="16"/>
                <w:lang w:val="es-ES"/>
              </w:rPr>
              <w:t>456.312 en 2015</w:t>
            </w:r>
          </w:p>
        </w:tc>
        <w:tc>
          <w:tcPr>
            <w:tcW w:w="674" w:type="pct"/>
            <w:tcMar>
              <w:top w:w="110" w:type="dxa"/>
            </w:tcMar>
          </w:tcPr>
          <w:p w:rsidR="00285417" w:rsidRPr="00CA51CD" w:rsidRDefault="00285417" w:rsidP="00DC1333">
            <w:pPr>
              <w:keepNext/>
              <w:keepLines/>
              <w:ind w:left="-108"/>
              <w:jc w:val="center"/>
              <w:rPr>
                <w:b/>
                <w:color w:val="00B050"/>
                <w:sz w:val="16"/>
                <w:szCs w:val="16"/>
              </w:rPr>
            </w:pPr>
            <w:r w:rsidRPr="00CA51CD">
              <w:rPr>
                <w:b/>
                <w:color w:val="00B050"/>
                <w:sz w:val="16"/>
                <w:szCs w:val="16"/>
              </w:rPr>
              <w:t>Plenamente logrado</w:t>
            </w:r>
          </w:p>
        </w:tc>
      </w:tr>
      <w:tr w:rsidR="00285417" w:rsidRPr="00CA51CD" w:rsidTr="00DC1333">
        <w:tc>
          <w:tcPr>
            <w:tcW w:w="1103" w:type="pct"/>
          </w:tcPr>
          <w:p w:rsidR="00285417" w:rsidRPr="00CA51CD" w:rsidRDefault="00285417" w:rsidP="00DC1333">
            <w:pPr>
              <w:rPr>
                <w:sz w:val="16"/>
                <w:szCs w:val="16"/>
              </w:rPr>
            </w:pPr>
            <w:r w:rsidRPr="00CA51CD">
              <w:rPr>
                <w:sz w:val="16"/>
                <w:szCs w:val="16"/>
              </w:rPr>
              <w:t>Porcentaje de aumento del número de consultas de las publicaciones de Internet</w:t>
            </w:r>
          </w:p>
        </w:tc>
        <w:tc>
          <w:tcPr>
            <w:tcW w:w="1349" w:type="pct"/>
            <w:shd w:val="clear" w:color="auto" w:fill="auto"/>
          </w:tcPr>
          <w:p w:rsidR="00285417" w:rsidRPr="00CA51CD" w:rsidRDefault="00285417" w:rsidP="00DC1333">
            <w:pPr>
              <w:rPr>
                <w:color w:val="002060"/>
                <w:sz w:val="16"/>
                <w:szCs w:val="16"/>
              </w:rPr>
            </w:pPr>
            <w:r w:rsidRPr="00CA51CD">
              <w:rPr>
                <w:color w:val="002060"/>
                <w:sz w:val="16"/>
                <w:szCs w:val="16"/>
              </w:rPr>
              <w:t>i)</w:t>
            </w:r>
            <w:r w:rsidRPr="00CA51CD">
              <w:rPr>
                <w:i/>
                <w:color w:val="002060"/>
                <w:sz w:val="16"/>
                <w:szCs w:val="16"/>
              </w:rPr>
              <w:t xml:space="preserve"> Referencia actualizada a fines de 2013: </w:t>
            </w:r>
            <w:r w:rsidRPr="00CA51CD">
              <w:rPr>
                <w:color w:val="002060"/>
                <w:sz w:val="16"/>
                <w:szCs w:val="16"/>
              </w:rPr>
              <w:t xml:space="preserve"> 3.940.490 descargas de publicaciones gratuitas en 2013 (en todos los idiomas) </w:t>
            </w:r>
          </w:p>
          <w:p w:rsidR="00285417" w:rsidRPr="00CA51CD" w:rsidRDefault="00285417" w:rsidP="00DC1333">
            <w:pPr>
              <w:rPr>
                <w:color w:val="002060"/>
                <w:sz w:val="16"/>
                <w:szCs w:val="16"/>
              </w:rPr>
            </w:pPr>
            <w:r w:rsidRPr="00CA51CD">
              <w:rPr>
                <w:color w:val="002060"/>
                <w:sz w:val="16"/>
                <w:szCs w:val="16"/>
              </w:rPr>
              <w:t xml:space="preserve">ii) 450.499 visitantes únicos de la sección del sitio web dedicada a la Revista de la OMPI en 2013 (en todos los idiomas) </w:t>
            </w:r>
          </w:p>
          <w:p w:rsidR="00285417" w:rsidRPr="00CA51CD" w:rsidRDefault="00285417" w:rsidP="00DC1333">
            <w:pPr>
              <w:rPr>
                <w:i/>
                <w:sz w:val="8"/>
                <w:szCs w:val="8"/>
              </w:rPr>
            </w:pPr>
          </w:p>
          <w:p w:rsidR="00285417" w:rsidRPr="00CA51CD" w:rsidRDefault="00285417" w:rsidP="00DC1333">
            <w:pPr>
              <w:rPr>
                <w:iCs/>
                <w:sz w:val="16"/>
                <w:szCs w:val="16"/>
              </w:rPr>
            </w:pPr>
            <w:r w:rsidRPr="00CA51CD">
              <w:rPr>
                <w:iCs/>
                <w:sz w:val="16"/>
                <w:szCs w:val="16"/>
              </w:rPr>
              <w:t>i)</w:t>
            </w:r>
            <w:r w:rsidRPr="00CA51CD">
              <w:rPr>
                <w:i/>
                <w:iCs/>
                <w:sz w:val="16"/>
                <w:szCs w:val="16"/>
              </w:rPr>
              <w:t xml:space="preserve"> Referencia original en el presupuesto de 2014/15: </w:t>
            </w:r>
            <w:r w:rsidRPr="00CA51CD">
              <w:rPr>
                <w:iCs/>
                <w:sz w:val="16"/>
                <w:szCs w:val="16"/>
              </w:rPr>
              <w:t xml:space="preserve"> por determinar (no se dispone de estadísticas comparables para 2012)</w:t>
            </w:r>
          </w:p>
          <w:p w:rsidR="00285417" w:rsidRDefault="00285417" w:rsidP="00DC1333">
            <w:pPr>
              <w:rPr>
                <w:sz w:val="16"/>
                <w:szCs w:val="16"/>
              </w:rPr>
            </w:pPr>
            <w:r w:rsidRPr="00CA51CD">
              <w:rPr>
                <w:sz w:val="16"/>
                <w:szCs w:val="16"/>
              </w:rPr>
              <w:t xml:space="preserve">ii) 409.265 visitas únicas al sitio web de la Revista de la OMPI en </w:t>
            </w:r>
            <w:r w:rsidRPr="00CA51CD">
              <w:rPr>
                <w:sz w:val="16"/>
                <w:szCs w:val="16"/>
              </w:rPr>
              <w:lastRenderedPageBreak/>
              <w:t>2012</w:t>
            </w:r>
          </w:p>
          <w:p w:rsidR="00285417" w:rsidRPr="00CA51CD" w:rsidRDefault="00285417" w:rsidP="00DC1333">
            <w:pPr>
              <w:rPr>
                <w:sz w:val="16"/>
                <w:szCs w:val="16"/>
              </w:rPr>
            </w:pP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lastRenderedPageBreak/>
              <w:t xml:space="preserve">i) Aumento del 10% en el número total de consultas de las publicaciones de Internet </w:t>
            </w:r>
          </w:p>
          <w:p w:rsidR="00285417" w:rsidRDefault="00285417" w:rsidP="00DC1333">
            <w:pPr>
              <w:rPr>
                <w:sz w:val="16"/>
                <w:szCs w:val="16"/>
              </w:rPr>
            </w:pPr>
          </w:p>
          <w:p w:rsidR="00285417" w:rsidRDefault="00285417" w:rsidP="00DC1333">
            <w:pPr>
              <w:rPr>
                <w:sz w:val="16"/>
                <w:szCs w:val="16"/>
              </w:rPr>
            </w:pPr>
          </w:p>
          <w:p w:rsidR="00285417" w:rsidRPr="00CA51CD" w:rsidRDefault="00285417" w:rsidP="00DC1333">
            <w:pPr>
              <w:rPr>
                <w:sz w:val="16"/>
                <w:szCs w:val="16"/>
              </w:rPr>
            </w:pPr>
          </w:p>
          <w:p w:rsidR="00285417" w:rsidRPr="00CA51CD" w:rsidRDefault="00285417" w:rsidP="00DC1333">
            <w:pPr>
              <w:autoSpaceDE w:val="0"/>
              <w:autoSpaceDN w:val="0"/>
              <w:adjustRightInd w:val="0"/>
              <w:ind w:left="-50" w:right="-96"/>
              <w:rPr>
                <w:sz w:val="16"/>
                <w:szCs w:val="16"/>
              </w:rPr>
            </w:pPr>
            <w:r w:rsidRPr="00CA51CD">
              <w:rPr>
                <w:sz w:val="16"/>
                <w:szCs w:val="16"/>
              </w:rPr>
              <w:t>ii) Aumento del 10% en el número de visitantes de la sección del sitio web dedicada a la Revista de la OMPI</w:t>
            </w:r>
          </w:p>
        </w:tc>
        <w:tc>
          <w:tcPr>
            <w:tcW w:w="1124" w:type="pct"/>
            <w:shd w:val="clear" w:color="auto" w:fill="FFFFFF"/>
            <w:tcMar>
              <w:top w:w="110" w:type="dxa"/>
            </w:tcMar>
          </w:tcPr>
          <w:p w:rsidR="00285417" w:rsidRPr="00CA51CD" w:rsidRDefault="00285417" w:rsidP="00DC1333">
            <w:pPr>
              <w:rPr>
                <w:sz w:val="16"/>
                <w:szCs w:val="16"/>
                <w:lang w:bidi="th-TH"/>
              </w:rPr>
            </w:pPr>
            <w:r w:rsidRPr="00CA51CD">
              <w:rPr>
                <w:sz w:val="16"/>
                <w:szCs w:val="16"/>
                <w:lang w:bidi="th-TH"/>
              </w:rPr>
              <w:t>i) A finales del bienio las nuevas herramientas y metodologías estadísticas por Internet seguían en proceso de creación debido a un retraso en la ejecución del proyecto.</w:t>
            </w: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lang w:bidi="th-TH"/>
              </w:rPr>
              <w:t>ii) 1.024.787 visitas únicas al sitio web de la Revista de la OMPI en 2014/15, lo que supone un aumento del 19,2% en comparación con 2012/13.</w:t>
            </w:r>
          </w:p>
        </w:tc>
        <w:tc>
          <w:tcPr>
            <w:tcW w:w="674" w:type="pct"/>
            <w:tcMar>
              <w:top w:w="110" w:type="dxa"/>
            </w:tcMar>
          </w:tcPr>
          <w:p w:rsidR="00285417" w:rsidRPr="00CA51CD" w:rsidRDefault="00285417" w:rsidP="00DC1333">
            <w:pPr>
              <w:keepNext/>
              <w:keepLines/>
              <w:jc w:val="center"/>
              <w:rPr>
                <w:b/>
                <w:sz w:val="16"/>
                <w:szCs w:val="16"/>
              </w:rPr>
            </w:pPr>
            <w:r w:rsidRPr="00CA51CD">
              <w:rPr>
                <w:b/>
                <w:bCs/>
                <w:color w:val="808080"/>
                <w:sz w:val="16"/>
                <w:szCs w:val="16"/>
              </w:rPr>
              <w:t>No mensurable</w:t>
            </w:r>
          </w:p>
          <w:p w:rsidR="00285417" w:rsidRPr="00CA51CD" w:rsidRDefault="00285417" w:rsidP="00DC1333">
            <w:pPr>
              <w:keepNext/>
              <w:keepLines/>
              <w:ind w:left="-108"/>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jc w:val="center"/>
              <w:rPr>
                <w:b/>
                <w:bCs/>
                <w:color w:val="0070C0"/>
                <w:sz w:val="16"/>
                <w:szCs w:val="16"/>
              </w:rPr>
            </w:pPr>
          </w:p>
          <w:p w:rsidR="00285417" w:rsidRPr="00CA51CD" w:rsidRDefault="00285417" w:rsidP="00DC1333">
            <w:pPr>
              <w:keepNext/>
              <w:keepLines/>
              <w:ind w:left="-108"/>
              <w:jc w:val="center"/>
              <w:rPr>
                <w:b/>
                <w:color w:val="0070C0"/>
                <w:sz w:val="16"/>
                <w:szCs w:val="16"/>
              </w:rPr>
            </w:pPr>
            <w:r w:rsidRPr="00CA51CD">
              <w:rPr>
                <w:b/>
                <w:color w:val="00B050"/>
                <w:sz w:val="16"/>
                <w:szCs w:val="16"/>
              </w:rPr>
              <w:t>Plenamente logrado</w:t>
            </w:r>
          </w:p>
        </w:tc>
      </w:tr>
      <w:tr w:rsidR="00285417" w:rsidRPr="00CA51CD" w:rsidTr="00DC1333">
        <w:tc>
          <w:tcPr>
            <w:tcW w:w="1103" w:type="pct"/>
          </w:tcPr>
          <w:p w:rsidR="00285417" w:rsidRPr="00CA51CD" w:rsidRDefault="00285417" w:rsidP="00DC1333">
            <w:pPr>
              <w:rPr>
                <w:sz w:val="16"/>
                <w:szCs w:val="16"/>
              </w:rPr>
            </w:pPr>
            <w:r w:rsidRPr="00CA51CD">
              <w:rPr>
                <w:sz w:val="16"/>
                <w:szCs w:val="16"/>
              </w:rPr>
              <w:lastRenderedPageBreak/>
              <w:t>Porcentaje de usuarios satisfechos con el sitio web de la OMPI</w:t>
            </w:r>
          </w:p>
        </w:tc>
        <w:tc>
          <w:tcPr>
            <w:tcW w:w="1349" w:type="pct"/>
            <w:shd w:val="clear" w:color="auto" w:fill="auto"/>
          </w:tcPr>
          <w:p w:rsidR="00285417" w:rsidRPr="00CA51CD" w:rsidRDefault="00285417" w:rsidP="00DC1333">
            <w:pPr>
              <w:rPr>
                <w:sz w:val="16"/>
                <w:szCs w:val="16"/>
              </w:rPr>
            </w:pPr>
            <w:r w:rsidRPr="00CA51CD">
              <w:rPr>
                <w:sz w:val="16"/>
                <w:szCs w:val="16"/>
              </w:rPr>
              <w:t>Por determinar</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60% están satisfechos</w:t>
            </w:r>
          </w:p>
        </w:tc>
        <w:tc>
          <w:tcPr>
            <w:tcW w:w="1124" w:type="pct"/>
            <w:shd w:val="clear" w:color="auto" w:fill="FFFFFF"/>
            <w:tcMar>
              <w:top w:w="110" w:type="dxa"/>
            </w:tcMar>
          </w:tcPr>
          <w:p w:rsidR="00285417" w:rsidRPr="00CA51CD" w:rsidRDefault="00285417" w:rsidP="00DC1333">
            <w:pPr>
              <w:rPr>
                <w:sz w:val="16"/>
                <w:szCs w:val="16"/>
              </w:rPr>
            </w:pPr>
            <w:r w:rsidRPr="00CA51CD">
              <w:rPr>
                <w:sz w:val="16"/>
                <w:szCs w:val="16"/>
                <w:lang w:bidi="th-TH"/>
              </w:rPr>
              <w:t>No se llevó a cabo ninguna encuesta en 2014/15.</w:t>
            </w:r>
          </w:p>
        </w:tc>
        <w:tc>
          <w:tcPr>
            <w:tcW w:w="674" w:type="pct"/>
            <w:tcMar>
              <w:top w:w="110" w:type="dxa"/>
            </w:tcMar>
          </w:tcPr>
          <w:p w:rsidR="00285417" w:rsidRPr="00CA51CD" w:rsidRDefault="00285417" w:rsidP="00DC1333">
            <w:pPr>
              <w:keepNext/>
              <w:keepLines/>
              <w:jc w:val="center"/>
              <w:rPr>
                <w:b/>
                <w:sz w:val="16"/>
                <w:szCs w:val="16"/>
              </w:rPr>
            </w:pPr>
            <w:r w:rsidRPr="00CA51CD">
              <w:rPr>
                <w:b/>
                <w:bCs/>
                <w:color w:val="808080"/>
                <w:sz w:val="16"/>
                <w:szCs w:val="16"/>
              </w:rPr>
              <w:t>No mensurable</w:t>
            </w:r>
          </w:p>
        </w:tc>
      </w:tr>
      <w:tr w:rsidR="00285417" w:rsidRPr="00CA51CD" w:rsidTr="00DC1333">
        <w:tc>
          <w:tcPr>
            <w:tcW w:w="1103" w:type="pct"/>
            <w:tcBorders>
              <w:bottom w:val="single" w:sz="4" w:space="0" w:color="auto"/>
            </w:tcBorders>
          </w:tcPr>
          <w:p w:rsidR="00285417" w:rsidRPr="00CA51CD" w:rsidRDefault="00285417" w:rsidP="00DC1333">
            <w:pPr>
              <w:keepNext/>
              <w:rPr>
                <w:sz w:val="16"/>
                <w:szCs w:val="16"/>
              </w:rPr>
            </w:pPr>
            <w:r w:rsidRPr="00CA51CD">
              <w:rPr>
                <w:sz w:val="16"/>
                <w:szCs w:val="16"/>
              </w:rPr>
              <w:t>Aumento de la influencia y la participación de la OMPI en los medios sociales</w:t>
            </w:r>
          </w:p>
        </w:tc>
        <w:tc>
          <w:tcPr>
            <w:tcW w:w="1349" w:type="pct"/>
            <w:tcBorders>
              <w:bottom w:val="single" w:sz="4" w:space="0" w:color="auto"/>
            </w:tcBorders>
            <w:shd w:val="clear" w:color="auto" w:fill="auto"/>
          </w:tcPr>
          <w:p w:rsidR="00285417" w:rsidRPr="00CA51CD" w:rsidRDefault="00285417" w:rsidP="00DC1333">
            <w:pPr>
              <w:keepNext/>
              <w:rPr>
                <w:i/>
                <w:color w:val="002060"/>
                <w:sz w:val="16"/>
                <w:szCs w:val="16"/>
              </w:rPr>
            </w:pPr>
            <w:r w:rsidRPr="00CA51CD">
              <w:rPr>
                <w:i/>
                <w:color w:val="002060"/>
                <w:sz w:val="16"/>
                <w:szCs w:val="16"/>
              </w:rPr>
              <w:t xml:space="preserve">Referencia actualizada a fines de 2013:  </w:t>
            </w:r>
          </w:p>
          <w:p w:rsidR="00285417" w:rsidRPr="00CA51CD" w:rsidRDefault="00285417" w:rsidP="00DC1333">
            <w:pPr>
              <w:keepNext/>
              <w:rPr>
                <w:color w:val="002060"/>
                <w:sz w:val="16"/>
                <w:szCs w:val="16"/>
              </w:rPr>
            </w:pPr>
            <w:r w:rsidRPr="00CA51CD">
              <w:rPr>
                <w:color w:val="002060"/>
                <w:sz w:val="16"/>
                <w:szCs w:val="16"/>
              </w:rPr>
              <w:t>i) Índice de influencia “Klout”  de 64 (sobre 100) a fines de 2013</w:t>
            </w:r>
          </w:p>
          <w:p w:rsidR="00285417" w:rsidRPr="00CA51CD" w:rsidRDefault="00285417" w:rsidP="00DC1333">
            <w:pPr>
              <w:keepNext/>
              <w:rPr>
                <w:color w:val="002060"/>
                <w:sz w:val="16"/>
                <w:szCs w:val="16"/>
              </w:rPr>
            </w:pPr>
            <w:r w:rsidRPr="00CA51CD">
              <w:rPr>
                <w:color w:val="002060"/>
                <w:sz w:val="16"/>
                <w:szCs w:val="16"/>
              </w:rPr>
              <w:t>ii) 6.744 retuiteos en total en 2013</w:t>
            </w:r>
          </w:p>
          <w:p w:rsidR="00285417" w:rsidRPr="00CA51CD" w:rsidRDefault="00285417" w:rsidP="00DC1333">
            <w:pPr>
              <w:keepNext/>
              <w:rPr>
                <w:sz w:val="8"/>
                <w:szCs w:val="8"/>
              </w:rPr>
            </w:pPr>
          </w:p>
          <w:p w:rsidR="00285417" w:rsidRPr="00CA51CD" w:rsidRDefault="00285417" w:rsidP="00DC1333">
            <w:pPr>
              <w:keepNext/>
              <w:rPr>
                <w:iCs/>
                <w:sz w:val="16"/>
                <w:szCs w:val="16"/>
              </w:rPr>
            </w:pPr>
            <w:r w:rsidRPr="00CA51CD">
              <w:rPr>
                <w:i/>
                <w:sz w:val="16"/>
                <w:szCs w:val="16"/>
              </w:rPr>
              <w:t>Referencia original en el presupuesto de 2014/15:</w:t>
            </w:r>
            <w:r w:rsidRPr="00CA51CD">
              <w:rPr>
                <w:i/>
                <w:iCs/>
                <w:sz w:val="16"/>
                <w:szCs w:val="16"/>
              </w:rPr>
              <w:t xml:space="preserve">  </w:t>
            </w:r>
          </w:p>
          <w:p w:rsidR="00285417" w:rsidRPr="00CA51CD" w:rsidRDefault="00285417" w:rsidP="00DC1333">
            <w:pPr>
              <w:keepNext/>
              <w:rPr>
                <w:sz w:val="16"/>
                <w:szCs w:val="16"/>
              </w:rPr>
            </w:pPr>
            <w:r w:rsidRPr="00CA51CD">
              <w:rPr>
                <w:sz w:val="16"/>
                <w:szCs w:val="16"/>
              </w:rPr>
              <w:t>i) Índice de influencia “Klout”  de 62 al 1 de enero de 2013.</w:t>
            </w:r>
          </w:p>
          <w:p w:rsidR="00285417" w:rsidRPr="00CA51CD" w:rsidRDefault="00285417" w:rsidP="00DC1333">
            <w:pPr>
              <w:keepNext/>
              <w:rPr>
                <w:sz w:val="16"/>
                <w:szCs w:val="16"/>
              </w:rPr>
            </w:pPr>
            <w:r w:rsidRPr="00CA51CD">
              <w:rPr>
                <w:sz w:val="16"/>
                <w:szCs w:val="16"/>
              </w:rPr>
              <w:t>ii) 3.112 retuiteos en total en 2012</w:t>
            </w:r>
          </w:p>
          <w:p w:rsidR="00285417" w:rsidRPr="00CA51CD" w:rsidRDefault="00285417" w:rsidP="00DC1333">
            <w:pPr>
              <w:keepNext/>
              <w:rPr>
                <w:sz w:val="16"/>
                <w:szCs w:val="16"/>
              </w:rPr>
            </w:pPr>
          </w:p>
        </w:tc>
        <w:tc>
          <w:tcPr>
            <w:tcW w:w="750" w:type="pct"/>
            <w:tcBorders>
              <w:bottom w:val="single" w:sz="4" w:space="0" w:color="auto"/>
            </w:tcBorders>
            <w:tcMar>
              <w:top w:w="110" w:type="dxa"/>
            </w:tcMar>
          </w:tcPr>
          <w:p w:rsidR="00285417" w:rsidRDefault="00285417" w:rsidP="00DC1333">
            <w:pPr>
              <w:keepNext/>
              <w:autoSpaceDE w:val="0"/>
              <w:autoSpaceDN w:val="0"/>
              <w:adjustRightInd w:val="0"/>
              <w:ind w:left="-50" w:right="-96"/>
              <w:rPr>
                <w:sz w:val="16"/>
                <w:szCs w:val="16"/>
              </w:rPr>
            </w:pPr>
            <w:r w:rsidRPr="00CA51CD">
              <w:rPr>
                <w:sz w:val="16"/>
                <w:szCs w:val="16"/>
              </w:rPr>
              <w:t>i) Índice de influencia “Klout”  de 73</w:t>
            </w:r>
            <w:r w:rsidRPr="00CA51CD">
              <w:rPr>
                <w:sz w:val="16"/>
                <w:szCs w:val="16"/>
              </w:rPr>
              <w:br/>
            </w: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Default="00285417" w:rsidP="00DC1333">
            <w:pPr>
              <w:keepNext/>
              <w:autoSpaceDE w:val="0"/>
              <w:autoSpaceDN w:val="0"/>
              <w:adjustRightInd w:val="0"/>
              <w:ind w:left="-50" w:right="-96"/>
              <w:rPr>
                <w:sz w:val="16"/>
                <w:szCs w:val="16"/>
              </w:rPr>
            </w:pPr>
          </w:p>
          <w:p w:rsidR="00285417" w:rsidRPr="00CA51CD" w:rsidRDefault="00285417" w:rsidP="00DC1333">
            <w:pPr>
              <w:keepNext/>
              <w:autoSpaceDE w:val="0"/>
              <w:autoSpaceDN w:val="0"/>
              <w:adjustRightInd w:val="0"/>
              <w:ind w:left="-50" w:right="-96"/>
              <w:rPr>
                <w:sz w:val="16"/>
                <w:szCs w:val="16"/>
              </w:rPr>
            </w:pPr>
          </w:p>
          <w:p w:rsidR="00285417" w:rsidRPr="00CA51CD" w:rsidRDefault="00285417" w:rsidP="00DC1333">
            <w:pPr>
              <w:keepNext/>
              <w:autoSpaceDE w:val="0"/>
              <w:autoSpaceDN w:val="0"/>
              <w:adjustRightInd w:val="0"/>
              <w:ind w:left="-50" w:right="-96"/>
              <w:rPr>
                <w:sz w:val="16"/>
                <w:szCs w:val="16"/>
              </w:rPr>
            </w:pPr>
            <w:r w:rsidRPr="00CA51CD">
              <w:rPr>
                <w:sz w:val="16"/>
                <w:szCs w:val="16"/>
              </w:rPr>
              <w:t>ii) Aumento del 30% en el número total de retuiteos anuales</w:t>
            </w:r>
          </w:p>
        </w:tc>
        <w:tc>
          <w:tcPr>
            <w:tcW w:w="1124" w:type="pct"/>
            <w:tcBorders>
              <w:bottom w:val="single" w:sz="4" w:space="0" w:color="auto"/>
            </w:tcBorders>
            <w:shd w:val="clear" w:color="auto" w:fill="FFFFFF"/>
            <w:tcMar>
              <w:top w:w="110" w:type="dxa"/>
            </w:tcMar>
          </w:tcPr>
          <w:p w:rsidR="00285417" w:rsidRPr="00CA51CD" w:rsidRDefault="00285417" w:rsidP="00DC1333">
            <w:pPr>
              <w:keepNext/>
              <w:rPr>
                <w:i/>
                <w:sz w:val="16"/>
                <w:szCs w:val="16"/>
              </w:rPr>
            </w:pPr>
            <w:r w:rsidRPr="00CA51CD">
              <w:rPr>
                <w:sz w:val="16"/>
                <w:szCs w:val="16"/>
              </w:rPr>
              <w:t xml:space="preserve">i) Índice de influencia “Klout” de 66 a finales de 2015, y 64 a finales de 2014.  </w:t>
            </w:r>
            <w:r w:rsidR="00044DA1">
              <w:rPr>
                <w:i/>
                <w:sz w:val="16"/>
                <w:szCs w:val="16"/>
              </w:rPr>
              <w:t>Nota</w:t>
            </w:r>
            <w:proofErr w:type="gramStart"/>
            <w:r w:rsidR="00044DA1">
              <w:rPr>
                <w:i/>
                <w:sz w:val="16"/>
                <w:szCs w:val="16"/>
              </w:rPr>
              <w:t>:  Este</w:t>
            </w:r>
            <w:proofErr w:type="gramEnd"/>
            <w:r w:rsidR="00044DA1">
              <w:rPr>
                <w:i/>
                <w:sz w:val="16"/>
                <w:szCs w:val="16"/>
              </w:rPr>
              <w:t xml:space="preserve"> indicador ha sido discontinuado </w:t>
            </w:r>
            <w:r w:rsidRPr="00CA51CD">
              <w:rPr>
                <w:i/>
                <w:sz w:val="16"/>
                <w:szCs w:val="16"/>
              </w:rPr>
              <w:t>debido a que la capacidad de comparación y la pertinencia han disminuido a raíz de los cambios introducidos en la metodología.</w:t>
            </w:r>
          </w:p>
          <w:p w:rsidR="00285417" w:rsidRPr="00CA51CD" w:rsidRDefault="00285417" w:rsidP="00DC1333">
            <w:pPr>
              <w:keepNext/>
              <w:rPr>
                <w:sz w:val="16"/>
                <w:szCs w:val="16"/>
              </w:rPr>
            </w:pPr>
          </w:p>
          <w:p w:rsidR="00285417" w:rsidRPr="00CA51CD" w:rsidRDefault="00285417" w:rsidP="00DC1333">
            <w:pPr>
              <w:keepNext/>
              <w:rPr>
                <w:sz w:val="16"/>
                <w:szCs w:val="16"/>
              </w:rPr>
            </w:pPr>
            <w:r w:rsidRPr="00CA51CD">
              <w:rPr>
                <w:sz w:val="16"/>
                <w:szCs w:val="16"/>
              </w:rPr>
              <w:t>ii) Promedio anual de 13.362 retuiteos, es decir, aumento del 171% en comparación con el bienio anterior.</w:t>
            </w:r>
          </w:p>
        </w:tc>
        <w:tc>
          <w:tcPr>
            <w:tcW w:w="674" w:type="pct"/>
            <w:tcBorders>
              <w:bottom w:val="single" w:sz="4" w:space="0" w:color="auto"/>
            </w:tcBorders>
            <w:tcMar>
              <w:top w:w="110" w:type="dxa"/>
            </w:tcMar>
          </w:tcPr>
          <w:p w:rsidR="00285417" w:rsidRPr="00CA51CD" w:rsidRDefault="00044DA1" w:rsidP="00DC1333">
            <w:pPr>
              <w:keepNext/>
              <w:keepLines/>
              <w:ind w:left="-108"/>
              <w:jc w:val="center"/>
              <w:rPr>
                <w:b/>
                <w:bCs/>
                <w:color w:val="FF0000"/>
                <w:sz w:val="16"/>
                <w:szCs w:val="16"/>
              </w:rPr>
            </w:pPr>
            <w:r>
              <w:rPr>
                <w:b/>
                <w:sz w:val="16"/>
                <w:szCs w:val="16"/>
              </w:rPr>
              <w:t>Discontinuado</w:t>
            </w: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p>
          <w:p w:rsidR="00285417" w:rsidRPr="00CA51CD" w:rsidRDefault="00285417" w:rsidP="00DC1333">
            <w:pPr>
              <w:keepNext/>
              <w:keepLines/>
              <w:ind w:left="-108"/>
              <w:jc w:val="center"/>
              <w:rPr>
                <w:sz w:val="16"/>
                <w:szCs w:val="16"/>
              </w:rPr>
            </w:pPr>
            <w:r w:rsidRPr="00CA51CD">
              <w:rPr>
                <w:b/>
                <w:color w:val="00B050"/>
                <w:sz w:val="16"/>
                <w:szCs w:val="16"/>
              </w:rPr>
              <w:t>Plenamente logrado</w:t>
            </w:r>
          </w:p>
        </w:tc>
      </w:tr>
      <w:tr w:rsidR="00285417" w:rsidRPr="00CA51CD" w:rsidTr="00DC1333">
        <w:tc>
          <w:tcPr>
            <w:tcW w:w="5000" w:type="pct"/>
            <w:gridSpan w:val="5"/>
            <w:tcBorders>
              <w:top w:val="single" w:sz="4" w:space="0" w:color="auto"/>
              <w:bottom w:val="single" w:sz="4" w:space="0" w:color="auto"/>
            </w:tcBorders>
            <w:shd w:val="clear" w:color="auto" w:fill="C6D9F1" w:themeFill="text2" w:themeFillTint="33"/>
            <w:vAlign w:val="center"/>
          </w:tcPr>
          <w:p w:rsidR="00285417" w:rsidRPr="00CA51CD" w:rsidRDefault="00285417" w:rsidP="00DC1333">
            <w:pPr>
              <w:keepNext/>
              <w:keepLines/>
              <w:spacing w:before="120" w:after="120"/>
              <w:ind w:left="1985" w:hanging="1985"/>
              <w:rPr>
                <w:b/>
                <w:bCs/>
                <w:sz w:val="16"/>
                <w:szCs w:val="16"/>
              </w:rPr>
            </w:pPr>
            <w:r w:rsidRPr="00CA51CD">
              <w:rPr>
                <w:b/>
                <w:bCs/>
                <w:sz w:val="16"/>
                <w:szCs w:val="16"/>
              </w:rPr>
              <w:t>Resultado previsto:</w:t>
            </w:r>
            <w:r w:rsidRPr="00CA51CD">
              <w:rPr>
                <w:b/>
                <w:bCs/>
                <w:sz w:val="16"/>
                <w:szCs w:val="16"/>
              </w:rPr>
              <w:tab/>
            </w:r>
            <w:r w:rsidRPr="00CA51CD">
              <w:rPr>
                <w:bCs/>
                <w:sz w:val="16"/>
                <w:szCs w:val="16"/>
              </w:rPr>
              <w:t>VIII.2 Mejora en la prestación de servicios y la atención de consultas</w:t>
            </w:r>
          </w:p>
        </w:tc>
      </w:tr>
      <w:tr w:rsidR="00285417" w:rsidRPr="00CA51CD" w:rsidTr="00DC1333">
        <w:tc>
          <w:tcPr>
            <w:tcW w:w="1103" w:type="pct"/>
            <w:tcBorders>
              <w:top w:val="single" w:sz="4" w:space="0" w:color="auto"/>
            </w:tcBorders>
            <w:vAlign w:val="center"/>
          </w:tcPr>
          <w:p w:rsidR="00285417" w:rsidRPr="00CA51CD" w:rsidRDefault="00285417" w:rsidP="00DC1333">
            <w:pPr>
              <w:keepNext/>
              <w:keepLines/>
              <w:rPr>
                <w:sz w:val="16"/>
                <w:szCs w:val="16"/>
              </w:rPr>
            </w:pPr>
            <w:r w:rsidRPr="00CA51CD">
              <w:rPr>
                <w:b/>
                <w:sz w:val="16"/>
                <w:szCs w:val="16"/>
              </w:rPr>
              <w:t>Indicadores de rendimiento</w:t>
            </w:r>
          </w:p>
        </w:tc>
        <w:tc>
          <w:tcPr>
            <w:tcW w:w="1349" w:type="pct"/>
            <w:tcBorders>
              <w:top w:val="single" w:sz="4" w:space="0" w:color="auto"/>
            </w:tcBorders>
            <w:shd w:val="clear" w:color="auto" w:fill="auto"/>
            <w:vAlign w:val="center"/>
          </w:tcPr>
          <w:p w:rsidR="00285417" w:rsidRPr="00CA51CD" w:rsidRDefault="00285417" w:rsidP="00DC1333">
            <w:pPr>
              <w:keepNext/>
              <w:keepLines/>
              <w:rPr>
                <w:b/>
                <w:bCs/>
                <w:sz w:val="16"/>
                <w:szCs w:val="16"/>
              </w:rPr>
            </w:pPr>
            <w:r w:rsidRPr="00CA51CD">
              <w:rPr>
                <w:b/>
                <w:bCs/>
                <w:sz w:val="16"/>
                <w:szCs w:val="16"/>
              </w:rPr>
              <w:t>Referencia</w:t>
            </w:r>
          </w:p>
        </w:tc>
        <w:tc>
          <w:tcPr>
            <w:tcW w:w="750" w:type="pct"/>
            <w:tcBorders>
              <w:top w:val="single" w:sz="4" w:space="0" w:color="auto"/>
            </w:tcBorders>
            <w:tcMar>
              <w:top w:w="110" w:type="dxa"/>
            </w:tcMar>
            <w:vAlign w:val="center"/>
          </w:tcPr>
          <w:p w:rsidR="00285417" w:rsidRPr="00CA51CD" w:rsidRDefault="00285417" w:rsidP="00DC1333">
            <w:pPr>
              <w:rPr>
                <w:b/>
                <w:bCs/>
                <w:sz w:val="16"/>
                <w:szCs w:val="16"/>
              </w:rPr>
            </w:pPr>
            <w:r w:rsidRPr="00CA51CD">
              <w:rPr>
                <w:b/>
                <w:bCs/>
                <w:sz w:val="16"/>
                <w:szCs w:val="16"/>
              </w:rPr>
              <w:t>Objetivos</w:t>
            </w:r>
          </w:p>
        </w:tc>
        <w:tc>
          <w:tcPr>
            <w:tcW w:w="1124" w:type="pct"/>
            <w:tcBorders>
              <w:top w:val="single" w:sz="4" w:space="0" w:color="auto"/>
            </w:tcBorders>
            <w:shd w:val="clear" w:color="auto" w:fill="FFFFFF"/>
            <w:tcMar>
              <w:top w:w="110" w:type="dxa"/>
            </w:tcMar>
            <w:vAlign w:val="center"/>
          </w:tcPr>
          <w:p w:rsidR="00285417" w:rsidRPr="00CA51CD" w:rsidRDefault="00285417" w:rsidP="00DC1333">
            <w:pPr>
              <w:rPr>
                <w:sz w:val="16"/>
                <w:szCs w:val="16"/>
              </w:rPr>
            </w:pPr>
            <w:r w:rsidRPr="00CA51CD">
              <w:rPr>
                <w:b/>
                <w:sz w:val="16"/>
                <w:szCs w:val="16"/>
              </w:rPr>
              <w:t>Datos sobre el rendimiento</w:t>
            </w:r>
          </w:p>
        </w:tc>
        <w:tc>
          <w:tcPr>
            <w:tcW w:w="674" w:type="pct"/>
            <w:tcBorders>
              <w:top w:val="single" w:sz="4" w:space="0" w:color="auto"/>
            </w:tcBorders>
            <w:tcMar>
              <w:top w:w="110" w:type="dxa"/>
            </w:tcMar>
            <w:vAlign w:val="center"/>
          </w:tcPr>
          <w:p w:rsidR="00285417" w:rsidRPr="00CA51CD" w:rsidRDefault="00285417" w:rsidP="00DC1333">
            <w:pPr>
              <w:keepNext/>
              <w:keepLines/>
              <w:rPr>
                <w:b/>
                <w:bCs/>
                <w:sz w:val="16"/>
                <w:szCs w:val="16"/>
              </w:rPr>
            </w:pPr>
            <w:r w:rsidRPr="00CA51CD">
              <w:rPr>
                <w:b/>
                <w:bCs/>
                <w:sz w:val="16"/>
                <w:szCs w:val="16"/>
              </w:rPr>
              <w:t>Clave de colores</w:t>
            </w:r>
          </w:p>
        </w:tc>
      </w:tr>
      <w:tr w:rsidR="00285417" w:rsidRPr="00CA51CD" w:rsidTr="00DC1333">
        <w:tc>
          <w:tcPr>
            <w:tcW w:w="1103" w:type="pct"/>
          </w:tcPr>
          <w:p w:rsidR="00285417" w:rsidRPr="00CA51CD" w:rsidRDefault="00285417" w:rsidP="00DC1333">
            <w:pPr>
              <w:keepNext/>
              <w:keepLines/>
              <w:rPr>
                <w:sz w:val="16"/>
                <w:szCs w:val="16"/>
              </w:rPr>
            </w:pPr>
            <w:r w:rsidRPr="00CA51CD">
              <w:rPr>
                <w:sz w:val="16"/>
                <w:szCs w:val="16"/>
              </w:rPr>
              <w:t>Porcentaje de usuarios satisfechos con los servicios de la Biblioteca</w:t>
            </w:r>
          </w:p>
        </w:tc>
        <w:tc>
          <w:tcPr>
            <w:tcW w:w="1349" w:type="pct"/>
            <w:shd w:val="clear" w:color="auto" w:fill="auto"/>
          </w:tcPr>
          <w:p w:rsidR="00285417" w:rsidRPr="00CA51CD" w:rsidRDefault="00285417" w:rsidP="00DC1333">
            <w:pPr>
              <w:keepNext/>
              <w:keepLines/>
              <w:rPr>
                <w:color w:val="002060"/>
                <w:sz w:val="16"/>
                <w:szCs w:val="16"/>
              </w:rPr>
            </w:pPr>
            <w:r w:rsidRPr="00CA51CD">
              <w:rPr>
                <w:i/>
                <w:color w:val="002060"/>
                <w:sz w:val="16"/>
                <w:szCs w:val="16"/>
              </w:rPr>
              <w:t>Referencia actualizada a fines de 2013</w:t>
            </w:r>
            <w:r w:rsidRPr="00CA51CD">
              <w:rPr>
                <w:color w:val="002060"/>
                <w:sz w:val="16"/>
                <w:szCs w:val="16"/>
              </w:rPr>
              <w:t>: El 94% de encuestados que respondieron al cuestionario dirigido a los visitantes externos registrados (usuarios de los servicios de biblioteca) que habían utilizado dichos servicios en 2013 estaban satisfechos o muy satisfechos</w:t>
            </w:r>
          </w:p>
          <w:p w:rsidR="00285417" w:rsidRPr="00CA51CD" w:rsidRDefault="00285417" w:rsidP="00DC1333">
            <w:pPr>
              <w:keepNext/>
              <w:keepLines/>
              <w:rPr>
                <w:sz w:val="16"/>
                <w:szCs w:val="16"/>
              </w:rPr>
            </w:pPr>
          </w:p>
          <w:p w:rsidR="00285417" w:rsidRPr="00CA51CD" w:rsidRDefault="00285417" w:rsidP="00DC1333">
            <w:pPr>
              <w:keepNext/>
              <w:keepLines/>
              <w:rPr>
                <w:sz w:val="16"/>
                <w:szCs w:val="16"/>
              </w:rPr>
            </w:pPr>
            <w:r w:rsidRPr="00CA51CD">
              <w:rPr>
                <w:i/>
                <w:sz w:val="16"/>
                <w:szCs w:val="16"/>
              </w:rPr>
              <w:t>Referencia original en el presupuesto de 2014/15:</w:t>
            </w:r>
            <w:r w:rsidRPr="00CA51CD">
              <w:t xml:space="preserve">  </w:t>
            </w:r>
            <w:r w:rsidRPr="00CA51CD">
              <w:rPr>
                <w:sz w:val="16"/>
                <w:szCs w:val="16"/>
              </w:rPr>
              <w:t xml:space="preserve">Por determinar </w:t>
            </w:r>
          </w:p>
          <w:p w:rsidR="00285417" w:rsidRPr="00CA51CD" w:rsidRDefault="00285417" w:rsidP="00DC1333">
            <w:pPr>
              <w:keepNext/>
              <w:keepLines/>
              <w:rPr>
                <w:sz w:val="16"/>
                <w:szCs w:val="16"/>
              </w:rPr>
            </w:pP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70 % visitantes y clientes de Internet satisfechos.</w:t>
            </w:r>
          </w:p>
        </w:tc>
        <w:tc>
          <w:tcPr>
            <w:tcW w:w="1124" w:type="pct"/>
            <w:shd w:val="clear" w:color="auto" w:fill="FFFFFF"/>
            <w:tcMar>
              <w:top w:w="110" w:type="dxa"/>
            </w:tcMar>
          </w:tcPr>
          <w:p w:rsidR="00285417" w:rsidRPr="00CA51CD" w:rsidRDefault="00285417" w:rsidP="00DC1333">
            <w:pPr>
              <w:rPr>
                <w:sz w:val="16"/>
                <w:szCs w:val="16"/>
              </w:rPr>
            </w:pPr>
            <w:r w:rsidRPr="00CA51CD">
              <w:rPr>
                <w:color w:val="000000"/>
                <w:sz w:val="16"/>
                <w:szCs w:val="16"/>
              </w:rPr>
              <w:t>El 70% de encuestados que respondieron al cuestionario dirigido a los usuarios de los servicios de biblioteca estaban muy satisfechos (100% satisfechos o muy satisfechos)</w:t>
            </w:r>
          </w:p>
          <w:p w:rsidR="00285417" w:rsidRPr="00CA51CD" w:rsidRDefault="00285417" w:rsidP="00DC1333">
            <w:pPr>
              <w:rPr>
                <w:rFonts w:ascii="Calibri" w:hAnsi="Calibri" w:cs="Calibri"/>
                <w:sz w:val="16"/>
                <w:szCs w:val="16"/>
              </w:rPr>
            </w:pPr>
          </w:p>
        </w:tc>
        <w:tc>
          <w:tcPr>
            <w:tcW w:w="674" w:type="pct"/>
            <w:tcMar>
              <w:top w:w="110" w:type="dxa"/>
            </w:tcMar>
          </w:tcPr>
          <w:p w:rsidR="00285417" w:rsidRPr="00CA51CD" w:rsidRDefault="00285417" w:rsidP="00DC1333">
            <w:pPr>
              <w:keepNext/>
              <w:keepLines/>
              <w:ind w:left="-108"/>
              <w:jc w:val="center"/>
              <w:rPr>
                <w:color w:val="808080"/>
                <w:sz w:val="16"/>
                <w:szCs w:val="16"/>
              </w:rPr>
            </w:pPr>
            <w:r w:rsidRPr="00CA51CD">
              <w:rPr>
                <w:b/>
                <w:color w:val="00B050"/>
                <w:sz w:val="16"/>
                <w:szCs w:val="16"/>
              </w:rPr>
              <w:t>Plenamente logrado</w:t>
            </w:r>
          </w:p>
        </w:tc>
      </w:tr>
      <w:tr w:rsidR="00285417" w:rsidRPr="00CA51CD" w:rsidTr="00DC1333">
        <w:tc>
          <w:tcPr>
            <w:tcW w:w="1103" w:type="pct"/>
          </w:tcPr>
          <w:p w:rsidR="00285417" w:rsidRPr="00CA51CD" w:rsidRDefault="00285417" w:rsidP="00DC1333">
            <w:pPr>
              <w:rPr>
                <w:sz w:val="16"/>
                <w:szCs w:val="16"/>
              </w:rPr>
            </w:pPr>
            <w:r w:rsidRPr="00CA51CD">
              <w:rPr>
                <w:sz w:val="16"/>
                <w:szCs w:val="16"/>
              </w:rPr>
              <w:t>Índice de satisfacción de los clientes/partes interesadas</w:t>
            </w:r>
          </w:p>
        </w:tc>
        <w:tc>
          <w:tcPr>
            <w:tcW w:w="1349" w:type="pct"/>
            <w:shd w:val="clear" w:color="auto" w:fill="auto"/>
          </w:tcPr>
          <w:p w:rsidR="00285417" w:rsidRPr="00CA51CD" w:rsidRDefault="00285417" w:rsidP="00DC1333">
            <w:pPr>
              <w:autoSpaceDE w:val="0"/>
              <w:autoSpaceDN w:val="0"/>
              <w:adjustRightInd w:val="0"/>
              <w:rPr>
                <w:color w:val="002060"/>
                <w:sz w:val="16"/>
                <w:szCs w:val="16"/>
              </w:rPr>
            </w:pPr>
            <w:r w:rsidRPr="00CA51CD">
              <w:rPr>
                <w:i/>
                <w:color w:val="002060"/>
                <w:sz w:val="16"/>
                <w:szCs w:val="16"/>
              </w:rPr>
              <w:t xml:space="preserve">Referencia actualizada a fines de 2013: </w:t>
            </w:r>
            <w:r w:rsidRPr="00CA51CD">
              <w:rPr>
                <w:color w:val="002060"/>
                <w:sz w:val="16"/>
                <w:szCs w:val="16"/>
              </w:rPr>
              <w:t>El 84% de los</w:t>
            </w:r>
          </w:p>
          <w:p w:rsidR="00285417" w:rsidRPr="00CA51CD" w:rsidRDefault="00285417" w:rsidP="00DC1333">
            <w:pPr>
              <w:autoSpaceDE w:val="0"/>
              <w:autoSpaceDN w:val="0"/>
              <w:adjustRightInd w:val="0"/>
              <w:rPr>
                <w:color w:val="002060"/>
                <w:sz w:val="16"/>
                <w:szCs w:val="16"/>
              </w:rPr>
            </w:pPr>
            <w:r w:rsidRPr="00CA51CD">
              <w:rPr>
                <w:color w:val="002060"/>
                <w:sz w:val="16"/>
                <w:szCs w:val="16"/>
              </w:rPr>
              <w:t>usuarios de los Sistemas</w:t>
            </w:r>
          </w:p>
          <w:p w:rsidR="00285417" w:rsidRPr="00CA51CD" w:rsidRDefault="00285417" w:rsidP="00DC1333">
            <w:pPr>
              <w:autoSpaceDE w:val="0"/>
              <w:autoSpaceDN w:val="0"/>
              <w:adjustRightInd w:val="0"/>
              <w:rPr>
                <w:color w:val="002060"/>
                <w:sz w:val="16"/>
                <w:szCs w:val="16"/>
              </w:rPr>
            </w:pPr>
            <w:r w:rsidRPr="00CA51CD">
              <w:rPr>
                <w:color w:val="002060"/>
                <w:sz w:val="16"/>
                <w:szCs w:val="16"/>
              </w:rPr>
              <w:t>de Madrid y de La Haya</w:t>
            </w:r>
          </w:p>
          <w:p w:rsidR="00285417" w:rsidRPr="00CA51CD" w:rsidRDefault="00285417" w:rsidP="00DC1333">
            <w:pPr>
              <w:autoSpaceDE w:val="0"/>
              <w:autoSpaceDN w:val="0"/>
              <w:adjustRightInd w:val="0"/>
              <w:rPr>
                <w:color w:val="002060"/>
                <w:sz w:val="16"/>
                <w:szCs w:val="16"/>
              </w:rPr>
            </w:pPr>
            <w:r w:rsidRPr="00CA51CD">
              <w:rPr>
                <w:color w:val="002060"/>
                <w:sz w:val="16"/>
                <w:szCs w:val="16"/>
              </w:rPr>
              <w:t>estaban satisfechos o muy</w:t>
            </w:r>
          </w:p>
          <w:p w:rsidR="00285417" w:rsidRPr="00CA51CD" w:rsidRDefault="00285417" w:rsidP="00DC1333">
            <w:pPr>
              <w:rPr>
                <w:i/>
                <w:color w:val="002060"/>
                <w:sz w:val="16"/>
                <w:szCs w:val="16"/>
              </w:rPr>
            </w:pPr>
            <w:r w:rsidRPr="00CA51CD">
              <w:rPr>
                <w:color w:val="002060"/>
                <w:sz w:val="16"/>
                <w:szCs w:val="16"/>
              </w:rPr>
              <w:t>satisfechos</w:t>
            </w:r>
          </w:p>
          <w:p w:rsidR="00285417" w:rsidRPr="00CA51CD" w:rsidRDefault="00285417" w:rsidP="00DC1333">
            <w:pPr>
              <w:rPr>
                <w:color w:val="002060"/>
                <w:sz w:val="16"/>
                <w:szCs w:val="16"/>
              </w:rPr>
            </w:pPr>
            <w:r w:rsidRPr="00CA51CD">
              <w:rPr>
                <w:color w:val="002060"/>
                <w:sz w:val="16"/>
                <w:szCs w:val="16"/>
              </w:rPr>
              <w:t>Madrid= 80%</w:t>
            </w:r>
          </w:p>
          <w:p w:rsidR="00285417" w:rsidRPr="00CA51CD" w:rsidRDefault="00285417" w:rsidP="00DC1333">
            <w:pPr>
              <w:rPr>
                <w:color w:val="002060"/>
                <w:sz w:val="16"/>
                <w:szCs w:val="16"/>
              </w:rPr>
            </w:pPr>
            <w:r w:rsidRPr="00CA51CD">
              <w:rPr>
                <w:color w:val="002060"/>
                <w:sz w:val="16"/>
                <w:szCs w:val="16"/>
              </w:rPr>
              <w:t>La Haya= 88%</w:t>
            </w:r>
          </w:p>
          <w:p w:rsidR="00285417" w:rsidRPr="00CA51CD" w:rsidRDefault="00285417" w:rsidP="00DC1333">
            <w:pPr>
              <w:rPr>
                <w:i/>
                <w:sz w:val="8"/>
                <w:szCs w:val="8"/>
              </w:rPr>
            </w:pPr>
          </w:p>
          <w:p w:rsidR="00285417" w:rsidRPr="00CA51CD" w:rsidRDefault="00285417" w:rsidP="00DC1333">
            <w:pPr>
              <w:rPr>
                <w:sz w:val="16"/>
                <w:szCs w:val="16"/>
              </w:rPr>
            </w:pPr>
            <w:r w:rsidRPr="00CA51CD">
              <w:rPr>
                <w:i/>
                <w:sz w:val="16"/>
                <w:szCs w:val="16"/>
              </w:rPr>
              <w:t>Referencia original en el presupuesto por programas de 2014/15:</w:t>
            </w:r>
            <w:r w:rsidRPr="00CA51CD">
              <w:t xml:space="preserve"> </w:t>
            </w:r>
            <w:r w:rsidRPr="00CA51CD">
              <w:rPr>
                <w:sz w:val="16"/>
                <w:szCs w:val="16"/>
              </w:rPr>
              <w:t>Resultados de la encuesta de 2012: el 86% de los usuarios de los Sistemas de Madrid y de La Haya estaban satisfechos o muy satisfechos</w:t>
            </w:r>
          </w:p>
        </w:tc>
        <w:tc>
          <w:tcPr>
            <w:tcW w:w="750" w:type="pct"/>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86% satisfechos o muy satisfechos</w:t>
            </w:r>
          </w:p>
        </w:tc>
        <w:tc>
          <w:tcPr>
            <w:tcW w:w="1124" w:type="pct"/>
            <w:shd w:val="clear" w:color="auto" w:fill="FFFFFF"/>
            <w:tcMar>
              <w:top w:w="110" w:type="dxa"/>
            </w:tcMar>
          </w:tcPr>
          <w:p w:rsidR="00285417" w:rsidRPr="00CA51CD" w:rsidRDefault="00285417" w:rsidP="00DC1333">
            <w:pPr>
              <w:autoSpaceDE w:val="0"/>
              <w:autoSpaceDN w:val="0"/>
              <w:adjustRightInd w:val="0"/>
              <w:rPr>
                <w:sz w:val="16"/>
                <w:szCs w:val="16"/>
              </w:rPr>
            </w:pPr>
            <w:r w:rsidRPr="00CA51CD">
              <w:rPr>
                <w:sz w:val="16"/>
                <w:szCs w:val="16"/>
              </w:rPr>
              <w:t>En general el 85% de los usuarios de los Sistemas del PCT y de Madrid estaban satisfechos o muy satisfechos</w:t>
            </w:r>
          </w:p>
          <w:p w:rsidR="00285417" w:rsidRPr="00CA51CD" w:rsidRDefault="00285417" w:rsidP="00DC1333">
            <w:pPr>
              <w:ind w:left="32"/>
              <w:rPr>
                <w:sz w:val="16"/>
                <w:szCs w:val="16"/>
              </w:rPr>
            </w:pPr>
          </w:p>
          <w:p w:rsidR="00285417" w:rsidRPr="00CA51CD" w:rsidRDefault="00285417" w:rsidP="00DC1333">
            <w:pPr>
              <w:rPr>
                <w:sz w:val="16"/>
                <w:szCs w:val="16"/>
              </w:rPr>
            </w:pPr>
            <w:r w:rsidRPr="00CA51CD">
              <w:rPr>
                <w:sz w:val="16"/>
                <w:szCs w:val="16"/>
              </w:rPr>
              <w:t>PCT= 89%</w:t>
            </w:r>
          </w:p>
          <w:p w:rsidR="00285417" w:rsidRPr="00CA51CD" w:rsidRDefault="00285417" w:rsidP="00DC1333">
            <w:pPr>
              <w:rPr>
                <w:sz w:val="16"/>
                <w:szCs w:val="16"/>
              </w:rPr>
            </w:pPr>
          </w:p>
          <w:p w:rsidR="00285417" w:rsidRPr="00CA51CD" w:rsidRDefault="00285417" w:rsidP="00DC1333">
            <w:pPr>
              <w:ind w:left="32"/>
              <w:rPr>
                <w:sz w:val="16"/>
                <w:szCs w:val="16"/>
              </w:rPr>
            </w:pPr>
            <w:r w:rsidRPr="00CA51CD">
              <w:rPr>
                <w:sz w:val="16"/>
                <w:szCs w:val="16"/>
              </w:rPr>
              <w:t>Madrid= 81%</w:t>
            </w:r>
          </w:p>
          <w:p w:rsidR="00285417" w:rsidRPr="00CA51CD" w:rsidRDefault="00285417" w:rsidP="00DC1333">
            <w:pPr>
              <w:ind w:left="32"/>
              <w:rPr>
                <w:sz w:val="16"/>
                <w:szCs w:val="16"/>
              </w:rPr>
            </w:pPr>
          </w:p>
          <w:p w:rsidR="00285417" w:rsidRPr="00CA51CD" w:rsidRDefault="00285417" w:rsidP="00DC1333">
            <w:pPr>
              <w:ind w:left="32"/>
              <w:rPr>
                <w:sz w:val="16"/>
                <w:szCs w:val="16"/>
              </w:rPr>
            </w:pPr>
            <w:r w:rsidRPr="00CA51CD">
              <w:rPr>
                <w:sz w:val="16"/>
                <w:szCs w:val="16"/>
              </w:rPr>
              <w:t>En 2014/15 no se evaluó la satisfacción de los usuarios del Sistema de la Haya</w:t>
            </w:r>
          </w:p>
          <w:p w:rsidR="00285417" w:rsidRPr="00CA51CD" w:rsidRDefault="00285417" w:rsidP="00DC1333">
            <w:pPr>
              <w:ind w:left="32"/>
              <w:rPr>
                <w:sz w:val="16"/>
                <w:szCs w:val="16"/>
              </w:rPr>
            </w:pPr>
          </w:p>
          <w:p w:rsidR="00285417" w:rsidRPr="00CA51CD" w:rsidRDefault="00285417" w:rsidP="00DC1333">
            <w:pPr>
              <w:ind w:left="32"/>
              <w:rPr>
                <w:sz w:val="16"/>
                <w:szCs w:val="16"/>
              </w:rPr>
            </w:pPr>
          </w:p>
        </w:tc>
        <w:tc>
          <w:tcPr>
            <w:tcW w:w="674" w:type="pct"/>
            <w:tcMar>
              <w:top w:w="110" w:type="dxa"/>
            </w:tcMar>
          </w:tcPr>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color w:val="00B050"/>
                <w:sz w:val="16"/>
                <w:szCs w:val="16"/>
              </w:rPr>
            </w:pPr>
          </w:p>
          <w:p w:rsidR="00285417" w:rsidRPr="00CA51CD" w:rsidRDefault="00285417" w:rsidP="00DC1333">
            <w:pPr>
              <w:keepNext/>
              <w:keepLines/>
              <w:ind w:left="-108"/>
              <w:jc w:val="center"/>
              <w:rPr>
                <w:b/>
                <w:bCs/>
                <w:color w:val="00B050"/>
                <w:sz w:val="16"/>
                <w:szCs w:val="16"/>
              </w:rPr>
            </w:pPr>
            <w:r w:rsidRPr="00CA51CD">
              <w:rPr>
                <w:b/>
                <w:color w:val="00B050"/>
                <w:sz w:val="16"/>
                <w:szCs w:val="16"/>
              </w:rPr>
              <w:t>Plenamente logrado</w:t>
            </w:r>
          </w:p>
          <w:p w:rsidR="00285417" w:rsidRPr="00CA51CD" w:rsidRDefault="00285417" w:rsidP="00DC1333">
            <w:pPr>
              <w:keepNext/>
              <w:keepLines/>
              <w:jc w:val="center"/>
              <w:rPr>
                <w:b/>
                <w:bCs/>
                <w:sz w:val="16"/>
                <w:szCs w:val="16"/>
              </w:rPr>
            </w:pPr>
          </w:p>
          <w:p w:rsidR="00285417" w:rsidRPr="00CA51CD" w:rsidRDefault="00285417" w:rsidP="00DC1333">
            <w:pPr>
              <w:keepNext/>
              <w:keepLines/>
              <w:ind w:left="-108"/>
              <w:jc w:val="center"/>
              <w:rPr>
                <w:b/>
                <w:bCs/>
                <w:color w:val="00B050"/>
                <w:sz w:val="16"/>
                <w:szCs w:val="16"/>
              </w:rPr>
            </w:pPr>
            <w:r w:rsidRPr="00CA51CD">
              <w:rPr>
                <w:b/>
                <w:color w:val="00B050"/>
                <w:sz w:val="16"/>
                <w:szCs w:val="16"/>
              </w:rPr>
              <w:t>Plenamente logrado</w:t>
            </w:r>
          </w:p>
          <w:p w:rsidR="00285417" w:rsidRPr="00CA51CD" w:rsidRDefault="00285417" w:rsidP="00DC1333">
            <w:pPr>
              <w:keepNext/>
              <w:keepLines/>
              <w:jc w:val="center"/>
              <w:rPr>
                <w:b/>
                <w:bCs/>
                <w:sz w:val="16"/>
                <w:szCs w:val="16"/>
              </w:rPr>
            </w:pPr>
          </w:p>
          <w:p w:rsidR="00285417" w:rsidRPr="00CA51CD" w:rsidRDefault="00285417" w:rsidP="00DC1333">
            <w:pPr>
              <w:keepNext/>
              <w:keepLines/>
              <w:jc w:val="center"/>
              <w:rPr>
                <w:b/>
                <w:bCs/>
                <w:sz w:val="16"/>
                <w:szCs w:val="16"/>
              </w:rPr>
            </w:pPr>
            <w:r w:rsidRPr="00CA51CD">
              <w:rPr>
                <w:b/>
                <w:bCs/>
                <w:color w:val="808080"/>
                <w:sz w:val="16"/>
                <w:szCs w:val="16"/>
              </w:rPr>
              <w:t>No mensurable</w:t>
            </w:r>
          </w:p>
        </w:tc>
      </w:tr>
      <w:tr w:rsidR="00285417" w:rsidRPr="00CA51CD" w:rsidTr="00DC1333">
        <w:tc>
          <w:tcPr>
            <w:tcW w:w="1103" w:type="pct"/>
            <w:tcBorders>
              <w:bottom w:val="single" w:sz="4" w:space="0" w:color="auto"/>
            </w:tcBorders>
          </w:tcPr>
          <w:p w:rsidR="00285417" w:rsidRPr="00CA51CD" w:rsidRDefault="00285417" w:rsidP="00DC1333">
            <w:pPr>
              <w:rPr>
                <w:sz w:val="16"/>
                <w:szCs w:val="16"/>
              </w:rPr>
            </w:pPr>
            <w:r w:rsidRPr="00CA51CD">
              <w:rPr>
                <w:sz w:val="16"/>
                <w:szCs w:val="16"/>
              </w:rPr>
              <w:t>Se cumplen los objetivos definidos en el sitio web de la OMPI para la calidad del servicio</w:t>
            </w:r>
          </w:p>
        </w:tc>
        <w:tc>
          <w:tcPr>
            <w:tcW w:w="1349" w:type="pct"/>
            <w:tcBorders>
              <w:bottom w:val="single" w:sz="4" w:space="0" w:color="auto"/>
            </w:tcBorders>
            <w:shd w:val="clear" w:color="auto" w:fill="auto"/>
          </w:tcPr>
          <w:p w:rsidR="00285417" w:rsidRPr="00CA51CD" w:rsidRDefault="00285417" w:rsidP="00DC1333">
            <w:pPr>
              <w:rPr>
                <w:color w:val="002060"/>
                <w:sz w:val="16"/>
                <w:szCs w:val="16"/>
              </w:rPr>
            </w:pPr>
            <w:r w:rsidRPr="00CA51CD">
              <w:rPr>
                <w:i/>
                <w:color w:val="002060"/>
                <w:sz w:val="16"/>
                <w:szCs w:val="16"/>
              </w:rPr>
              <w:t>Referencia actualizada a fines de 2013:  n</w:t>
            </w:r>
            <w:r w:rsidRPr="00CA51CD">
              <w:rPr>
                <w:color w:val="002060"/>
                <w:sz w:val="16"/>
                <w:szCs w:val="16"/>
              </w:rPr>
              <w:t>o hay referencias</w:t>
            </w:r>
          </w:p>
          <w:p w:rsidR="00285417" w:rsidRPr="00CA51CD" w:rsidRDefault="00285417" w:rsidP="00DC1333">
            <w:pPr>
              <w:rPr>
                <w:sz w:val="16"/>
                <w:szCs w:val="16"/>
              </w:rPr>
            </w:pPr>
          </w:p>
          <w:p w:rsidR="00285417" w:rsidRPr="00CA51CD" w:rsidRDefault="00285417" w:rsidP="00DC1333">
            <w:pPr>
              <w:rPr>
                <w:i/>
                <w:sz w:val="16"/>
                <w:szCs w:val="16"/>
              </w:rPr>
            </w:pPr>
            <w:r w:rsidRPr="00CA51CD">
              <w:rPr>
                <w:i/>
                <w:sz w:val="16"/>
                <w:szCs w:val="16"/>
              </w:rPr>
              <w:t>Referencia original en el presupuesto por programas de 2014/15:</w:t>
            </w:r>
            <w:r w:rsidRPr="00CA51CD">
              <w:t xml:space="preserve"> </w:t>
            </w:r>
            <w:r w:rsidRPr="00CA51CD">
              <w:rPr>
                <w:sz w:val="16"/>
                <w:szCs w:val="16"/>
              </w:rPr>
              <w:t>Por definir respecto de los ámbitos específicos</w:t>
            </w:r>
          </w:p>
        </w:tc>
        <w:tc>
          <w:tcPr>
            <w:tcW w:w="750" w:type="pct"/>
            <w:tcBorders>
              <w:bottom w:val="single" w:sz="4" w:space="0" w:color="auto"/>
            </w:tcBorders>
            <w:tcMar>
              <w:top w:w="110" w:type="dxa"/>
            </w:tcMar>
          </w:tcPr>
          <w:p w:rsidR="00285417" w:rsidRPr="00CA51CD" w:rsidRDefault="00285417" w:rsidP="00DC1333">
            <w:pPr>
              <w:autoSpaceDE w:val="0"/>
              <w:autoSpaceDN w:val="0"/>
              <w:adjustRightInd w:val="0"/>
              <w:ind w:left="-50" w:right="-96"/>
              <w:rPr>
                <w:sz w:val="16"/>
                <w:szCs w:val="16"/>
              </w:rPr>
            </w:pPr>
            <w:r w:rsidRPr="00CA51CD">
              <w:rPr>
                <w:sz w:val="16"/>
                <w:szCs w:val="16"/>
              </w:rPr>
              <w:t xml:space="preserve">Objetivo definido: Normas de servicio del Centro de Atención al Cliente </w:t>
            </w:r>
          </w:p>
          <w:p w:rsidR="00285417" w:rsidRPr="00CA51CD" w:rsidRDefault="00285417" w:rsidP="00DC1333">
            <w:pPr>
              <w:autoSpaceDE w:val="0"/>
              <w:autoSpaceDN w:val="0"/>
              <w:adjustRightInd w:val="0"/>
              <w:ind w:left="-50" w:right="-96"/>
              <w:rPr>
                <w:sz w:val="16"/>
                <w:szCs w:val="16"/>
              </w:rPr>
            </w:pPr>
            <w:r w:rsidRPr="00CA51CD">
              <w:rPr>
                <w:sz w:val="16"/>
                <w:szCs w:val="16"/>
              </w:rPr>
              <w:t xml:space="preserve">i) 90% de tickets tramitados en un día </w:t>
            </w:r>
          </w:p>
          <w:p w:rsidR="00285417" w:rsidRPr="00CA51CD" w:rsidRDefault="00285417" w:rsidP="00DC1333">
            <w:pPr>
              <w:autoSpaceDE w:val="0"/>
              <w:autoSpaceDN w:val="0"/>
              <w:adjustRightInd w:val="0"/>
              <w:rPr>
                <w:sz w:val="16"/>
                <w:szCs w:val="16"/>
              </w:rPr>
            </w:pPr>
          </w:p>
          <w:p w:rsidR="00285417" w:rsidRPr="00CA51CD" w:rsidRDefault="00285417" w:rsidP="00DC1333">
            <w:pPr>
              <w:autoSpaceDE w:val="0"/>
              <w:autoSpaceDN w:val="0"/>
              <w:adjustRightInd w:val="0"/>
              <w:ind w:left="-50" w:right="-96"/>
              <w:rPr>
                <w:sz w:val="16"/>
                <w:szCs w:val="16"/>
              </w:rPr>
            </w:pPr>
            <w:r w:rsidRPr="00CA51CD">
              <w:rPr>
                <w:sz w:val="16"/>
                <w:szCs w:val="16"/>
              </w:rPr>
              <w:t xml:space="preserve">ii) 90% de quejas tramitadas en ocho horas de trabajo </w:t>
            </w:r>
          </w:p>
          <w:p w:rsidR="00285417" w:rsidRPr="00CA51CD" w:rsidRDefault="00285417" w:rsidP="00DC1333">
            <w:pPr>
              <w:autoSpaceDE w:val="0"/>
              <w:autoSpaceDN w:val="0"/>
              <w:adjustRightInd w:val="0"/>
              <w:rPr>
                <w:sz w:val="16"/>
                <w:szCs w:val="16"/>
              </w:rPr>
            </w:pPr>
          </w:p>
          <w:p w:rsidR="00285417" w:rsidRPr="00CA51CD" w:rsidRDefault="00285417" w:rsidP="00DC1333">
            <w:pPr>
              <w:autoSpaceDE w:val="0"/>
              <w:autoSpaceDN w:val="0"/>
              <w:adjustRightInd w:val="0"/>
              <w:ind w:left="-50" w:right="-96"/>
              <w:rPr>
                <w:sz w:val="16"/>
                <w:szCs w:val="16"/>
              </w:rPr>
            </w:pPr>
            <w:r w:rsidRPr="00CA51CD">
              <w:rPr>
                <w:sz w:val="16"/>
                <w:szCs w:val="16"/>
              </w:rPr>
              <w:t xml:space="preserve">Referencia original </w:t>
            </w:r>
            <w:r w:rsidRPr="00CA51CD">
              <w:rPr>
                <w:sz w:val="16"/>
                <w:szCs w:val="16"/>
              </w:rPr>
              <w:lastRenderedPageBreak/>
              <w:t xml:space="preserve">en el presupuesto por programas de 2014/15: Por definir respecto de los ámbitos específicos </w:t>
            </w:r>
          </w:p>
          <w:p w:rsidR="00285417" w:rsidRPr="00CA51CD" w:rsidRDefault="00285417" w:rsidP="00DC1333">
            <w:pPr>
              <w:autoSpaceDE w:val="0"/>
              <w:autoSpaceDN w:val="0"/>
              <w:adjustRightInd w:val="0"/>
              <w:rPr>
                <w:sz w:val="16"/>
                <w:szCs w:val="16"/>
              </w:rPr>
            </w:pPr>
          </w:p>
        </w:tc>
        <w:tc>
          <w:tcPr>
            <w:tcW w:w="1124" w:type="pct"/>
            <w:tcBorders>
              <w:bottom w:val="single" w:sz="4" w:space="0" w:color="auto"/>
            </w:tcBorders>
            <w:shd w:val="clear" w:color="auto" w:fill="FFFFFF"/>
            <w:tcMar>
              <w:top w:w="110" w:type="dxa"/>
            </w:tcMar>
          </w:tcPr>
          <w:p w:rsidR="00285417" w:rsidRPr="00CA51CD" w:rsidRDefault="00285417" w:rsidP="00DC1333">
            <w:pPr>
              <w:rPr>
                <w:sz w:val="16"/>
                <w:szCs w:val="16"/>
              </w:rPr>
            </w:pPr>
            <w:r w:rsidRPr="00CA51CD">
              <w:rPr>
                <w:sz w:val="16"/>
                <w:szCs w:val="16"/>
              </w:rPr>
              <w:lastRenderedPageBreak/>
              <w:t xml:space="preserve">i) 92% de tickets tramitados en 1 día  </w:t>
            </w:r>
          </w:p>
          <w:p w:rsidR="00285417" w:rsidRPr="00CA51CD" w:rsidRDefault="00285417" w:rsidP="00DC1333">
            <w:pPr>
              <w:rPr>
                <w:sz w:val="16"/>
                <w:szCs w:val="16"/>
              </w:rPr>
            </w:pPr>
          </w:p>
          <w:p w:rsidR="00285417" w:rsidRPr="00CA51CD" w:rsidRDefault="00285417" w:rsidP="00DC1333">
            <w:pPr>
              <w:rPr>
                <w:sz w:val="16"/>
                <w:szCs w:val="16"/>
              </w:rPr>
            </w:pPr>
            <w:r w:rsidRPr="00CA51CD">
              <w:rPr>
                <w:sz w:val="16"/>
                <w:szCs w:val="16"/>
              </w:rPr>
              <w:t xml:space="preserve">ii) 100% de las quejas tramitadas en ocho horas de trabajo </w:t>
            </w:r>
          </w:p>
        </w:tc>
        <w:tc>
          <w:tcPr>
            <w:tcW w:w="674" w:type="pct"/>
            <w:tcBorders>
              <w:bottom w:val="single" w:sz="4" w:space="0" w:color="auto"/>
            </w:tcBorders>
            <w:tcMar>
              <w:top w:w="110" w:type="dxa"/>
            </w:tcMar>
          </w:tcPr>
          <w:p w:rsidR="00285417" w:rsidRPr="00CA51CD" w:rsidRDefault="00285417" w:rsidP="00DC1333">
            <w:pPr>
              <w:keepNext/>
              <w:keepLines/>
              <w:ind w:left="-108"/>
              <w:jc w:val="center"/>
              <w:rPr>
                <w:b/>
                <w:bCs/>
                <w:color w:val="00B050"/>
                <w:sz w:val="16"/>
                <w:szCs w:val="16"/>
              </w:rPr>
            </w:pPr>
            <w:r w:rsidRPr="00CA51CD">
              <w:rPr>
                <w:b/>
                <w:color w:val="00B050"/>
                <w:sz w:val="16"/>
                <w:szCs w:val="16"/>
              </w:rPr>
              <w:t>Plenamente logrado</w:t>
            </w:r>
          </w:p>
          <w:p w:rsidR="00285417" w:rsidRPr="00CA51CD" w:rsidRDefault="00285417" w:rsidP="00DC1333">
            <w:pPr>
              <w:keepNext/>
              <w:keepLines/>
              <w:jc w:val="center"/>
              <w:rPr>
                <w:b/>
                <w:bCs/>
                <w:color w:val="00B050"/>
                <w:sz w:val="16"/>
                <w:szCs w:val="16"/>
              </w:rPr>
            </w:pPr>
          </w:p>
          <w:p w:rsidR="00285417" w:rsidRPr="00CA51CD" w:rsidRDefault="00285417" w:rsidP="00DC1333">
            <w:pPr>
              <w:keepNext/>
              <w:keepLines/>
              <w:ind w:left="-108"/>
              <w:jc w:val="center"/>
              <w:rPr>
                <w:b/>
                <w:bCs/>
                <w:color w:val="00B050"/>
                <w:sz w:val="16"/>
                <w:szCs w:val="16"/>
              </w:rPr>
            </w:pPr>
            <w:r w:rsidRPr="00CA51CD">
              <w:rPr>
                <w:b/>
                <w:bCs/>
                <w:color w:val="00B050"/>
                <w:sz w:val="16"/>
                <w:szCs w:val="16"/>
              </w:rPr>
              <w:t>Plenamente logrado</w:t>
            </w:r>
          </w:p>
        </w:tc>
      </w:tr>
    </w:tbl>
    <w:p w:rsidR="00285417" w:rsidRPr="00CA51CD" w:rsidRDefault="00285417" w:rsidP="00DC1333">
      <w:pPr>
        <w:jc w:val="both"/>
        <w:rPr>
          <w:color w:val="000000"/>
          <w:szCs w:val="22"/>
        </w:rPr>
      </w:pPr>
    </w:p>
    <w:p w:rsidR="00285417" w:rsidRDefault="00285417" w:rsidP="00DC1333">
      <w:pPr>
        <w:rPr>
          <w:szCs w:val="22"/>
        </w:rPr>
      </w:pPr>
    </w:p>
    <w:p w:rsidR="00285417" w:rsidRPr="00CA51CD" w:rsidRDefault="008F7CBE" w:rsidP="00DC1333">
      <w:pPr>
        <w:keepNext/>
        <w:keepLines/>
        <w:rPr>
          <w:color w:val="000000"/>
          <w:szCs w:val="22"/>
        </w:rPr>
      </w:pPr>
      <w:r w:rsidRPr="008F7CBE">
        <w:rPr>
          <w:sz w:val="20"/>
        </w:rPr>
        <w:t>INFORMACIÓN SOBRE LOS RIESGOS PLANTEADOS EN EL BIENIO</w:t>
      </w:r>
    </w:p>
    <w:p w:rsidR="00285417" w:rsidRPr="00CA51CD" w:rsidRDefault="00285417" w:rsidP="00DC1333">
      <w:pPr>
        <w:keepNext/>
        <w:keepLines/>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20"/>
        <w:gridCol w:w="2200"/>
        <w:gridCol w:w="2310"/>
        <w:gridCol w:w="2709"/>
      </w:tblGrid>
      <w:tr w:rsidR="00285417" w:rsidRPr="00CA51CD" w:rsidTr="00DC1333">
        <w:trPr>
          <w:trHeight w:val="402"/>
          <w:tblHead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85417" w:rsidRPr="00CA51CD" w:rsidRDefault="00285417" w:rsidP="00DC1333">
            <w:pPr>
              <w:keepNext/>
              <w:keepLines/>
              <w:autoSpaceDE w:val="0"/>
              <w:autoSpaceDN w:val="0"/>
              <w:adjustRightInd w:val="0"/>
              <w:ind w:right="-59"/>
              <w:jc w:val="center"/>
              <w:rPr>
                <w:b/>
                <w:bCs/>
                <w:sz w:val="18"/>
                <w:szCs w:val="18"/>
              </w:rPr>
            </w:pPr>
            <w:r w:rsidRPr="00CA51CD">
              <w:rPr>
                <w:b/>
                <w:bCs/>
                <w:i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85417" w:rsidRPr="00CA51CD" w:rsidRDefault="00285417" w:rsidP="00DC1333">
            <w:pPr>
              <w:keepNext/>
              <w:keepLines/>
              <w:autoSpaceDE w:val="0"/>
              <w:autoSpaceDN w:val="0"/>
              <w:adjustRightInd w:val="0"/>
              <w:ind w:right="-59"/>
              <w:jc w:val="center"/>
              <w:rPr>
                <w:b/>
                <w:bCs/>
                <w:sz w:val="18"/>
                <w:szCs w:val="18"/>
              </w:rPr>
            </w:pPr>
            <w:r w:rsidRPr="00CA51CD">
              <w:rPr>
                <w:b/>
                <w:bCs/>
                <w:i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tcPr>
          <w:p w:rsidR="00285417" w:rsidRPr="00CA51CD" w:rsidRDefault="00285417" w:rsidP="00DC1333">
            <w:pPr>
              <w:keepNext/>
              <w:keepLines/>
              <w:jc w:val="center"/>
              <w:rPr>
                <w:b/>
                <w:bCs/>
                <w:sz w:val="18"/>
                <w:szCs w:val="18"/>
              </w:rPr>
            </w:pPr>
            <w:r w:rsidRPr="00CA51CD">
              <w:rPr>
                <w:b/>
                <w:bCs/>
                <w:iCs/>
                <w:sz w:val="18"/>
                <w:szCs w:val="18"/>
              </w:rPr>
              <w:t>Evolución de los riesgos y estrategias de mitigación durante el bienio</w:t>
            </w:r>
          </w:p>
        </w:tc>
        <w:tc>
          <w:tcPr>
            <w:tcW w:w="2709" w:type="dxa"/>
            <w:tcBorders>
              <w:top w:val="single" w:sz="4" w:space="0" w:color="auto"/>
              <w:bottom w:val="single" w:sz="4" w:space="0" w:color="auto"/>
            </w:tcBorders>
            <w:shd w:val="clear" w:color="auto" w:fill="C6D9F1" w:themeFill="text2" w:themeFillTint="33"/>
          </w:tcPr>
          <w:p w:rsidR="00285417" w:rsidRPr="00CA51CD" w:rsidRDefault="00285417" w:rsidP="00DC1333">
            <w:pPr>
              <w:keepNext/>
              <w:keepLines/>
              <w:jc w:val="center"/>
              <w:rPr>
                <w:b/>
                <w:bCs/>
                <w:sz w:val="18"/>
                <w:szCs w:val="18"/>
              </w:rPr>
            </w:pPr>
            <w:r w:rsidRPr="00CA51CD">
              <w:rPr>
                <w:b/>
                <w:bCs/>
                <w:sz w:val="18"/>
                <w:szCs w:val="18"/>
              </w:rPr>
              <w:t>Incidencia en el rendimiento del programa</w:t>
            </w:r>
          </w:p>
        </w:tc>
      </w:tr>
      <w:tr w:rsidR="00285417" w:rsidRPr="00CA51CD" w:rsidTr="00DC1333">
        <w:trPr>
          <w:trHeight w:val="782"/>
        </w:trPr>
        <w:tc>
          <w:tcPr>
            <w:tcW w:w="2420" w:type="dxa"/>
            <w:tcBorders>
              <w:top w:val="single" w:sz="4" w:space="0" w:color="auto"/>
            </w:tcBorders>
            <w:shd w:val="clear" w:color="auto" w:fill="auto"/>
            <w:tcMar>
              <w:top w:w="113" w:type="dxa"/>
              <w:bottom w:w="85" w:type="dxa"/>
            </w:tcMar>
          </w:tcPr>
          <w:p w:rsidR="00285417" w:rsidRPr="00CA51CD" w:rsidRDefault="00285417" w:rsidP="00DC1333">
            <w:pPr>
              <w:keepNext/>
              <w:keepLines/>
              <w:autoSpaceDE w:val="0"/>
              <w:autoSpaceDN w:val="0"/>
              <w:adjustRightInd w:val="0"/>
              <w:ind w:right="-59"/>
              <w:rPr>
                <w:i/>
                <w:sz w:val="16"/>
                <w:szCs w:val="16"/>
              </w:rPr>
            </w:pPr>
            <w:r w:rsidRPr="00CA51CD">
              <w:rPr>
                <w:sz w:val="16"/>
                <w:szCs w:val="16"/>
              </w:rPr>
              <w:t>La proliferación de nuevas demandas impide que el programa alcance el grado de especialización y los efectos necesarios para lograr una comunicación eficaz.</w:t>
            </w:r>
          </w:p>
        </w:tc>
        <w:tc>
          <w:tcPr>
            <w:tcW w:w="2200" w:type="dxa"/>
            <w:tcBorders>
              <w:top w:val="single" w:sz="4" w:space="0" w:color="auto"/>
            </w:tcBorders>
            <w:shd w:val="clear" w:color="auto" w:fill="auto"/>
            <w:tcMar>
              <w:top w:w="113" w:type="dxa"/>
              <w:bottom w:w="85" w:type="dxa"/>
            </w:tcMar>
          </w:tcPr>
          <w:p w:rsidR="00285417" w:rsidRPr="00CA51CD" w:rsidRDefault="00285417" w:rsidP="00DC1333">
            <w:pPr>
              <w:keepNext/>
              <w:keepLines/>
              <w:autoSpaceDE w:val="0"/>
              <w:autoSpaceDN w:val="0"/>
              <w:adjustRightInd w:val="0"/>
              <w:ind w:right="-59"/>
              <w:rPr>
                <w:i/>
                <w:sz w:val="16"/>
                <w:szCs w:val="16"/>
              </w:rPr>
            </w:pPr>
            <w:r w:rsidRPr="00CA51CD">
              <w:rPr>
                <w:sz w:val="16"/>
                <w:szCs w:val="16"/>
              </w:rPr>
              <w:t>Cada año se señalará un número limitado de actividades/productos/logros importantes de la OMPI como prioridades máximas acordadas con miras a su promoción y comercialización.</w:t>
            </w:r>
          </w:p>
        </w:tc>
        <w:tc>
          <w:tcPr>
            <w:tcW w:w="2310" w:type="dxa"/>
            <w:tcBorders>
              <w:top w:val="single" w:sz="4" w:space="0" w:color="auto"/>
            </w:tcBorders>
          </w:tcPr>
          <w:p w:rsidR="00285417" w:rsidRPr="00CA51CD" w:rsidRDefault="00285417" w:rsidP="00DC1333">
            <w:pPr>
              <w:keepNext/>
              <w:keepLines/>
              <w:autoSpaceDE w:val="0"/>
              <w:autoSpaceDN w:val="0"/>
              <w:adjustRightInd w:val="0"/>
              <w:ind w:right="-59"/>
              <w:rPr>
                <w:sz w:val="16"/>
                <w:szCs w:val="16"/>
              </w:rPr>
            </w:pPr>
            <w:r w:rsidRPr="00CA51CD">
              <w:rPr>
                <w:sz w:val="16"/>
                <w:szCs w:val="16"/>
              </w:rPr>
              <w:t>La estrategia de mitigación se aplicó de manera eficaz.  Entre las actividades importantes a las que se dio prioridad y que fueron promocionadas con éxito se encuentran el Día Mundial de la P.I.;  la publicación del Índice Mundial de Innovación;  la publicación del Informe mundial sobre la P.I.;  las Asambleas, y la Conferencia Ministerial de África.</w:t>
            </w:r>
          </w:p>
        </w:tc>
        <w:tc>
          <w:tcPr>
            <w:tcW w:w="2709" w:type="dxa"/>
            <w:tcBorders>
              <w:top w:val="single" w:sz="4" w:space="0" w:color="auto"/>
            </w:tcBorders>
          </w:tcPr>
          <w:p w:rsidR="00285417" w:rsidRPr="00CA51CD" w:rsidRDefault="00285417" w:rsidP="00DC1333">
            <w:pPr>
              <w:keepNext/>
              <w:keepLines/>
              <w:autoSpaceDE w:val="0"/>
              <w:autoSpaceDN w:val="0"/>
              <w:adjustRightInd w:val="0"/>
              <w:ind w:right="-59"/>
              <w:rPr>
                <w:sz w:val="16"/>
                <w:szCs w:val="16"/>
              </w:rPr>
            </w:pPr>
            <w:r w:rsidRPr="00CA51CD">
              <w:rPr>
                <w:sz w:val="16"/>
                <w:szCs w:val="16"/>
              </w:rPr>
              <w:t>Se está consiguiendo repercusión y llamar la atención, tal como demuestra el aumento de la presencia en los medios de comunicación y las redes sociales y el tráfico de los sitios web de las actividades más importantes.</w:t>
            </w:r>
          </w:p>
        </w:tc>
      </w:tr>
      <w:tr w:rsidR="00285417" w:rsidRPr="00CA51CD" w:rsidTr="00DC1333">
        <w:trPr>
          <w:trHeight w:val="961"/>
        </w:trPr>
        <w:tc>
          <w:tcPr>
            <w:tcW w:w="2420" w:type="dxa"/>
            <w:shd w:val="clear" w:color="auto" w:fill="auto"/>
            <w:tcMar>
              <w:top w:w="113" w:type="dxa"/>
              <w:bottom w:w="85" w:type="dxa"/>
            </w:tcMar>
          </w:tcPr>
          <w:p w:rsidR="00285417" w:rsidRPr="00CA51CD" w:rsidRDefault="00285417" w:rsidP="00DC1333">
            <w:pPr>
              <w:keepNext/>
              <w:keepLines/>
              <w:autoSpaceDE w:val="0"/>
              <w:autoSpaceDN w:val="0"/>
              <w:adjustRightInd w:val="0"/>
              <w:ind w:right="-59"/>
              <w:rPr>
                <w:sz w:val="16"/>
                <w:szCs w:val="16"/>
              </w:rPr>
            </w:pPr>
            <w:r w:rsidRPr="00CA51CD">
              <w:rPr>
                <w:sz w:val="16"/>
                <w:szCs w:val="16"/>
              </w:rPr>
              <w:t>La OMPI no consigue evolucionar al ritmo de los cambios tecnológicos y, por tanto, pierde visibilidad e influencia en el entorno de la comunicación digital.</w:t>
            </w:r>
          </w:p>
        </w:tc>
        <w:tc>
          <w:tcPr>
            <w:tcW w:w="2200" w:type="dxa"/>
            <w:shd w:val="clear" w:color="auto" w:fill="auto"/>
            <w:tcMar>
              <w:top w:w="113" w:type="dxa"/>
              <w:bottom w:w="85" w:type="dxa"/>
            </w:tcMar>
          </w:tcPr>
          <w:p w:rsidR="00285417" w:rsidRPr="00CA51CD" w:rsidRDefault="00285417" w:rsidP="00DC1333">
            <w:pPr>
              <w:keepNext/>
              <w:keepLines/>
              <w:autoSpaceDE w:val="0"/>
              <w:autoSpaceDN w:val="0"/>
              <w:adjustRightInd w:val="0"/>
              <w:ind w:right="-59"/>
              <w:rPr>
                <w:sz w:val="16"/>
                <w:szCs w:val="16"/>
              </w:rPr>
            </w:pPr>
            <w:r w:rsidRPr="00CA51CD">
              <w:rPr>
                <w:sz w:val="16"/>
                <w:szCs w:val="16"/>
              </w:rPr>
              <w:t>Se alienta al personal que trabaja en este programa a que adquiera continuamente competencias nuevas y actualice sus conocimientos mediante la formación y el autoaprendizaje.  Las estructuras flexibles permiten compartir los nuevos conocimientos y competencias.  Se están usando las alianzas y los recursos externos con objeto de ampliar la capacidad interna de la OMPI.</w:t>
            </w:r>
          </w:p>
        </w:tc>
        <w:tc>
          <w:tcPr>
            <w:tcW w:w="2310" w:type="dxa"/>
          </w:tcPr>
          <w:p w:rsidR="00285417" w:rsidRPr="00CA51CD" w:rsidRDefault="00285417" w:rsidP="00DC1333">
            <w:pPr>
              <w:keepNext/>
              <w:keepLines/>
              <w:autoSpaceDE w:val="0"/>
              <w:autoSpaceDN w:val="0"/>
              <w:adjustRightInd w:val="0"/>
              <w:ind w:right="-59"/>
              <w:rPr>
                <w:sz w:val="16"/>
                <w:szCs w:val="16"/>
              </w:rPr>
            </w:pPr>
            <w:r w:rsidRPr="00CA51CD">
              <w:rPr>
                <w:sz w:val="16"/>
                <w:szCs w:val="16"/>
              </w:rPr>
              <w:t>Las estrategias de mitigación se aplicaron de manera eficaz.  En la formación sobre conocimientos informáticos se incluyeron aspectos como la usabilidad de los sitios web, redacción de contenidos web, redes sociales, análisis de sitios web y HTML.  Se introdujeron nuevas tecnologías a fin de dotar a la OMPI de una plataforma de alto rendimiento para la comunicación de los boletines de noticias y la comercialización.  Igualmente, la redefinición de las funciones administrativas y basadas en formatos impresos, que ahora están más orientadas al entorno digital, contribuyó a fortalecer las capacidades.</w:t>
            </w:r>
          </w:p>
        </w:tc>
        <w:tc>
          <w:tcPr>
            <w:tcW w:w="2709" w:type="dxa"/>
          </w:tcPr>
          <w:p w:rsidR="00285417" w:rsidRPr="00CA51CD" w:rsidRDefault="00285417" w:rsidP="00DC1333">
            <w:pPr>
              <w:keepNext/>
              <w:keepLines/>
              <w:autoSpaceDE w:val="0"/>
              <w:autoSpaceDN w:val="0"/>
              <w:adjustRightInd w:val="0"/>
              <w:ind w:right="-59"/>
              <w:rPr>
                <w:sz w:val="16"/>
                <w:szCs w:val="16"/>
              </w:rPr>
            </w:pPr>
            <w:r w:rsidRPr="00CA51CD">
              <w:rPr>
                <w:sz w:val="16"/>
                <w:szCs w:val="16"/>
              </w:rPr>
              <w:t>Sin incidencia importante en el rendimiento del programa excepto en el ámbito de los análisis de sitios web, en que el retraso en la puesta en funcionamiento de nuevas herramientas mermó la capacidad del programa para medir determinados indicadores clave de rendimiento.</w:t>
            </w:r>
          </w:p>
        </w:tc>
      </w:tr>
    </w:tbl>
    <w:p w:rsidR="00285417" w:rsidRDefault="00285417" w:rsidP="00DC1333">
      <w:pPr>
        <w:rPr>
          <w:szCs w:val="22"/>
        </w:rPr>
      </w:pPr>
    </w:p>
    <w:p w:rsidR="00285417" w:rsidRPr="00CA51CD" w:rsidRDefault="00285417" w:rsidP="00DC1333">
      <w:pPr>
        <w:rPr>
          <w:szCs w:val="22"/>
        </w:rPr>
      </w:pPr>
    </w:p>
    <w:p w:rsidR="00285417" w:rsidRPr="00CA51CD" w:rsidRDefault="00403D2C" w:rsidP="00F46605">
      <w:pPr>
        <w:keepNext/>
        <w:rPr>
          <w:szCs w:val="22"/>
        </w:rPr>
      </w:pPr>
      <w:r w:rsidRPr="00403D2C">
        <w:rPr>
          <w:sz w:val="20"/>
          <w:szCs w:val="22"/>
        </w:rPr>
        <w:lastRenderedPageBreak/>
        <w:t>UTILIZACIÓN DE LOS RECURSOS</w:t>
      </w:r>
    </w:p>
    <w:p w:rsidR="00285417" w:rsidRPr="00CA51CD" w:rsidRDefault="00285417" w:rsidP="00F46605">
      <w:pPr>
        <w:keepNext/>
        <w:jc w:val="both"/>
      </w:pPr>
    </w:p>
    <w:p w:rsidR="00285417" w:rsidRPr="00CA51CD" w:rsidRDefault="00285417" w:rsidP="00F46605">
      <w:pPr>
        <w:pStyle w:val="NormalWeb"/>
        <w:keepNext/>
        <w:spacing w:before="0" w:beforeAutospacing="0" w:after="0" w:afterAutospacing="0"/>
        <w:jc w:val="center"/>
        <w:rPr>
          <w:sz w:val="20"/>
          <w:szCs w:val="20"/>
          <w:lang w:val="es-ES"/>
        </w:rPr>
      </w:pPr>
      <w:r w:rsidRPr="00CA51CD">
        <w:rPr>
          <w:sz w:val="20"/>
          <w:szCs w:val="20"/>
          <w:lang w:val="es-ES"/>
        </w:rPr>
        <w:t>Presupuesto y gastos reales (por resultado)</w:t>
      </w:r>
    </w:p>
    <w:p w:rsidR="00285417" w:rsidRPr="00CA51CD" w:rsidRDefault="00285417" w:rsidP="00F46605">
      <w:pPr>
        <w:pStyle w:val="NormalWeb"/>
        <w:keepNext/>
        <w:spacing w:before="0" w:beforeAutospacing="0" w:after="0" w:afterAutospacing="0"/>
        <w:jc w:val="center"/>
        <w:rPr>
          <w:i/>
          <w:iCs/>
          <w:sz w:val="20"/>
          <w:szCs w:val="20"/>
          <w:lang w:val="es-ES"/>
        </w:rPr>
      </w:pPr>
      <w:r w:rsidRPr="00CA51CD">
        <w:rPr>
          <w:i/>
          <w:iCs/>
          <w:sz w:val="20"/>
          <w:szCs w:val="20"/>
          <w:lang w:val="es-ES"/>
        </w:rPr>
        <w:t>(</w:t>
      </w:r>
      <w:proofErr w:type="gramStart"/>
      <w:r w:rsidRPr="00CA51CD">
        <w:rPr>
          <w:i/>
          <w:iCs/>
          <w:sz w:val="20"/>
          <w:szCs w:val="20"/>
          <w:lang w:val="es-ES"/>
        </w:rPr>
        <w:t>en</w:t>
      </w:r>
      <w:proofErr w:type="gramEnd"/>
      <w:r w:rsidRPr="00CA51CD">
        <w:rPr>
          <w:i/>
          <w:iCs/>
          <w:sz w:val="20"/>
          <w:szCs w:val="20"/>
          <w:lang w:val="es-ES"/>
        </w:rPr>
        <w:t xml:space="preserve"> miles de francos suizos)</w:t>
      </w:r>
    </w:p>
    <w:p w:rsidR="00285417" w:rsidRPr="00CA51CD" w:rsidRDefault="00285417" w:rsidP="00F46605">
      <w:pPr>
        <w:pStyle w:val="NormalWeb"/>
        <w:keepNext/>
        <w:spacing w:before="0" w:beforeAutospacing="0" w:after="0" w:afterAutospacing="0"/>
        <w:jc w:val="center"/>
        <w:rPr>
          <w:i/>
          <w:iCs/>
          <w:sz w:val="20"/>
          <w:szCs w:val="20"/>
          <w:lang w:val="es-ES"/>
        </w:rPr>
      </w:pPr>
    </w:p>
    <w:p w:rsidR="00285417" w:rsidRPr="00CA51CD" w:rsidRDefault="00285417" w:rsidP="00F46605">
      <w:pPr>
        <w:pStyle w:val="NormalWeb"/>
        <w:keepNext/>
        <w:spacing w:before="0" w:beforeAutospacing="0" w:after="0" w:afterAutospacing="0"/>
        <w:jc w:val="center"/>
        <w:rPr>
          <w:sz w:val="20"/>
          <w:szCs w:val="20"/>
          <w:lang w:val="es-ES"/>
        </w:rPr>
      </w:pPr>
      <w:bookmarkStart w:id="163" w:name="Bm19"/>
      <w:bookmarkStart w:id="164" w:name="Punto19"/>
      <w:r>
        <w:rPr>
          <w:noProof/>
        </w:rPr>
        <w:drawing>
          <wp:inline distT="0" distB="0" distL="0" distR="0" wp14:anchorId="28B31889" wp14:editId="79C10E4B">
            <wp:extent cx="5676900" cy="15525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76900" cy="1552575"/>
                    </a:xfrm>
                    <a:prstGeom prst="rect">
                      <a:avLst/>
                    </a:prstGeom>
                    <a:noFill/>
                    <a:ln>
                      <a:noFill/>
                    </a:ln>
                  </pic:spPr>
                </pic:pic>
              </a:graphicData>
            </a:graphic>
          </wp:inline>
        </w:drawing>
      </w:r>
      <w:bookmarkEnd w:id="163"/>
      <w:bookmarkEnd w:id="164"/>
    </w:p>
    <w:p w:rsidR="00285417" w:rsidRPr="00CA51CD" w:rsidRDefault="00285417" w:rsidP="00DC1333">
      <w:pPr>
        <w:jc w:val="both"/>
      </w:pPr>
    </w:p>
    <w:p w:rsidR="00285417" w:rsidRPr="00CA51CD" w:rsidRDefault="00285417" w:rsidP="00DC1333">
      <w:pPr>
        <w:jc w:val="both"/>
      </w:pPr>
    </w:p>
    <w:p w:rsidR="00285417" w:rsidRPr="00CA51CD" w:rsidRDefault="00285417" w:rsidP="00DC1333">
      <w:pPr>
        <w:pStyle w:val="NormalWeb"/>
        <w:keepNext/>
        <w:spacing w:before="0" w:beforeAutospacing="0" w:after="0" w:afterAutospacing="0"/>
        <w:jc w:val="center"/>
        <w:rPr>
          <w:sz w:val="20"/>
          <w:szCs w:val="20"/>
          <w:lang w:val="es-ES"/>
        </w:rPr>
      </w:pPr>
      <w:r w:rsidRPr="00CA51CD">
        <w:rPr>
          <w:sz w:val="20"/>
          <w:szCs w:val="20"/>
          <w:lang w:val="es-ES"/>
        </w:rPr>
        <w:t>Presupuesto y gastos reales (de personal y no relativos a personal)</w:t>
      </w:r>
    </w:p>
    <w:p w:rsidR="00285417" w:rsidRPr="00CA51CD" w:rsidRDefault="00285417" w:rsidP="00DC1333">
      <w:pPr>
        <w:pStyle w:val="NormalWeb"/>
        <w:keepNext/>
        <w:spacing w:before="0" w:beforeAutospacing="0" w:after="0" w:afterAutospacing="0"/>
        <w:jc w:val="center"/>
        <w:rPr>
          <w:i/>
          <w:iCs/>
          <w:sz w:val="20"/>
          <w:szCs w:val="20"/>
          <w:lang w:val="es-ES"/>
        </w:rPr>
      </w:pPr>
      <w:r w:rsidRPr="00CA51CD">
        <w:rPr>
          <w:i/>
          <w:iCs/>
          <w:sz w:val="20"/>
          <w:szCs w:val="20"/>
          <w:lang w:val="es-ES"/>
        </w:rPr>
        <w:t>(</w:t>
      </w:r>
      <w:proofErr w:type="gramStart"/>
      <w:r w:rsidRPr="00CA51CD">
        <w:rPr>
          <w:i/>
          <w:iCs/>
          <w:sz w:val="20"/>
          <w:szCs w:val="20"/>
          <w:lang w:val="es-ES"/>
        </w:rPr>
        <w:t>en</w:t>
      </w:r>
      <w:proofErr w:type="gramEnd"/>
      <w:r w:rsidRPr="00CA51CD">
        <w:rPr>
          <w:i/>
          <w:iCs/>
          <w:sz w:val="20"/>
          <w:szCs w:val="20"/>
          <w:lang w:val="es-ES"/>
        </w:rPr>
        <w:t xml:space="preserve"> miles de francos suizos)</w:t>
      </w:r>
    </w:p>
    <w:p w:rsidR="00285417" w:rsidRPr="00CA51CD" w:rsidRDefault="00285417" w:rsidP="00DC1333">
      <w:pPr>
        <w:pStyle w:val="NormalWeb"/>
        <w:keepNext/>
        <w:spacing w:before="0" w:beforeAutospacing="0" w:after="0" w:afterAutospacing="0"/>
        <w:jc w:val="both"/>
        <w:rPr>
          <w:lang w:val="es-ES"/>
        </w:rPr>
      </w:pPr>
    </w:p>
    <w:p w:rsidR="00285417" w:rsidRPr="00CA51CD" w:rsidRDefault="00285417" w:rsidP="00DC1333">
      <w:pPr>
        <w:keepNext/>
        <w:jc w:val="center"/>
      </w:pPr>
      <w:bookmarkStart w:id="165" w:name="Point19"/>
      <w:r>
        <w:rPr>
          <w:noProof/>
          <w:lang w:val="en-US" w:eastAsia="en-US"/>
        </w:rPr>
        <w:drawing>
          <wp:inline distT="0" distB="0" distL="0" distR="0" wp14:anchorId="7E4E3ADE" wp14:editId="1A355EF2">
            <wp:extent cx="5940425" cy="1045921"/>
            <wp:effectExtent l="0" t="0" r="3175"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40425" cy="1045921"/>
                    </a:xfrm>
                    <a:prstGeom prst="rect">
                      <a:avLst/>
                    </a:prstGeom>
                    <a:noFill/>
                    <a:ln>
                      <a:noFill/>
                    </a:ln>
                  </pic:spPr>
                </pic:pic>
              </a:graphicData>
            </a:graphic>
          </wp:inline>
        </w:drawing>
      </w:r>
      <w:bookmarkEnd w:id="165"/>
    </w:p>
    <w:p w:rsidR="00285417" w:rsidRDefault="00285417" w:rsidP="00DC1333">
      <w:pPr>
        <w:keepNext/>
        <w:autoSpaceDE w:val="0"/>
        <w:autoSpaceDN w:val="0"/>
        <w:jc w:val="both"/>
        <w:rPr>
          <w:sz w:val="20"/>
          <w:lang w:eastAsia="ko-KR"/>
        </w:rPr>
      </w:pPr>
    </w:p>
    <w:p w:rsidR="00285417" w:rsidRPr="00CA51CD" w:rsidRDefault="00285417" w:rsidP="00DC1333">
      <w:pPr>
        <w:autoSpaceDE w:val="0"/>
        <w:autoSpaceDN w:val="0"/>
        <w:jc w:val="both"/>
        <w:rPr>
          <w:sz w:val="20"/>
          <w:lang w:eastAsia="ko-KR"/>
        </w:rPr>
      </w:pPr>
    </w:p>
    <w:p w:rsidR="00285417" w:rsidRPr="00CA51CD" w:rsidRDefault="00403D2C" w:rsidP="00CC3B44">
      <w:pPr>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285417" w:rsidRPr="00CA51CD" w:rsidRDefault="00285417" w:rsidP="00DC1333">
      <w:pPr>
        <w:autoSpaceDE w:val="0"/>
        <w:autoSpaceDN w:val="0"/>
        <w:jc w:val="both"/>
        <w:rPr>
          <w:sz w:val="20"/>
          <w:lang w:eastAsia="ko-KR"/>
        </w:rPr>
      </w:pPr>
    </w:p>
    <w:p w:rsidR="00285417" w:rsidRPr="00CA51CD" w:rsidRDefault="00285417" w:rsidP="00285417">
      <w:pPr>
        <w:pStyle w:val="ListParagraph"/>
        <w:numPr>
          <w:ilvl w:val="0"/>
          <w:numId w:val="88"/>
        </w:numPr>
        <w:tabs>
          <w:tab w:val="left" w:pos="709"/>
        </w:tabs>
        <w:ind w:left="0" w:firstLine="0"/>
        <w:jc w:val="both"/>
        <w:rPr>
          <w:rFonts w:cs="Arial"/>
          <w:lang w:val="es-ES" w:eastAsia="ko-KR"/>
        </w:rPr>
      </w:pPr>
      <w:r w:rsidRPr="00CA51CD">
        <w:rPr>
          <w:rFonts w:cs="Arial"/>
          <w:lang w:val="es-ES" w:eastAsia="ko-KR"/>
        </w:rPr>
        <w:t>La disminución del presupuesto final de 2014/15 tras las transferencias se debió principalmente a:  i) la transferencia del Centro de Información de la OMPI al programa 21 (Gestión ejecutiva) en el segundo semestre de 2014;  ii) la transferencia de recursos de personal para dar respuesta al aumento del volumen de trabajo en el Registro de La Haya a raíz de la adhesión de más países al Acta de Ginebra (1999) del Arreglo de La Haya, y la transferencia de recursos no relativos a personal para un pasante (al programa 23 donde está centralizada la gestión de pasantías) con el objeto de apoyar el trabajo de la Revista de la OMPI y asistir en la preparación del Día Mundial de la P.I. de 2015.</w:t>
      </w:r>
    </w:p>
    <w:p w:rsidR="00285417" w:rsidRPr="00CA51CD" w:rsidRDefault="00285417" w:rsidP="00DC1333">
      <w:pPr>
        <w:autoSpaceDE w:val="0"/>
        <w:autoSpaceDN w:val="0"/>
        <w:jc w:val="both"/>
        <w:rPr>
          <w:sz w:val="20"/>
          <w:lang w:eastAsia="ko-KR"/>
        </w:rPr>
      </w:pPr>
    </w:p>
    <w:p w:rsidR="00285417" w:rsidRPr="00CA51CD" w:rsidRDefault="00403D2C" w:rsidP="00CC3B44">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85417" w:rsidRPr="00CA51CD" w:rsidRDefault="00285417" w:rsidP="00DC1333">
      <w:pPr>
        <w:tabs>
          <w:tab w:val="left" w:pos="709"/>
        </w:tabs>
        <w:jc w:val="both"/>
        <w:rPr>
          <w:sz w:val="20"/>
          <w:u w:val="single"/>
          <w:lang w:eastAsia="ko-KR"/>
        </w:rPr>
      </w:pPr>
    </w:p>
    <w:p w:rsidR="00285417" w:rsidRPr="00CA51CD" w:rsidRDefault="00285417" w:rsidP="00285417">
      <w:pPr>
        <w:pStyle w:val="ListParagraph"/>
        <w:numPr>
          <w:ilvl w:val="0"/>
          <w:numId w:val="88"/>
        </w:numPr>
        <w:tabs>
          <w:tab w:val="left" w:pos="709"/>
        </w:tabs>
        <w:ind w:left="0" w:firstLine="0"/>
        <w:jc w:val="both"/>
        <w:rPr>
          <w:lang w:val="es-ES"/>
        </w:rPr>
      </w:pPr>
      <w:r w:rsidRPr="00CA51CD">
        <w:rPr>
          <w:lang w:val="es-ES"/>
        </w:rPr>
        <w:t>Los gastos de personal fueron ligeramente inferiores a lo presupuestado debido a la jubilación de algunos empleados y la demora posterior para cubrir los puestos vacantes.  Los gastos no relativos a personal fueron inferiores a lo presupuestado debido fundamentalmente al aplazamiento de una encuesta y comentarios sobre el Sistema de La Haya y el aplazamiento parcial hasta el próximo bienio de la ejecución de dos proyectos de T.I. (la base de datos de contacto PROdest y el sistema de distribución de llamadas ACD).</w:t>
      </w:r>
    </w:p>
    <w:p w:rsidR="00285417" w:rsidRDefault="00285417"/>
    <w:p w:rsidR="00285417" w:rsidRDefault="00285417"/>
    <w:p w:rsidR="00285417" w:rsidRPr="00CA51CD" w:rsidRDefault="00285417"/>
    <w:p w:rsidR="00285417" w:rsidRDefault="00285417">
      <w:r>
        <w:br w:type="page"/>
      </w:r>
    </w:p>
    <w:p w:rsidR="001C19F7" w:rsidRPr="001C19F7" w:rsidRDefault="001C19F7" w:rsidP="001C19F7">
      <w:pPr>
        <w:pStyle w:val="Heading2"/>
        <w:tabs>
          <w:tab w:val="left" w:pos="-1985"/>
        </w:tabs>
        <w:ind w:left="2552" w:hanging="2552"/>
        <w:rPr>
          <w:b/>
          <w:lang w:eastAsia="en-US"/>
        </w:rPr>
      </w:pPr>
      <w:bookmarkStart w:id="166" w:name="_Toc422210508"/>
      <w:bookmarkStart w:id="167" w:name="_Toc455159101"/>
      <w:r w:rsidRPr="001C19F7">
        <w:rPr>
          <w:b/>
          <w:lang w:eastAsia="en-US"/>
        </w:rPr>
        <w:lastRenderedPageBreak/>
        <w:t>PROGRAMA 20</w:t>
      </w:r>
      <w:r w:rsidRPr="001C19F7">
        <w:rPr>
          <w:b/>
          <w:lang w:eastAsia="en-US"/>
        </w:rPr>
        <w:tab/>
        <w:t>RELACIONES EXTERIORES, ALIANZAS Y OFICINAS EN EL EXTERIOR</w:t>
      </w:r>
      <w:bookmarkEnd w:id="166"/>
      <w:bookmarkEnd w:id="167"/>
    </w:p>
    <w:p w:rsidR="001C19F7" w:rsidRPr="001C19F7" w:rsidRDefault="001C19F7" w:rsidP="001C19F7">
      <w:pPr>
        <w:ind w:left="1985" w:hanging="1985"/>
        <w:rPr>
          <w:color w:val="000000" w:themeColor="text1"/>
          <w:sz w:val="20"/>
        </w:rPr>
      </w:pPr>
    </w:p>
    <w:p w:rsidR="001C19F7" w:rsidRPr="001C19F7" w:rsidRDefault="001C19F7" w:rsidP="001C19F7">
      <w:pPr>
        <w:ind w:left="2552" w:hanging="2552"/>
        <w:jc w:val="both"/>
        <w:rPr>
          <w:b/>
          <w:sz w:val="20"/>
        </w:rPr>
      </w:pPr>
      <w:r w:rsidRPr="001C19F7">
        <w:rPr>
          <w:b/>
          <w:sz w:val="20"/>
        </w:rPr>
        <w:t>Directores de programa</w:t>
      </w:r>
      <w:r w:rsidRPr="001C19F7">
        <w:rPr>
          <w:b/>
          <w:sz w:val="20"/>
        </w:rPr>
        <w:tab/>
        <w:t>Director General</w:t>
      </w:r>
    </w:p>
    <w:p w:rsidR="001C19F7" w:rsidRPr="001C19F7" w:rsidRDefault="001C19F7" w:rsidP="001C19F7">
      <w:pPr>
        <w:ind w:left="2552" w:hanging="2552"/>
        <w:jc w:val="both"/>
        <w:rPr>
          <w:b/>
          <w:sz w:val="20"/>
        </w:rPr>
      </w:pPr>
      <w:r w:rsidRPr="001C19F7">
        <w:rPr>
          <w:b/>
          <w:sz w:val="20"/>
        </w:rPr>
        <w:tab/>
        <w:t>Sr. M. A. Getahun</w:t>
      </w:r>
    </w:p>
    <w:p w:rsidR="001C19F7" w:rsidRPr="001C19F7" w:rsidRDefault="001C19F7" w:rsidP="001C19F7">
      <w:pPr>
        <w:ind w:left="2552" w:hanging="2552"/>
        <w:jc w:val="both"/>
        <w:rPr>
          <w:b/>
          <w:sz w:val="20"/>
          <w:lang w:val="en-US"/>
        </w:rPr>
      </w:pPr>
      <w:r w:rsidRPr="001C19F7">
        <w:rPr>
          <w:b/>
          <w:sz w:val="20"/>
        </w:rPr>
        <w:tab/>
      </w:r>
      <w:r w:rsidRPr="001C19F7">
        <w:rPr>
          <w:b/>
          <w:sz w:val="20"/>
          <w:lang w:val="en-US"/>
        </w:rPr>
        <w:t>Sr. Y. Takagi</w:t>
      </w:r>
    </w:p>
    <w:p w:rsidR="001C19F7" w:rsidRPr="001C19F7" w:rsidRDefault="001C19F7" w:rsidP="001C19F7">
      <w:pPr>
        <w:ind w:left="2552" w:hanging="2552"/>
        <w:jc w:val="both"/>
        <w:rPr>
          <w:b/>
          <w:sz w:val="20"/>
          <w:lang w:val="en-US"/>
        </w:rPr>
      </w:pPr>
      <w:r w:rsidRPr="001C19F7">
        <w:rPr>
          <w:b/>
          <w:sz w:val="20"/>
          <w:lang w:val="en-US"/>
        </w:rPr>
        <w:tab/>
        <w:t>Sra. B. Wang</w:t>
      </w:r>
    </w:p>
    <w:p w:rsidR="001C19F7" w:rsidRPr="001C19F7" w:rsidRDefault="001C19F7" w:rsidP="001C19F7">
      <w:pPr>
        <w:rPr>
          <w:color w:val="000000" w:themeColor="text1"/>
          <w:sz w:val="20"/>
          <w:lang w:val="de-DE"/>
        </w:rPr>
      </w:pPr>
    </w:p>
    <w:p w:rsidR="001C19F7" w:rsidRPr="001C19F7" w:rsidRDefault="001C19F7" w:rsidP="001C19F7">
      <w:pPr>
        <w:jc w:val="both"/>
        <w:rPr>
          <w:bCs/>
          <w:color w:val="000000" w:themeColor="text1"/>
          <w:sz w:val="20"/>
        </w:rPr>
      </w:pPr>
      <w:r w:rsidRPr="001C19F7">
        <w:rPr>
          <w:bCs/>
          <w:sz w:val="20"/>
        </w:rPr>
        <w:t>LOGROS ALCANZADOS EN EL BIENIO 2014/15</w:t>
      </w:r>
    </w:p>
    <w:p w:rsidR="001C19F7" w:rsidRPr="001C19F7" w:rsidRDefault="001C19F7" w:rsidP="001C19F7">
      <w:pPr>
        <w:jc w:val="both"/>
        <w:rPr>
          <w:bCs/>
          <w:color w:val="000000" w:themeColor="text1"/>
          <w:sz w:val="20"/>
        </w:rPr>
      </w:pPr>
    </w:p>
    <w:p w:rsidR="001C19F7" w:rsidRPr="001C19F7" w:rsidRDefault="001C19F7" w:rsidP="001C19F7">
      <w:pPr>
        <w:jc w:val="both"/>
        <w:rPr>
          <w:color w:val="000000" w:themeColor="text1"/>
          <w:sz w:val="20"/>
        </w:rPr>
      </w:pPr>
    </w:p>
    <w:p w:rsidR="001C19F7" w:rsidRPr="001C19F7" w:rsidRDefault="001C19F7" w:rsidP="001C19F7">
      <w:pPr>
        <w:spacing w:after="200" w:line="276" w:lineRule="auto"/>
        <w:jc w:val="both"/>
        <w:rPr>
          <w:color w:val="000000" w:themeColor="text1"/>
          <w:sz w:val="20"/>
        </w:rPr>
      </w:pPr>
      <w:r w:rsidRPr="001C19F7">
        <w:rPr>
          <w:color w:val="000000" w:themeColor="text1"/>
          <w:sz w:val="20"/>
        </w:rPr>
        <w:t>RELACIONES EXTERIORES Y ALIANZAS (Sr. M. A. Getahun)</w:t>
      </w:r>
    </w:p>
    <w:p w:rsidR="001C19F7" w:rsidRPr="001C19F7" w:rsidRDefault="001C19F7" w:rsidP="00276C89">
      <w:pPr>
        <w:pStyle w:val="ListParagraph"/>
        <w:numPr>
          <w:ilvl w:val="0"/>
          <w:numId w:val="94"/>
        </w:numPr>
        <w:tabs>
          <w:tab w:val="left" w:pos="709"/>
        </w:tabs>
        <w:ind w:left="0" w:firstLine="0"/>
        <w:jc w:val="both"/>
        <w:rPr>
          <w:color w:val="000000" w:themeColor="text1"/>
          <w:lang w:val="es-ES"/>
        </w:rPr>
      </w:pPr>
      <w:r w:rsidRPr="001C19F7">
        <w:rPr>
          <w:color w:val="000000" w:themeColor="text1"/>
          <w:lang w:val="es-ES"/>
        </w:rPr>
        <w:t>En el bienio 2014/15, las NN.UU. y sus Estados miembros concluyeron varios procesos importantes de negociación relacionados con la labor de la OMPI.  Estos procesos fueron, entre otros, la aprobación de la Agenda de Acción de Addis Abeba (AAAA) durante la Tercera Conferencia sobre la Financiación para el Desarrollo (FFD3);  la aprobación de la agenda para el desarrollo después de 2015 “Transformar nuestro mundo: la Agenda 2030 para el Desarrollo Sostenible”;  y la aprobación del Acuerdo de París en el contexto de la Convención Marco de las Naciones Unidas sobre el Cambio Climático (CMNUCC).  Como organismo especializado de las NN.UU. y en sintonía con su mandato y con las recomendaciones 30 y 40 de su  Agenda para el Desarrollo (A.D.), la OMPI siguió desempeñando la función que le incumbe en esas iniciativas, participando y contribuyendo a las mismas de forma estratégica y aportando información atinada y fundamentada y respuestas oportunas a solicitudes concretas de contribución y cooperación.  En el marco del programa 20, también por conducto de las actividades de la Oficina de la OMPI en Nueva York, se participó, entre otras cosas, en 2014/15, en:</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la puesta en práctica de las conclusiones de la Cumbre Mundial sobre la Sociedad de la Información (CMSI) y el examen de 10 años de la aplicación y el seguimiento de los resultados de la CMSI en respuesta a la resolución 2013/9 del Consejo Económico y Social (ECOSOC) y con arreglo a la recomendación 24 de la A.D.  La OMPI también participó activamente en las reuniones de alto nivel vinculadas al examen y seguimiento de los diez primeros años de la CMSI (CMSI+10) en 2014 y 2015.  En 2014 y 2015, el Director General pronunció un discurso en las sesiones inaugurales.  Asimismo la OMPI participó activamente en el Foro para la Gobernanza de Internet (IGF) en 2014 como colaboradora en la organización de dos talleres, uno sobre empresas creativas </w:t>
      </w:r>
      <w:r w:rsidRPr="001C19F7">
        <w:rPr>
          <w:i/>
          <w:color w:val="000000" w:themeColor="text1"/>
          <w:lang w:val="es-ES"/>
        </w:rPr>
        <w:t>“The Business of Creativity”</w:t>
      </w:r>
      <w:r w:rsidRPr="001C19F7">
        <w:rPr>
          <w:color w:val="000000" w:themeColor="text1"/>
          <w:lang w:val="es-ES"/>
        </w:rPr>
        <w:t xml:space="preserve"> y el otro sobre la creación y la protección de la cultura digital y el fomento del acceso a dicha cultura </w:t>
      </w:r>
      <w:r w:rsidRPr="001C19F7">
        <w:rPr>
          <w:i/>
          <w:color w:val="000000" w:themeColor="text1"/>
          <w:lang w:val="es-ES"/>
        </w:rPr>
        <w:t>“Creating, Protecting, and Providing Access to Digital Culture”.</w:t>
      </w:r>
      <w:r w:rsidRPr="001C19F7">
        <w:rPr>
          <w:color w:val="000000" w:themeColor="text1"/>
          <w:lang w:val="es-ES"/>
        </w:rPr>
        <w:t xml:space="preserve">  En 2015, también se organizó un For</w:t>
      </w:r>
      <w:r w:rsidR="00427C67">
        <w:rPr>
          <w:color w:val="000000" w:themeColor="text1"/>
          <w:lang w:val="es-ES"/>
        </w:rPr>
        <w:t>o Abierto de la OMPI que examinó</w:t>
      </w:r>
      <w:r w:rsidRPr="001C19F7">
        <w:rPr>
          <w:color w:val="000000" w:themeColor="text1"/>
          <w:lang w:val="es-ES"/>
        </w:rPr>
        <w:t xml:space="preserve"> su labor y su colaboración con </w:t>
      </w:r>
      <w:r w:rsidRPr="001C19F7">
        <w:rPr>
          <w:i/>
          <w:color w:val="000000" w:themeColor="text1"/>
          <w:lang w:val="es-ES"/>
        </w:rPr>
        <w:t>Creative Commons</w:t>
      </w:r>
      <w:r w:rsidRPr="001C19F7">
        <w:rPr>
          <w:color w:val="000000" w:themeColor="text1"/>
          <w:lang w:val="es-ES"/>
        </w:rPr>
        <w:t xml:space="preserve"> (CC) y otras organizaciones intergubernamentales (IGO) a fin de promover políticas que aumenten el libre acceso y examinar las actividades de la OMPI en el campo del desarrollo de programas informáticos, sin excluir lo relativo a los programas de código abierto y la industria de los videojuegos;</w:t>
      </w:r>
    </w:p>
    <w:p w:rsidR="001C19F7" w:rsidRPr="001C19F7" w:rsidRDefault="001C19F7" w:rsidP="001C19F7">
      <w:pPr>
        <w:jc w:val="both"/>
        <w:rPr>
          <w:i/>
          <w:color w:val="000000" w:themeColor="text1"/>
          <w:sz w:val="20"/>
        </w:rPr>
      </w:pPr>
    </w:p>
    <w:p w:rsidR="001C19F7" w:rsidRPr="001C19F7" w:rsidRDefault="00427C67" w:rsidP="001C19F7">
      <w:pPr>
        <w:pStyle w:val="ListParagraph"/>
        <w:numPr>
          <w:ilvl w:val="0"/>
          <w:numId w:val="97"/>
        </w:numPr>
        <w:ind w:left="720"/>
        <w:jc w:val="both"/>
        <w:rPr>
          <w:rFonts w:cs="Arial"/>
          <w:i/>
          <w:color w:val="000000" w:themeColor="text1"/>
          <w:lang w:val="es-ES"/>
        </w:rPr>
      </w:pPr>
      <w:r>
        <w:rPr>
          <w:color w:val="000000" w:themeColor="text1"/>
          <w:lang w:val="es-ES"/>
        </w:rPr>
        <w:t>la contribución</w:t>
      </w:r>
      <w:r w:rsidR="001C19F7" w:rsidRPr="001C19F7">
        <w:rPr>
          <w:color w:val="000000" w:themeColor="text1"/>
          <w:lang w:val="es-ES"/>
        </w:rPr>
        <w:t xml:space="preserve"> a los informes de 2014 y 2015 del Grupo de Tareas sobre el desfase en el logro de los Objetivos de Desarrollo del Milenio (ODG), donde en consonancia con la recomendación 22 de la A.D., la OMPI colaboró con la OMC y la OMS en los apartados relativos al acceso a medicamentos asequibles y esenciales;</w:t>
      </w:r>
    </w:p>
    <w:p w:rsidR="001C19F7" w:rsidRPr="001C19F7" w:rsidRDefault="001C19F7" w:rsidP="001C19F7">
      <w:pPr>
        <w:pStyle w:val="ListParagraph"/>
        <w:ind w:left="1080"/>
        <w:rPr>
          <w:rFonts w:cs="Arial"/>
          <w:i/>
          <w:color w:val="000000" w:themeColor="text1"/>
          <w:lang w:val="es-ES"/>
        </w:rPr>
      </w:pPr>
    </w:p>
    <w:p w:rsidR="001C19F7" w:rsidRPr="001C19F7" w:rsidRDefault="001C19F7" w:rsidP="001C19F7">
      <w:pPr>
        <w:pStyle w:val="ListParagraph"/>
        <w:numPr>
          <w:ilvl w:val="0"/>
          <w:numId w:val="97"/>
        </w:numPr>
        <w:ind w:left="720"/>
        <w:jc w:val="both"/>
        <w:rPr>
          <w:rFonts w:cs="Arial"/>
          <w:i/>
          <w:color w:val="000000" w:themeColor="text1"/>
          <w:lang w:val="es-ES"/>
        </w:rPr>
      </w:pPr>
      <w:r w:rsidRPr="001C19F7">
        <w:rPr>
          <w:color w:val="000000" w:themeColor="text1"/>
          <w:lang w:val="es-ES"/>
        </w:rPr>
        <w:t xml:space="preserve">la OMPI concertó nueve acuerdos de colaboración en el marco de la Plataforma de Acción de los Pequeños Estados Insulares en Desarrollo (PEID) y participó en el Grupo Interinstitucional Consultivo sobre la puesta en práctica del documento final de la Trayectoria de SAMOA.  En el contexto de la Tercera Conferencia Internacional sobre los PEID, celebrada en Samoa en septiembre de 2014, la OMPI organizó una actividad paralela sobre el </w:t>
      </w:r>
      <w:r w:rsidR="00427C67" w:rsidRPr="001C19F7">
        <w:rPr>
          <w:color w:val="000000" w:themeColor="text1"/>
          <w:lang w:val="es-ES"/>
        </w:rPr>
        <w:t xml:space="preserve">uso </w:t>
      </w:r>
      <w:r w:rsidRPr="001C19F7">
        <w:rPr>
          <w:color w:val="000000" w:themeColor="text1"/>
          <w:lang w:val="es-ES"/>
        </w:rPr>
        <w:t>del sistema de P.I. para el desarrollo cultural y económico sostenible de estos pequeños estados;</w:t>
      </w:r>
    </w:p>
    <w:p w:rsidR="001C19F7" w:rsidRPr="001C19F7" w:rsidRDefault="001C19F7" w:rsidP="001C19F7">
      <w:pPr>
        <w:pStyle w:val="ListParagraph"/>
        <w:ind w:left="1080"/>
        <w:rPr>
          <w:rFonts w:cs="Arial"/>
          <w:color w:val="000000" w:themeColor="text1"/>
          <w:lang w:val="es-ES"/>
        </w:rPr>
      </w:pPr>
    </w:p>
    <w:p w:rsidR="001C19F7" w:rsidRPr="001C19F7" w:rsidRDefault="001C19F7" w:rsidP="001C19F7">
      <w:pPr>
        <w:pStyle w:val="ListParagraph"/>
        <w:numPr>
          <w:ilvl w:val="0"/>
          <w:numId w:val="97"/>
        </w:numPr>
        <w:ind w:left="720"/>
        <w:jc w:val="both"/>
        <w:rPr>
          <w:rFonts w:cs="Arial"/>
          <w:i/>
          <w:color w:val="000000" w:themeColor="text1"/>
          <w:lang w:val="es-ES"/>
        </w:rPr>
      </w:pPr>
      <w:r w:rsidRPr="001C19F7">
        <w:rPr>
          <w:color w:val="000000" w:themeColor="text1"/>
          <w:lang w:val="es-ES"/>
        </w:rPr>
        <w:t xml:space="preserve">participación en el equipo de tareas interinstitucional (EIT) de las Naciones Unidas sobre la ciencia, la tecnología y la innovación en pro de los Objetivos de Desarrollo Sostenible (ODS) como parte del Mecanismo de Facilitación de la Tecnología (TFM), además del Grupo de Trabajo Interinstitucional y de Expertos sobre indicadores de los ODS.  En concreto, la OMPI participó en las líneas de trabajo del EIT vinculadas a la organización de un foro de colaboración entre múltiples partes interesadas sobre la ciencia, la tecnología y la innovación en pro de los </w:t>
      </w:r>
      <w:r w:rsidRPr="001C19F7">
        <w:rPr>
          <w:color w:val="000000" w:themeColor="text1"/>
          <w:lang w:val="es-ES"/>
        </w:rPr>
        <w:lastRenderedPageBreak/>
        <w:t>ODS y en el proceso de esquematización de una plataforma en Internet destinada a facilitar la tecnología como parte del TFM.  La OMPI organizó, junto con la UNCTAD y la UNIDO, una reunión sobre las sinergias entre la industrialización, la innovación y el comercio para fomentar el desarrollo sostenible, en la sede de Nueva York de las NN.UU. en mayo de 2015.  También en este contexto y en colaboración con el Departamento de Asuntos Económicos y Sociales de las Naciones Unidas, la OMPI organizó una actividad paralela sobre la función transformadora de la tecnología y la innovación en el desarrollo, en la sede de Nueva York de las NN.UU. en octubre de 2015;</w:t>
      </w:r>
    </w:p>
    <w:p w:rsidR="001C19F7" w:rsidRPr="001C19F7" w:rsidRDefault="001C19F7" w:rsidP="001C19F7">
      <w:pPr>
        <w:pStyle w:val="ListParagraph"/>
        <w:rPr>
          <w:rFonts w:cs="Arial"/>
          <w:i/>
          <w:color w:val="000000" w:themeColor="text1"/>
          <w:lang w:val="es-ES"/>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las actividades en el ámbito de la tecnología relativas a la Convención Marco de las NN.UU. sobre el cambio climático (CMNUCC), en particular, el Mecanismo de Tecnología de la CMNUCC, el Comité Ejecutivo de Tecnología y el Centro y Red de Tecnología del Clima (CTCN).  A ese respecto, en el marco del programa se prestó asistencia para un taller organizado por el Comité Ejecutivo de Tecnología sobre sistemas nacionales de innovación, y se presentó el Índice Mundial de Innovación en las sesiones de junio de 2014 relativas a la CMNUCC y se colaboró en la organización de una reunión paralela con la Agencia Internacional de Energías Renovables (IRENA) en 2014.  En 2015, el programa organizó el acto paralelo “</w:t>
      </w:r>
      <w:r w:rsidRPr="001C19F7">
        <w:rPr>
          <w:i/>
          <w:color w:val="000000" w:themeColor="text1"/>
          <w:lang w:val="es-ES"/>
        </w:rPr>
        <w:t>Policies and Evidence to Support Climate Change Technology Transfer and Innovation</w:t>
      </w:r>
      <w:r w:rsidRPr="001C19F7">
        <w:rPr>
          <w:color w:val="000000" w:themeColor="text1"/>
          <w:lang w:val="es-ES"/>
        </w:rPr>
        <w:t xml:space="preserve">” sobre políticas y pruebas para apoyar la transferencia de tecnología y la innovación en materia de cambio climático con la finalidad de presentar el Informe de la OMPI </w:t>
      </w:r>
      <w:r w:rsidRPr="001C19F7">
        <w:rPr>
          <w:i/>
          <w:color w:val="000000" w:themeColor="text1"/>
          <w:lang w:val="es-ES"/>
        </w:rPr>
        <w:t xml:space="preserve">“Innovation and Diffusion of Green Technologies: The Role of Intellectual Property and Other Enabling Factors” </w:t>
      </w:r>
      <w:r w:rsidRPr="001C19F7">
        <w:rPr>
          <w:color w:val="000000" w:themeColor="text1"/>
          <w:lang w:val="es-ES"/>
        </w:rPr>
        <w:t>sobre desafíos mundiales en materia de innovación y difusión de tecnologías ecológicas, en especial sobre el papel de la propiedad intelectual y otros factores habilitadores, durante las sesiones de la CMNUCC de junio de 2015, además de una exposición de Tecnologías limpias innovadoras durante la 21ª Conferencia de las Partes (COP 21), que se celebró en París en diciembre de 2015;</w:t>
      </w:r>
    </w:p>
    <w:p w:rsidR="001C19F7" w:rsidRPr="001C19F7" w:rsidRDefault="001C19F7" w:rsidP="001C19F7">
      <w:pPr>
        <w:jc w:val="both"/>
        <w:rPr>
          <w:color w:val="000000" w:themeColor="text1"/>
          <w:sz w:val="20"/>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en el contexto de la Convención de las NN.UU. sobre los Derechos de las Personas con Discapacidad y la campaña de las NN.UU. “Acción Mundial 2015 por las Personas y el Planeta”, la OMPI, en colaboración con el Departamento de Asuntos Económicos y Sociales de las NN.UU., organizó la mesa redonda </w:t>
      </w:r>
      <w:r w:rsidRPr="001C19F7">
        <w:rPr>
          <w:i/>
          <w:color w:val="000000" w:themeColor="text1"/>
          <w:lang w:val="es-ES"/>
        </w:rPr>
        <w:t>Innovative Technologies:  Making the world of books accessible to people who are print disabled</w:t>
      </w:r>
      <w:r w:rsidRPr="001C19F7">
        <w:rPr>
          <w:color w:val="000000" w:themeColor="text1"/>
          <w:lang w:val="es-ES"/>
        </w:rPr>
        <w:t xml:space="preserve"> sobre el empleo de nuevas tecnologías para facilitar el acceso al mundo de los libros de las personas con dificultades para acceder al texto impreso, en las NN.UU. en marzo de 2015;  y  </w:t>
      </w:r>
    </w:p>
    <w:p w:rsidR="001C19F7" w:rsidRPr="001C19F7" w:rsidRDefault="001C19F7" w:rsidP="001C19F7">
      <w:pPr>
        <w:pStyle w:val="ListParagraph"/>
        <w:ind w:left="1080"/>
        <w:rPr>
          <w:rFonts w:cs="Arial"/>
          <w:color w:val="000000" w:themeColor="text1"/>
          <w:lang w:val="es-ES"/>
        </w:rPr>
      </w:pPr>
    </w:p>
    <w:p w:rsidR="001C19F7" w:rsidRPr="001C19F7" w:rsidRDefault="001C19F7" w:rsidP="001C19F7">
      <w:pPr>
        <w:pStyle w:val="ListParagraph"/>
        <w:numPr>
          <w:ilvl w:val="0"/>
          <w:numId w:val="97"/>
        </w:numPr>
        <w:ind w:left="720"/>
        <w:jc w:val="both"/>
        <w:rPr>
          <w:rFonts w:cs="Arial"/>
          <w:i/>
          <w:color w:val="000000" w:themeColor="text1"/>
          <w:lang w:val="es-ES"/>
        </w:rPr>
      </w:pPr>
      <w:r w:rsidRPr="001C19F7">
        <w:rPr>
          <w:color w:val="000000" w:themeColor="text1"/>
          <w:lang w:val="es-ES"/>
        </w:rPr>
        <w:t xml:space="preserve">contribución a los informes del Secretario General (SG) de las NN.UU. sobre:   i) apoyo por parte del sistema de las NN.UU. a la Nueva Alianza para el Desarrollo de África (NEPAD);  y ii) los derechos de las personas con discapacidad en virtud de la resolución 24/3 del Consejo de Derechos Humanos, además del boletín </w:t>
      </w:r>
      <w:r w:rsidRPr="001C19F7">
        <w:rPr>
          <w:i/>
          <w:color w:val="000000" w:themeColor="text1"/>
          <w:lang w:val="es-ES"/>
        </w:rPr>
        <w:t>Enable</w:t>
      </w:r>
      <w:r w:rsidRPr="001C19F7">
        <w:rPr>
          <w:color w:val="000000" w:themeColor="text1"/>
          <w:lang w:val="es-ES"/>
        </w:rPr>
        <w:t xml:space="preserve"> de las NN.UU. y la revisión de la Recomendación de la UNESCO relativa a la situación de los investigadores científicos (1974).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 lo largo del bienio, la OMPI también siguió reforzando sus vínculos de colaboración con las siguientes organizaciones intergubernamentales asociadas:</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en colaboración con la UNCTAD, la Oficina de las Naciones Unidas en Ginebra, el Centro de Comercio Internacional (CCI), el </w:t>
      </w:r>
      <w:r w:rsidRPr="001C19F7">
        <w:rPr>
          <w:i/>
          <w:color w:val="000000" w:themeColor="text1"/>
          <w:lang w:val="es-ES"/>
        </w:rPr>
        <w:t>Département du Développement Économique du Canton de Genève</w:t>
      </w:r>
      <w:r w:rsidRPr="001C19F7">
        <w:rPr>
          <w:color w:val="000000" w:themeColor="text1"/>
          <w:lang w:val="es-ES"/>
        </w:rPr>
        <w:t xml:space="preserve">, la Universidad de Ginebra y la </w:t>
      </w:r>
      <w:r w:rsidRPr="001C19F7">
        <w:rPr>
          <w:i/>
          <w:color w:val="000000" w:themeColor="text1"/>
          <w:lang w:val="es-ES"/>
        </w:rPr>
        <w:t>Fédération des Entreprises Romandes</w:t>
      </w:r>
      <w:r w:rsidRPr="001C19F7">
        <w:rPr>
          <w:color w:val="000000" w:themeColor="text1"/>
          <w:lang w:val="es-ES"/>
        </w:rPr>
        <w:t xml:space="preserve"> (FER), la OMPI renovó su activa participación en la Semana Mundial del Espíritu Empresarial de Ginebra y se encargó, en ese marco, de organizar toda una semana de actividades y sesiones de formación en 2014 y 2015.  Se hizo particular hincapié en el fomento de la innovación, los empresarios jóvenes y la organización de sesiones de información sobre las patentes, las pymes y la P.I. (apoyo a la aplicación de las recomendaciones 4, 11 y 40 de la A.D. y las actividades de los programas 11, 14 y 30);</w:t>
      </w:r>
    </w:p>
    <w:p w:rsidR="001C19F7" w:rsidRPr="001C19F7" w:rsidRDefault="001C19F7" w:rsidP="001C19F7">
      <w:pPr>
        <w:pStyle w:val="ListParagraph"/>
        <w:jc w:val="both"/>
        <w:rPr>
          <w:rFonts w:cs="Arial"/>
          <w:color w:val="000000" w:themeColor="text1"/>
          <w:lang w:val="es-ES"/>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la cooperación con la OMS siguió siendo una gran prioridad durante el bienio.  A las actividades realizadas junto con los encargados de los programas 1, 14 y 18, en el marco de la colaboración trilateral OMPI-OMS-OMC, vino a sumarse la participación efectiva de la OMPI en otras reuniones e iniciativas de la OMS, así como en una serie de reuniones celebradas en el marco del programa de las NN.UU. sobre las enfermedades no contagiosas.  Con respecto a la recomendación 14, en el sentido de ofrecer asesoramiento a los países en desarrollo y PMA para la aplicación y la puesta en práctica de los derechos y obligaciones y el conocimiento y uso de las flexibilidades contempladas en el Acuerdo sobre los ADPIC, los encargados del </w:t>
      </w:r>
      <w:r w:rsidRPr="001C19F7">
        <w:rPr>
          <w:color w:val="000000" w:themeColor="text1"/>
          <w:lang w:val="es-ES"/>
        </w:rPr>
        <w:lastRenderedPageBreak/>
        <w:t>programa 20, en colaboración con los sectores fundamentales de la OMPI, velaron por que las actividades emprendidas por la OMC y la OMS reflejarán esta recomendación;</w:t>
      </w:r>
    </w:p>
    <w:p w:rsidR="001C19F7" w:rsidRPr="001C19F7" w:rsidRDefault="001C19F7" w:rsidP="001C19F7">
      <w:pPr>
        <w:pStyle w:val="ListParagraph"/>
        <w:ind w:left="709"/>
        <w:rPr>
          <w:rFonts w:cs="Arial"/>
          <w:color w:val="000000" w:themeColor="text1"/>
          <w:lang w:val="es-ES"/>
        </w:rPr>
      </w:pPr>
    </w:p>
    <w:p w:rsidR="001C19F7" w:rsidRPr="001C19F7" w:rsidRDefault="001C19F7" w:rsidP="001C19F7">
      <w:pPr>
        <w:pStyle w:val="ListParagraph"/>
        <w:numPr>
          <w:ilvl w:val="0"/>
          <w:numId w:val="97"/>
        </w:numPr>
        <w:ind w:left="720"/>
        <w:contextualSpacing/>
        <w:jc w:val="both"/>
        <w:rPr>
          <w:color w:val="000000" w:themeColor="text1"/>
          <w:lang w:val="es-ES"/>
        </w:rPr>
      </w:pPr>
      <w:r w:rsidRPr="001C19F7">
        <w:rPr>
          <w:color w:val="000000" w:themeColor="text1"/>
          <w:lang w:val="es-ES"/>
        </w:rPr>
        <w:t>en colaboración con los encargados de los programas 1, 2, 3, 4, 9, 17 y 18, los encargados del programa 20 velaron por que la participación de la OMPI fuera eficaz en el Consejo de los ADPIC de la OMC y coordinaron la participación de la OMPI en los talleres nacionales, regionales e internacionales de la OMC sobre varios temas, así como en el simposio que la OMC organizó los días 11 y 12 de junio en Ginebra, en torno al tema “</w:t>
      </w:r>
      <w:r w:rsidRPr="001C19F7">
        <w:rPr>
          <w:i/>
          <w:color w:val="000000" w:themeColor="text1"/>
          <w:lang w:val="es-ES"/>
        </w:rPr>
        <w:t>Realizing Development Objectives of the IP System:  LDC Priority Needs for Technical and Financial Cooperation</w:t>
      </w:r>
      <w:r w:rsidRPr="001C19F7">
        <w:rPr>
          <w:color w:val="000000" w:themeColor="text1"/>
          <w:lang w:val="es-ES"/>
        </w:rPr>
        <w:t>” en Ginebra, y el taller anual de la OMC sobre comercio y salud pública;  y</w:t>
      </w:r>
    </w:p>
    <w:p w:rsidR="001C19F7" w:rsidRPr="001C19F7" w:rsidRDefault="001C19F7" w:rsidP="001C19F7">
      <w:pPr>
        <w:ind w:left="709"/>
        <w:rPr>
          <w:color w:val="000000" w:themeColor="text1"/>
          <w:sz w:val="20"/>
        </w:rPr>
      </w:pPr>
    </w:p>
    <w:p w:rsidR="001C19F7" w:rsidRPr="001C19F7" w:rsidRDefault="001C19F7" w:rsidP="001C19F7">
      <w:pPr>
        <w:pStyle w:val="ListParagraph"/>
        <w:numPr>
          <w:ilvl w:val="0"/>
          <w:numId w:val="97"/>
        </w:numPr>
        <w:ind w:left="720"/>
        <w:jc w:val="both"/>
        <w:rPr>
          <w:rFonts w:cs="Arial"/>
          <w:color w:val="000000" w:themeColor="text1"/>
          <w:lang w:val="es-ES"/>
        </w:rPr>
      </w:pPr>
      <w:r w:rsidRPr="001C19F7">
        <w:rPr>
          <w:color w:val="000000" w:themeColor="text1"/>
          <w:lang w:val="es-ES"/>
        </w:rPr>
        <w:t xml:space="preserve">además, la cooperación con otros organismos especializados de las NN.UU., en particular, la CERN, la Organización Internacional de Normalización (ISO), la UIT, la UNESCO y la ONUDI se fortaleció y siguió siendo un medio de apoyo mutuo y contribuyó a lograr los resultados previstos de la OMPI y la puesta en práctica de la Agenda de la OMPI para el Desarrollo.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2014/15 prosiguieron las iniciativas de la OMPI para fomentar los vínculos de colaboración y movilizar contribuciones financieras voluntarias para proyectos de P.I., lo que ilustra la verdadera y permanente incorporación de la recomendación 2 de la A.D. en las actividades del programa.  Una parte importante de dicha labor consiste en prestar asesoramiento y orientación en relación con proyectos de la OMPI como WIPO GREEN, WIPO Re</w:t>
      </w:r>
      <w:proofErr w:type="gramStart"/>
      <w:r w:rsidRPr="001C19F7">
        <w:rPr>
          <w:color w:val="000000" w:themeColor="text1"/>
          <w:lang w:val="es-ES"/>
        </w:rPr>
        <w:t>:Search</w:t>
      </w:r>
      <w:proofErr w:type="gramEnd"/>
      <w:r w:rsidRPr="001C19F7">
        <w:rPr>
          <w:color w:val="000000" w:themeColor="text1"/>
          <w:lang w:val="es-ES"/>
        </w:rPr>
        <w:t xml:space="preserve"> y el Consorcio ABC para dar con donantes potenciales y elaborar estrategias de establecimiento de vínculos de colaboración y captación de apoyo financiero.</w:t>
      </w:r>
    </w:p>
    <w:p w:rsidR="001C19F7" w:rsidRPr="001C19F7" w:rsidRDefault="001C19F7" w:rsidP="001C19F7">
      <w:pPr>
        <w:jc w:val="both"/>
        <w:rPr>
          <w:color w:val="000000" w:themeColor="text1"/>
          <w:sz w:val="20"/>
        </w:rPr>
      </w:pPr>
    </w:p>
    <w:p w:rsidR="001C19F7" w:rsidRPr="001C19F7" w:rsidRDefault="001C19F7" w:rsidP="001C19F7">
      <w:pPr>
        <w:jc w:val="both"/>
        <w:rPr>
          <w:color w:val="000000" w:themeColor="text1"/>
          <w:sz w:val="20"/>
        </w:rPr>
      </w:pPr>
    </w:p>
    <w:p w:rsidR="001C19F7" w:rsidRPr="001C19F7" w:rsidRDefault="001C19F7" w:rsidP="001C19F7">
      <w:pPr>
        <w:jc w:val="both"/>
        <w:rPr>
          <w:color w:val="000000" w:themeColor="text1"/>
          <w:sz w:val="20"/>
        </w:rPr>
      </w:pPr>
      <w:r w:rsidRPr="001C19F7">
        <w:rPr>
          <w:color w:val="000000" w:themeColor="text1"/>
          <w:sz w:val="20"/>
        </w:rPr>
        <w:t>RELACIONES CON LAS ONG Y LA INDUSTRIA (Director General)</w:t>
      </w:r>
    </w:p>
    <w:p w:rsidR="001C19F7" w:rsidRPr="001C19F7" w:rsidRDefault="001C19F7" w:rsidP="001C19F7">
      <w:pPr>
        <w:jc w:val="both"/>
        <w:rPr>
          <w:b/>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Durante el bienio, la OMPI continuó su labor de detección y promoción de oportunidades de mejorar la participación en sus actividades de las partes interesadas no gubernamentales.  En 2014 y en 2015, la OMPI contribuyó a establecer varios foros por conducto de los cuales fomentó la participación de los representantes de la sociedad civil y la cooperación con esta, entre ellos, talleres y seminarios, consultas sobre proyectos específicos y actividades paralelas.  En esas oportunidades se produjeron intercambios abiertos, transparentes y dinámicos con estos grupos interesados, conforme a la recomendación 42 de la A.D.  Las reuniones anuales tercera y cuarta organizadas por el Director General exclusivamente para ONG acreditadas se celebraron en la primavera de 2014 y 2015, respectivamente, y ofrecieron un foro valioso para el intercambio directo de opiniones sobre el sistema internacional de P.I. en general y la labor de la OMPI en particular.</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Además, la OMPI mantuvo la estrecha colaboración con las partes interesadas no gubernamentales, mediante el desarrollo permanente de plataformas de encuentro entre diferentes partes interesadas y de alianzas que contribuyen a la promoción de la P.I. como instrumento para el crecimiento económico y el desarrollo en todo el mundo.  Cabe destacar que, tras el hito que supuso la adopción del Tratado de Marrakech sobre los discapacitados visuales en 2013, la OMPI inició una serie de seminarios en 2014 bajo el lema “De la política a la práctica:  velar por la aplicación del Tratado de Marrakech para las personas con discapacidad visual, y por la disponibilidad de libros en formato accesible” para ofrecer orientación y fomentar una toma de conciencia entre todas las partes interesadas acerca de las disposiciones del tratado y las iniciativas prácticas en colaboración con múltiples partes interesadas, encaminadas a aumentar la disponibilidad de libros en formato accesible, como el Consorcio de Libros Accesibles.  Además, en 2015, un ejemplo notable de atención eficaz de los grupos interesados no gubernamentales —que contribuyó al objetivo de destacar el papel de la P.I. como instrumento para promover la innovación, la creatividad y la transformación económica— fue la organización de un taller para jóvenes innovadores, creadores y empresarios africanos en el contexto de la Conferencia ministerial africana celebrada en Dakar en 2015.  Los resultados de este taller, entre ellos sus recomendaciones, se notificaron directamente a la Conferencia ministerial, de la que también se tomó nota en la declaración final de Dakar sobre la P.I. para África (</w:t>
      </w:r>
      <w:r w:rsidRPr="001C19F7">
        <w:rPr>
          <w:i/>
          <w:color w:val="000000" w:themeColor="text1"/>
          <w:lang w:val="es-ES"/>
        </w:rPr>
        <w:t>Dakar Declaration on Intellectual Property for Africa</w:t>
      </w:r>
      <w:r w:rsidRPr="001C19F7">
        <w:rPr>
          <w:color w:val="000000" w:themeColor="text1"/>
          <w:lang w:val="es-ES"/>
        </w:rPr>
        <w:t xml:space="preserve">). </w:t>
      </w:r>
    </w:p>
    <w:p w:rsidR="001C19F7" w:rsidRPr="001C19F7" w:rsidRDefault="001C19F7" w:rsidP="001C19F7">
      <w:pPr>
        <w:jc w:val="both"/>
        <w:rPr>
          <w:bCs/>
          <w:color w:val="000000" w:themeColor="text1"/>
          <w:sz w:val="20"/>
        </w:rPr>
      </w:pPr>
    </w:p>
    <w:p w:rsidR="001C19F7" w:rsidRPr="001C19F7" w:rsidRDefault="001C19F7" w:rsidP="001C19F7">
      <w:pPr>
        <w:jc w:val="both"/>
        <w:rPr>
          <w:bCs/>
          <w:color w:val="000000" w:themeColor="text1"/>
          <w:sz w:val="20"/>
        </w:rPr>
      </w:pPr>
    </w:p>
    <w:p w:rsidR="001C19F7" w:rsidRPr="001C19F7" w:rsidRDefault="001C19F7" w:rsidP="00635CF4">
      <w:pPr>
        <w:jc w:val="both"/>
        <w:rPr>
          <w:bCs/>
          <w:color w:val="000000" w:themeColor="text1"/>
          <w:sz w:val="20"/>
        </w:rPr>
      </w:pPr>
      <w:r w:rsidRPr="001C19F7">
        <w:rPr>
          <w:color w:val="000000" w:themeColor="text1"/>
          <w:sz w:val="20"/>
        </w:rPr>
        <w:t>OFICINAS EN EL EXTERIOR</w:t>
      </w:r>
    </w:p>
    <w:p w:rsidR="001C19F7" w:rsidRPr="001C19F7" w:rsidRDefault="001C19F7" w:rsidP="00635CF4">
      <w:pPr>
        <w:jc w:val="both"/>
        <w:rPr>
          <w:bCs/>
          <w:color w:val="000000" w:themeColor="text1"/>
          <w:sz w:val="20"/>
        </w:rPr>
      </w:pPr>
    </w:p>
    <w:p w:rsidR="001C19F7" w:rsidRPr="001C19F7" w:rsidRDefault="001C19F7" w:rsidP="00635CF4">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red de oficinas de la OMPI en el exterior forma parte integrante de la Organización, con la finalidad de acercar los servicios y la cooperación de la OMPI a los Estados miembros, las partes interesadas y los asociados, en aras de una mayor eficacia en la ejecución de los programas y de </w:t>
      </w:r>
      <w:r w:rsidRPr="001C19F7">
        <w:rPr>
          <w:color w:val="000000" w:themeColor="text1"/>
          <w:lang w:val="es-ES"/>
        </w:rPr>
        <w:lastRenderedPageBreak/>
        <w:t>responder a las necesidades y prioridades específicas de los países y/o regiones en los que operan.   En 2014, la red aumentó a cinco oficinas a raíz de la apertura de las Oficinas de la OMPI en China (OOC) y en la Federación de Rusia (OOR).  Los resultados logrados dentro del período del que se informa siguieron poniendo de manifiesto la contribución a la ejecución del mandato de la Organización que realizan las oficinas de la OMPI en el exterior.</w:t>
      </w:r>
    </w:p>
    <w:p w:rsidR="001C19F7" w:rsidRPr="001C19F7" w:rsidRDefault="001C19F7" w:rsidP="001C19F7">
      <w:pPr>
        <w:jc w:val="both"/>
        <w:rPr>
          <w:bCs/>
          <w:color w:val="000000" w:themeColor="text1"/>
          <w:sz w:val="20"/>
        </w:rPr>
      </w:pPr>
    </w:p>
    <w:p w:rsidR="001C19F7" w:rsidRPr="001C19F7" w:rsidRDefault="001C19F7" w:rsidP="001C19F7">
      <w:pPr>
        <w:jc w:val="both"/>
        <w:rPr>
          <w:bCs/>
          <w:color w:val="000000" w:themeColor="text1"/>
          <w:sz w:val="20"/>
          <w:u w:val="single"/>
        </w:rPr>
      </w:pPr>
      <w:r w:rsidRPr="001C19F7">
        <w:rPr>
          <w:color w:val="000000" w:themeColor="text1"/>
          <w:sz w:val="20"/>
          <w:u w:val="single"/>
        </w:rPr>
        <w:t>Oficina de la OMPI en el Brasil (OOB) (Director General</w:t>
      </w:r>
      <w:r w:rsidR="002441A5">
        <w:rPr>
          <w:color w:val="000000" w:themeColor="text1"/>
          <w:sz w:val="20"/>
          <w:u w:val="single"/>
        </w:rPr>
        <w:t>/Sr. N. Prasad</w:t>
      </w:r>
      <w:r w:rsidRPr="001C19F7">
        <w:rPr>
          <w:color w:val="000000" w:themeColor="text1"/>
          <w:sz w:val="20"/>
          <w:u w:val="single"/>
        </w:rPr>
        <w:t>)</w:t>
      </w:r>
    </w:p>
    <w:p w:rsidR="001C19F7" w:rsidRPr="001C19F7" w:rsidRDefault="001C19F7" w:rsidP="001C19F7">
      <w:pPr>
        <w:jc w:val="both"/>
        <w:rPr>
          <w:bCs/>
          <w:color w:val="000000" w:themeColor="text1"/>
          <w:sz w:val="20"/>
          <w:u w:val="single"/>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Durante el bienio, la OOB prestó particular atención a la consolidación de las capacidades nacionales y la promoción del uso de los servicios de la OMPI.  Para respaldar la labor del Instituto Nacional de Propiedad Industrial (INPI), que definió, entre otras de sus prioridades, la de mejorar la productividad y la eficacia, la OOB prestó asistencia en la organización de actividades de creación de capacidad en el ámbito del examen de solicitudes de patente.  Ejemplo de ello fue la colaboración mantenida con la Confederación Nacional de Industrias para organizar una serie de talleres con la finalidad de informar acerca de iniciativas internacionales que están en curso, centradas en la colaboración en el examen de solicitudes de patente.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Oficina dedicó esfuerzos considerables a colaborar con otras partes interesadas en el Brasil para fomentar una toma de conciencia acerca de los beneficios de la protección de la P.I. y la importancia de la comercialización de los activos de P.I.  A ese respecto, colaboró estrechamente con la Asociación Nacional de Investigación y Desarrollo de Empresas Innovadoras (ANPEI) y fue invitada a participar en dos comités creados por esta última, uno de ellos centrado en el fomento de la innovación y otro, dedicado a la P.I.  Fue una valiosa plataforma para poner de relieve la importancia del PCT y explicar sus procedimientos.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El fondo fiduciario del Brasil para respaldar la cooperación Sur</w:t>
      </w:r>
      <w:r w:rsidRPr="001C19F7">
        <w:rPr>
          <w:color w:val="000000" w:themeColor="text1"/>
          <w:lang w:val="es-ES"/>
        </w:rPr>
        <w:noBreakHyphen/>
        <w:t xml:space="preserve">Sur, establecido en 2012 y dirigido por la OOB, siguió ofreciendo a la Oficina importantes oportunidades para fomentar iniciativas, en particular, en la esfera de la transferencia de tecnología y la comercialización de la P.I.  En el seminario regional sobre P.I. y transferencia de tecnología celebrado en el Uruguay, en el mes de diciembre de 2014, se dieron cita representantes de varios países (Argentina, Brasil, Chile, Paraguay y Uruguay), lo que fue una oportunidad para intercambiar información y conocimientos técnicos en las esferas de desarrollo de estrategias nacionales e institucionales de P.I. y de medios estratégicos para fomentar la innovación.  Gracias al fondo fiduciario pudieron organizarse programas de formación en varias regiones del Brasil, lo que se tradujo en un aumento de la capacidad local en negociación de licencias tecnológicas y redacción de solicitudes de patente.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La OOB colaboró con asociados locales y de las NN.UU. del Brasil en cuestiones de interés mutuo como medio de explotar y maximizar los recursos y progresar en el mandato que se le ha encomendado.  En colaboración con el PNUD y el organismo de innovación en el Brasil (FINEP) se emprendió un proyecto para formar negociadores en cuestiones relativas a la tecnología y el desarrollo.   Con esta finalidad, en virtud de un nuevo acuerdo de fondo fiduciario firmado con el PNUD y el FINEP en octubre de 2015, se llevó a cabo un Programa de formación para negociadores de desarrollo tecnológico que benefició a veintiocho directores de departamento de tecnología.  En relación con la promoción de las plataformas de la OMPI, la Oficina continuó su colaboración con la Asociación Brasileña Nacional de Gestores de Transferencia Tecnológica (FORTEC) en torno a WIPO GREEN, que comenzó a dar sus frutos en 2015, como las primeras siete tecnologías desarrolladas por instituciones y empresas brasileñas introducidas en la base de datos.</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Además, en 2014/15 la OOB centró su atención en las ventajas económicas que confieren las indicaciones geográficas y las ventajas de la protección de los diseños.  También se concentró la atención en la promoción del Sistema de Madrid y la industria brasileña brindó una colaboración especialmente activa en la organización de debates sobre las ventajas del Protocolo de Madrid para la competitividad de sus empresas internacionales.   Además, la OOB trabajó en coordinación con el Programa 7 (Arbitraje, mediación y nombres de dominio) a fin de fortalecer la colaboración con la Asociación Brasileña de Franquicias (ABF) en la promoción de servicios de mediación en el contexto de los contratos en materia de franquicias y transferencia tecnológica.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bCs/>
          <w:color w:val="000000" w:themeColor="text1"/>
          <w:u w:val="single"/>
          <w:lang w:val="es-ES"/>
        </w:rPr>
      </w:pPr>
      <w:r w:rsidRPr="001C19F7">
        <w:rPr>
          <w:color w:val="000000" w:themeColor="text1"/>
          <w:lang w:val="es-ES"/>
        </w:rPr>
        <w:t>Con la cooperación de la Federación de Industrias del Estado de Río de Janeiro (Brasil) (FIRJAN), la Universidad Cornell y la Red de Tecnología de Río de Janeiro (REDETEC) y con el apoyo del Instituto Nacional de Propiedad Intelectual del Brasil (INPI), la OOB organizó la presentación regional del Índice Mundial de Innovación 2015 que tuvo lugar en Río de Janeiro en septiembre de 2015.</w:t>
      </w:r>
    </w:p>
    <w:p w:rsidR="001C19F7" w:rsidRPr="001C19F7" w:rsidRDefault="001C19F7" w:rsidP="001C19F7">
      <w:pPr>
        <w:jc w:val="both"/>
        <w:rPr>
          <w:bCs/>
          <w:color w:val="000000" w:themeColor="text1"/>
          <w:sz w:val="20"/>
          <w:u w:val="single"/>
        </w:rPr>
      </w:pPr>
    </w:p>
    <w:p w:rsidR="001C19F7" w:rsidRPr="001C19F7" w:rsidRDefault="001C19F7" w:rsidP="001C19F7">
      <w:pPr>
        <w:jc w:val="both"/>
        <w:rPr>
          <w:bCs/>
          <w:color w:val="000000" w:themeColor="text1"/>
          <w:sz w:val="20"/>
          <w:u w:val="single"/>
        </w:rPr>
      </w:pPr>
      <w:r w:rsidRPr="001C19F7">
        <w:rPr>
          <w:color w:val="000000" w:themeColor="text1"/>
          <w:sz w:val="20"/>
          <w:u w:val="single"/>
        </w:rPr>
        <w:lastRenderedPageBreak/>
        <w:t>Oficina de la OMPI en China (OOC) (Sra. B. Wang)</w:t>
      </w:r>
    </w:p>
    <w:p w:rsidR="001C19F7" w:rsidRPr="001C19F7" w:rsidRDefault="001C19F7" w:rsidP="001C19F7">
      <w:pPr>
        <w:jc w:val="both"/>
        <w:rPr>
          <w:bCs/>
          <w:color w:val="000000" w:themeColor="text1"/>
          <w:sz w:val="20"/>
          <w:u w:val="single"/>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OOC se inauguró en julio de 2014 y durante el segundo semestre del año se dedicó a sentar cimientos y consolidar su estructura administrativa.  A ese respecto, estableció lazos de cooperación estrecha con el país anfitrión, en particular, con el Ministerio de Relaciones Exteriores, la Oficina Estatal de Propiedad Intelectual (SIPO), la Administración Estatal de Industria y Comercio (SAIC), la Administración Nacional de Derecho de Autor (NCAC) y el Gobierno Municipal de Beijing, lo que facilitó en gran medida la capacidad de la oficina para empezar a ser operativa.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Tanto en 2014 como en 2015, China fue el tercer y séptimo usuario más importante de los Sistemas del PCT y Madrid, respectivamente, por lo que, desde sus inicios, una prioridad de la Oficina fue promover los servicios de la OMPI en el mercado de China.  Las solicitudes PCT </w:t>
      </w:r>
      <w:r w:rsidR="00427C67">
        <w:rPr>
          <w:color w:val="000000" w:themeColor="text1"/>
          <w:lang w:val="es-ES"/>
        </w:rPr>
        <w:t>procedentes de</w:t>
      </w:r>
      <w:r w:rsidRPr="001C19F7">
        <w:rPr>
          <w:color w:val="000000" w:themeColor="text1"/>
          <w:lang w:val="es-ES"/>
        </w:rPr>
        <w:t xml:space="preserve"> China aumentaron un 38% en 2014/15 (55.394) con respecto a 2012/13 (40.134).  Las solicitudes </w:t>
      </w:r>
      <w:r w:rsidR="00427C67">
        <w:rPr>
          <w:color w:val="000000" w:themeColor="text1"/>
          <w:lang w:val="es-ES"/>
        </w:rPr>
        <w:t>procedentes</w:t>
      </w:r>
      <w:r w:rsidRPr="001C19F7">
        <w:rPr>
          <w:color w:val="000000" w:themeColor="text1"/>
          <w:lang w:val="es-ES"/>
        </w:rPr>
        <w:t xml:space="preserve"> de China </w:t>
      </w:r>
      <w:r w:rsidR="00427C67">
        <w:rPr>
          <w:color w:val="000000" w:themeColor="text1"/>
          <w:lang w:val="es-ES"/>
        </w:rPr>
        <w:t>en el marco d</w:t>
      </w:r>
      <w:r w:rsidRPr="001C19F7">
        <w:rPr>
          <w:color w:val="000000" w:themeColor="text1"/>
          <w:lang w:val="es-ES"/>
        </w:rPr>
        <w:t xml:space="preserve">el Sistema de Madrid aumentaron un 2% en bienio 2014/15 (4.461) con respecto al bienio 2012/13 (4.373).  De hecho, en 2015 </w:t>
      </w:r>
      <w:r w:rsidR="00427C67">
        <w:rPr>
          <w:color w:val="000000" w:themeColor="text1"/>
          <w:lang w:val="es-ES"/>
        </w:rPr>
        <w:t xml:space="preserve">el número de solicitudes </w:t>
      </w:r>
      <w:r w:rsidRPr="001C19F7">
        <w:rPr>
          <w:color w:val="000000" w:themeColor="text1"/>
          <w:lang w:val="es-ES"/>
        </w:rPr>
        <w:t xml:space="preserve">de China (2.401) </w:t>
      </w:r>
      <w:r w:rsidR="00427C67">
        <w:rPr>
          <w:color w:val="000000" w:themeColor="text1"/>
          <w:lang w:val="es-ES"/>
        </w:rPr>
        <w:t xml:space="preserve">fue </w:t>
      </w:r>
      <w:r w:rsidRPr="001C19F7">
        <w:rPr>
          <w:color w:val="000000" w:themeColor="text1"/>
          <w:lang w:val="es-ES"/>
        </w:rPr>
        <w:t xml:space="preserve">sin precedentes desde su adhesión al Sistema en 1989.  Se organizaron eventos en Beijing y sus alrededores y en otras regiones, destinadas a los usuarios actuales y potenciales de los servicios de la OMPI.  Durante el bienio, el establecimiento de vínculos de colaboración con la industria y otras partes interesadas evolucionó y continuó fortaleciéndose con la intención de que la Oficina ampliara su alcance para dar cabida a los usuarios de las demás regiones de China.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2014 será recordado como año en el que China ratificó el Tratado de Beijing sobre Interpretaciones y Ejecuciones Audiovisuales.  En cooperación con el Gobierno de China, la Oficina organizó varias actividades para divulgar más ampliamente el Tratado.  Mientras tanto, la Oficina también centró sus esfuerzos en la promoción del Tratado de Marrakech.  En colaboración con la NCAC, en diciembre de 2014 la Oficina organizó una mesa redonda con asistencia de funcionarios de las universidades y el Gobierno y en cuyo marco se examinó la posibilidad de adhesión y los pasos preparatorios.  La Oficina también facilitó la edición de una versión china del Tratado de Marrakech en los formatos Braille, DAISI y audio.</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lo que se refiere a los diseños industriales, la Oficina siguió respaldando la intención de China de adherirse al Sistema de La Haya.  Se inició la colaboración con funcionarios de alto rango de la administración y el poder legislativo.  La Oficina participó en un simposio internacional y organizó o coorganizó numerosos seminarios sobre diseños industriales, aprovechando esas oportunidades para poner de relieve las ventajas y la naturaleza del sistema.  Al mismo tiempo, la Oficina colaboró directamente con el sector empresarial en la promoción del Sistema de La Haya.  Como consecuencia de esa colaboración, la empresa china Lenovo ocupó el séptimo lugar entre los principales usuarios del Sistema de La Haya en 2014.  En 2015, Huawei y Xiaomi también comenzaron a utilizar el Sistema de La Haya.</w:t>
      </w:r>
    </w:p>
    <w:p w:rsidR="001C19F7" w:rsidRPr="001C19F7" w:rsidRDefault="001C19F7" w:rsidP="001C19F7">
      <w:pPr>
        <w:jc w:val="both"/>
        <w:rPr>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La Oficina siguió participando durante el bienio en varias iniciativas adicionales.  Avanzaron los debates con la SAIC respecto de la cooperación con China en el intercambio de datos en relación con la base de datos mundial sobre marcas, lo que dio lugar al inicio de un intercambio de datos de ensayo en 2015.  La Oficina de la OMPI en China siguió promoviendo las plataformas de la OMPI y cabe destacar que, tras la inauguración de la OOC en 2014, el Grupo Haier (uno de los mayores fabricantes de aparatos electrónicos del mundo) y la Oficina de intercambio de tecnología de China empezó a colaborar con WIPO GREEN.  Además, la OOC, en cooperación con el Centro de Arbitraje y Mediación de la OMPI, llevó a cabo varias actividades promocionales y sesiones de formación para fomentar la sensibilización y el uso de los servicios ofrecidos por el Centro entre los grupos interesados de China.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Al mismo tiempo, la Oficina inició actividades encaminadas a darse a conocer y fomentar la importancia de la P.I. y la innovación para el desarrollo de China.  Ejemplos destacados a ese respecto fueron la 16ª ceremonia de concesión de galardones OMPI-SIPO para recompensar la mejor invención patentada y mejor diseño industrial chino y la octava edición de la Feria Internacional de Invenciones (ITIK 2014) organizada por la Asociación de Inventores de China, en la que la Oficina hizo también entrega de premios de la OMPI.</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noviembre de 2015, la OMPI y la NCAC firmaron un memorando de entendimiento que estrechó la cooperación bilateral con el estado anfitrión de la OOC.  Además, siguió fortaleciéndose el compromiso y la cooperación con los gobiernos locales de los ámbitos provincial y local.  Cabe señalar que la OMPI firmó sendos memorandos de entendimiento con el Gobierno Municipal de Shanghai (2014) y el Gobierno Municipal de Beijing (2015).</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el campo de la asistencia técnica y la capacitación, la OOC facilitó su apoyo al Programa 11 (Academia de la OMPI) para la apertura del primer Curso de verano de la OMPI en el recinto de la Universidad de Ciencias Políticas y Derecho de China Oriental en mayo de 2015 y en la preparación de un memorando de entendimiento con el Centro de Formación en Propiedad Intelectual de China.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Se reforzó la tarea de divulgación dirigida a grupos interesados importantes con el propósito de fomentar la toma de conciencia respecto de la labor de la OMPI y los derechos de P.I. en China, en colaboración con las autoridades de P.I. de China, incluso en la ocasión del Día Mundial de la Propiedad Intelectual.  En julio de 2015, la OOC organizó un seminario para más de 80 periodistas.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Además, la OOC continuó desempeñando una función clave en la atención al cliente las 24 horas del día.  Con sus dos líneas telefónicas directas y su buzón de correo electrónico para clientes, la OOC respondió, en chino mandarín, a más de 700 consultas de usuarios de los servicios de la OMPI en China durante el horario laboral local, lo que aumentó considerablemente la satisfacción.</w:t>
      </w:r>
    </w:p>
    <w:p w:rsidR="001C19F7" w:rsidRPr="001C19F7" w:rsidRDefault="001C19F7" w:rsidP="001C19F7">
      <w:pPr>
        <w:pStyle w:val="ListParagraph"/>
        <w:ind w:left="0"/>
        <w:jc w:val="both"/>
        <w:rPr>
          <w:rFonts w:cs="Arial"/>
          <w:bCs/>
          <w:color w:val="000000" w:themeColor="text1"/>
          <w:u w:val="single"/>
          <w:lang w:val="es-ES"/>
        </w:rPr>
      </w:pPr>
    </w:p>
    <w:p w:rsidR="001C19F7" w:rsidRPr="001C19F7" w:rsidRDefault="001C19F7" w:rsidP="001C19F7">
      <w:pPr>
        <w:jc w:val="both"/>
        <w:rPr>
          <w:bCs/>
          <w:color w:val="000000" w:themeColor="text1"/>
          <w:sz w:val="20"/>
          <w:u w:val="single"/>
        </w:rPr>
      </w:pPr>
      <w:r w:rsidRPr="001C19F7">
        <w:rPr>
          <w:color w:val="000000" w:themeColor="text1"/>
          <w:sz w:val="20"/>
          <w:u w:val="single"/>
        </w:rPr>
        <w:t>Oficina de la OMPI en el Japón (OOJ) (Sr. Y. Takagi)</w:t>
      </w:r>
    </w:p>
    <w:p w:rsidR="001C19F7" w:rsidRPr="001C19F7" w:rsidRDefault="001C19F7" w:rsidP="001C19F7">
      <w:pPr>
        <w:jc w:val="both"/>
        <w:rPr>
          <w:bCs/>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Durante el bienio, la OOJ siguió centrando su atención en los sistemas de administración de la P.I. de la OMPI, las bases de datos mundiales y las plataformas de encuentro de diferentes partes interesadas del mercado japonés.  Se trató, entre otras cosas, de prestar servicios puntuales y eficaces a los usuarios de dichos servicios.  Por un lado, eso entrañó que la Oficina prestara asesoramiento y suministrara información en respuesta a las cerca de 1.500 consultas recibidas por la Oficina durante el bienio.  Por otra parte, entrañó llevar a cabo actividades para usuarios de los servicios de la OMPI y otras partes interesadas, colaborando estrechamente y contando con el apoyo de instituciones gubernamentales del país anfitrión, la industria y las universidades japonesas.  Con ese fin se llevaron a cabo actividades de difusión, entre otras, 75 ponencias destinadas a importantes partes interesadas, con la participación de 10.000 personas aproximadamente.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Durante el bienio, un logro importante fue la adhesión del Japón al Sistema de La Haya en febrero de 2015 y la entrada en vigor del Sistema en mayo de ese mismo año.  La OOJ proporcionó información actualizada sobre el Sistema de La Haya a posibles usuarios, tales como empresas y </w:t>
      </w:r>
      <w:r w:rsidR="00427C67">
        <w:rPr>
          <w:color w:val="000000" w:themeColor="text1"/>
          <w:lang w:val="es-ES"/>
        </w:rPr>
        <w:t>estudios</w:t>
      </w:r>
      <w:r w:rsidRPr="001C19F7">
        <w:rPr>
          <w:color w:val="000000" w:themeColor="text1"/>
          <w:lang w:val="es-ES"/>
        </w:rPr>
        <w:t xml:space="preserve"> de abogados.  Para facilitar el uso del Sistema, la OOJ ofreció formación práctica sobre la presentación electrónica y respondió las preguntas de los usuarios a fin de darles confianza y aumentar el interés en el Sistema y su uso.  Hacia fines del bienio, ya se habían presentado 411 diseños con el Sistema tras siete meses y medio de su entrada en vigor.</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La Oficina centró también su labor en dar a conocer más ampliamente la OMPI y sus actividades.  Para lograrlo mantuvo numerosas reuniones con grupos interesados del país, participó en actividades, dio conferencias en las universidades y facilitó formación en línea, editó folletos fundamentales de la OMPI en japonés y publicó en el sitio web de la OOJ la versión en japonés de información de la OMPI.  La Oficina siguió desempeñando un papel importante a la hora de velar por que el servicio de atención al cliente de la OMPI esté disponible las 24 horas del día.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Además de promover el PCT y PATENTSCOPE, un miembro de la OOJ que estaba plenamente comprometido con la promoción del Sistema de Madrid visitó unas 200 empresas y participó como orador en numerosos seminarios.  Esta iniciativa, que tiene por finalidad velar por que los usuarios actuales y potenciales sigan estando actualizados en materia de cambios legislativos y bases de datos de marcas comerciales, contribuyó </w:t>
      </w:r>
      <w:r w:rsidR="00427C67">
        <w:rPr>
          <w:color w:val="000000" w:themeColor="text1"/>
          <w:lang w:val="es-ES"/>
        </w:rPr>
        <w:t>a que el número de solicitudes procedentes del Japón</w:t>
      </w:r>
      <w:r w:rsidRPr="001C19F7">
        <w:rPr>
          <w:color w:val="000000" w:themeColor="text1"/>
          <w:lang w:val="es-ES"/>
        </w:rPr>
        <w:t xml:space="preserve"> (como oficina de origen)</w:t>
      </w:r>
      <w:r w:rsidR="00427C67">
        <w:rPr>
          <w:color w:val="000000" w:themeColor="text1"/>
          <w:lang w:val="es-ES"/>
        </w:rPr>
        <w:t xml:space="preserve"> con arreglo al Sistema de Madrid</w:t>
      </w:r>
      <w:r w:rsidRPr="001C19F7">
        <w:rPr>
          <w:color w:val="000000" w:themeColor="text1"/>
          <w:lang w:val="es-ES"/>
        </w:rPr>
        <w:t xml:space="preserve"> aumentara considerablemente, desde 1.845 en 2013 a 2.167 en 2015 (aumento del 17%).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Además, la OOJ promovió activamente las plataformas de encuentro entre diferentes partes interesadas.  Fruto de estos esfuerzos es la incorporación de cuatro institutos japoneses como nuevos socios de WIPO GREEN y una institución farmacéutica como miembro de WIPO Re:Search durante el bienio.  Los esfuerzos de la OOJ también contribuyeron al aumento de entradas en WIPO GREENS.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OOJ desempeñó un papel fundamental como enlace entre los grupos interesados del Japón y las sedes, mediante una interacción positiva que consistió, por ejemplo, en transmitir la información que recibían a los sectores pertinentes de las sedes, lo que daba al personal de la OMPI la posibilidad de hacer un seguimiento con dichos grupos respecto de los servicios mundiales, las bases de datos </w:t>
      </w:r>
      <w:r w:rsidRPr="001C19F7">
        <w:rPr>
          <w:color w:val="000000" w:themeColor="text1"/>
          <w:lang w:val="es-ES"/>
        </w:rPr>
        <w:lastRenderedPageBreak/>
        <w:t>mundiales, el Centro de Arbitraje y Mediación y el Informe Mundial sobre la Propiedad Intelectual de la OMPI.</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El fondo fiduciario del Japón para la propiedad industrial siguió proporcionando al OOJ oportunidades valiosas de contribuir a que se llevaran a cabo actividades en el país.  La Oficina mantuvo y actualizó, en el sitio web de la OMPI, una base de datos de estudios de casos en los que la P.I. había sido útil para promover el desarrollo (“IP Advantage”).  La OOJ, añadió 22 nuevos estudios de casos a la base de datos que ahora contiene más de 210 casos y puso de relieve el uso de la P.I. por las pymes y los empresarios.  La Oficina llevó a cabo seis presentaciones en universidades en las que utilizó la base de datos IP Advantage para dar ejemplos reales sobre la manera en que la propiedad intelectual contribuye al desarrollo.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Por primera vez, en coordinación con sus homólogos de las sedes (incluida la Academia de la OMPI), la OOJ puso a disposición cuatro becas de corto plazo para participantes de países en desarrollo de Asia y el Pacífico, que incluyeron dos semanas de formación en </w:t>
      </w:r>
      <w:r w:rsidR="00427C67">
        <w:rPr>
          <w:color w:val="000000" w:themeColor="text1"/>
          <w:lang w:val="es-ES"/>
        </w:rPr>
        <w:t>estudios</w:t>
      </w:r>
      <w:r w:rsidRPr="001C19F7">
        <w:rPr>
          <w:color w:val="000000" w:themeColor="text1"/>
          <w:lang w:val="es-ES"/>
        </w:rPr>
        <w:t xml:space="preserve"> de abogados de Tokio especializados en propiedad intelectual.  Las becas estaban destinadas a egresados del máster en Derecho de la P.I. de la OMPI y tenían la finalidad de consolidar los conocimientos aprendidos en clase por los participantes mediante experiencia con casos reales del ámbito de la propiedad intelectual.</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Además, la OOJ se empleó como oficina piloto para la puesta en práctica de la solución informática para el proyecto general de </w:t>
      </w:r>
      <w:r w:rsidR="00427C67">
        <w:rPr>
          <w:color w:val="000000" w:themeColor="text1"/>
          <w:lang w:val="es-ES"/>
        </w:rPr>
        <w:t>arquitectura de oficinas (GOA, por sus siglas en inglés</w:t>
      </w:r>
      <w:r w:rsidRPr="001C19F7">
        <w:rPr>
          <w:color w:val="000000" w:themeColor="text1"/>
          <w:lang w:val="es-ES"/>
        </w:rPr>
        <w:t>), que tiene por finalidad asegurar una integración sin contratiempos y conectividad garantizada a todos los sistemas informáticos administrativos de la OMPI alojados en las sedes.</w:t>
      </w:r>
    </w:p>
    <w:p w:rsidR="001C19F7" w:rsidRPr="001C19F7" w:rsidRDefault="001C19F7" w:rsidP="001C19F7">
      <w:pPr>
        <w:jc w:val="both"/>
        <w:rPr>
          <w:bCs/>
          <w:color w:val="000000" w:themeColor="text1"/>
          <w:sz w:val="20"/>
          <w:u w:val="single"/>
        </w:rPr>
      </w:pPr>
    </w:p>
    <w:p w:rsidR="001C19F7" w:rsidRPr="001C19F7" w:rsidRDefault="001C19F7" w:rsidP="001C19F7">
      <w:pPr>
        <w:jc w:val="both"/>
        <w:rPr>
          <w:bCs/>
          <w:color w:val="000000" w:themeColor="text1"/>
          <w:sz w:val="20"/>
          <w:u w:val="single"/>
        </w:rPr>
      </w:pPr>
      <w:r w:rsidRPr="001C19F7">
        <w:rPr>
          <w:color w:val="000000" w:themeColor="text1"/>
          <w:sz w:val="20"/>
          <w:u w:val="single"/>
        </w:rPr>
        <w:t>Oficina de la OMPI en la Federación de Rusia (OOR) (Director General)</w:t>
      </w:r>
    </w:p>
    <w:p w:rsidR="001C19F7" w:rsidRPr="001C19F7" w:rsidRDefault="001C19F7" w:rsidP="001C19F7">
      <w:pPr>
        <w:jc w:val="both"/>
        <w:rPr>
          <w:bCs/>
          <w:color w:val="000000" w:themeColor="text1"/>
          <w:sz w:val="20"/>
          <w:u w:val="single"/>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 OOR fue inaugurada en julio de 2014 y, como en el caso de la OOC, durante el segundo semestre de ese año, centró sus esfuerzos en sentar cimientos y consolidar su estructura administrativa.   A ese respecto, se establecieron estrechos lazos de cooperación con el país anfitrión, en particular con el Servicio Federal de Propiedad Intelectual (ROSPATENT) y el Consejo de la Federación de la Asamblea Federal de la Federación de Rusia, el Tribunal de Derechos de Propiedad Intelectual y la Academia Estatal Rusa de Propiedad Intelectual (RGAIS).  Gracias a esa colaboración, la Oficina pasó a ser operativa rápidamente.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Las actividades de la OOR durante el bienio se centraron en dar a conocer los servicios de la OMPI en el mercado ruso.  A ese respecto, la Oficina participó en varios eventos nacionales organizados por ROSPATENT y la OMPI así como en iniciativas de capacitación en Moscú y otras ciudades, centradas en el fomento del PCT y los Sistemas de Madrid y La Haya.  Esos encuentros fueron una oportunidad para ayudar a la Federación de Rusia a crear una red de CATI, aumentar la capacidad de las universidades y las instituciones de investigación locales con respecto al desarrollo de políticas de P.I. y dar a conocer mejor el sistema internacional de P.I.  Esos foros fueron también una oportunidad para tender puentes entre la OOR recientemente creada y otras partes interesadas, como la Cámara de Industria y Comercio, con la que la Oficina espera colaborar estrechamente en el futuro, al tiempo de responder al desafío de llevar a cabo actividades en las muchas y distantes regiones rusas.  </w:t>
      </w:r>
    </w:p>
    <w:p w:rsidR="001C19F7" w:rsidRPr="001C19F7" w:rsidRDefault="001C19F7" w:rsidP="001C19F7">
      <w:pPr>
        <w:rPr>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La Oficina también brindó apoyo a su país anfitrión para la adhesión al Tratado de Beijing en noviembre de 2015, además de las adhesiones previstas al Tratado de Marrakech y el Acta de Ginebra del Arreglo de La Haya.</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A los efectos de mejorar la capacidad de las universidades locales y las instituciones de investigación en materia de desarrollo de políticas de propiedad intelectual, la capacidad de las pymes de utilizar con eficacia la propiedad intelectual para proteger sus activos empresariales y de mejorar la sensibilización pública sobre el sistema internacional de propiedad intelectual, la OOR respaldó el crecimiento de la red de centros de apoyo a la tecnología y la innovación (CATI) en la Federación de Rusia, colaborando con otras partes interesadas de regiones distantes de este país.</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Con motivo de una propuesta del Gobierno de la Federación de Rusia, a fines de 2015, la OOR se trasladó a su nuevo local situado en la zona occidental de Moscú, en el Centro de Innovación Skolkovo, un ecosistema de innovación propicio para las nuevas tecnologías y las empresas innovadoras.  El nuevo local está equipado con la solución informática GOA, que tiene por finalidad asegurar una integración sin contratiempos y conectividad garantizada a todos los sistemas informáticos administrativos de la OMPI alojados en las sedes.</w:t>
      </w:r>
    </w:p>
    <w:p w:rsidR="001C19F7" w:rsidRPr="001C19F7" w:rsidRDefault="001C19F7" w:rsidP="001C19F7">
      <w:pPr>
        <w:jc w:val="both"/>
        <w:rPr>
          <w:bCs/>
          <w:color w:val="000000" w:themeColor="text1"/>
          <w:sz w:val="20"/>
          <w:u w:val="single"/>
        </w:rPr>
      </w:pPr>
    </w:p>
    <w:p w:rsidR="001C19F7" w:rsidRPr="001C19F7" w:rsidRDefault="001C19F7" w:rsidP="001C19F7">
      <w:pPr>
        <w:jc w:val="both"/>
        <w:rPr>
          <w:color w:val="000000" w:themeColor="text1"/>
          <w:sz w:val="20"/>
        </w:rPr>
      </w:pPr>
      <w:r w:rsidRPr="001C19F7">
        <w:rPr>
          <w:color w:val="000000" w:themeColor="text1"/>
          <w:sz w:val="20"/>
          <w:u w:val="single"/>
        </w:rPr>
        <w:t>Oficina de la OMPI en Singapur (OOS) (Director General</w:t>
      </w:r>
      <w:r w:rsidR="002441A5">
        <w:rPr>
          <w:color w:val="000000" w:themeColor="text1"/>
          <w:sz w:val="20"/>
          <w:u w:val="single"/>
        </w:rPr>
        <w:t>/Sr. N. Prasad</w:t>
      </w:r>
      <w:r w:rsidRPr="001C19F7">
        <w:rPr>
          <w:color w:val="000000" w:themeColor="text1"/>
          <w:sz w:val="20"/>
          <w:u w:val="single"/>
        </w:rPr>
        <w:t>)</w:t>
      </w:r>
      <w:r w:rsidRPr="001C19F7">
        <w:rPr>
          <w:color w:val="000000" w:themeColor="text1"/>
          <w:sz w:val="20"/>
        </w:rPr>
        <w:t xml:space="preserve"> </w:t>
      </w:r>
    </w:p>
    <w:p w:rsidR="001C19F7" w:rsidRPr="001C19F7" w:rsidRDefault="001C19F7" w:rsidP="001C19F7">
      <w:pPr>
        <w:jc w:val="both"/>
        <w:rPr>
          <w:color w:val="000000" w:themeColor="text1"/>
          <w:sz w:val="20"/>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Durante el bienio 2014</w:t>
      </w:r>
      <w:r w:rsidRPr="001C19F7">
        <w:rPr>
          <w:color w:val="000000" w:themeColor="text1"/>
          <w:lang w:val="es-ES"/>
        </w:rPr>
        <w:noBreakHyphen/>
        <w:t>2015, la Oficina de la OMPI en Singapur (OOS) continuó reforzando su función de centro de servicios de la OMPI y foro regional de P.I. para los Estados miembros, las organizaciones internacionales, las ONG y las empresas en la región y su posición de actor fundamental en el ecosistema de P.I. en la Asociación de Naciones del Asia Sudoriental (ASEAN).  La Oficina continuó con su actividad de promoción de los servicios mundiales de la OMPI en toda la ASEAN.  Los resultados tangibles en la ASEAN en el bienio 2014/15 incluyeron:  i) un 17% de aumento del número de solicitudes PCT con respecto al bienio 2012/13;  y ii) un 4% de aumento del número de solicitudes mediante el sistema de Madrid con respecto a 2013 y un 45% con respecto a 2014.</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el año 2015 se cumplió el décimo aniversario de la apertura de la Oficina de la OMPI en Singapur.  En noviembre de 2015, en una ceremonia de conmemoración de este acontecimiento, se reunieron más de 130 personas de toda la ASEAN para reflexionar sobre los progresos realizados durante el último decenio en el contexto del panorama de la P.I. y analizar la situación actual y la posible evolución en Singapur y la ASEAN en el decenio siguiente.  Entre los asistentes se encontraban más de 15 embajadores y altos comisionados, además de dirigentes de Singapur y de los círculos regionales vinculados a la P.I., la innovación y la creatividad.</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Mediante la organización y participación en eventos junto con numerosos asociados como el foro Asian Legal Business (ALB), cámaras de comercio y asociaciones empresariales, la </w:t>
      </w:r>
      <w:r w:rsidRPr="001C19F7">
        <w:rPr>
          <w:i/>
          <w:color w:val="000000" w:themeColor="text1"/>
          <w:lang w:val="es-ES"/>
        </w:rPr>
        <w:t>Licensing Executive Society</w:t>
      </w:r>
      <w:r w:rsidRPr="001C19F7">
        <w:rPr>
          <w:color w:val="000000" w:themeColor="text1"/>
          <w:lang w:val="es-ES"/>
        </w:rPr>
        <w:t xml:space="preserve"> (LES) y la Universidad Nacional de Singapur (NUS), la OOS logró promover entre un gran número de sectores interesados y usuarios los servicios mundiales de P.I. de la OMPI, WIPO GREEN, WIPO Re-Search, las bases de datos mundiales de la OMPI, el programa de CATI y WIPO CASE.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Durante el bienio siguió reforzándose la colaboración con la ASEAN, y la OOS desempeñó una función cada vez más central en la coordinación de las actividades solicitadas por el Grupo de Trabajo sobre Cooperación en Propiedad Intelectual (AWGIPC) dando así aplicación al plan de acción de la ASEAN 2011</w:t>
      </w:r>
      <w:r w:rsidRPr="001C19F7">
        <w:rPr>
          <w:color w:val="000000" w:themeColor="text1"/>
          <w:lang w:val="es-ES"/>
        </w:rPr>
        <w:noBreakHyphen/>
        <w:t>2015 en materia de derechos de P.I. en el contexto del establecimiento de la Comunidad Económica de la ASEAN (AEC) a fines de 2015.  Además, se organizaron talleres en todos los Estados miembros de la ASEAN para avanzar en los esfuerzos para adherirse a los</w:t>
      </w:r>
      <w:r w:rsidR="00644672">
        <w:rPr>
          <w:color w:val="000000" w:themeColor="text1"/>
          <w:lang w:val="es-ES"/>
        </w:rPr>
        <w:t xml:space="preserve"> sistemas de Madrid y La Haya.</w:t>
      </w:r>
      <w:r w:rsidRPr="001C19F7">
        <w:rPr>
          <w:color w:val="000000" w:themeColor="text1"/>
          <w:lang w:val="es-ES"/>
        </w:rPr>
        <w:t xml:space="preserve">  Los vínculos de cooperación con sectores interesados y asociados hicieron posible organizar actividades esenciales en la OOS, como el Taller subregional para Países de la ASEAN sobre el Sistema de La Haya, con el proyecto de la Oficina de Armonización del Mercado Interno de la UE y la ASEAN sobre la protección de los derechos de propiedad intelectual (OAMI/ECAP III) y el Taller subregional OMPI-Zona de Libre Comercio ASEAN, Australia y Nueva Zelandia para examinadores de marcas de la ASEAN centrado en el Sistema de Madrid.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2014/15, la OOS siguió gestionando y dando aplicación al memorando de entendimiento entre la OMPI y el Gobierno de Singapur, centrado en perfeccionar los conocimientos técnicos de los funcionarios de P.I. y partes interesadas de Asia y el Pacífico, organizando o coorganizando tres seminarios regionales.  Además, se llevaron a cabo unas 27 actividades de asistencia técnica en 34 Estados miembros para contribuir al funcionamiento de sistemas eficaces de administración de la P.I. así como en relación con los sistemas de Madrid y de La Haya, el derecho de autor y los derechos conexos, los organismos de gestión colectiva y campañas e iniciativas de sensibilización y creación de capacidad.  Durante el bienio, la OOS organizó también 17 visitas de estudio, en comparación con las seis que se organizaron en 2013, para los sectores interesados en la P.I. de toda la región, así como de instituciones clave de Singapur.  La OOS colaboró con la Oficina de Propiedad Intelectual de Singapur para organizar reuniones, y talleres importantes e invitó a conferenciantes a las iniciativas regionales anuales IP Week@SG, destinada al gobierno, los empresarios, los innovadores y los creadores</w:t>
      </w:r>
      <w:r w:rsidR="00EA6A94">
        <w:rPr>
          <w:color w:val="000000" w:themeColor="text1"/>
          <w:lang w:val="es-ES"/>
        </w:rPr>
        <w:t xml:space="preserve">. </w:t>
      </w:r>
      <w:r w:rsidRPr="001C19F7">
        <w:rPr>
          <w:color w:val="000000" w:themeColor="text1"/>
          <w:lang w:val="es-ES"/>
        </w:rPr>
        <w:t xml:space="preserve"> Además, se organizaron seis talleres que abarcaron una gama amplia de temas.  La OOS continuó brindando su apoyo a las actividades llevadas a cabo por el Centro de Arbitraje y Mediación de la OMPI por medio de la presencia de este último en Singapur.</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 xml:space="preserve">En 2014 se reforzó la labor de difusión, concretamente, la OOS participó como oradora en varios eventos y conferencias de organizaciones intergubernamentales, ONG, e instituciones nacionales de la región o con sede en Singapur, como la ASEAN IP Association (AIPA), la Cooperación Económica Asia-Pacífico, la Asia-Europe Foundation (ASEF), la Asociación Malasia de P.I. (MIPA), el Instituto Económico de la ASEAN y Asia Oriental (ERIA), la Confederación de Sociedades Internacionales de Autores y Compositores (CISAC), Central IP y el Tribunal Comercial Internacional de Tailandia.  A ese respecto, la OOS recibió visitas de estudio de varios Delegados que abarcaron toda la gama de derechos de </w:t>
      </w:r>
      <w:r w:rsidRPr="001C19F7">
        <w:rPr>
          <w:color w:val="000000" w:themeColor="text1"/>
          <w:lang w:val="es-ES"/>
        </w:rPr>
        <w:lastRenderedPageBreak/>
        <w:t xml:space="preserve">propiedad intelectual y todas las actividades de la OMPI.  La Oficina también fortaleció sus lazos con el mundo académico al participar con regularidad en conferencias en la Universidad Nacional de Singapur (NUS), la </w:t>
      </w:r>
      <w:r w:rsidRPr="001C19F7">
        <w:rPr>
          <w:i/>
          <w:color w:val="000000" w:themeColor="text1"/>
          <w:lang w:val="es-ES"/>
        </w:rPr>
        <w:t>Singapore Management University</w:t>
      </w:r>
      <w:r w:rsidRPr="001C19F7">
        <w:rPr>
          <w:color w:val="000000" w:themeColor="text1"/>
          <w:lang w:val="es-ES"/>
        </w:rPr>
        <w:t xml:space="preserve"> (SMU) y el </w:t>
      </w:r>
      <w:r w:rsidRPr="001C19F7">
        <w:rPr>
          <w:i/>
          <w:color w:val="000000" w:themeColor="text1"/>
          <w:lang w:val="es-ES"/>
        </w:rPr>
        <w:t>Assas-Sorbonne Campus</w:t>
      </w:r>
      <w:r w:rsidRPr="001C19F7">
        <w:rPr>
          <w:color w:val="000000" w:themeColor="text1"/>
          <w:lang w:val="es-ES"/>
        </w:rPr>
        <w:t xml:space="preserve"> en el INSEAD de Singapur.  Su participación en los Cursos de verano de la OMPI en Singapur, la República de Corea y la India y en un programa de maestría en Derecho en Australia y en debates relativos a las sociedades de recaudación en el Japón también ha ampliado el alcance geográfico de sus actividades.  </w:t>
      </w:r>
    </w:p>
    <w:p w:rsidR="001C19F7" w:rsidRPr="001C19F7" w:rsidRDefault="001C19F7" w:rsidP="001C19F7">
      <w:pPr>
        <w:pStyle w:val="ListParagraph"/>
        <w:ind w:left="0"/>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lang w:val="es-ES"/>
        </w:rPr>
      </w:pPr>
      <w:r w:rsidRPr="001C19F7">
        <w:rPr>
          <w:color w:val="000000" w:themeColor="text1"/>
          <w:lang w:val="es-ES"/>
        </w:rPr>
        <w:t>En 2015, la OOS fue integrada en el entorno informático más amplio de la OMPI mediante la GOA, lo que aseguró el acceso del personal a todos los sistemas informáticos administrativos de la OMPI alojados en las sedes y facilitó enormemente la función de videoconferencia.  Esta función, junto con el sistema telefónico IP que se aplicó en la OOS en 2014 mejoró considerablemente la comunicación entre las sedes y la OOS.  La Oficina siguió desempeñando un papel importante a la hora de velar por que el servicio de atención al cliente de la OMPI esté disponible las 24 horas del día.</w:t>
      </w:r>
    </w:p>
    <w:p w:rsidR="001C19F7" w:rsidRPr="001C19F7" w:rsidRDefault="001C19F7" w:rsidP="001C19F7">
      <w:pPr>
        <w:rPr>
          <w:color w:val="000000" w:themeColor="text1"/>
          <w:sz w:val="20"/>
        </w:rPr>
      </w:pPr>
    </w:p>
    <w:p w:rsidR="001C19F7" w:rsidRPr="001C19F7" w:rsidRDefault="001C19F7" w:rsidP="001C19F7">
      <w:pPr>
        <w:rPr>
          <w:color w:val="000000" w:themeColor="text1"/>
          <w:sz w:val="20"/>
        </w:rPr>
      </w:pPr>
    </w:p>
    <w:p w:rsidR="001C19F7" w:rsidRPr="001C19F7" w:rsidRDefault="001C19F7" w:rsidP="001C19F7">
      <w:pPr>
        <w:rPr>
          <w:color w:val="000000" w:themeColor="text1"/>
          <w:sz w:val="20"/>
        </w:rPr>
      </w:pPr>
      <w:r w:rsidRPr="001C19F7">
        <w:rPr>
          <w:color w:val="000000" w:themeColor="text1"/>
          <w:sz w:val="20"/>
        </w:rPr>
        <w:t>DATOS SOBRE EL RENDIMIENTO</w:t>
      </w:r>
      <w:r w:rsidRPr="001C19F7">
        <w:rPr>
          <w:rStyle w:val="FootnoteReference"/>
          <w:color w:val="000000" w:themeColor="text1"/>
          <w:sz w:val="20"/>
        </w:rPr>
        <w:footnoteReference w:id="109"/>
      </w:r>
    </w:p>
    <w:p w:rsidR="001C19F7" w:rsidRPr="001C19F7" w:rsidRDefault="001C19F7" w:rsidP="001C19F7">
      <w:pPr>
        <w:rPr>
          <w:color w:val="000000" w:themeColor="text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18"/>
        <w:gridCol w:w="1706"/>
        <w:gridCol w:w="210"/>
        <w:gridCol w:w="173"/>
        <w:gridCol w:w="1054"/>
        <w:gridCol w:w="20"/>
        <w:gridCol w:w="152"/>
        <w:gridCol w:w="2697"/>
        <w:gridCol w:w="98"/>
        <w:gridCol w:w="22"/>
        <w:gridCol w:w="77"/>
        <w:gridCol w:w="111"/>
        <w:gridCol w:w="11"/>
        <w:gridCol w:w="1112"/>
      </w:tblGrid>
      <w:tr w:rsidR="001C19F7" w:rsidRPr="00867291" w:rsidTr="008B1CDA">
        <w:tc>
          <w:tcPr>
            <w:tcW w:w="5000" w:type="pct"/>
            <w:gridSpan w:val="15"/>
            <w:tcBorders>
              <w:bottom w:val="single" w:sz="4" w:space="0" w:color="auto"/>
            </w:tcBorders>
            <w:shd w:val="clear" w:color="auto" w:fill="C6D9F1" w:themeFill="text2" w:themeFillTint="33"/>
          </w:tcPr>
          <w:p w:rsidR="001C19F7" w:rsidRPr="00867291" w:rsidRDefault="001C19F7" w:rsidP="008764EF">
            <w:pPr>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II.1 Fomento del uso de la vía del PCT para la presentación de solicitudes internacionales de patente</w:t>
            </w:r>
          </w:p>
        </w:tc>
      </w:tr>
      <w:tr w:rsidR="001C19F7" w:rsidRPr="00867291" w:rsidTr="008B1CDA">
        <w:tc>
          <w:tcPr>
            <w:tcW w:w="1113" w:type="pct"/>
            <w:gridSpan w:val="2"/>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1002" w:type="pct"/>
            <w:gridSpan w:val="2"/>
            <w:tcBorders>
              <w:top w:val="single" w:sz="4" w:space="0" w:color="auto"/>
              <w:left w:val="nil"/>
              <w:bottom w:val="nil"/>
              <w:right w:val="nil"/>
            </w:tcBorders>
            <w:shd w:val="clear" w:color="auto" w:fill="auto"/>
          </w:tcPr>
          <w:p w:rsidR="001C19F7" w:rsidRPr="00867291" w:rsidRDefault="001C19F7" w:rsidP="008B1CDA">
            <w:pPr>
              <w:rPr>
                <w:b/>
                <w:bCs/>
                <w:color w:val="000000" w:themeColor="text1"/>
                <w:sz w:val="16"/>
                <w:szCs w:val="16"/>
              </w:rPr>
            </w:pPr>
            <w:r w:rsidRPr="00867291">
              <w:rPr>
                <w:b/>
                <w:color w:val="000000" w:themeColor="text1"/>
                <w:sz w:val="16"/>
              </w:rPr>
              <w:t>Referencia</w:t>
            </w:r>
          </w:p>
        </w:tc>
        <w:tc>
          <w:tcPr>
            <w:tcW w:w="642" w:type="pct"/>
            <w:gridSpan w:val="2"/>
            <w:tcBorders>
              <w:top w:val="single" w:sz="4" w:space="0" w:color="auto"/>
              <w:left w:val="nil"/>
              <w:bottom w:val="nil"/>
              <w:right w:val="nil"/>
            </w:tcBorders>
            <w:shd w:val="clear" w:color="auto" w:fill="auto"/>
            <w:tcMar>
              <w:top w:w="110" w:type="dxa"/>
            </w:tcMar>
          </w:tcPr>
          <w:p w:rsidR="001C19F7" w:rsidRPr="00867291" w:rsidRDefault="001C19F7" w:rsidP="008B1CDA">
            <w:pPr>
              <w:rPr>
                <w:b/>
                <w:color w:val="000000" w:themeColor="text1"/>
                <w:sz w:val="16"/>
                <w:szCs w:val="16"/>
              </w:rPr>
            </w:pPr>
            <w:r w:rsidRPr="00867291">
              <w:rPr>
                <w:b/>
                <w:color w:val="000000" w:themeColor="text1"/>
                <w:sz w:val="16"/>
              </w:rPr>
              <w:t>Objetivos</w:t>
            </w:r>
          </w:p>
        </w:tc>
        <w:tc>
          <w:tcPr>
            <w:tcW w:w="1562" w:type="pct"/>
            <w:gridSpan w:val="5"/>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r w:rsidRPr="00867291">
              <w:rPr>
                <w:rStyle w:val="FootnoteReference"/>
                <w:b/>
                <w:color w:val="000000" w:themeColor="text1"/>
              </w:rPr>
              <w:footnoteReference w:id="110"/>
            </w:r>
          </w:p>
        </w:tc>
        <w:tc>
          <w:tcPr>
            <w:tcW w:w="681" w:type="pct"/>
            <w:gridSpan w:val="4"/>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13" w:type="pct"/>
            <w:gridSpan w:val="2"/>
            <w:tcBorders>
              <w:top w:val="nil"/>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Porcentaje de solicitudes presentadas en virtud del PCT</w:t>
            </w:r>
            <w:r w:rsidRPr="00867291">
              <w:rPr>
                <w:rStyle w:val="FootnoteReference"/>
                <w:color w:val="000000" w:themeColor="text1"/>
              </w:rPr>
              <w:footnoteReference w:id="111"/>
            </w:r>
          </w:p>
        </w:tc>
        <w:tc>
          <w:tcPr>
            <w:tcW w:w="1002" w:type="pct"/>
            <w:gridSpan w:val="2"/>
            <w:tcBorders>
              <w:top w:val="nil"/>
              <w:left w:val="nil"/>
              <w:bottom w:val="nil"/>
              <w:right w:val="nil"/>
            </w:tcBorders>
            <w:shd w:val="clear" w:color="auto" w:fill="auto"/>
          </w:tcPr>
          <w:p w:rsidR="001C19F7" w:rsidRPr="00867291" w:rsidRDefault="001C19F7" w:rsidP="008B1CDA">
            <w:pPr>
              <w:rPr>
                <w:color w:val="000000" w:themeColor="text1"/>
                <w:sz w:val="16"/>
                <w:szCs w:val="16"/>
              </w:rPr>
            </w:pPr>
            <w:r w:rsidRPr="00EF75DA">
              <w:rPr>
                <w:i/>
                <w:color w:val="002060"/>
                <w:sz w:val="16"/>
                <w:szCs w:val="16"/>
                <w:lang w:eastAsia="en-US"/>
              </w:rPr>
              <w:t>Referencia actualizada a fines de 2013:</w:t>
            </w:r>
            <w:r w:rsidRPr="00867291">
              <w:rPr>
                <w:color w:val="000000" w:themeColor="text1"/>
                <w:sz w:val="16"/>
              </w:rPr>
              <w:t xml:space="preserve">   </w:t>
            </w:r>
          </w:p>
          <w:p w:rsidR="001C19F7" w:rsidRPr="00EF75DA" w:rsidRDefault="001C19F7" w:rsidP="008B1CDA">
            <w:pPr>
              <w:rPr>
                <w:color w:val="002060"/>
                <w:sz w:val="16"/>
                <w:szCs w:val="16"/>
                <w:lang w:eastAsia="en-US"/>
              </w:rPr>
            </w:pPr>
            <w:r w:rsidRPr="00EF75DA">
              <w:rPr>
                <w:color w:val="002060"/>
                <w:sz w:val="16"/>
                <w:szCs w:val="16"/>
                <w:lang w:eastAsia="en-US"/>
              </w:rPr>
              <w:t xml:space="preserve">2012:  588         </w:t>
            </w:r>
          </w:p>
          <w:p w:rsidR="001C19F7" w:rsidRPr="00EF75DA" w:rsidRDefault="001C19F7" w:rsidP="008B1CDA">
            <w:pPr>
              <w:rPr>
                <w:color w:val="002060"/>
                <w:sz w:val="16"/>
                <w:szCs w:val="16"/>
                <w:lang w:eastAsia="en-US"/>
              </w:rPr>
            </w:pPr>
            <w:r w:rsidRPr="00EF75DA">
              <w:rPr>
                <w:color w:val="002060"/>
                <w:sz w:val="16"/>
                <w:szCs w:val="16"/>
                <w:lang w:eastAsia="en-US"/>
              </w:rPr>
              <w:t>2013:  657 (OOB)</w:t>
            </w:r>
          </w:p>
          <w:p w:rsidR="001C19F7" w:rsidRPr="00EF75DA" w:rsidRDefault="001C19F7" w:rsidP="008B1CDA">
            <w:pPr>
              <w:rPr>
                <w:color w:val="002060"/>
                <w:sz w:val="16"/>
                <w:szCs w:val="16"/>
                <w:lang w:eastAsia="en-US"/>
              </w:rPr>
            </w:pPr>
            <w:r w:rsidRPr="00EF75DA">
              <w:rPr>
                <w:color w:val="002060"/>
                <w:sz w:val="16"/>
                <w:szCs w:val="16"/>
                <w:lang w:eastAsia="en-US"/>
              </w:rPr>
              <w:t xml:space="preserve">2012:  43.523      </w:t>
            </w:r>
          </w:p>
          <w:p w:rsidR="001C19F7" w:rsidRPr="00EF75DA" w:rsidRDefault="001C19F7" w:rsidP="008B1CDA">
            <w:pPr>
              <w:rPr>
                <w:color w:val="002060"/>
                <w:sz w:val="16"/>
                <w:szCs w:val="16"/>
                <w:lang w:eastAsia="en-US"/>
              </w:rPr>
            </w:pPr>
            <w:r w:rsidRPr="00EF75DA">
              <w:rPr>
                <w:color w:val="002060"/>
                <w:sz w:val="16"/>
                <w:szCs w:val="16"/>
                <w:lang w:eastAsia="en-US"/>
              </w:rPr>
              <w:t xml:space="preserve">2013:  43.771 (OOJ)  </w:t>
            </w:r>
          </w:p>
          <w:p w:rsidR="001C19F7" w:rsidRPr="00EF75DA" w:rsidRDefault="001C19F7" w:rsidP="008B1CDA">
            <w:pPr>
              <w:rPr>
                <w:color w:val="002060"/>
                <w:sz w:val="16"/>
                <w:szCs w:val="16"/>
                <w:lang w:eastAsia="en-US"/>
              </w:rPr>
            </w:pPr>
            <w:r w:rsidRPr="00EF75DA">
              <w:rPr>
                <w:color w:val="002060"/>
                <w:sz w:val="16"/>
                <w:szCs w:val="16"/>
                <w:lang w:eastAsia="en-US"/>
              </w:rPr>
              <w:t>2012:  1.124</w:t>
            </w:r>
          </w:p>
          <w:p w:rsidR="001C19F7" w:rsidRPr="00867291" w:rsidRDefault="001C19F7" w:rsidP="008B1CDA">
            <w:pPr>
              <w:rPr>
                <w:color w:val="000000" w:themeColor="text1"/>
                <w:sz w:val="16"/>
                <w:szCs w:val="16"/>
              </w:rPr>
            </w:pPr>
            <w:r w:rsidRPr="00EF75DA">
              <w:rPr>
                <w:color w:val="002060"/>
                <w:sz w:val="16"/>
                <w:szCs w:val="16"/>
                <w:lang w:eastAsia="en-US"/>
              </w:rPr>
              <w:t>2013:  1.282 (OOS)</w:t>
            </w:r>
          </w:p>
          <w:p w:rsidR="001C19F7" w:rsidRPr="00867291" w:rsidRDefault="001C19F7" w:rsidP="008B1CDA">
            <w:pPr>
              <w:rPr>
                <w:i/>
                <w:color w:val="000000" w:themeColor="text1"/>
                <w:sz w:val="8"/>
                <w:szCs w:val="8"/>
              </w:rPr>
            </w:pPr>
          </w:p>
          <w:p w:rsidR="001C19F7" w:rsidRPr="00867291" w:rsidRDefault="001C19F7" w:rsidP="008B1CDA">
            <w:pPr>
              <w:rPr>
                <w:color w:val="000000" w:themeColor="text1"/>
                <w:sz w:val="16"/>
                <w:szCs w:val="16"/>
              </w:rPr>
            </w:pPr>
            <w:r w:rsidRPr="00867291">
              <w:rPr>
                <w:i/>
                <w:color w:val="000000" w:themeColor="text1"/>
                <w:sz w:val="16"/>
              </w:rPr>
              <w:t>Referencia original en el presupuesto de 2014/15:</w:t>
            </w:r>
            <w:r w:rsidRPr="00867291">
              <w:rPr>
                <w:color w:val="000000" w:themeColor="text1"/>
                <w:sz w:val="16"/>
              </w:rPr>
              <w:t xml:space="preserve">  519 en 2011 (OOB) por determinar (OOJ) por determinar (OOS) </w:t>
            </w:r>
          </w:p>
        </w:tc>
        <w:tc>
          <w:tcPr>
            <w:tcW w:w="642" w:type="pct"/>
            <w:gridSpan w:val="2"/>
            <w:tcBorders>
              <w:top w:val="nil"/>
              <w:left w:val="nil"/>
              <w:bottom w:val="nil"/>
              <w:right w:val="nil"/>
            </w:tcBorders>
            <w:shd w:val="clear" w:color="auto" w:fill="auto"/>
            <w:tcMar>
              <w:top w:w="110" w:type="dxa"/>
            </w:tcMar>
          </w:tcPr>
          <w:p w:rsidR="001C19F7" w:rsidRPr="00867291" w:rsidRDefault="001C19F7" w:rsidP="008B1CDA">
            <w:pPr>
              <w:ind w:right="-107"/>
              <w:rPr>
                <w:color w:val="000000" w:themeColor="text1"/>
                <w:sz w:val="16"/>
                <w:szCs w:val="16"/>
              </w:rPr>
            </w:pPr>
            <w:r w:rsidRPr="00867291">
              <w:rPr>
                <w:color w:val="000000" w:themeColor="text1"/>
                <w:sz w:val="16"/>
              </w:rPr>
              <w:t>Aumento del 15%</w:t>
            </w:r>
          </w:p>
          <w:p w:rsidR="001C19F7" w:rsidRPr="00867291" w:rsidRDefault="001C19F7" w:rsidP="008B1CDA">
            <w:pPr>
              <w:rPr>
                <w:color w:val="000000" w:themeColor="text1"/>
                <w:sz w:val="16"/>
                <w:szCs w:val="16"/>
              </w:rPr>
            </w:pPr>
            <w:r w:rsidRPr="00867291">
              <w:rPr>
                <w:color w:val="000000" w:themeColor="text1"/>
                <w:sz w:val="16"/>
              </w:rPr>
              <w:t>(OOB)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1%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5% (OOS)</w:t>
            </w:r>
          </w:p>
        </w:tc>
        <w:tc>
          <w:tcPr>
            <w:tcW w:w="1562" w:type="pct"/>
            <w:gridSpan w:val="5"/>
            <w:tcBorders>
              <w:top w:val="nil"/>
              <w:left w:val="nil"/>
              <w:bottom w:val="nil"/>
              <w:right w:val="nil"/>
            </w:tcBorders>
            <w:shd w:val="clear" w:color="auto" w:fill="FFFFFF"/>
            <w:tcMar>
              <w:top w:w="110" w:type="dxa"/>
              <w:left w:w="29" w:type="dxa"/>
              <w:right w:w="29" w:type="dxa"/>
            </w:tcMar>
          </w:tcPr>
          <w:p w:rsidR="001C19F7" w:rsidRPr="00867291" w:rsidRDefault="001C19F7" w:rsidP="008B1CDA">
            <w:pPr>
              <w:rPr>
                <w:color w:val="000000" w:themeColor="text1"/>
                <w:sz w:val="16"/>
                <w:szCs w:val="16"/>
              </w:rPr>
            </w:pPr>
            <w:r w:rsidRPr="00867291">
              <w:rPr>
                <w:color w:val="000000" w:themeColor="text1"/>
                <w:sz w:val="16"/>
              </w:rPr>
              <w:t>2014/15: 1.128 (-9%)</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580 (-12%)</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2015:  547 (-6%)</w:t>
            </w:r>
          </w:p>
          <w:p w:rsidR="001C19F7" w:rsidRPr="00867291" w:rsidRDefault="001C19F7" w:rsidP="008B1CDA">
            <w:pPr>
              <w:rPr>
                <w:color w:val="000000" w:themeColor="text1"/>
                <w:sz w:val="16"/>
                <w:szCs w:val="16"/>
              </w:rPr>
            </w:pPr>
            <w:r w:rsidRPr="00867291">
              <w:rPr>
                <w:color w:val="000000" w:themeColor="text1"/>
                <w:sz w:val="16"/>
              </w:rPr>
              <w:t>(OOB)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w:t>
            </w:r>
            <w:proofErr w:type="gramStart"/>
            <w:r w:rsidRPr="00867291">
              <w:rPr>
                <w:color w:val="000000" w:themeColor="text1"/>
                <w:sz w:val="16"/>
              </w:rPr>
              <w:t>:  86.616</w:t>
            </w:r>
            <w:proofErr w:type="gramEnd"/>
            <w:r w:rsidRPr="00867291">
              <w:rPr>
                <w:color w:val="000000" w:themeColor="text1"/>
                <w:sz w:val="16"/>
              </w:rPr>
              <w:t xml:space="preserve"> (-1%)</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42.381</w:t>
            </w:r>
            <w:r w:rsidRPr="00867291">
              <w:rPr>
                <w:rStyle w:val="FootnoteReference"/>
                <w:color w:val="000000" w:themeColor="text1"/>
              </w:rPr>
              <w:t xml:space="preserve"> </w:t>
            </w:r>
            <w:r w:rsidRPr="00867291">
              <w:rPr>
                <w:color w:val="000000" w:themeColor="text1"/>
                <w:sz w:val="16"/>
              </w:rPr>
              <w:t>(-3%)</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44.235 (+4%)</w:t>
            </w:r>
          </w:p>
          <w:p w:rsidR="001C19F7" w:rsidRPr="00867291" w:rsidRDefault="001C19F7" w:rsidP="008B1CDA">
            <w:pPr>
              <w:rPr>
                <w:color w:val="000000" w:themeColor="text1"/>
                <w:sz w:val="16"/>
                <w:szCs w:val="16"/>
              </w:rPr>
            </w:pPr>
            <w:r w:rsidRPr="00867291">
              <w:rPr>
                <w:color w:val="000000" w:themeColor="text1"/>
                <w:sz w:val="16"/>
              </w:rPr>
              <w:t>(OOJ)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w:t>
            </w:r>
            <w:proofErr w:type="gramStart"/>
            <w:r w:rsidRPr="00867291">
              <w:rPr>
                <w:color w:val="000000" w:themeColor="text1"/>
                <w:sz w:val="16"/>
              </w:rPr>
              <w:t>:  2.809</w:t>
            </w:r>
            <w:proofErr w:type="gramEnd"/>
            <w:r w:rsidRPr="00867291">
              <w:rPr>
                <w:color w:val="000000" w:themeColor="text1"/>
                <w:sz w:val="16"/>
              </w:rPr>
              <w:t xml:space="preserve"> (+17%)</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2014:  1.394 (+9%)</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1.415 (+2%)</w:t>
            </w:r>
          </w:p>
          <w:p w:rsidR="001C19F7" w:rsidRPr="00867291" w:rsidRDefault="001C19F7" w:rsidP="008B1CDA">
            <w:pPr>
              <w:rPr>
                <w:color w:val="000000" w:themeColor="text1"/>
                <w:sz w:val="16"/>
                <w:szCs w:val="16"/>
              </w:rPr>
            </w:pPr>
            <w:r w:rsidRPr="00867291">
              <w:rPr>
                <w:color w:val="000000" w:themeColor="text1"/>
                <w:sz w:val="16"/>
              </w:rPr>
              <w:t>(OOS)</w:t>
            </w:r>
          </w:p>
        </w:tc>
        <w:tc>
          <w:tcPr>
            <w:tcW w:w="681" w:type="pct"/>
            <w:gridSpan w:val="4"/>
            <w:tcBorders>
              <w:top w:val="nil"/>
              <w:left w:val="nil"/>
              <w:bottom w:val="nil"/>
              <w:right w:val="single" w:sz="4" w:space="0" w:color="auto"/>
            </w:tcBorders>
            <w:shd w:val="clear" w:color="auto" w:fill="auto"/>
            <w:tcMar>
              <w:top w:w="110" w:type="dxa"/>
            </w:tcMar>
          </w:tcPr>
          <w:p w:rsidR="001C19F7" w:rsidRPr="00867291" w:rsidRDefault="001C19F7" w:rsidP="008B1CDA">
            <w:pPr>
              <w:keepNext/>
              <w:keepLines/>
              <w:ind w:right="20"/>
              <w:jc w:val="center"/>
              <w:rPr>
                <w:b/>
                <w:color w:val="FF0000"/>
                <w:sz w:val="16"/>
                <w:szCs w:val="16"/>
              </w:rPr>
            </w:pPr>
            <w:r w:rsidRPr="00867291">
              <w:rPr>
                <w:b/>
                <w:color w:val="FF0000"/>
                <w:sz w:val="16"/>
              </w:rPr>
              <w:t xml:space="preserve">No </w:t>
            </w:r>
            <w:r w:rsidRPr="002265C0">
              <w:rPr>
                <w:b/>
                <w:bCs/>
                <w:color w:val="FF0000"/>
                <w:sz w:val="16"/>
                <w:szCs w:val="16"/>
                <w:lang w:val="en-US"/>
              </w:rPr>
              <w:t>logrado</w:t>
            </w:r>
          </w:p>
          <w:p w:rsidR="001C19F7" w:rsidRPr="00867291" w:rsidRDefault="001C19F7" w:rsidP="008B1CDA">
            <w:pPr>
              <w:keepNext/>
              <w:keepLines/>
              <w:ind w:right="20"/>
              <w:rPr>
                <w:b/>
                <w:color w:val="000000" w:themeColor="text1"/>
                <w:sz w:val="16"/>
                <w:szCs w:val="16"/>
              </w:rPr>
            </w:pPr>
          </w:p>
          <w:p w:rsidR="001C19F7" w:rsidRPr="00867291" w:rsidRDefault="001C19F7" w:rsidP="008B1CDA">
            <w:pPr>
              <w:keepNext/>
              <w:keepLines/>
              <w:ind w:right="20"/>
              <w:rPr>
                <w:b/>
                <w:color w:val="000000" w:themeColor="text1"/>
                <w:sz w:val="16"/>
                <w:szCs w:val="16"/>
              </w:rPr>
            </w:pPr>
          </w:p>
          <w:p w:rsidR="001C19F7" w:rsidRPr="00867291" w:rsidRDefault="001C19F7" w:rsidP="008B1CDA">
            <w:pPr>
              <w:keepNext/>
              <w:keepLines/>
              <w:ind w:right="20"/>
              <w:rPr>
                <w:b/>
                <w:color w:val="000000" w:themeColor="text1"/>
                <w:sz w:val="16"/>
                <w:szCs w:val="16"/>
              </w:rPr>
            </w:pPr>
          </w:p>
          <w:p w:rsidR="001C19F7" w:rsidRPr="00867291" w:rsidRDefault="001C19F7" w:rsidP="008B1CDA">
            <w:pPr>
              <w:keepNext/>
              <w:keepLines/>
              <w:ind w:right="20"/>
              <w:jc w:val="center"/>
              <w:rPr>
                <w:b/>
                <w:color w:val="000000" w:themeColor="text1"/>
                <w:sz w:val="16"/>
                <w:szCs w:val="16"/>
              </w:rPr>
            </w:pPr>
            <w:r w:rsidRPr="00867291">
              <w:rPr>
                <w:b/>
                <w:color w:val="FF0000"/>
                <w:sz w:val="16"/>
              </w:rPr>
              <w:t>No logrado</w:t>
            </w:r>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16"/>
                <w:szCs w:val="16"/>
              </w:rPr>
            </w:pPr>
          </w:p>
          <w:p w:rsidR="001C19F7" w:rsidRPr="00867291" w:rsidRDefault="00044DA1" w:rsidP="008B1CDA">
            <w:pPr>
              <w:keepNext/>
              <w:keepLines/>
              <w:ind w:left="-117" w:right="20"/>
              <w:jc w:val="center"/>
              <w:rPr>
                <w:b/>
                <w:bCs/>
                <w:color w:val="000000" w:themeColor="text1"/>
                <w:sz w:val="16"/>
                <w:szCs w:val="16"/>
              </w:rPr>
            </w:pPr>
            <w:r>
              <w:rPr>
                <w:b/>
                <w:bCs/>
                <w:color w:val="00B050"/>
                <w:sz w:val="16"/>
                <w:szCs w:val="16"/>
                <w:lang w:val="en-US"/>
              </w:rPr>
              <w:t>Plenamente logrado</w:t>
            </w:r>
          </w:p>
          <w:p w:rsidR="001C19F7" w:rsidRPr="00867291" w:rsidRDefault="001C19F7" w:rsidP="008B1CDA">
            <w:pPr>
              <w:keepNext/>
              <w:keepLines/>
              <w:ind w:left="71" w:right="20"/>
              <w:jc w:val="center"/>
              <w:rPr>
                <w:b/>
                <w:bCs/>
                <w:color w:val="000000" w:themeColor="text1"/>
                <w:sz w:val="16"/>
                <w:szCs w:val="16"/>
              </w:rPr>
            </w:pPr>
          </w:p>
        </w:tc>
      </w:tr>
      <w:tr w:rsidR="001C19F7" w:rsidRPr="00867291" w:rsidTr="008B1CDA">
        <w:tc>
          <w:tcPr>
            <w:tcW w:w="1113" w:type="pct"/>
            <w:gridSpan w:val="2"/>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Porcentaje de encargados de la adopción de políticas, funcionarios gubernamentales, profesionales de la P.I. y participantes en talleres con un mayor conocimiento del PCT y los temas conexos</w:t>
            </w:r>
          </w:p>
        </w:tc>
        <w:tc>
          <w:tcPr>
            <w:tcW w:w="1002" w:type="pct"/>
            <w:gridSpan w:val="2"/>
            <w:tcBorders>
              <w:top w:val="nil"/>
              <w:left w:val="nil"/>
              <w:bottom w:val="single" w:sz="4" w:space="0" w:color="auto"/>
              <w:right w:val="nil"/>
            </w:tcBorders>
            <w:shd w:val="clear" w:color="auto" w:fill="auto"/>
          </w:tcPr>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N.d. (OOB)</w:t>
            </w:r>
          </w:p>
          <w:p w:rsidR="001C19F7" w:rsidRPr="00867291" w:rsidRDefault="001C19F7" w:rsidP="008B1CDA">
            <w:pPr>
              <w:rPr>
                <w:color w:val="000000" w:themeColor="text1"/>
                <w:sz w:val="8"/>
                <w:szCs w:val="8"/>
              </w:rPr>
            </w:pPr>
          </w:p>
          <w:p w:rsidR="001C19F7" w:rsidRPr="00867291" w:rsidRDefault="001C19F7" w:rsidP="008B1CDA">
            <w:pPr>
              <w:rPr>
                <w:color w:val="000000" w:themeColor="text1"/>
                <w:sz w:val="16"/>
                <w:szCs w:val="16"/>
              </w:rPr>
            </w:pPr>
            <w:r w:rsidRPr="00867291">
              <w:rPr>
                <w:color w:val="000000" w:themeColor="text1"/>
                <w:sz w:val="16"/>
              </w:rPr>
              <w:t>N.d. (OOJ)</w:t>
            </w:r>
          </w:p>
          <w:p w:rsidR="001C19F7" w:rsidRPr="00867291" w:rsidRDefault="001C19F7" w:rsidP="008B1CDA">
            <w:pPr>
              <w:rPr>
                <w:color w:val="000000" w:themeColor="text1"/>
                <w:sz w:val="8"/>
                <w:szCs w:val="8"/>
              </w:rPr>
            </w:pPr>
          </w:p>
          <w:p w:rsidR="001C19F7" w:rsidRPr="00867291" w:rsidRDefault="001C19F7" w:rsidP="008B1CDA">
            <w:pPr>
              <w:rPr>
                <w:color w:val="000000" w:themeColor="text1"/>
                <w:sz w:val="16"/>
                <w:szCs w:val="16"/>
              </w:rPr>
            </w:pPr>
            <w:r w:rsidRPr="00867291">
              <w:rPr>
                <w:color w:val="000000" w:themeColor="text1"/>
                <w:sz w:val="16"/>
              </w:rPr>
              <w:t>N.d. (OOS)</w:t>
            </w:r>
          </w:p>
        </w:tc>
        <w:tc>
          <w:tcPr>
            <w:tcW w:w="642" w:type="pct"/>
            <w:gridSpan w:val="2"/>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4"/>
                <w:szCs w:val="4"/>
              </w:rPr>
            </w:pPr>
          </w:p>
          <w:p w:rsidR="001C19F7" w:rsidRPr="00867291" w:rsidRDefault="001C19F7" w:rsidP="008B1CDA">
            <w:pPr>
              <w:rPr>
                <w:color w:val="000000" w:themeColor="text1"/>
                <w:sz w:val="12"/>
                <w:szCs w:val="12"/>
              </w:rPr>
            </w:pPr>
          </w:p>
          <w:p w:rsidR="001C19F7" w:rsidRPr="00867291" w:rsidRDefault="001C19F7" w:rsidP="008B1CDA">
            <w:pPr>
              <w:rPr>
                <w:color w:val="000000" w:themeColor="text1"/>
                <w:sz w:val="16"/>
                <w:szCs w:val="16"/>
              </w:rPr>
            </w:pPr>
            <w:r w:rsidRPr="00867291">
              <w:rPr>
                <w:color w:val="000000" w:themeColor="text1"/>
                <w:sz w:val="16"/>
              </w:rPr>
              <w:t>75%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75%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75% (OOS)</w:t>
            </w:r>
          </w:p>
        </w:tc>
        <w:tc>
          <w:tcPr>
            <w:tcW w:w="1562" w:type="pct"/>
            <w:gridSpan w:val="5"/>
            <w:tcBorders>
              <w:top w:val="nil"/>
              <w:left w:val="nil"/>
              <w:bottom w:val="single" w:sz="4" w:space="0" w:color="auto"/>
              <w:right w:val="nil"/>
            </w:tcBorders>
            <w:shd w:val="clear" w:color="auto" w:fill="FFFFFF"/>
            <w:tcMar>
              <w:top w:w="110"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08"/>
              <w:gridCol w:w="720"/>
              <w:gridCol w:w="720"/>
            </w:tblGrid>
            <w:tr w:rsidR="001C19F7" w:rsidRPr="00867291" w:rsidTr="008B1CDA">
              <w:trPr>
                <w:trHeight w:val="20"/>
              </w:trPr>
              <w:tc>
                <w:tcPr>
                  <w:tcW w:w="708" w:type="dxa"/>
                </w:tcPr>
                <w:p w:rsidR="001C19F7" w:rsidRPr="00867291" w:rsidRDefault="001C19F7" w:rsidP="008B1CDA">
                  <w:pPr>
                    <w:jc w:val="center"/>
                    <w:rPr>
                      <w:color w:val="000000" w:themeColor="text1"/>
                      <w:sz w:val="16"/>
                      <w:szCs w:val="16"/>
                    </w:rPr>
                  </w:pPr>
                </w:p>
              </w:tc>
              <w:tc>
                <w:tcPr>
                  <w:tcW w:w="720" w:type="dxa"/>
                  <w:vAlign w:val="bottom"/>
                </w:tcPr>
                <w:p w:rsidR="001C19F7" w:rsidRPr="00867291" w:rsidRDefault="001C19F7" w:rsidP="008B1CDA">
                  <w:pPr>
                    <w:jc w:val="center"/>
                    <w:rPr>
                      <w:color w:val="000000" w:themeColor="text1"/>
                      <w:sz w:val="16"/>
                      <w:szCs w:val="16"/>
                    </w:rPr>
                  </w:pPr>
                  <w:r w:rsidRPr="00867291">
                    <w:rPr>
                      <w:color w:val="000000" w:themeColor="text1"/>
                      <w:sz w:val="16"/>
                    </w:rPr>
                    <w:t>2014</w:t>
                  </w:r>
                </w:p>
              </w:tc>
              <w:tc>
                <w:tcPr>
                  <w:tcW w:w="720" w:type="dxa"/>
                  <w:vAlign w:val="bottom"/>
                </w:tcPr>
                <w:p w:rsidR="001C19F7" w:rsidRPr="00867291" w:rsidRDefault="001C19F7" w:rsidP="008B1CDA">
                  <w:pPr>
                    <w:jc w:val="center"/>
                    <w:rPr>
                      <w:color w:val="000000" w:themeColor="text1"/>
                      <w:sz w:val="16"/>
                      <w:szCs w:val="16"/>
                    </w:rPr>
                  </w:pPr>
                  <w:r w:rsidRPr="00867291">
                    <w:rPr>
                      <w:color w:val="000000" w:themeColor="text1"/>
                      <w:sz w:val="16"/>
                    </w:rPr>
                    <w:t>2015</w:t>
                  </w:r>
                </w:p>
              </w:tc>
            </w:tr>
            <w:tr w:rsidR="001C19F7" w:rsidRPr="00867291" w:rsidTr="008B1CDA">
              <w:trPr>
                <w:trHeight w:val="216"/>
              </w:trPr>
              <w:tc>
                <w:tcPr>
                  <w:tcW w:w="708" w:type="dxa"/>
                  <w:vAlign w:val="center"/>
                </w:tcPr>
                <w:p w:rsidR="001C19F7" w:rsidRPr="00867291" w:rsidRDefault="001C19F7" w:rsidP="008B1CDA">
                  <w:pPr>
                    <w:jc w:val="center"/>
                    <w:rPr>
                      <w:color w:val="000000" w:themeColor="text1"/>
                      <w:sz w:val="16"/>
                      <w:szCs w:val="16"/>
                    </w:rPr>
                  </w:pPr>
                  <w:r w:rsidRPr="00867291">
                    <w:rPr>
                      <w:color w:val="000000" w:themeColor="text1"/>
                      <w:sz w:val="16"/>
                    </w:rPr>
                    <w:t>OOB</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80%</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75%</w:t>
                  </w:r>
                </w:p>
              </w:tc>
            </w:tr>
            <w:tr w:rsidR="001C19F7" w:rsidRPr="00867291" w:rsidTr="008B1CDA">
              <w:trPr>
                <w:trHeight w:val="441"/>
              </w:trPr>
              <w:tc>
                <w:tcPr>
                  <w:tcW w:w="708" w:type="dxa"/>
                  <w:vAlign w:val="center"/>
                </w:tcPr>
                <w:p w:rsidR="001C19F7" w:rsidRPr="00867291" w:rsidRDefault="001C19F7" w:rsidP="008B1CDA">
                  <w:pPr>
                    <w:jc w:val="center"/>
                    <w:rPr>
                      <w:color w:val="000000" w:themeColor="text1"/>
                      <w:sz w:val="16"/>
                      <w:szCs w:val="16"/>
                    </w:rPr>
                  </w:pPr>
                  <w:r w:rsidRPr="00867291">
                    <w:rPr>
                      <w:color w:val="000000" w:themeColor="text1"/>
                      <w:sz w:val="16"/>
                    </w:rPr>
                    <w:t>OOJ</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94%</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91%</w:t>
                  </w:r>
                </w:p>
              </w:tc>
            </w:tr>
            <w:tr w:rsidR="001C19F7" w:rsidRPr="00867291" w:rsidTr="008B1CDA">
              <w:trPr>
                <w:trHeight w:val="288"/>
              </w:trPr>
              <w:tc>
                <w:tcPr>
                  <w:tcW w:w="708" w:type="dxa"/>
                  <w:vAlign w:val="center"/>
                </w:tcPr>
                <w:p w:rsidR="001C19F7" w:rsidRPr="00867291" w:rsidRDefault="001C19F7" w:rsidP="008B1CDA">
                  <w:pPr>
                    <w:jc w:val="center"/>
                    <w:rPr>
                      <w:color w:val="000000" w:themeColor="text1"/>
                      <w:sz w:val="16"/>
                      <w:szCs w:val="16"/>
                    </w:rPr>
                  </w:pPr>
                  <w:r w:rsidRPr="00867291">
                    <w:rPr>
                      <w:color w:val="000000" w:themeColor="text1"/>
                      <w:sz w:val="16"/>
                    </w:rPr>
                    <w:t>OOS</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93%</w:t>
                  </w:r>
                </w:p>
              </w:tc>
              <w:tc>
                <w:tcPr>
                  <w:tcW w:w="720" w:type="dxa"/>
                  <w:vAlign w:val="center"/>
                </w:tcPr>
                <w:p w:rsidR="001C19F7" w:rsidRPr="00867291" w:rsidRDefault="001C19F7" w:rsidP="008B1CDA">
                  <w:pPr>
                    <w:jc w:val="center"/>
                    <w:rPr>
                      <w:color w:val="000000" w:themeColor="text1"/>
                      <w:sz w:val="16"/>
                      <w:szCs w:val="16"/>
                    </w:rPr>
                  </w:pPr>
                  <w:r w:rsidRPr="00867291">
                    <w:rPr>
                      <w:color w:val="000000" w:themeColor="text1"/>
                      <w:sz w:val="16"/>
                    </w:rPr>
                    <w:t>95%</w:t>
                  </w:r>
                </w:p>
              </w:tc>
            </w:tr>
          </w:tbl>
          <w:p w:rsidR="001C19F7" w:rsidRPr="00867291" w:rsidRDefault="001C19F7" w:rsidP="008B1CDA">
            <w:pPr>
              <w:rPr>
                <w:color w:val="000000" w:themeColor="text1"/>
                <w:sz w:val="16"/>
                <w:szCs w:val="16"/>
              </w:rPr>
            </w:pPr>
          </w:p>
        </w:tc>
        <w:tc>
          <w:tcPr>
            <w:tcW w:w="681" w:type="pct"/>
            <w:gridSpan w:val="4"/>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8"/>
                <w:szCs w:val="8"/>
              </w:rPr>
            </w:pPr>
          </w:p>
          <w:p w:rsidR="001C19F7" w:rsidRPr="002265C0" w:rsidRDefault="00044DA1" w:rsidP="008B1CDA">
            <w:pPr>
              <w:keepNext/>
              <w:keepLines/>
              <w:ind w:left="-117" w:right="20"/>
              <w:jc w:val="center"/>
              <w:rPr>
                <w:b/>
                <w:bCs/>
                <w:color w:val="00B050"/>
                <w:sz w:val="16"/>
                <w:szCs w:val="16"/>
              </w:rPr>
            </w:pPr>
            <w:r>
              <w:rPr>
                <w:b/>
                <w:bCs/>
                <w:color w:val="00B050"/>
                <w:sz w:val="16"/>
                <w:szCs w:val="16"/>
              </w:rPr>
              <w:t>Plenamente logrado</w:t>
            </w:r>
          </w:p>
          <w:p w:rsidR="001C19F7" w:rsidRPr="002265C0" w:rsidRDefault="00044DA1" w:rsidP="008B1CDA">
            <w:pPr>
              <w:keepNext/>
              <w:keepLines/>
              <w:ind w:left="-117" w:right="20"/>
              <w:jc w:val="center"/>
              <w:rPr>
                <w:b/>
                <w:bCs/>
                <w:color w:val="00B050"/>
                <w:sz w:val="16"/>
                <w:szCs w:val="16"/>
              </w:rPr>
            </w:pPr>
            <w:r>
              <w:rPr>
                <w:b/>
                <w:bCs/>
                <w:color w:val="00B050"/>
                <w:sz w:val="16"/>
                <w:szCs w:val="16"/>
              </w:rPr>
              <w:t>Plenamente logrado</w:t>
            </w:r>
          </w:p>
          <w:p w:rsidR="001C19F7" w:rsidRPr="00867291" w:rsidRDefault="00044DA1" w:rsidP="008B1CDA">
            <w:pPr>
              <w:keepNext/>
              <w:keepLines/>
              <w:ind w:left="-117" w:right="20"/>
              <w:jc w:val="center"/>
              <w:rPr>
                <w:b/>
                <w:bCs/>
                <w:color w:val="000000" w:themeColor="text1"/>
                <w:sz w:val="16"/>
                <w:szCs w:val="16"/>
              </w:rPr>
            </w:pPr>
            <w:r>
              <w:rPr>
                <w:b/>
                <w:bCs/>
                <w:color w:val="00B050"/>
                <w:sz w:val="16"/>
                <w:szCs w:val="16"/>
              </w:rPr>
              <w:t>Plenamente logrado</w:t>
            </w: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764EF">
            <w:pPr>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II.4 Mayor y más eficaz utilización del Sistema de La Haya</w:t>
            </w:r>
            <w:r>
              <w:rPr>
                <w:color w:val="000000" w:themeColor="text1"/>
                <w:sz w:val="16"/>
              </w:rPr>
              <w:t>, entre otros</w:t>
            </w:r>
            <w:r w:rsidRPr="00867291">
              <w:rPr>
                <w:color w:val="000000" w:themeColor="text1"/>
                <w:sz w:val="16"/>
              </w:rPr>
              <w:t xml:space="preserve"> por los países en desarrollo y los PMA</w:t>
            </w:r>
          </w:p>
        </w:tc>
      </w:tr>
      <w:tr w:rsidR="001C19F7" w:rsidRPr="00867291" w:rsidTr="008764EF">
        <w:tc>
          <w:tcPr>
            <w:tcW w:w="1113" w:type="pct"/>
            <w:gridSpan w:val="2"/>
            <w:tcBorders>
              <w:top w:val="single" w:sz="4" w:space="0" w:color="auto"/>
              <w:left w:val="single" w:sz="4" w:space="0" w:color="auto"/>
              <w:bottom w:val="nil"/>
              <w:right w:val="nil"/>
            </w:tcBorders>
            <w:shd w:val="clear" w:color="auto" w:fill="auto"/>
          </w:tcPr>
          <w:p w:rsidR="001C19F7" w:rsidRPr="00867291" w:rsidRDefault="001C19F7" w:rsidP="008764EF">
            <w:pPr>
              <w:rPr>
                <w:color w:val="000000" w:themeColor="text1"/>
                <w:sz w:val="16"/>
                <w:szCs w:val="16"/>
              </w:rPr>
            </w:pPr>
            <w:r w:rsidRPr="00867291">
              <w:rPr>
                <w:b/>
                <w:color w:val="000000" w:themeColor="text1"/>
                <w:sz w:val="16"/>
              </w:rPr>
              <w:t>Indicadores de rendimiento</w:t>
            </w:r>
          </w:p>
        </w:tc>
        <w:tc>
          <w:tcPr>
            <w:tcW w:w="1002" w:type="pct"/>
            <w:gridSpan w:val="2"/>
            <w:tcBorders>
              <w:top w:val="single" w:sz="4" w:space="0" w:color="auto"/>
              <w:left w:val="nil"/>
              <w:bottom w:val="nil"/>
              <w:right w:val="nil"/>
            </w:tcBorders>
            <w:shd w:val="clear" w:color="auto" w:fill="auto"/>
          </w:tcPr>
          <w:p w:rsidR="001C19F7" w:rsidRPr="00867291" w:rsidRDefault="001C19F7" w:rsidP="008B1CDA">
            <w:pPr>
              <w:keepNext/>
              <w:keepLines/>
              <w:rPr>
                <w:b/>
                <w:bCs/>
                <w:color w:val="000000" w:themeColor="text1"/>
                <w:sz w:val="16"/>
                <w:szCs w:val="16"/>
              </w:rPr>
            </w:pPr>
            <w:r w:rsidRPr="00867291">
              <w:rPr>
                <w:b/>
                <w:color w:val="000000" w:themeColor="text1"/>
                <w:sz w:val="16"/>
              </w:rPr>
              <w:t>Referencia</w:t>
            </w:r>
          </w:p>
        </w:tc>
        <w:tc>
          <w:tcPr>
            <w:tcW w:w="642" w:type="pct"/>
            <w:gridSpan w:val="2"/>
            <w:tcBorders>
              <w:top w:val="single" w:sz="4" w:space="0" w:color="auto"/>
              <w:left w:val="nil"/>
              <w:bottom w:val="nil"/>
              <w:right w:val="nil"/>
            </w:tcBorders>
            <w:shd w:val="clear" w:color="auto" w:fill="auto"/>
            <w:tcMar>
              <w:top w:w="110" w:type="dxa"/>
            </w:tcMar>
          </w:tcPr>
          <w:p w:rsidR="001C19F7" w:rsidRPr="00867291" w:rsidRDefault="001C19F7" w:rsidP="008B1CDA">
            <w:pPr>
              <w:keepNext/>
              <w:keepLines/>
              <w:rPr>
                <w:b/>
                <w:color w:val="000000" w:themeColor="text1"/>
                <w:sz w:val="16"/>
                <w:szCs w:val="16"/>
              </w:rPr>
            </w:pPr>
            <w:r w:rsidRPr="00867291">
              <w:rPr>
                <w:b/>
                <w:color w:val="000000" w:themeColor="text1"/>
                <w:sz w:val="16"/>
              </w:rPr>
              <w:t>Objetivos</w:t>
            </w:r>
          </w:p>
        </w:tc>
        <w:tc>
          <w:tcPr>
            <w:tcW w:w="1562" w:type="pct"/>
            <w:gridSpan w:val="5"/>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681" w:type="pct"/>
            <w:gridSpan w:val="4"/>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764EF">
        <w:trPr>
          <w:trHeight w:val="1042"/>
        </w:trPr>
        <w:tc>
          <w:tcPr>
            <w:tcW w:w="1113" w:type="pct"/>
            <w:gridSpan w:val="2"/>
            <w:tcBorders>
              <w:top w:val="nil"/>
              <w:left w:val="single" w:sz="4" w:space="0" w:color="auto"/>
              <w:bottom w:val="single" w:sz="4" w:space="0" w:color="auto"/>
              <w:right w:val="nil"/>
            </w:tcBorders>
            <w:shd w:val="clear" w:color="auto" w:fill="auto"/>
          </w:tcPr>
          <w:p w:rsidR="001C19F7" w:rsidRPr="00867291" w:rsidRDefault="001C19F7" w:rsidP="008764EF">
            <w:pPr>
              <w:rPr>
                <w:color w:val="000000" w:themeColor="text1"/>
                <w:sz w:val="16"/>
                <w:szCs w:val="16"/>
              </w:rPr>
            </w:pPr>
            <w:r w:rsidRPr="00867291">
              <w:rPr>
                <w:color w:val="000000" w:themeColor="text1"/>
                <w:sz w:val="16"/>
              </w:rPr>
              <w:t>Número de países que han formulado o adoptado políticas en las que se expone su adhesión al Arreglo de La Haya.</w:t>
            </w:r>
          </w:p>
        </w:tc>
        <w:tc>
          <w:tcPr>
            <w:tcW w:w="1002" w:type="pct"/>
            <w:gridSpan w:val="2"/>
            <w:tcBorders>
              <w:top w:val="nil"/>
              <w:left w:val="nil"/>
              <w:bottom w:val="single" w:sz="4" w:space="0" w:color="auto"/>
              <w:right w:val="nil"/>
            </w:tcBorders>
            <w:shd w:val="clear" w:color="auto" w:fill="auto"/>
          </w:tcPr>
          <w:p w:rsidR="001C19F7" w:rsidRPr="00867291" w:rsidRDefault="001C19F7" w:rsidP="008B1CDA">
            <w:pPr>
              <w:rPr>
                <w:color w:val="000000" w:themeColor="text1"/>
                <w:sz w:val="16"/>
                <w:szCs w:val="16"/>
              </w:rPr>
            </w:pPr>
            <w:r w:rsidRPr="00194A5F">
              <w:rPr>
                <w:sz w:val="16"/>
                <w:szCs w:val="16"/>
                <w:lang w:val="en-US" w:eastAsia="en-US"/>
              </w:rPr>
              <w:t>N.d. (OOS)</w:t>
            </w:r>
          </w:p>
          <w:p w:rsidR="001C19F7" w:rsidRPr="00867291" w:rsidRDefault="001C19F7" w:rsidP="008B1CDA">
            <w:pPr>
              <w:keepNext/>
              <w:keepLines/>
              <w:rPr>
                <w:color w:val="000000" w:themeColor="text1"/>
                <w:sz w:val="16"/>
                <w:szCs w:val="16"/>
              </w:rPr>
            </w:pPr>
          </w:p>
        </w:tc>
        <w:tc>
          <w:tcPr>
            <w:tcW w:w="642" w:type="pct"/>
            <w:gridSpan w:val="2"/>
            <w:tcBorders>
              <w:top w:val="nil"/>
              <w:left w:val="nil"/>
              <w:bottom w:val="single" w:sz="4" w:space="0" w:color="auto"/>
              <w:right w:val="nil"/>
            </w:tcBorders>
            <w:shd w:val="clear" w:color="auto" w:fill="auto"/>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7 Estados miembros de la ASEAN (OOS)</w:t>
            </w:r>
          </w:p>
        </w:tc>
        <w:tc>
          <w:tcPr>
            <w:tcW w:w="1562" w:type="pct"/>
            <w:gridSpan w:val="5"/>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7 Estados miembros de la ASEAN  (Camboya, Filipinas, Indonesia, Malasia, República Democrática Popular Lao, Tailandia y Viet Nam)</w:t>
            </w:r>
          </w:p>
        </w:tc>
        <w:tc>
          <w:tcPr>
            <w:tcW w:w="681" w:type="pct"/>
            <w:gridSpan w:val="4"/>
            <w:tcBorders>
              <w:top w:val="nil"/>
              <w:left w:val="nil"/>
              <w:bottom w:val="single" w:sz="4" w:space="0" w:color="auto"/>
              <w:right w:val="single" w:sz="4" w:space="0" w:color="auto"/>
            </w:tcBorders>
            <w:shd w:val="clear" w:color="auto" w:fill="auto"/>
            <w:tcMar>
              <w:top w:w="110" w:type="dxa"/>
            </w:tcMar>
          </w:tcPr>
          <w:p w:rsidR="001C19F7" w:rsidRPr="00867291" w:rsidRDefault="00044DA1" w:rsidP="008B1CDA">
            <w:pPr>
              <w:keepNext/>
              <w:keepLines/>
              <w:ind w:left="-117" w:right="20"/>
              <w:jc w:val="center"/>
              <w:rPr>
                <w:b/>
                <w:bCs/>
                <w:color w:val="000000" w:themeColor="text1"/>
                <w:sz w:val="16"/>
                <w:szCs w:val="16"/>
              </w:rPr>
            </w:pPr>
            <w:r>
              <w:rPr>
                <w:b/>
                <w:bCs/>
                <w:color w:val="00B050"/>
                <w:sz w:val="16"/>
                <w:szCs w:val="16"/>
                <w:lang w:val="en-US"/>
              </w:rPr>
              <w:t>Plenamente logrado</w:t>
            </w:r>
          </w:p>
        </w:tc>
      </w:tr>
      <w:tr w:rsidR="001C19F7" w:rsidRPr="00867291" w:rsidTr="008764EF">
        <w:tc>
          <w:tcPr>
            <w:tcW w:w="1113" w:type="pct"/>
            <w:gridSpan w:val="2"/>
            <w:tcBorders>
              <w:top w:val="single" w:sz="4" w:space="0" w:color="auto"/>
              <w:left w:val="single" w:sz="4" w:space="0" w:color="auto"/>
              <w:bottom w:val="nil"/>
              <w:right w:val="nil"/>
            </w:tcBorders>
            <w:shd w:val="clear" w:color="auto" w:fill="auto"/>
          </w:tcPr>
          <w:p w:rsidR="001C19F7" w:rsidRPr="00867291" w:rsidRDefault="001C19F7" w:rsidP="008764EF">
            <w:pPr>
              <w:keepNext/>
              <w:rPr>
                <w:color w:val="000000" w:themeColor="text1"/>
                <w:sz w:val="16"/>
                <w:szCs w:val="16"/>
              </w:rPr>
            </w:pPr>
            <w:r w:rsidRPr="00867291">
              <w:rPr>
                <w:color w:val="000000" w:themeColor="text1"/>
                <w:sz w:val="16"/>
              </w:rPr>
              <w:lastRenderedPageBreak/>
              <w:t>Porcentaje de encargados de la adopción de políticas, funcionarios gubernamentales, profesionales de la P.I. y participantes en talleres con un mayor conocimiento del sistema de La Haya.</w:t>
            </w:r>
          </w:p>
        </w:tc>
        <w:tc>
          <w:tcPr>
            <w:tcW w:w="1002" w:type="pct"/>
            <w:gridSpan w:val="2"/>
            <w:tcBorders>
              <w:top w:val="single" w:sz="4" w:space="0" w:color="auto"/>
              <w:left w:val="nil"/>
              <w:bottom w:val="nil"/>
              <w:right w:val="nil"/>
            </w:tcBorders>
            <w:shd w:val="clear" w:color="auto" w:fill="auto"/>
          </w:tcPr>
          <w:p w:rsidR="001C19F7" w:rsidRPr="00867291" w:rsidRDefault="001C19F7" w:rsidP="008764EF">
            <w:pPr>
              <w:keepNext/>
              <w:rPr>
                <w:color w:val="000000" w:themeColor="text1"/>
                <w:sz w:val="16"/>
                <w:szCs w:val="16"/>
              </w:rPr>
            </w:pPr>
            <w:r w:rsidRPr="00867291">
              <w:rPr>
                <w:color w:val="000000" w:themeColor="text1"/>
                <w:sz w:val="16"/>
              </w:rPr>
              <w:t>N.d. (OOB)</w:t>
            </w:r>
          </w:p>
          <w:p w:rsidR="001C19F7" w:rsidRPr="00867291" w:rsidRDefault="001C19F7" w:rsidP="008764EF">
            <w:pPr>
              <w:keepNext/>
              <w:rPr>
                <w:color w:val="000000" w:themeColor="text1"/>
                <w:sz w:val="16"/>
                <w:szCs w:val="16"/>
              </w:rPr>
            </w:pPr>
            <w:r w:rsidRPr="00867291">
              <w:rPr>
                <w:color w:val="000000" w:themeColor="text1"/>
                <w:sz w:val="16"/>
              </w:rPr>
              <w:t>N.d. (OOJ)</w:t>
            </w:r>
          </w:p>
          <w:p w:rsidR="001C19F7" w:rsidRPr="00867291" w:rsidDel="00436D89" w:rsidRDefault="001C19F7" w:rsidP="008764EF">
            <w:pPr>
              <w:keepNext/>
              <w:rPr>
                <w:i/>
                <w:color w:val="000000" w:themeColor="text1"/>
                <w:sz w:val="16"/>
                <w:szCs w:val="16"/>
              </w:rPr>
            </w:pPr>
            <w:r w:rsidRPr="00867291">
              <w:rPr>
                <w:color w:val="000000" w:themeColor="text1"/>
                <w:sz w:val="16"/>
              </w:rPr>
              <w:t>N.d. (OOS)</w:t>
            </w:r>
          </w:p>
        </w:tc>
        <w:tc>
          <w:tcPr>
            <w:tcW w:w="642" w:type="pct"/>
            <w:gridSpan w:val="2"/>
            <w:tcBorders>
              <w:top w:val="single" w:sz="4" w:space="0" w:color="auto"/>
              <w:left w:val="nil"/>
              <w:bottom w:val="nil"/>
              <w:right w:val="nil"/>
            </w:tcBorders>
            <w:shd w:val="clear" w:color="auto" w:fill="auto"/>
            <w:tcMar>
              <w:top w:w="110" w:type="dxa"/>
            </w:tcMar>
          </w:tcPr>
          <w:p w:rsidR="001C19F7" w:rsidRPr="00867291" w:rsidRDefault="001C19F7" w:rsidP="008764EF">
            <w:pPr>
              <w:keepNext/>
              <w:rPr>
                <w:color w:val="000000" w:themeColor="text1"/>
                <w:sz w:val="16"/>
                <w:szCs w:val="16"/>
              </w:rPr>
            </w:pPr>
            <w:r w:rsidRPr="00867291">
              <w:rPr>
                <w:color w:val="000000" w:themeColor="text1"/>
                <w:sz w:val="16"/>
              </w:rPr>
              <w:t>75% (OOB)</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75% (OOJ)</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75% (OOS)</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tc>
        <w:tc>
          <w:tcPr>
            <w:tcW w:w="1562" w:type="pct"/>
            <w:gridSpan w:val="5"/>
            <w:tcBorders>
              <w:top w:val="single" w:sz="4" w:space="0" w:color="auto"/>
              <w:left w:val="nil"/>
              <w:bottom w:val="nil"/>
              <w:right w:val="nil"/>
            </w:tcBorders>
            <w:shd w:val="clear" w:color="auto" w:fill="FFFFFF"/>
            <w:tcMar>
              <w:top w:w="110" w:type="dxa"/>
            </w:tcMar>
          </w:tcPr>
          <w:p w:rsidR="001C19F7" w:rsidRPr="00867291" w:rsidRDefault="001C19F7" w:rsidP="008764EF">
            <w:pPr>
              <w:keepNext/>
              <w:rPr>
                <w:color w:val="000000" w:themeColor="text1"/>
                <w:sz w:val="16"/>
                <w:szCs w:val="16"/>
              </w:rPr>
            </w:pPr>
            <w:r w:rsidRPr="00867291">
              <w:rPr>
                <w:color w:val="000000" w:themeColor="text1"/>
                <w:sz w:val="16"/>
              </w:rPr>
              <w:t>75% (OOB)</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94% (OOJ)</w:t>
            </w:r>
          </w:p>
          <w:p w:rsidR="001C19F7" w:rsidRPr="00867291" w:rsidRDefault="001C19F7" w:rsidP="008764EF">
            <w:pPr>
              <w:keepNext/>
              <w:rPr>
                <w:color w:val="000000" w:themeColor="text1"/>
                <w:sz w:val="16"/>
                <w:szCs w:val="16"/>
              </w:rPr>
            </w:pPr>
          </w:p>
          <w:p w:rsidR="001C19F7" w:rsidRPr="00867291" w:rsidDel="00436D89" w:rsidRDefault="001C19F7" w:rsidP="008764EF">
            <w:pPr>
              <w:keepNext/>
              <w:rPr>
                <w:color w:val="000000" w:themeColor="text1"/>
                <w:sz w:val="16"/>
                <w:szCs w:val="16"/>
              </w:rPr>
            </w:pPr>
            <w:r w:rsidRPr="00867291">
              <w:rPr>
                <w:color w:val="000000" w:themeColor="text1"/>
                <w:sz w:val="16"/>
              </w:rPr>
              <w:t>85% (OOS)</w:t>
            </w:r>
          </w:p>
        </w:tc>
        <w:tc>
          <w:tcPr>
            <w:tcW w:w="681" w:type="pct"/>
            <w:gridSpan w:val="4"/>
            <w:tcBorders>
              <w:top w:val="single" w:sz="4" w:space="0" w:color="auto"/>
              <w:left w:val="nil"/>
              <w:bottom w:val="nil"/>
              <w:right w:val="single" w:sz="4" w:space="0" w:color="auto"/>
            </w:tcBorders>
            <w:shd w:val="clear" w:color="auto" w:fill="auto"/>
            <w:tcMar>
              <w:top w:w="110" w:type="dxa"/>
            </w:tcMar>
          </w:tcPr>
          <w:p w:rsidR="001C19F7" w:rsidRPr="00867291" w:rsidRDefault="00044DA1" w:rsidP="008764EF">
            <w:pPr>
              <w:keepNext/>
              <w:keepLines/>
              <w:ind w:left="-117" w:right="20"/>
              <w:jc w:val="center"/>
              <w:rPr>
                <w:b/>
                <w:bCs/>
                <w:color w:val="000000" w:themeColor="text1"/>
                <w:sz w:val="16"/>
                <w:szCs w:val="16"/>
              </w:rPr>
            </w:pPr>
            <w:r>
              <w:rPr>
                <w:b/>
                <w:bCs/>
                <w:color w:val="00B050"/>
                <w:sz w:val="16"/>
                <w:szCs w:val="16"/>
              </w:rPr>
              <w:t>Plenamente logrado</w:t>
            </w:r>
          </w:p>
          <w:p w:rsidR="001C19F7" w:rsidRPr="002265C0" w:rsidRDefault="00044DA1" w:rsidP="008764EF">
            <w:pPr>
              <w:keepNext/>
              <w:keepLines/>
              <w:ind w:left="-117" w:right="20"/>
              <w:jc w:val="center"/>
              <w:rPr>
                <w:b/>
                <w:bCs/>
                <w:color w:val="00B050"/>
                <w:sz w:val="16"/>
                <w:szCs w:val="16"/>
              </w:rPr>
            </w:pPr>
            <w:r>
              <w:rPr>
                <w:b/>
                <w:bCs/>
                <w:color w:val="00B050"/>
                <w:sz w:val="16"/>
                <w:szCs w:val="16"/>
              </w:rPr>
              <w:t>Plenamente logrado</w:t>
            </w:r>
          </w:p>
          <w:p w:rsidR="001C19F7" w:rsidRPr="002265C0" w:rsidRDefault="00044DA1" w:rsidP="008764EF">
            <w:pPr>
              <w:keepNext/>
              <w:keepLines/>
              <w:ind w:left="-117" w:right="20"/>
              <w:jc w:val="center"/>
              <w:rPr>
                <w:b/>
                <w:bCs/>
                <w:color w:val="00B050"/>
                <w:sz w:val="16"/>
                <w:szCs w:val="16"/>
              </w:rPr>
            </w:pPr>
            <w:r>
              <w:rPr>
                <w:b/>
                <w:bCs/>
                <w:color w:val="00B050"/>
                <w:sz w:val="16"/>
                <w:szCs w:val="16"/>
              </w:rPr>
              <w:t>Plenamente logrado</w:t>
            </w:r>
          </w:p>
          <w:p w:rsidR="001C19F7" w:rsidRPr="00867291" w:rsidRDefault="001C19F7" w:rsidP="008764EF">
            <w:pPr>
              <w:keepNext/>
              <w:keepLines/>
              <w:ind w:left="-135" w:right="20"/>
              <w:jc w:val="center"/>
              <w:rPr>
                <w:b/>
                <w:bCs/>
                <w:color w:val="000000" w:themeColor="text1"/>
                <w:sz w:val="14"/>
                <w:szCs w:val="14"/>
              </w:rPr>
            </w:pP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764EF">
            <w:pPr>
              <w:keepNext/>
              <w:rPr>
                <w:color w:val="000000" w:themeColor="text1"/>
                <w:sz w:val="16"/>
                <w:szCs w:val="16"/>
              </w:rPr>
            </w:pPr>
            <w:r w:rsidRPr="00867291">
              <w:rPr>
                <w:color w:val="000000" w:themeColor="text1"/>
                <w:sz w:val="16"/>
              </w:rPr>
              <w:t>Número de Partes Contratantes del Sistema de La Haya en la región de Asia y el Pacífico</w:t>
            </w:r>
          </w:p>
        </w:tc>
        <w:tc>
          <w:tcPr>
            <w:tcW w:w="1008" w:type="pct"/>
            <w:gridSpan w:val="3"/>
            <w:tcBorders>
              <w:top w:val="nil"/>
              <w:left w:val="nil"/>
              <w:bottom w:val="single" w:sz="4" w:space="0" w:color="auto"/>
              <w:right w:val="nil"/>
            </w:tcBorders>
            <w:shd w:val="clear" w:color="auto" w:fill="auto"/>
          </w:tcPr>
          <w:p w:rsidR="001C19F7" w:rsidRPr="00867291" w:rsidRDefault="001C19F7" w:rsidP="008764EF">
            <w:pPr>
              <w:keepNext/>
              <w:rPr>
                <w:i/>
                <w:color w:val="000000" w:themeColor="text1"/>
                <w:sz w:val="16"/>
                <w:szCs w:val="16"/>
              </w:rPr>
            </w:pPr>
            <w:r w:rsidRPr="002265C0">
              <w:rPr>
                <w:i/>
                <w:color w:val="002060"/>
                <w:sz w:val="16"/>
                <w:szCs w:val="16"/>
                <w:lang w:eastAsia="en-US"/>
              </w:rPr>
              <w:t>Referencia actualizada a fines de 2013:</w:t>
            </w:r>
            <w:r w:rsidRPr="00867291">
              <w:rPr>
                <w:i/>
                <w:color w:val="000000" w:themeColor="text1"/>
                <w:sz w:val="16"/>
              </w:rPr>
              <w:t xml:space="preserve">  </w:t>
            </w:r>
          </w:p>
          <w:p w:rsidR="001C19F7" w:rsidRPr="002265C0" w:rsidRDefault="001C19F7" w:rsidP="008764EF">
            <w:pPr>
              <w:keepNext/>
              <w:rPr>
                <w:color w:val="002060"/>
                <w:sz w:val="16"/>
                <w:szCs w:val="16"/>
                <w:lang w:eastAsia="en-US"/>
              </w:rPr>
            </w:pPr>
            <w:r w:rsidRPr="002265C0">
              <w:rPr>
                <w:color w:val="002060"/>
                <w:sz w:val="16"/>
                <w:szCs w:val="16"/>
                <w:lang w:eastAsia="en-US"/>
              </w:rPr>
              <w:t>El Japón no es Parte Contratante (OOJ)</w:t>
            </w:r>
          </w:p>
          <w:p w:rsidR="001C19F7" w:rsidRPr="00867291" w:rsidRDefault="001C19F7" w:rsidP="008764EF">
            <w:pPr>
              <w:keepNext/>
              <w:rPr>
                <w:color w:val="000000" w:themeColor="text1"/>
                <w:sz w:val="16"/>
                <w:szCs w:val="16"/>
              </w:rPr>
            </w:pPr>
            <w:r w:rsidRPr="002265C0">
              <w:rPr>
                <w:color w:val="002060"/>
                <w:sz w:val="16"/>
                <w:szCs w:val="16"/>
                <w:lang w:eastAsia="en-US"/>
              </w:rPr>
              <w:t>2 en la región de la ASEAN (Brunei Darussalam y Singapur) (OOS)</w:t>
            </w:r>
          </w:p>
          <w:p w:rsidR="001C19F7" w:rsidRPr="00867291" w:rsidRDefault="001C19F7" w:rsidP="008764EF">
            <w:pPr>
              <w:keepNext/>
              <w:rPr>
                <w:i/>
                <w:color w:val="000000" w:themeColor="text1"/>
                <w:sz w:val="16"/>
                <w:szCs w:val="16"/>
              </w:rPr>
            </w:pPr>
          </w:p>
          <w:p w:rsidR="001C19F7" w:rsidRDefault="001C19F7" w:rsidP="008764EF">
            <w:pPr>
              <w:keepNext/>
              <w:rPr>
                <w:color w:val="000000" w:themeColor="text1"/>
                <w:sz w:val="16"/>
              </w:rPr>
            </w:pPr>
            <w:r w:rsidRPr="00867291">
              <w:rPr>
                <w:i/>
                <w:color w:val="000000" w:themeColor="text1"/>
                <w:sz w:val="16"/>
              </w:rPr>
              <w:t>Referencia original en el presupuesto de 2014/15:</w:t>
            </w:r>
            <w:r w:rsidRPr="00867291">
              <w:rPr>
                <w:color w:val="000000" w:themeColor="text1"/>
                <w:sz w:val="16"/>
              </w:rPr>
              <w:t xml:space="preserve"> </w:t>
            </w:r>
          </w:p>
          <w:p w:rsidR="00601F77" w:rsidRPr="00867291" w:rsidRDefault="00601F7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 xml:space="preserve">1 en la región de la ASEAN (OOS) el Japón no es Parte Contratante </w:t>
            </w:r>
          </w:p>
          <w:p w:rsidR="001C19F7" w:rsidRPr="0070325E" w:rsidRDefault="001C19F7" w:rsidP="008764EF">
            <w:pPr>
              <w:keepNext/>
              <w:rPr>
                <w:color w:val="000000" w:themeColor="text1"/>
                <w:sz w:val="10"/>
                <w:szCs w:val="16"/>
              </w:rPr>
            </w:pPr>
          </w:p>
        </w:tc>
        <w:tc>
          <w:tcPr>
            <w:tcW w:w="653" w:type="pct"/>
            <w:gridSpan w:val="3"/>
            <w:tcBorders>
              <w:top w:val="nil"/>
              <w:left w:val="nil"/>
              <w:bottom w:val="single" w:sz="4" w:space="0" w:color="auto"/>
              <w:right w:val="nil"/>
            </w:tcBorders>
            <w:shd w:val="clear" w:color="auto" w:fill="auto"/>
            <w:tcMar>
              <w:top w:w="110" w:type="dxa"/>
            </w:tcMar>
          </w:tcPr>
          <w:p w:rsidR="001C19F7" w:rsidRPr="00867291" w:rsidRDefault="001C19F7" w:rsidP="008764EF">
            <w:pPr>
              <w:keepNext/>
              <w:rPr>
                <w:color w:val="000000" w:themeColor="text1"/>
                <w:sz w:val="16"/>
                <w:szCs w:val="16"/>
              </w:rPr>
            </w:pPr>
            <w:r w:rsidRPr="00867291">
              <w:rPr>
                <w:color w:val="000000" w:themeColor="text1"/>
                <w:sz w:val="16"/>
              </w:rPr>
              <w:t>Adhesión del Japón (OOJ)</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7 en la región de la ASEAN (OOS)</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tc>
        <w:tc>
          <w:tcPr>
            <w:tcW w:w="1540" w:type="pct"/>
            <w:gridSpan w:val="3"/>
            <w:tcBorders>
              <w:top w:val="nil"/>
              <w:left w:val="nil"/>
              <w:bottom w:val="single" w:sz="4" w:space="0" w:color="auto"/>
              <w:right w:val="nil"/>
            </w:tcBorders>
            <w:shd w:val="clear" w:color="auto" w:fill="FFFFFF"/>
            <w:tcMar>
              <w:top w:w="110" w:type="dxa"/>
            </w:tcMar>
          </w:tcPr>
          <w:p w:rsidR="001C19F7" w:rsidRPr="00867291" w:rsidRDefault="001C19F7" w:rsidP="008764EF">
            <w:pPr>
              <w:keepNext/>
              <w:rPr>
                <w:color w:val="000000" w:themeColor="text1"/>
                <w:sz w:val="16"/>
                <w:szCs w:val="16"/>
              </w:rPr>
            </w:pPr>
            <w:r w:rsidRPr="00867291">
              <w:rPr>
                <w:color w:val="000000" w:themeColor="text1"/>
                <w:sz w:val="16"/>
              </w:rPr>
              <w:t xml:space="preserve">Adhesión del Japón en 2015 (OOJ) </w:t>
            </w: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p>
          <w:p w:rsidR="001C19F7" w:rsidRPr="00867291" w:rsidRDefault="001C19F7" w:rsidP="008764EF">
            <w:pPr>
              <w:keepNext/>
              <w:rPr>
                <w:color w:val="000000" w:themeColor="text1"/>
                <w:sz w:val="16"/>
                <w:szCs w:val="16"/>
              </w:rPr>
            </w:pPr>
            <w:r w:rsidRPr="00867291">
              <w:rPr>
                <w:color w:val="000000" w:themeColor="text1"/>
                <w:sz w:val="16"/>
              </w:rPr>
              <w:t>Ninguna Parte Contratante adicional del Sistema de La Haya en la región de la ASEAN (OOS)</w:t>
            </w:r>
          </w:p>
          <w:p w:rsidR="001C19F7" w:rsidRPr="00867291" w:rsidRDefault="001C19F7" w:rsidP="008764EF">
            <w:pPr>
              <w:keepNext/>
              <w:rPr>
                <w:color w:val="000000" w:themeColor="text1"/>
                <w:sz w:val="16"/>
                <w:szCs w:val="16"/>
              </w:rPr>
            </w:pPr>
          </w:p>
        </w:tc>
        <w:tc>
          <w:tcPr>
            <w:tcW w:w="696" w:type="pct"/>
            <w:gridSpan w:val="5"/>
            <w:tcBorders>
              <w:top w:val="nil"/>
              <w:left w:val="nil"/>
              <w:bottom w:val="single" w:sz="4" w:space="0" w:color="auto"/>
              <w:right w:val="single" w:sz="4" w:space="0" w:color="auto"/>
            </w:tcBorders>
            <w:shd w:val="clear" w:color="auto" w:fill="auto"/>
            <w:tcMar>
              <w:top w:w="110" w:type="dxa"/>
            </w:tcMar>
          </w:tcPr>
          <w:p w:rsidR="001C19F7" w:rsidRPr="00555D3D" w:rsidRDefault="00044DA1" w:rsidP="008764EF">
            <w:pPr>
              <w:keepNext/>
              <w:keepLines/>
              <w:ind w:left="-117" w:right="20"/>
              <w:jc w:val="center"/>
              <w:rPr>
                <w:b/>
                <w:bCs/>
                <w:color w:val="00B050"/>
                <w:sz w:val="16"/>
                <w:szCs w:val="16"/>
                <w:lang w:val="en-US"/>
              </w:rPr>
            </w:pPr>
            <w:r>
              <w:rPr>
                <w:b/>
                <w:bCs/>
                <w:color w:val="00B050"/>
                <w:sz w:val="16"/>
                <w:szCs w:val="16"/>
                <w:lang w:val="en-US"/>
              </w:rPr>
              <w:t>Plenamente logrado</w:t>
            </w:r>
          </w:p>
          <w:p w:rsidR="001C19F7" w:rsidRPr="00867291" w:rsidRDefault="001C19F7" w:rsidP="008764EF">
            <w:pPr>
              <w:keepNext/>
              <w:keepLines/>
              <w:ind w:left="-117" w:right="20"/>
              <w:jc w:val="center"/>
              <w:rPr>
                <w:b/>
                <w:bCs/>
                <w:color w:val="000000" w:themeColor="text1"/>
                <w:sz w:val="16"/>
                <w:szCs w:val="16"/>
              </w:rPr>
            </w:pPr>
          </w:p>
          <w:p w:rsidR="001C19F7" w:rsidRPr="00867291" w:rsidRDefault="001C19F7" w:rsidP="008764EF">
            <w:pPr>
              <w:keepNext/>
              <w:keepLines/>
              <w:ind w:left="-117" w:right="20"/>
              <w:rPr>
                <w:b/>
                <w:bCs/>
                <w:color w:val="000000" w:themeColor="text1"/>
                <w:sz w:val="16"/>
                <w:szCs w:val="16"/>
              </w:rPr>
            </w:pPr>
          </w:p>
          <w:p w:rsidR="001C19F7" w:rsidRPr="00867291" w:rsidRDefault="001C19F7" w:rsidP="008764EF">
            <w:pPr>
              <w:keepNext/>
              <w:keepLines/>
              <w:ind w:left="-117" w:right="20"/>
              <w:jc w:val="center"/>
              <w:rPr>
                <w:b/>
                <w:bCs/>
                <w:color w:val="000000" w:themeColor="text1"/>
                <w:sz w:val="16"/>
                <w:szCs w:val="16"/>
              </w:rPr>
            </w:pPr>
            <w:r w:rsidRPr="00555D3D">
              <w:rPr>
                <w:b/>
                <w:bCs/>
                <w:color w:val="FF0000"/>
                <w:sz w:val="16"/>
                <w:szCs w:val="16"/>
                <w:lang w:val="en-US"/>
              </w:rPr>
              <w:t>No logrado</w:t>
            </w: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II.6 Mayor y más eficaz utilización de los Sistemas de Madrid y de Lisboa por los países en desarrollo y los PMA, entre otros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1103" w:type="pct"/>
            <w:gridSpan w:val="4"/>
            <w:tcBorders>
              <w:top w:val="single" w:sz="4" w:space="0" w:color="auto"/>
              <w:left w:val="nil"/>
              <w:bottom w:val="nil"/>
              <w:right w:val="nil"/>
            </w:tcBorders>
            <w:shd w:val="clear" w:color="auto" w:fill="auto"/>
          </w:tcPr>
          <w:p w:rsidR="001C19F7" w:rsidRPr="00867291" w:rsidRDefault="001C19F7" w:rsidP="008B1CDA">
            <w:pPr>
              <w:keepNext/>
              <w:keepLines/>
              <w:rPr>
                <w:b/>
                <w:bCs/>
                <w:color w:val="000000" w:themeColor="text1"/>
                <w:sz w:val="16"/>
                <w:szCs w:val="16"/>
              </w:rPr>
            </w:pPr>
            <w:r w:rsidRPr="00867291">
              <w:rPr>
                <w:b/>
                <w:color w:val="000000" w:themeColor="text1"/>
                <w:sz w:val="16"/>
              </w:rPr>
              <w:t>Referencia</w:t>
            </w:r>
          </w:p>
        </w:tc>
        <w:tc>
          <w:tcPr>
            <w:tcW w:w="642" w:type="pct"/>
            <w:gridSpan w:val="3"/>
            <w:tcBorders>
              <w:top w:val="single" w:sz="4" w:space="0" w:color="auto"/>
              <w:left w:val="nil"/>
              <w:bottom w:val="nil"/>
              <w:right w:val="nil"/>
            </w:tcBorders>
            <w:shd w:val="clear" w:color="auto" w:fill="auto"/>
            <w:tcMar>
              <w:top w:w="110" w:type="dxa"/>
            </w:tcMar>
          </w:tcPr>
          <w:p w:rsidR="001C19F7" w:rsidRPr="00867291" w:rsidRDefault="001C19F7" w:rsidP="008B1CDA">
            <w:pPr>
              <w:keepNext/>
              <w:keepLines/>
              <w:rPr>
                <w:b/>
                <w:color w:val="000000" w:themeColor="text1"/>
                <w:sz w:val="16"/>
                <w:szCs w:val="16"/>
              </w:rPr>
            </w:pPr>
            <w:r w:rsidRPr="00867291">
              <w:rPr>
                <w:b/>
                <w:color w:val="000000" w:themeColor="text1"/>
                <w:sz w:val="16"/>
              </w:rPr>
              <w:t>Objetivos</w:t>
            </w:r>
          </w:p>
        </w:tc>
        <w:tc>
          <w:tcPr>
            <w:tcW w:w="1456" w:type="pct"/>
            <w:gridSpan w:val="2"/>
            <w:tcBorders>
              <w:top w:val="single" w:sz="4" w:space="0" w:color="auto"/>
              <w:left w:val="nil"/>
              <w:bottom w:val="nil"/>
              <w:right w:val="nil"/>
            </w:tcBorders>
            <w:shd w:val="clear" w:color="auto" w:fill="FFFFFF"/>
            <w:tcMar>
              <w:top w:w="110" w:type="dxa"/>
            </w:tcMar>
          </w:tcPr>
          <w:p w:rsidR="001C19F7" w:rsidRPr="00867291" w:rsidRDefault="001C19F7" w:rsidP="008B1CDA">
            <w:pPr>
              <w:keepNext/>
              <w:keepLines/>
              <w:rPr>
                <w:color w:val="000000" w:themeColor="text1"/>
                <w:sz w:val="16"/>
                <w:szCs w:val="16"/>
              </w:rPr>
            </w:pPr>
            <w:r w:rsidRPr="00867291">
              <w:rPr>
                <w:b/>
                <w:color w:val="000000" w:themeColor="text1"/>
                <w:sz w:val="16"/>
              </w:rPr>
              <w:t>Datos sobre el rendimiento</w:t>
            </w:r>
          </w:p>
        </w:tc>
        <w:tc>
          <w:tcPr>
            <w:tcW w:w="696" w:type="pct"/>
            <w:gridSpan w:val="5"/>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right="20" w:hanging="71"/>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03" w:type="pct"/>
            <w:tcBorders>
              <w:top w:val="nil"/>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países que han formulado o adoptado políticas en las que se expone su adhesión al Protocolo de Madrid</w:t>
            </w:r>
          </w:p>
        </w:tc>
        <w:tc>
          <w:tcPr>
            <w:tcW w:w="1103" w:type="pct"/>
            <w:gridSpan w:val="4"/>
            <w:tcBorders>
              <w:top w:val="nil"/>
              <w:left w:val="nil"/>
              <w:bottom w:val="nil"/>
              <w:right w:val="nil"/>
            </w:tcBorders>
            <w:shd w:val="clear" w:color="auto" w:fill="auto"/>
          </w:tcPr>
          <w:p w:rsidR="001C19F7" w:rsidRPr="00867291" w:rsidRDefault="001C19F7" w:rsidP="008B1CDA">
            <w:pPr>
              <w:keepNext/>
              <w:keepLines/>
              <w:rPr>
                <w:color w:val="000000" w:themeColor="text1"/>
                <w:sz w:val="16"/>
                <w:szCs w:val="16"/>
              </w:rPr>
            </w:pPr>
            <w:r w:rsidRPr="00194A5F">
              <w:rPr>
                <w:sz w:val="16"/>
                <w:szCs w:val="16"/>
                <w:lang w:val="en-US" w:eastAsia="en-US"/>
              </w:rPr>
              <w:t>N.d. (OOS)</w:t>
            </w:r>
          </w:p>
        </w:tc>
        <w:tc>
          <w:tcPr>
            <w:tcW w:w="642" w:type="pct"/>
            <w:gridSpan w:val="3"/>
            <w:tcBorders>
              <w:top w:val="nil"/>
              <w:left w:val="nil"/>
              <w:bottom w:val="nil"/>
              <w:right w:val="nil"/>
            </w:tcBorders>
            <w:shd w:val="clear" w:color="auto" w:fill="auto"/>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6 Estados miembros de la ASEAN (OOS)</w:t>
            </w:r>
          </w:p>
        </w:tc>
        <w:tc>
          <w:tcPr>
            <w:tcW w:w="1456" w:type="pct"/>
            <w:gridSpan w:val="2"/>
            <w:tcBorders>
              <w:top w:val="nil"/>
              <w:left w:val="nil"/>
              <w:bottom w:val="nil"/>
              <w:right w:val="nil"/>
            </w:tcBorders>
            <w:shd w:val="clear" w:color="auto" w:fill="FFFFFF"/>
            <w:tcMar>
              <w:top w:w="110" w:type="dxa"/>
            </w:tcMar>
          </w:tcPr>
          <w:p w:rsidR="001C19F7" w:rsidRPr="00867291" w:rsidRDefault="001C19F7" w:rsidP="008B1CDA">
            <w:pPr>
              <w:keepNext/>
              <w:keepLines/>
              <w:tabs>
                <w:tab w:val="right" w:pos="2582"/>
              </w:tabs>
              <w:rPr>
                <w:color w:val="000000" w:themeColor="text1"/>
                <w:sz w:val="16"/>
                <w:szCs w:val="16"/>
              </w:rPr>
            </w:pPr>
            <w:r w:rsidRPr="00867291">
              <w:rPr>
                <w:color w:val="000000" w:themeColor="text1"/>
                <w:sz w:val="16"/>
              </w:rPr>
              <w:t>6 Estados miembros de la ASEAN  (Brunei Darussalam, Camboya, Indonesia, República Democrática Popular Lao, Malasia y Tailandia) (OOS)</w:t>
            </w:r>
            <w:r w:rsidRPr="00867291">
              <w:rPr>
                <w:color w:val="000000" w:themeColor="text1"/>
              </w:rPr>
              <w:tab/>
            </w:r>
          </w:p>
        </w:tc>
        <w:tc>
          <w:tcPr>
            <w:tcW w:w="696" w:type="pct"/>
            <w:gridSpan w:val="5"/>
            <w:tcBorders>
              <w:top w:val="nil"/>
              <w:left w:val="nil"/>
              <w:bottom w:val="nil"/>
              <w:right w:val="single" w:sz="4" w:space="0" w:color="auto"/>
            </w:tcBorders>
            <w:shd w:val="clear" w:color="auto" w:fill="auto"/>
            <w:tcMar>
              <w:top w:w="110" w:type="dxa"/>
            </w:tcMar>
          </w:tcPr>
          <w:p w:rsidR="001C19F7" w:rsidRPr="00867291" w:rsidRDefault="00044DA1" w:rsidP="008B1CDA">
            <w:pPr>
              <w:keepNext/>
              <w:keepLines/>
              <w:ind w:left="-117" w:right="20"/>
              <w:jc w:val="center"/>
              <w:rPr>
                <w:b/>
                <w:bCs/>
                <w:color w:val="000000" w:themeColor="text1"/>
                <w:sz w:val="16"/>
                <w:szCs w:val="16"/>
              </w:rPr>
            </w:pPr>
            <w:r>
              <w:rPr>
                <w:b/>
                <w:bCs/>
                <w:color w:val="00B050"/>
                <w:sz w:val="16"/>
                <w:szCs w:val="16"/>
                <w:lang w:val="en-US"/>
              </w:rPr>
              <w:t>Plenamente logrado</w:t>
            </w:r>
          </w:p>
        </w:tc>
      </w:tr>
      <w:tr w:rsidR="001C19F7" w:rsidRPr="00867291" w:rsidTr="008B1CDA">
        <w:trPr>
          <w:trHeight w:val="1195"/>
        </w:trPr>
        <w:tc>
          <w:tcPr>
            <w:tcW w:w="1103" w:type="pct"/>
            <w:tcBorders>
              <w:top w:val="nil"/>
              <w:left w:val="single" w:sz="4" w:space="0" w:color="auto"/>
              <w:bottom w:val="nil"/>
              <w:right w:val="nil"/>
            </w:tcBorders>
            <w:shd w:val="clear" w:color="auto" w:fill="auto"/>
          </w:tcPr>
          <w:p w:rsidR="001C19F7" w:rsidRPr="00867291" w:rsidRDefault="001C19F7" w:rsidP="008B1CDA">
            <w:pPr>
              <w:keepNext/>
              <w:keepLines/>
              <w:rPr>
                <w:color w:val="000000" w:themeColor="text1"/>
                <w:sz w:val="16"/>
                <w:szCs w:val="16"/>
              </w:rPr>
            </w:pPr>
            <w:r w:rsidRPr="00867291">
              <w:rPr>
                <w:color w:val="000000" w:themeColor="text1"/>
                <w:sz w:val="16"/>
              </w:rPr>
              <w:t>% de participantes satisfechos en los talleres o seminarios celebrados sobre temas relacionados con el Sistema de Madrid.</w:t>
            </w:r>
          </w:p>
        </w:tc>
        <w:tc>
          <w:tcPr>
            <w:tcW w:w="1103" w:type="pct"/>
            <w:gridSpan w:val="4"/>
            <w:tcBorders>
              <w:top w:val="nil"/>
              <w:left w:val="nil"/>
              <w:bottom w:val="nil"/>
              <w:right w:val="nil"/>
            </w:tcBorders>
            <w:shd w:val="clear" w:color="auto" w:fill="auto"/>
          </w:tcPr>
          <w:p w:rsidR="001C19F7" w:rsidRPr="00867291" w:rsidRDefault="001C19F7" w:rsidP="008B1CDA">
            <w:pPr>
              <w:keepNext/>
              <w:keepLines/>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p>
          <w:p w:rsidR="001C19F7" w:rsidRPr="00867291" w:rsidRDefault="001C19F7" w:rsidP="008B1CDA">
            <w:pPr>
              <w:keepNext/>
              <w:keepLines/>
              <w:rPr>
                <w:color w:val="000000" w:themeColor="text1"/>
                <w:sz w:val="16"/>
                <w:szCs w:val="16"/>
              </w:rPr>
            </w:pPr>
            <w:r w:rsidRPr="00867291">
              <w:rPr>
                <w:i/>
                <w:color w:val="000000" w:themeColor="text1"/>
                <w:sz w:val="16"/>
              </w:rPr>
              <w:t>Referencia original en el presupuesto de 2014/15:</w:t>
            </w:r>
            <w:r w:rsidRPr="00867291">
              <w:rPr>
                <w:color w:val="000000" w:themeColor="text1"/>
                <w:sz w:val="16"/>
              </w:rPr>
              <w:t xml:space="preserve">  </w:t>
            </w:r>
          </w:p>
          <w:p w:rsidR="001C19F7" w:rsidRPr="00867291" w:rsidRDefault="001C19F7" w:rsidP="008B1CDA">
            <w:pPr>
              <w:keepNext/>
              <w:keepLines/>
              <w:rPr>
                <w:color w:val="000000" w:themeColor="text1"/>
                <w:sz w:val="16"/>
                <w:szCs w:val="16"/>
              </w:rPr>
            </w:pPr>
            <w:r w:rsidRPr="00867291">
              <w:rPr>
                <w:color w:val="000000" w:themeColor="text1"/>
                <w:sz w:val="16"/>
              </w:rPr>
              <w:t>65% (OOB)</w:t>
            </w:r>
          </w:p>
          <w:p w:rsidR="001C19F7" w:rsidRPr="00867291" w:rsidRDefault="001C19F7" w:rsidP="008B1CDA">
            <w:pPr>
              <w:keepNext/>
              <w:keepLines/>
              <w:rPr>
                <w:i/>
                <w:color w:val="000000" w:themeColor="text1"/>
                <w:sz w:val="16"/>
                <w:szCs w:val="16"/>
              </w:rPr>
            </w:pPr>
            <w:r w:rsidRPr="00867291">
              <w:rPr>
                <w:color w:val="000000" w:themeColor="text1"/>
                <w:sz w:val="16"/>
              </w:rPr>
              <w:t>65% (OOS)</w:t>
            </w:r>
          </w:p>
        </w:tc>
        <w:tc>
          <w:tcPr>
            <w:tcW w:w="642" w:type="pct"/>
            <w:gridSpan w:val="3"/>
            <w:tcBorders>
              <w:top w:val="nil"/>
              <w:left w:val="nil"/>
              <w:bottom w:val="nil"/>
              <w:right w:val="nil"/>
            </w:tcBorders>
            <w:shd w:val="clear" w:color="auto" w:fill="auto"/>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&gt; 75% (OOB)</w:t>
            </w:r>
          </w:p>
          <w:p w:rsidR="001C19F7" w:rsidRPr="00867291" w:rsidRDefault="001C19F7" w:rsidP="008B1CDA">
            <w:pPr>
              <w:keepNext/>
              <w:keepLines/>
              <w:rPr>
                <w:color w:val="000000" w:themeColor="text1"/>
                <w:sz w:val="16"/>
                <w:szCs w:val="16"/>
              </w:rPr>
            </w:pPr>
            <w:r w:rsidRPr="00867291">
              <w:rPr>
                <w:color w:val="000000" w:themeColor="text1"/>
                <w:sz w:val="16"/>
              </w:rPr>
              <w:t>&gt; 75% (OOS)</w:t>
            </w:r>
          </w:p>
        </w:tc>
        <w:tc>
          <w:tcPr>
            <w:tcW w:w="1456" w:type="pct"/>
            <w:gridSpan w:val="2"/>
            <w:tcBorders>
              <w:top w:val="nil"/>
              <w:left w:val="nil"/>
              <w:bottom w:val="nil"/>
              <w:right w:val="nil"/>
            </w:tcBorders>
            <w:shd w:val="clear" w:color="auto" w:fill="FFFFFF"/>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No se organizaron talleres o seminarios relacionados con el sistema de Madrid en el Brasil (OOB) durante el bienio</w:t>
            </w:r>
          </w:p>
          <w:p w:rsidR="001C19F7" w:rsidRPr="00867291" w:rsidRDefault="001C19F7" w:rsidP="008B1CDA">
            <w:pPr>
              <w:keepNext/>
              <w:keepLines/>
              <w:rPr>
                <w:color w:val="000000" w:themeColor="text1"/>
                <w:sz w:val="16"/>
                <w:szCs w:val="16"/>
              </w:rPr>
            </w:pPr>
          </w:p>
          <w:p w:rsidR="001C19F7" w:rsidRPr="00867291" w:rsidRDefault="001C19F7" w:rsidP="008B1CDA">
            <w:pPr>
              <w:keepNext/>
              <w:keepLines/>
              <w:rPr>
                <w:color w:val="000000" w:themeColor="text1"/>
                <w:sz w:val="16"/>
                <w:szCs w:val="16"/>
              </w:rPr>
            </w:pPr>
            <w:r w:rsidRPr="00867291">
              <w:rPr>
                <w:color w:val="000000" w:themeColor="text1"/>
                <w:sz w:val="16"/>
              </w:rPr>
              <w:t>86% (OOS)</w:t>
            </w:r>
          </w:p>
        </w:tc>
        <w:tc>
          <w:tcPr>
            <w:tcW w:w="696" w:type="pct"/>
            <w:gridSpan w:val="5"/>
            <w:tcBorders>
              <w:top w:val="nil"/>
              <w:left w:val="nil"/>
              <w:bottom w:val="nil"/>
              <w:right w:val="single" w:sz="4" w:space="0" w:color="auto"/>
            </w:tcBorders>
            <w:shd w:val="clear" w:color="auto" w:fill="auto"/>
            <w:tcMar>
              <w:top w:w="110" w:type="dxa"/>
            </w:tcMar>
          </w:tcPr>
          <w:p w:rsidR="001C19F7" w:rsidRPr="00867291" w:rsidRDefault="001C19F7" w:rsidP="008B1CDA">
            <w:pPr>
              <w:keepNext/>
              <w:keepLines/>
              <w:ind w:right="20" w:hanging="71"/>
              <w:jc w:val="center"/>
              <w:rPr>
                <w:b/>
                <w:bCs/>
                <w:color w:val="000000" w:themeColor="text1"/>
                <w:sz w:val="16"/>
                <w:szCs w:val="16"/>
              </w:rPr>
            </w:pPr>
            <w:r w:rsidRPr="00194A5F">
              <w:rPr>
                <w:b/>
                <w:color w:val="FF0000"/>
                <w:sz w:val="16"/>
                <w:szCs w:val="16"/>
                <w:lang w:val="en-US"/>
              </w:rPr>
              <w:t>No</w:t>
            </w:r>
            <w:r w:rsidRPr="00867291">
              <w:rPr>
                <w:b/>
                <w:color w:val="000000" w:themeColor="text1"/>
                <w:sz w:val="16"/>
              </w:rPr>
              <w:t xml:space="preserve"> </w:t>
            </w:r>
            <w:r w:rsidRPr="00194A5F">
              <w:rPr>
                <w:b/>
                <w:color w:val="FF0000"/>
                <w:sz w:val="16"/>
                <w:szCs w:val="16"/>
                <w:lang w:val="en-US"/>
              </w:rPr>
              <w:t>logrado</w:t>
            </w:r>
          </w:p>
          <w:p w:rsidR="001C19F7" w:rsidRPr="00867291" w:rsidRDefault="001C19F7" w:rsidP="008B1CDA">
            <w:pPr>
              <w:keepNext/>
              <w:keepLines/>
              <w:ind w:right="20" w:hanging="71"/>
              <w:rPr>
                <w:b/>
                <w:bCs/>
                <w:color w:val="000000" w:themeColor="text1"/>
                <w:sz w:val="16"/>
                <w:szCs w:val="16"/>
              </w:rPr>
            </w:pPr>
          </w:p>
          <w:p w:rsidR="001C19F7" w:rsidRPr="00867291" w:rsidRDefault="001C19F7" w:rsidP="008B1CDA">
            <w:pPr>
              <w:keepNext/>
              <w:keepLines/>
              <w:ind w:right="20" w:hanging="71"/>
              <w:rPr>
                <w:b/>
                <w:bCs/>
                <w:color w:val="000000" w:themeColor="text1"/>
                <w:sz w:val="16"/>
                <w:szCs w:val="16"/>
              </w:rPr>
            </w:pPr>
          </w:p>
          <w:p w:rsidR="001C19F7" w:rsidRPr="002265C0" w:rsidRDefault="00044DA1" w:rsidP="008B1CDA">
            <w:pPr>
              <w:keepNext/>
              <w:keepLines/>
              <w:ind w:left="-117" w:right="20"/>
              <w:jc w:val="center"/>
              <w:rPr>
                <w:b/>
                <w:bCs/>
                <w:color w:val="00B050"/>
                <w:sz w:val="16"/>
                <w:szCs w:val="16"/>
                <w:lang w:val="en-US"/>
              </w:rPr>
            </w:pPr>
            <w:r>
              <w:rPr>
                <w:b/>
                <w:bCs/>
                <w:color w:val="00B050"/>
                <w:sz w:val="16"/>
                <w:szCs w:val="16"/>
                <w:lang w:val="en-US"/>
              </w:rPr>
              <w:t>Plenamente logrado</w:t>
            </w:r>
          </w:p>
          <w:p w:rsidR="001C19F7" w:rsidRPr="00867291" w:rsidRDefault="001C19F7" w:rsidP="008B1CDA">
            <w:pPr>
              <w:keepNext/>
              <w:keepLines/>
              <w:ind w:right="20" w:hanging="71"/>
              <w:jc w:val="center"/>
              <w:rPr>
                <w:b/>
                <w:bCs/>
                <w:color w:val="000000" w:themeColor="text1"/>
                <w:sz w:val="16"/>
                <w:szCs w:val="16"/>
              </w:rPr>
            </w:pP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Partes Contratantes del Protocolo de Madrid</w:t>
            </w:r>
          </w:p>
        </w:tc>
        <w:tc>
          <w:tcPr>
            <w:tcW w:w="1103" w:type="pct"/>
            <w:gridSpan w:val="4"/>
            <w:tcBorders>
              <w:top w:val="nil"/>
              <w:left w:val="nil"/>
              <w:bottom w:val="single" w:sz="4" w:space="0" w:color="auto"/>
              <w:right w:val="nil"/>
            </w:tcBorders>
            <w:shd w:val="clear" w:color="auto" w:fill="auto"/>
          </w:tcPr>
          <w:p w:rsidR="001C19F7" w:rsidRPr="00867291" w:rsidRDefault="001C19F7" w:rsidP="008B1CDA">
            <w:pPr>
              <w:rPr>
                <w:color w:val="000000" w:themeColor="text1"/>
                <w:sz w:val="16"/>
                <w:szCs w:val="16"/>
              </w:rPr>
            </w:pPr>
            <w:r w:rsidRPr="00194A5F">
              <w:rPr>
                <w:i/>
                <w:color w:val="002060"/>
                <w:sz w:val="16"/>
                <w:szCs w:val="16"/>
                <w:lang w:eastAsia="en-US"/>
              </w:rPr>
              <w:t>Referencia actualizada a fines de 2013:  3</w:t>
            </w:r>
            <w:r w:rsidRPr="00867291">
              <w:rPr>
                <w:color w:val="000000" w:themeColor="text1"/>
                <w:sz w:val="16"/>
              </w:rPr>
              <w:t xml:space="preserve"> </w:t>
            </w:r>
            <w:r w:rsidRPr="00194A5F">
              <w:rPr>
                <w:color w:val="002060"/>
                <w:sz w:val="16"/>
                <w:szCs w:val="16"/>
                <w:lang w:eastAsia="en-US"/>
              </w:rPr>
              <w:t>(Filipinas, Singapur y Viet Nam) (OOS)</w:t>
            </w:r>
          </w:p>
          <w:p w:rsidR="001C19F7" w:rsidRPr="00867291" w:rsidRDefault="001C19F7" w:rsidP="008B1CDA">
            <w:pPr>
              <w:rPr>
                <w:i/>
                <w:color w:val="000000" w:themeColor="text1"/>
                <w:sz w:val="16"/>
                <w:szCs w:val="16"/>
              </w:rPr>
            </w:pPr>
            <w:r w:rsidRPr="00867291">
              <w:rPr>
                <w:i/>
                <w:color w:val="000000" w:themeColor="text1"/>
                <w:sz w:val="16"/>
              </w:rPr>
              <w:t>Referencia original en el presupuesto de 2014/15:</w:t>
            </w:r>
            <w:r w:rsidRPr="00867291">
              <w:rPr>
                <w:color w:val="000000" w:themeColor="text1"/>
                <w:sz w:val="16"/>
              </w:rPr>
              <w:t xml:space="preserve">  3 (OOS)</w:t>
            </w:r>
          </w:p>
        </w:tc>
        <w:tc>
          <w:tcPr>
            <w:tcW w:w="642" w:type="pct"/>
            <w:gridSpan w:val="3"/>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10 (OOS)</w:t>
            </w:r>
          </w:p>
        </w:tc>
        <w:tc>
          <w:tcPr>
            <w:tcW w:w="1456" w:type="pct"/>
            <w:gridSpan w:val="2"/>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otros 2 Estados miembros de la ASEAN en 2014/15 (Camboya y República Democrática Popular Lao)</w:t>
            </w:r>
          </w:p>
          <w:p w:rsidR="001C19F7" w:rsidRPr="00867291" w:rsidRDefault="001C19F7" w:rsidP="008B1CDA">
            <w:pPr>
              <w:rPr>
                <w:color w:val="000000" w:themeColor="text1"/>
                <w:sz w:val="16"/>
                <w:szCs w:val="16"/>
              </w:rPr>
            </w:pPr>
            <w:r w:rsidRPr="00867291">
              <w:rPr>
                <w:color w:val="000000" w:themeColor="text1"/>
                <w:sz w:val="16"/>
              </w:rPr>
              <w:t>5 acumulados</w:t>
            </w:r>
          </w:p>
        </w:tc>
        <w:tc>
          <w:tcPr>
            <w:tcW w:w="696" w:type="pct"/>
            <w:gridSpan w:val="5"/>
            <w:tcBorders>
              <w:top w:val="nil"/>
              <w:left w:val="nil"/>
              <w:bottom w:val="single" w:sz="4" w:space="0" w:color="auto"/>
              <w:right w:val="single" w:sz="4" w:space="0" w:color="auto"/>
            </w:tcBorders>
            <w:shd w:val="clear" w:color="auto" w:fill="auto"/>
            <w:tcMar>
              <w:top w:w="110" w:type="dxa"/>
            </w:tcMar>
          </w:tcPr>
          <w:p w:rsidR="001C19F7" w:rsidRPr="00867291" w:rsidRDefault="00044DA1" w:rsidP="008B1CDA">
            <w:pPr>
              <w:keepNext/>
              <w:keepLines/>
              <w:tabs>
                <w:tab w:val="left" w:pos="902"/>
              </w:tabs>
              <w:ind w:right="20"/>
              <w:jc w:val="center"/>
              <w:rPr>
                <w:b/>
                <w:bCs/>
                <w:color w:val="000000" w:themeColor="text1"/>
                <w:sz w:val="16"/>
                <w:szCs w:val="16"/>
              </w:rPr>
            </w:pPr>
            <w:r>
              <w:rPr>
                <w:b/>
                <w:bCs/>
                <w:color w:val="E36C0A" w:themeColor="accent6" w:themeShade="BF"/>
                <w:sz w:val="16"/>
                <w:szCs w:val="16"/>
                <w:lang w:val="en-US"/>
              </w:rPr>
              <w:t>P</w:t>
            </w:r>
            <w:r w:rsidR="001C19F7" w:rsidRPr="00194A5F">
              <w:rPr>
                <w:b/>
                <w:bCs/>
                <w:color w:val="E36C0A" w:themeColor="accent6" w:themeShade="BF"/>
                <w:sz w:val="16"/>
                <w:szCs w:val="16"/>
                <w:lang w:val="en-US"/>
              </w:rPr>
              <w:t>arcialmente</w:t>
            </w:r>
            <w:r>
              <w:rPr>
                <w:b/>
                <w:bCs/>
                <w:color w:val="E36C0A" w:themeColor="accent6" w:themeShade="BF"/>
                <w:sz w:val="16"/>
                <w:szCs w:val="16"/>
                <w:lang w:val="en-US"/>
              </w:rPr>
              <w:t xml:space="preserve"> logrado</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keepNext/>
              <w:rPr>
                <w:color w:val="000000" w:themeColor="text1"/>
                <w:sz w:val="16"/>
                <w:szCs w:val="16"/>
              </w:rPr>
            </w:pPr>
            <w:r w:rsidRPr="00867291">
              <w:rPr>
                <w:color w:val="000000" w:themeColor="text1"/>
                <w:sz w:val="16"/>
              </w:rPr>
              <w:lastRenderedPageBreak/>
              <w:t>Número de nuevos registros (Sistema de Madrid)</w:t>
            </w:r>
          </w:p>
        </w:tc>
        <w:tc>
          <w:tcPr>
            <w:tcW w:w="1103" w:type="pct"/>
            <w:gridSpan w:val="4"/>
            <w:tcBorders>
              <w:top w:val="single" w:sz="4" w:space="0" w:color="auto"/>
              <w:left w:val="nil"/>
              <w:bottom w:val="nil"/>
              <w:right w:val="nil"/>
            </w:tcBorders>
            <w:shd w:val="clear" w:color="auto" w:fill="auto"/>
          </w:tcPr>
          <w:p w:rsidR="001C19F7" w:rsidRPr="00867291" w:rsidRDefault="001C19F7" w:rsidP="008B1CDA">
            <w:pPr>
              <w:keepNext/>
              <w:rPr>
                <w:i/>
                <w:color w:val="000000" w:themeColor="text1"/>
                <w:sz w:val="16"/>
                <w:szCs w:val="16"/>
              </w:rPr>
            </w:pPr>
            <w:r w:rsidRPr="00EF75DA">
              <w:rPr>
                <w:i/>
                <w:color w:val="002060"/>
                <w:sz w:val="16"/>
                <w:szCs w:val="16"/>
                <w:lang w:eastAsia="en-US"/>
              </w:rPr>
              <w:t>Referencia</w:t>
            </w:r>
            <w:r w:rsidRPr="00867291">
              <w:rPr>
                <w:i/>
                <w:color w:val="000000" w:themeColor="text1"/>
                <w:sz w:val="16"/>
              </w:rPr>
              <w:t xml:space="preserve"> </w:t>
            </w:r>
            <w:r w:rsidRPr="00EF75DA">
              <w:rPr>
                <w:i/>
                <w:color w:val="002060"/>
                <w:sz w:val="16"/>
                <w:szCs w:val="16"/>
                <w:lang w:eastAsia="en-US"/>
              </w:rPr>
              <w:t>actualizada a fines de 2013:</w:t>
            </w:r>
            <w:r w:rsidRPr="00867291">
              <w:rPr>
                <w:i/>
                <w:color w:val="000000" w:themeColor="text1"/>
                <w:sz w:val="16"/>
              </w:rPr>
              <w:t xml:space="preserve">  </w:t>
            </w:r>
          </w:p>
          <w:p w:rsidR="001C19F7" w:rsidRPr="00EF75DA" w:rsidRDefault="001C19F7" w:rsidP="008B1CDA">
            <w:pPr>
              <w:keepNext/>
              <w:rPr>
                <w:color w:val="002060"/>
                <w:sz w:val="16"/>
                <w:szCs w:val="16"/>
                <w:lang w:eastAsia="en-US"/>
              </w:rPr>
            </w:pPr>
            <w:r w:rsidRPr="00EF75DA">
              <w:rPr>
                <w:color w:val="002060"/>
                <w:sz w:val="16"/>
                <w:szCs w:val="16"/>
                <w:lang w:eastAsia="en-US"/>
              </w:rPr>
              <w:t>2012: 2.054                 2013: 1.845 (OOJ)</w:t>
            </w:r>
          </w:p>
          <w:p w:rsidR="001C19F7" w:rsidRPr="00EF75DA" w:rsidRDefault="001C19F7" w:rsidP="008B1CDA">
            <w:pPr>
              <w:keepNext/>
              <w:rPr>
                <w:color w:val="002060"/>
                <w:sz w:val="16"/>
                <w:szCs w:val="16"/>
                <w:lang w:eastAsia="en-US"/>
              </w:rPr>
            </w:pPr>
            <w:r w:rsidRPr="00EF75DA">
              <w:rPr>
                <w:color w:val="002060"/>
                <w:sz w:val="16"/>
                <w:szCs w:val="16"/>
                <w:lang w:eastAsia="en-US"/>
              </w:rPr>
              <w:t>2012 = 327</w:t>
            </w:r>
          </w:p>
          <w:p w:rsidR="001C19F7" w:rsidRPr="00EF75DA" w:rsidRDefault="001C19F7" w:rsidP="008B1CDA">
            <w:pPr>
              <w:keepNext/>
              <w:rPr>
                <w:color w:val="002060"/>
                <w:sz w:val="16"/>
                <w:szCs w:val="16"/>
                <w:lang w:eastAsia="en-US"/>
              </w:rPr>
            </w:pPr>
            <w:r w:rsidRPr="00EF75DA">
              <w:rPr>
                <w:color w:val="002060"/>
                <w:sz w:val="16"/>
                <w:szCs w:val="16"/>
                <w:lang w:eastAsia="en-US"/>
              </w:rPr>
              <w:t>2013 = 337 (OOS)</w:t>
            </w:r>
          </w:p>
          <w:p w:rsidR="001C19F7" w:rsidRPr="00867291" w:rsidRDefault="001C19F7" w:rsidP="008B1CDA">
            <w:pPr>
              <w:keepNext/>
              <w:rPr>
                <w:color w:val="000000" w:themeColor="text1"/>
                <w:sz w:val="16"/>
                <w:szCs w:val="16"/>
              </w:rPr>
            </w:pPr>
            <w:r w:rsidRPr="00867291">
              <w:rPr>
                <w:i/>
                <w:color w:val="000000" w:themeColor="text1"/>
                <w:sz w:val="16"/>
              </w:rPr>
              <w:t>Referencia original en el presupuesto de 14/15:</w:t>
            </w:r>
            <w:r w:rsidRPr="00867291">
              <w:rPr>
                <w:color w:val="000000" w:themeColor="text1"/>
                <w:sz w:val="16"/>
              </w:rPr>
              <w:t xml:space="preserve">  </w:t>
            </w:r>
          </w:p>
          <w:p w:rsidR="001C19F7" w:rsidRPr="00867291" w:rsidRDefault="001C19F7" w:rsidP="008B1CDA">
            <w:pPr>
              <w:keepNext/>
              <w:rPr>
                <w:color w:val="000000" w:themeColor="text1"/>
                <w:sz w:val="16"/>
                <w:szCs w:val="16"/>
              </w:rPr>
            </w:pPr>
            <w:r w:rsidRPr="00867291">
              <w:rPr>
                <w:color w:val="000000" w:themeColor="text1"/>
                <w:sz w:val="16"/>
              </w:rPr>
              <w:t>Estadísticas de la ASEAN y el Japón sobre el Sistema de Madrid (</w:t>
            </w:r>
            <w:r w:rsidRPr="00EF75DA">
              <w:rPr>
                <w:color w:val="002060"/>
                <w:sz w:val="16"/>
                <w:szCs w:val="16"/>
                <w:lang w:eastAsia="en-US"/>
              </w:rPr>
              <w:t>OOS</w:t>
            </w:r>
            <w:r w:rsidRPr="00867291">
              <w:rPr>
                <w:color w:val="000000" w:themeColor="text1"/>
                <w:sz w:val="16"/>
              </w:rPr>
              <w:t>)</w:t>
            </w:r>
          </w:p>
          <w:p w:rsidR="001C19F7" w:rsidRPr="00867291" w:rsidRDefault="001C19F7" w:rsidP="008B1CDA">
            <w:pPr>
              <w:keepNext/>
              <w:rPr>
                <w:i/>
                <w:color w:val="000000" w:themeColor="text1"/>
                <w:sz w:val="16"/>
                <w:szCs w:val="16"/>
              </w:rPr>
            </w:pPr>
          </w:p>
          <w:p w:rsidR="001C19F7" w:rsidRPr="00867291" w:rsidRDefault="001C19F7" w:rsidP="008B1CDA">
            <w:pPr>
              <w:keepNext/>
              <w:rPr>
                <w:color w:val="000000" w:themeColor="text1"/>
                <w:sz w:val="16"/>
                <w:szCs w:val="16"/>
              </w:rPr>
            </w:pPr>
            <w:r w:rsidRPr="00EF75DA">
              <w:rPr>
                <w:i/>
                <w:sz w:val="16"/>
                <w:szCs w:val="16"/>
                <w:lang w:eastAsia="en-US"/>
              </w:rPr>
              <w:t>Referencia original en el presupuesto de 2014/15</w:t>
            </w:r>
            <w:r w:rsidRPr="00EF75DA">
              <w:rPr>
                <w:i/>
                <w:color w:val="002060"/>
                <w:sz w:val="16"/>
                <w:szCs w:val="16"/>
                <w:lang w:eastAsia="en-US"/>
              </w:rPr>
              <w:t>:</w:t>
            </w:r>
            <w:r w:rsidRPr="00867291">
              <w:rPr>
                <w:color w:val="000000" w:themeColor="text1"/>
                <w:sz w:val="16"/>
              </w:rPr>
              <w:t xml:space="preserve"> </w:t>
            </w:r>
          </w:p>
          <w:p w:rsidR="001C19F7" w:rsidRPr="00916619" w:rsidRDefault="001C19F7" w:rsidP="008B1CDA">
            <w:pPr>
              <w:keepNext/>
              <w:rPr>
                <w:color w:val="000000" w:themeColor="text1"/>
                <w:sz w:val="16"/>
              </w:rPr>
            </w:pPr>
            <w:r w:rsidRPr="00867291">
              <w:rPr>
                <w:color w:val="000000" w:themeColor="text1"/>
                <w:sz w:val="16"/>
              </w:rPr>
              <w:t xml:space="preserve">Estadísticas de la ASEAN sobre el sistema de </w:t>
            </w:r>
            <w:r w:rsidRPr="00916619">
              <w:rPr>
                <w:color w:val="000000" w:themeColor="text1"/>
                <w:sz w:val="16"/>
              </w:rPr>
              <w:t>Madrid (OOS) 2012/13</w:t>
            </w:r>
          </w:p>
          <w:p w:rsidR="001C19F7" w:rsidRPr="00867291" w:rsidRDefault="001C19F7" w:rsidP="008B1CDA">
            <w:pPr>
              <w:keepNext/>
              <w:rPr>
                <w:color w:val="000000" w:themeColor="text1"/>
                <w:sz w:val="16"/>
                <w:szCs w:val="16"/>
              </w:rPr>
            </w:pPr>
            <w:r w:rsidRPr="00916619">
              <w:rPr>
                <w:color w:val="000000" w:themeColor="text1"/>
                <w:sz w:val="16"/>
              </w:rPr>
              <w:t>Estadísticas de la ASEAN y el Japón sobre el Sistema de Madrid (OOJ) 2012/13</w:t>
            </w:r>
          </w:p>
        </w:tc>
        <w:tc>
          <w:tcPr>
            <w:tcW w:w="642" w:type="pct"/>
            <w:gridSpan w:val="3"/>
            <w:tcBorders>
              <w:top w:val="single" w:sz="4" w:space="0" w:color="auto"/>
              <w:left w:val="nil"/>
              <w:bottom w:val="nil"/>
              <w:right w:val="nil"/>
            </w:tcBorders>
            <w:shd w:val="clear" w:color="auto" w:fill="auto"/>
            <w:tcMar>
              <w:top w:w="110" w:type="dxa"/>
            </w:tcMar>
          </w:tcPr>
          <w:p w:rsidR="001C19F7" w:rsidRPr="00867291" w:rsidRDefault="001C19F7" w:rsidP="008B1CDA">
            <w:pPr>
              <w:keepNext/>
              <w:rPr>
                <w:color w:val="000000" w:themeColor="text1"/>
                <w:sz w:val="16"/>
                <w:szCs w:val="16"/>
              </w:rPr>
            </w:pPr>
            <w:r w:rsidRPr="00867291">
              <w:rPr>
                <w:color w:val="000000" w:themeColor="text1"/>
                <w:sz w:val="16"/>
              </w:rPr>
              <w:t>Aumento de las solicitudes presentadas (OOJ)</w:t>
            </w:r>
          </w:p>
          <w:p w:rsidR="001C19F7" w:rsidRPr="00867291" w:rsidRDefault="001C19F7" w:rsidP="008B1CDA">
            <w:pPr>
              <w:keepNext/>
              <w:rPr>
                <w:color w:val="000000" w:themeColor="text1"/>
                <w:sz w:val="16"/>
                <w:szCs w:val="16"/>
              </w:rPr>
            </w:pPr>
            <w:r w:rsidRPr="00867291">
              <w:rPr>
                <w:color w:val="000000" w:themeColor="text1"/>
                <w:sz w:val="16"/>
              </w:rPr>
              <w:t>Aumento de las solicitudes presentadas en un 5% (OOS)</w:t>
            </w:r>
            <w:r w:rsidRPr="00867291">
              <w:rPr>
                <w:rStyle w:val="FootnoteReference"/>
                <w:color w:val="000000" w:themeColor="text1"/>
              </w:rPr>
              <w:footnoteReference w:id="112"/>
            </w: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p>
        </w:tc>
        <w:tc>
          <w:tcPr>
            <w:tcW w:w="1456" w:type="pct"/>
            <w:gridSpan w:val="2"/>
            <w:tcBorders>
              <w:top w:val="single" w:sz="4" w:space="0" w:color="auto"/>
              <w:left w:val="nil"/>
              <w:bottom w:val="nil"/>
              <w:right w:val="nil"/>
            </w:tcBorders>
            <w:shd w:val="clear" w:color="auto" w:fill="FFFFFF"/>
            <w:tcMar>
              <w:top w:w="110" w:type="dxa"/>
            </w:tcMar>
          </w:tcPr>
          <w:p w:rsidR="001C19F7" w:rsidRPr="00867291" w:rsidRDefault="001C19F7" w:rsidP="008B1CDA">
            <w:pPr>
              <w:keepNext/>
              <w:rPr>
                <w:color w:val="000000" w:themeColor="text1"/>
                <w:sz w:val="16"/>
                <w:szCs w:val="16"/>
              </w:rPr>
            </w:pPr>
            <w:r w:rsidRPr="00867291">
              <w:rPr>
                <w:color w:val="000000" w:themeColor="text1"/>
                <w:sz w:val="16"/>
              </w:rPr>
              <w:t>2014/15: 4.200 (+8%)</w:t>
            </w:r>
          </w:p>
          <w:p w:rsidR="001C19F7" w:rsidRPr="00867291" w:rsidRDefault="001C19F7" w:rsidP="008B1CDA">
            <w:pPr>
              <w:keepNext/>
              <w:rPr>
                <w:color w:val="000000" w:themeColor="text1"/>
                <w:sz w:val="16"/>
                <w:szCs w:val="16"/>
              </w:rPr>
            </w:pPr>
            <w:r w:rsidRPr="00867291">
              <w:rPr>
                <w:color w:val="000000" w:themeColor="text1"/>
                <w:sz w:val="16"/>
              </w:rPr>
              <w:t>2014</w:t>
            </w:r>
            <w:proofErr w:type="gramStart"/>
            <w:r w:rsidRPr="00867291">
              <w:rPr>
                <w:color w:val="000000" w:themeColor="text1"/>
                <w:sz w:val="16"/>
              </w:rPr>
              <w:t>:  2.033</w:t>
            </w:r>
            <w:proofErr w:type="gramEnd"/>
            <w:r w:rsidRPr="00867291">
              <w:rPr>
                <w:color w:val="000000" w:themeColor="text1"/>
                <w:sz w:val="16"/>
              </w:rPr>
              <w:t xml:space="preserve"> (+10%) </w:t>
            </w:r>
          </w:p>
          <w:p w:rsidR="001C19F7" w:rsidRPr="00867291" w:rsidRDefault="001C19F7" w:rsidP="008B1CDA">
            <w:pPr>
              <w:keepNext/>
              <w:rPr>
                <w:color w:val="000000" w:themeColor="text1"/>
                <w:sz w:val="16"/>
                <w:szCs w:val="16"/>
              </w:rPr>
            </w:pPr>
            <w:r w:rsidRPr="00867291">
              <w:rPr>
                <w:color w:val="000000" w:themeColor="text1"/>
                <w:sz w:val="16"/>
              </w:rPr>
              <w:t>2015</w:t>
            </w:r>
            <w:proofErr w:type="gramStart"/>
            <w:r w:rsidRPr="00867291">
              <w:rPr>
                <w:color w:val="000000" w:themeColor="text1"/>
                <w:sz w:val="16"/>
              </w:rPr>
              <w:t>:  2.167</w:t>
            </w:r>
            <w:proofErr w:type="gramEnd"/>
            <w:r w:rsidRPr="00867291">
              <w:rPr>
                <w:color w:val="000000" w:themeColor="text1"/>
                <w:sz w:val="16"/>
              </w:rPr>
              <w:t xml:space="preserve"> (+7%)</w:t>
            </w: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r w:rsidRPr="00867291">
              <w:rPr>
                <w:color w:val="000000" w:themeColor="text1"/>
                <w:sz w:val="16"/>
              </w:rPr>
              <w:t>2014/15: 860 (+30%)</w:t>
            </w:r>
          </w:p>
          <w:p w:rsidR="001C19F7" w:rsidRPr="00867291" w:rsidRDefault="001C19F7" w:rsidP="008B1CDA">
            <w:pPr>
              <w:keepNext/>
              <w:rPr>
                <w:color w:val="000000" w:themeColor="text1"/>
                <w:sz w:val="16"/>
                <w:szCs w:val="16"/>
              </w:rPr>
            </w:pPr>
            <w:r w:rsidRPr="00867291">
              <w:rPr>
                <w:color w:val="000000" w:themeColor="text1"/>
                <w:sz w:val="16"/>
              </w:rPr>
              <w:t>2014</w:t>
            </w:r>
            <w:proofErr w:type="gramStart"/>
            <w:r w:rsidRPr="00867291">
              <w:rPr>
                <w:color w:val="000000" w:themeColor="text1"/>
                <w:sz w:val="16"/>
              </w:rPr>
              <w:t>:  351</w:t>
            </w:r>
            <w:proofErr w:type="gramEnd"/>
            <w:r w:rsidRPr="00867291">
              <w:rPr>
                <w:color w:val="000000" w:themeColor="text1"/>
                <w:sz w:val="16"/>
              </w:rPr>
              <w:t xml:space="preserve"> (+4%)  </w:t>
            </w:r>
          </w:p>
          <w:p w:rsidR="001C19F7" w:rsidRPr="00867291" w:rsidRDefault="001C19F7" w:rsidP="008B1CDA">
            <w:pPr>
              <w:keepNext/>
              <w:rPr>
                <w:color w:val="000000" w:themeColor="text1"/>
                <w:sz w:val="16"/>
                <w:szCs w:val="16"/>
              </w:rPr>
            </w:pPr>
            <w:r w:rsidRPr="00867291">
              <w:rPr>
                <w:color w:val="000000" w:themeColor="text1"/>
                <w:sz w:val="16"/>
              </w:rPr>
              <w:t>2015:  509 (+44%</w:t>
            </w:r>
            <w:r w:rsidRPr="00867291">
              <w:rPr>
                <w:rStyle w:val="FootnoteReference"/>
                <w:color w:val="000000" w:themeColor="text1"/>
              </w:rPr>
              <w:footnoteReference w:id="113"/>
            </w:r>
            <w:r w:rsidRPr="00867291">
              <w:rPr>
                <w:color w:val="000000" w:themeColor="text1"/>
                <w:sz w:val="16"/>
              </w:rPr>
              <w:t>)</w:t>
            </w: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p>
        </w:tc>
        <w:tc>
          <w:tcPr>
            <w:tcW w:w="696" w:type="pct"/>
            <w:gridSpan w:val="5"/>
            <w:tcBorders>
              <w:top w:val="single" w:sz="4" w:space="0" w:color="auto"/>
              <w:left w:val="nil"/>
              <w:bottom w:val="nil"/>
              <w:right w:val="single" w:sz="4" w:space="0" w:color="auto"/>
            </w:tcBorders>
            <w:shd w:val="clear" w:color="auto" w:fill="auto"/>
            <w:tcMar>
              <w:top w:w="110" w:type="dxa"/>
            </w:tcMar>
          </w:tcPr>
          <w:p w:rsidR="001C19F7" w:rsidRPr="00867291" w:rsidRDefault="00044DA1" w:rsidP="008B1CDA">
            <w:pPr>
              <w:keepNext/>
              <w:keepLines/>
              <w:ind w:left="-117" w:right="20"/>
              <w:jc w:val="center"/>
              <w:rPr>
                <w:b/>
                <w:bCs/>
                <w:color w:val="000000" w:themeColor="text1"/>
                <w:sz w:val="16"/>
                <w:szCs w:val="16"/>
              </w:rPr>
            </w:pPr>
            <w:r>
              <w:rPr>
                <w:b/>
                <w:bCs/>
                <w:color w:val="00B050"/>
                <w:sz w:val="16"/>
                <w:szCs w:val="16"/>
                <w:lang w:val="en-US"/>
              </w:rPr>
              <w:t>Plenamente logrado</w:t>
            </w:r>
          </w:p>
          <w:p w:rsidR="001C19F7" w:rsidRPr="00867291" w:rsidRDefault="001C19F7" w:rsidP="008B1CDA">
            <w:pPr>
              <w:keepNext/>
              <w:keepLines/>
              <w:ind w:right="20" w:hanging="71"/>
              <w:rPr>
                <w:b/>
                <w:color w:val="000000" w:themeColor="text1"/>
                <w:sz w:val="16"/>
                <w:szCs w:val="16"/>
              </w:rPr>
            </w:pPr>
          </w:p>
          <w:p w:rsidR="001C19F7" w:rsidRPr="00867291" w:rsidRDefault="001C19F7" w:rsidP="008B1CDA">
            <w:pPr>
              <w:keepNext/>
              <w:keepLines/>
              <w:ind w:right="20" w:hanging="71"/>
              <w:rPr>
                <w:b/>
                <w:color w:val="000000" w:themeColor="text1"/>
                <w:sz w:val="16"/>
                <w:szCs w:val="16"/>
              </w:rPr>
            </w:pPr>
          </w:p>
          <w:p w:rsidR="001C19F7" w:rsidRPr="00867291" w:rsidRDefault="001C19F7" w:rsidP="008B1CDA">
            <w:pPr>
              <w:keepNext/>
              <w:keepLines/>
              <w:ind w:right="20" w:hanging="71"/>
              <w:jc w:val="center"/>
              <w:rPr>
                <w:b/>
                <w:bCs/>
                <w:color w:val="000000" w:themeColor="text1"/>
                <w:sz w:val="16"/>
                <w:szCs w:val="16"/>
              </w:rPr>
            </w:pPr>
          </w:p>
          <w:p w:rsidR="001C19F7" w:rsidRPr="00194A5F" w:rsidRDefault="00044DA1" w:rsidP="008B1CDA">
            <w:pPr>
              <w:keepNext/>
              <w:keepLines/>
              <w:ind w:left="-117" w:right="20"/>
              <w:jc w:val="center"/>
              <w:rPr>
                <w:b/>
                <w:bCs/>
                <w:color w:val="00B050"/>
                <w:sz w:val="16"/>
                <w:szCs w:val="16"/>
                <w:lang w:val="en-US"/>
              </w:rPr>
            </w:pPr>
            <w:r>
              <w:rPr>
                <w:b/>
                <w:bCs/>
                <w:color w:val="00B050"/>
                <w:sz w:val="16"/>
                <w:szCs w:val="16"/>
                <w:lang w:val="en-US"/>
              </w:rPr>
              <w:t>Plenamente logrado</w:t>
            </w:r>
          </w:p>
          <w:p w:rsidR="001C19F7" w:rsidRPr="00867291" w:rsidRDefault="001C19F7" w:rsidP="008B1CDA">
            <w:pPr>
              <w:keepNext/>
              <w:keepLines/>
              <w:ind w:right="20" w:hanging="71"/>
              <w:jc w:val="center"/>
              <w:rPr>
                <w:b/>
                <w:color w:val="000000" w:themeColor="text1"/>
                <w:sz w:val="16"/>
                <w:szCs w:val="16"/>
              </w:rPr>
            </w:pP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renovaciones (Sistema de Madrid)</w:t>
            </w:r>
          </w:p>
        </w:tc>
        <w:tc>
          <w:tcPr>
            <w:tcW w:w="1103" w:type="pct"/>
            <w:gridSpan w:val="4"/>
            <w:tcBorders>
              <w:top w:val="nil"/>
              <w:left w:val="nil"/>
              <w:bottom w:val="single" w:sz="4" w:space="0" w:color="auto"/>
              <w:right w:val="nil"/>
            </w:tcBorders>
            <w:shd w:val="clear" w:color="auto" w:fill="auto"/>
          </w:tcPr>
          <w:p w:rsidR="001C19F7" w:rsidRPr="00867291" w:rsidRDefault="001C19F7" w:rsidP="008B1CDA">
            <w:pPr>
              <w:rPr>
                <w:rFonts w:eastAsiaTheme="majorEastAsia"/>
                <w:i/>
                <w:color w:val="000000" w:themeColor="text1"/>
                <w:sz w:val="16"/>
                <w:szCs w:val="16"/>
              </w:rPr>
            </w:pPr>
            <w:r w:rsidRPr="00EF75DA">
              <w:rPr>
                <w:i/>
                <w:color w:val="002060"/>
                <w:sz w:val="16"/>
                <w:szCs w:val="16"/>
                <w:lang w:eastAsia="en-US"/>
              </w:rPr>
              <w:t xml:space="preserve">Referencia actualizada a fines de 2013: </w:t>
            </w:r>
            <w:r w:rsidRPr="00867291">
              <w:rPr>
                <w:i/>
                <w:color w:val="000000" w:themeColor="text1"/>
                <w:sz w:val="16"/>
              </w:rPr>
              <w:t xml:space="preserve"> </w:t>
            </w:r>
          </w:p>
          <w:p w:rsidR="001C19F7" w:rsidRPr="00EF75DA" w:rsidRDefault="001C19F7" w:rsidP="008B1CDA">
            <w:pPr>
              <w:rPr>
                <w:color w:val="002060"/>
                <w:sz w:val="16"/>
                <w:szCs w:val="16"/>
                <w:lang w:eastAsia="en-US"/>
              </w:rPr>
            </w:pPr>
            <w:r w:rsidRPr="00EF75DA">
              <w:rPr>
                <w:color w:val="002060"/>
                <w:sz w:val="16"/>
                <w:szCs w:val="16"/>
                <w:lang w:eastAsia="en-US"/>
              </w:rPr>
              <w:t>2012: 187</w:t>
            </w:r>
          </w:p>
          <w:p w:rsidR="001C19F7" w:rsidRPr="00EF75DA" w:rsidRDefault="001C19F7" w:rsidP="008B1CDA">
            <w:pPr>
              <w:rPr>
                <w:color w:val="002060"/>
                <w:sz w:val="16"/>
                <w:szCs w:val="16"/>
                <w:lang w:eastAsia="en-US"/>
              </w:rPr>
            </w:pPr>
            <w:r w:rsidRPr="00EF75DA">
              <w:rPr>
                <w:color w:val="002060"/>
                <w:sz w:val="16"/>
                <w:szCs w:val="16"/>
                <w:lang w:eastAsia="en-US"/>
              </w:rPr>
              <w:t>2013: 311 (OOJ)</w:t>
            </w:r>
          </w:p>
          <w:p w:rsidR="001C19F7" w:rsidRPr="00EF75DA" w:rsidRDefault="001C19F7" w:rsidP="008B1CDA">
            <w:pPr>
              <w:rPr>
                <w:color w:val="002060"/>
                <w:sz w:val="16"/>
                <w:szCs w:val="16"/>
                <w:lang w:eastAsia="en-US"/>
              </w:rPr>
            </w:pPr>
            <w:r w:rsidRPr="00EF75DA">
              <w:rPr>
                <w:color w:val="002060"/>
                <w:sz w:val="16"/>
                <w:szCs w:val="16"/>
                <w:lang w:eastAsia="en-US"/>
              </w:rPr>
              <w:t>2012: 51</w:t>
            </w:r>
          </w:p>
          <w:p w:rsidR="001C19F7" w:rsidRPr="00EF75DA" w:rsidRDefault="001C19F7" w:rsidP="008B1CDA">
            <w:pPr>
              <w:rPr>
                <w:color w:val="002060"/>
                <w:sz w:val="16"/>
                <w:szCs w:val="16"/>
                <w:lang w:eastAsia="en-US"/>
              </w:rPr>
            </w:pPr>
            <w:r w:rsidRPr="00EF75DA">
              <w:rPr>
                <w:color w:val="002060"/>
                <w:sz w:val="16"/>
                <w:szCs w:val="16"/>
                <w:lang w:eastAsia="en-US"/>
              </w:rPr>
              <w:t>2013: 62 (OOS)</w:t>
            </w:r>
          </w:p>
          <w:p w:rsidR="001C19F7" w:rsidRPr="00867291" w:rsidRDefault="001C19F7" w:rsidP="008B1CDA">
            <w:pPr>
              <w:rPr>
                <w:rFonts w:eastAsiaTheme="majorEastAsia"/>
                <w:i/>
                <w:color w:val="000000" w:themeColor="text1"/>
                <w:sz w:val="16"/>
                <w:szCs w:val="16"/>
              </w:rPr>
            </w:pPr>
            <w:r w:rsidRPr="00867291">
              <w:rPr>
                <w:i/>
                <w:color w:val="000000" w:themeColor="text1"/>
                <w:sz w:val="16"/>
              </w:rPr>
              <w:t xml:space="preserve">Referencia original en el presupuesto de 2014/15: </w:t>
            </w:r>
          </w:p>
          <w:p w:rsidR="001C19F7" w:rsidRPr="00867291" w:rsidRDefault="001C19F7" w:rsidP="008B1CDA">
            <w:pPr>
              <w:rPr>
                <w:color w:val="000000" w:themeColor="text1"/>
                <w:sz w:val="16"/>
                <w:szCs w:val="16"/>
              </w:rPr>
            </w:pPr>
            <w:r w:rsidRPr="00867291">
              <w:rPr>
                <w:color w:val="000000" w:themeColor="text1"/>
                <w:sz w:val="16"/>
              </w:rPr>
              <w:t>Estadísticas de la ASEAN sobre el Sistema de Madrid (OOS)</w:t>
            </w:r>
          </w:p>
          <w:p w:rsidR="001C19F7" w:rsidRDefault="001C19F7" w:rsidP="008B1CDA">
            <w:pPr>
              <w:rPr>
                <w:color w:val="000000" w:themeColor="text1"/>
                <w:sz w:val="16"/>
              </w:rPr>
            </w:pPr>
            <w:r w:rsidRPr="00867291">
              <w:rPr>
                <w:color w:val="000000" w:themeColor="text1"/>
                <w:sz w:val="16"/>
              </w:rPr>
              <w:t>Estadísticas de la ASEAN y el Japón sobre el Sistema de Madrid (OOJ)</w:t>
            </w:r>
          </w:p>
          <w:p w:rsidR="001C19F7" w:rsidRPr="00867291" w:rsidRDefault="001C19F7" w:rsidP="008B1CDA">
            <w:pPr>
              <w:rPr>
                <w:color w:val="000000" w:themeColor="text1"/>
                <w:sz w:val="16"/>
                <w:szCs w:val="16"/>
              </w:rPr>
            </w:pPr>
          </w:p>
        </w:tc>
        <w:tc>
          <w:tcPr>
            <w:tcW w:w="642" w:type="pct"/>
            <w:gridSpan w:val="3"/>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Por determinar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Por determinar (OOS)</w:t>
            </w:r>
          </w:p>
          <w:p w:rsidR="001C19F7" w:rsidRPr="00867291" w:rsidRDefault="001C19F7" w:rsidP="008B1CDA">
            <w:pPr>
              <w:rPr>
                <w:color w:val="000000" w:themeColor="text1"/>
                <w:sz w:val="16"/>
                <w:szCs w:val="16"/>
              </w:rPr>
            </w:pPr>
          </w:p>
        </w:tc>
        <w:tc>
          <w:tcPr>
            <w:tcW w:w="1456" w:type="pct"/>
            <w:gridSpan w:val="2"/>
            <w:tcBorders>
              <w:top w:val="nil"/>
              <w:left w:val="nil"/>
              <w:bottom w:val="single" w:sz="4" w:space="0" w:color="auto"/>
              <w:right w:val="nil"/>
            </w:tcBorders>
            <w:shd w:val="clear" w:color="auto" w:fill="FFFFFF"/>
            <w:tcMar>
              <w:top w:w="110" w:type="dxa"/>
            </w:tcMar>
          </w:tcPr>
          <w:tbl>
            <w:tblPr>
              <w:tblStyle w:val="TableGrid"/>
              <w:tblW w:w="2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
              <w:gridCol w:w="1063"/>
              <w:gridCol w:w="748"/>
            </w:tblGrid>
            <w:tr w:rsidR="001C19F7" w:rsidRPr="00867291" w:rsidTr="008B1CDA">
              <w:trPr>
                <w:trHeight w:val="200"/>
              </w:trPr>
              <w:tc>
                <w:tcPr>
                  <w:tcW w:w="525" w:type="dxa"/>
                  <w:tcMar>
                    <w:left w:w="29" w:type="dxa"/>
                    <w:bottom w:w="29" w:type="dxa"/>
                    <w:right w:w="29" w:type="dxa"/>
                  </w:tcMar>
                </w:tcPr>
                <w:p w:rsidR="001C19F7" w:rsidRPr="00867291" w:rsidRDefault="001C19F7" w:rsidP="008B1CDA">
                  <w:pPr>
                    <w:jc w:val="center"/>
                    <w:rPr>
                      <w:color w:val="000000" w:themeColor="text1"/>
                      <w:sz w:val="16"/>
                      <w:szCs w:val="16"/>
                    </w:rPr>
                  </w:pPr>
                </w:p>
              </w:tc>
              <w:tc>
                <w:tcPr>
                  <w:tcW w:w="1063"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2014</w:t>
                  </w:r>
                </w:p>
              </w:tc>
              <w:tc>
                <w:tcPr>
                  <w:tcW w:w="748"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2015</w:t>
                  </w:r>
                </w:p>
              </w:tc>
            </w:tr>
            <w:tr w:rsidR="001C19F7" w:rsidRPr="00867291" w:rsidTr="008B1CDA">
              <w:trPr>
                <w:trHeight w:val="562"/>
              </w:trPr>
              <w:tc>
                <w:tcPr>
                  <w:tcW w:w="525"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OOJ</w:t>
                  </w:r>
                </w:p>
              </w:tc>
              <w:tc>
                <w:tcPr>
                  <w:tcW w:w="1063"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+49%</w:t>
                  </w:r>
                </w:p>
                <w:p w:rsidR="001C19F7" w:rsidRPr="00867291" w:rsidRDefault="001C19F7" w:rsidP="008B1CDA">
                  <w:pPr>
                    <w:jc w:val="center"/>
                    <w:rPr>
                      <w:color w:val="000000" w:themeColor="text1"/>
                      <w:sz w:val="16"/>
                      <w:szCs w:val="16"/>
                    </w:rPr>
                  </w:pPr>
                  <w:r w:rsidRPr="00867291">
                    <w:rPr>
                      <w:color w:val="000000" w:themeColor="text1"/>
                      <w:sz w:val="16"/>
                    </w:rPr>
                    <w:t>(462)</w:t>
                  </w:r>
                </w:p>
              </w:tc>
              <w:tc>
                <w:tcPr>
                  <w:tcW w:w="748"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+27%</w:t>
                  </w:r>
                </w:p>
                <w:p w:rsidR="001C19F7" w:rsidRPr="00867291" w:rsidRDefault="001C19F7" w:rsidP="008B1CDA">
                  <w:pPr>
                    <w:jc w:val="center"/>
                    <w:rPr>
                      <w:color w:val="000000" w:themeColor="text1"/>
                      <w:sz w:val="16"/>
                      <w:szCs w:val="16"/>
                    </w:rPr>
                  </w:pPr>
                  <w:r w:rsidRPr="00867291">
                    <w:rPr>
                      <w:color w:val="000000" w:themeColor="text1"/>
                      <w:sz w:val="16"/>
                    </w:rPr>
                    <w:t>(588)</w:t>
                  </w:r>
                </w:p>
              </w:tc>
            </w:tr>
            <w:tr w:rsidR="001C19F7" w:rsidRPr="00867291" w:rsidTr="008B1CDA">
              <w:trPr>
                <w:trHeight w:val="494"/>
              </w:trPr>
              <w:tc>
                <w:tcPr>
                  <w:tcW w:w="525"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OOS</w:t>
                  </w:r>
                </w:p>
              </w:tc>
              <w:tc>
                <w:tcPr>
                  <w:tcW w:w="1063"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+13%</w:t>
                  </w:r>
                </w:p>
                <w:p w:rsidR="001C19F7" w:rsidRPr="00867291" w:rsidRDefault="001C19F7" w:rsidP="008B1CDA">
                  <w:pPr>
                    <w:jc w:val="center"/>
                    <w:rPr>
                      <w:color w:val="000000" w:themeColor="text1"/>
                      <w:sz w:val="16"/>
                      <w:szCs w:val="16"/>
                    </w:rPr>
                  </w:pPr>
                  <w:r w:rsidRPr="00867291">
                    <w:rPr>
                      <w:color w:val="000000" w:themeColor="text1"/>
                      <w:sz w:val="16"/>
                    </w:rPr>
                    <w:t>(54)</w:t>
                  </w:r>
                  <w:r w:rsidRPr="00867291">
                    <w:rPr>
                      <w:rStyle w:val="FootnoteReference"/>
                      <w:color w:val="000000" w:themeColor="text1"/>
                    </w:rPr>
                    <w:footnoteReference w:id="114"/>
                  </w:r>
                </w:p>
                <w:p w:rsidR="001C19F7" w:rsidRPr="00867291" w:rsidRDefault="001C19F7" w:rsidP="008B1CDA">
                  <w:pPr>
                    <w:jc w:val="center"/>
                    <w:rPr>
                      <w:color w:val="000000" w:themeColor="text1"/>
                      <w:sz w:val="8"/>
                      <w:szCs w:val="8"/>
                    </w:rPr>
                  </w:pPr>
                </w:p>
              </w:tc>
              <w:tc>
                <w:tcPr>
                  <w:tcW w:w="748" w:type="dxa"/>
                  <w:tcMar>
                    <w:left w:w="29" w:type="dxa"/>
                    <w:bottom w:w="29" w:type="dxa"/>
                    <w:right w:w="29" w:type="dxa"/>
                  </w:tcMar>
                </w:tcPr>
                <w:p w:rsidR="001C19F7" w:rsidRPr="00867291" w:rsidRDefault="001C19F7" w:rsidP="008B1CDA">
                  <w:pPr>
                    <w:jc w:val="center"/>
                    <w:rPr>
                      <w:color w:val="000000" w:themeColor="text1"/>
                      <w:sz w:val="16"/>
                      <w:szCs w:val="16"/>
                    </w:rPr>
                  </w:pPr>
                  <w:r w:rsidRPr="00867291">
                    <w:rPr>
                      <w:color w:val="000000" w:themeColor="text1"/>
                      <w:sz w:val="16"/>
                    </w:rPr>
                    <w:t>+52%</w:t>
                  </w:r>
                </w:p>
                <w:p w:rsidR="001C19F7" w:rsidRPr="00867291" w:rsidRDefault="001C19F7" w:rsidP="008B1CDA">
                  <w:pPr>
                    <w:jc w:val="center"/>
                    <w:rPr>
                      <w:color w:val="000000" w:themeColor="text1"/>
                      <w:sz w:val="16"/>
                      <w:szCs w:val="16"/>
                    </w:rPr>
                  </w:pPr>
                  <w:r w:rsidRPr="00867291">
                    <w:rPr>
                      <w:color w:val="000000" w:themeColor="text1"/>
                      <w:sz w:val="16"/>
                    </w:rPr>
                    <w:t>(82)</w:t>
                  </w:r>
                </w:p>
              </w:tc>
            </w:tr>
          </w:tbl>
          <w:p w:rsidR="001C19F7" w:rsidRPr="00867291" w:rsidRDefault="001C19F7" w:rsidP="008B1CDA">
            <w:pPr>
              <w:rPr>
                <w:color w:val="000000" w:themeColor="text1"/>
                <w:sz w:val="16"/>
                <w:szCs w:val="16"/>
              </w:rPr>
            </w:pPr>
          </w:p>
        </w:tc>
        <w:tc>
          <w:tcPr>
            <w:tcW w:w="696" w:type="pct"/>
            <w:gridSpan w:val="5"/>
            <w:tcBorders>
              <w:top w:val="nil"/>
              <w:left w:val="nil"/>
              <w:bottom w:val="single" w:sz="4" w:space="0" w:color="auto"/>
              <w:right w:val="single" w:sz="4" w:space="0" w:color="auto"/>
            </w:tcBorders>
            <w:shd w:val="clear" w:color="auto" w:fill="auto"/>
            <w:tcMar>
              <w:top w:w="110" w:type="dxa"/>
            </w:tcMar>
          </w:tcPr>
          <w:p w:rsidR="001C19F7" w:rsidRPr="00916619" w:rsidRDefault="001C19F7" w:rsidP="008B1CDA">
            <w:pPr>
              <w:keepNext/>
              <w:keepLines/>
              <w:ind w:left="-78" w:right="20" w:firstLine="46"/>
              <w:jc w:val="center"/>
              <w:rPr>
                <w:b/>
                <w:bCs/>
                <w:color w:val="808080"/>
                <w:sz w:val="14"/>
                <w:szCs w:val="14"/>
                <w:lang w:val="en-US"/>
              </w:rPr>
            </w:pPr>
          </w:p>
          <w:p w:rsidR="001C19F7" w:rsidRPr="00916619" w:rsidRDefault="001C19F7" w:rsidP="008B1CDA">
            <w:pPr>
              <w:keepNext/>
              <w:keepLines/>
              <w:ind w:left="-78" w:right="20" w:firstLine="46"/>
              <w:jc w:val="center"/>
              <w:rPr>
                <w:b/>
                <w:bCs/>
                <w:color w:val="808080"/>
                <w:sz w:val="14"/>
                <w:szCs w:val="14"/>
                <w:lang w:val="en-US"/>
              </w:rPr>
            </w:pPr>
            <w:r w:rsidRPr="00916619">
              <w:rPr>
                <w:b/>
                <w:bCs/>
                <w:color w:val="808080"/>
                <w:sz w:val="14"/>
                <w:szCs w:val="14"/>
                <w:lang w:val="en-US"/>
              </w:rPr>
              <w:t>No</w:t>
            </w:r>
          </w:p>
          <w:p w:rsidR="001C19F7" w:rsidRPr="00916619" w:rsidRDefault="001C19F7" w:rsidP="008B1CDA">
            <w:pPr>
              <w:keepNext/>
              <w:keepLines/>
              <w:ind w:left="-78" w:right="20" w:firstLine="46"/>
              <w:jc w:val="center"/>
              <w:rPr>
                <w:b/>
                <w:bCs/>
                <w:color w:val="808080"/>
                <w:sz w:val="14"/>
                <w:szCs w:val="14"/>
                <w:lang w:val="en-US"/>
              </w:rPr>
            </w:pPr>
            <w:r w:rsidRPr="00916619">
              <w:rPr>
                <w:b/>
                <w:bCs/>
                <w:color w:val="808080"/>
                <w:sz w:val="14"/>
                <w:szCs w:val="14"/>
                <w:lang w:val="en-US"/>
              </w:rPr>
              <w:t>mensurable</w:t>
            </w:r>
          </w:p>
          <w:p w:rsidR="001C19F7" w:rsidRPr="00916619" w:rsidRDefault="001C19F7" w:rsidP="008B1CDA">
            <w:pPr>
              <w:keepNext/>
              <w:keepLines/>
              <w:ind w:left="-78" w:right="20" w:firstLine="46"/>
              <w:jc w:val="center"/>
              <w:rPr>
                <w:b/>
                <w:bCs/>
                <w:color w:val="808080"/>
                <w:sz w:val="14"/>
                <w:szCs w:val="14"/>
                <w:lang w:val="en-US"/>
              </w:rPr>
            </w:pPr>
          </w:p>
          <w:p w:rsidR="001C19F7" w:rsidRPr="00916619" w:rsidRDefault="001C19F7" w:rsidP="008B1CDA">
            <w:pPr>
              <w:keepNext/>
              <w:keepLines/>
              <w:ind w:left="-78" w:right="20" w:firstLine="46"/>
              <w:jc w:val="center"/>
              <w:rPr>
                <w:b/>
                <w:bCs/>
                <w:color w:val="808080"/>
                <w:sz w:val="14"/>
                <w:szCs w:val="14"/>
                <w:lang w:val="en-US"/>
              </w:rPr>
            </w:pPr>
            <w:r w:rsidRPr="00916619">
              <w:rPr>
                <w:b/>
                <w:bCs/>
                <w:color w:val="808080"/>
                <w:sz w:val="14"/>
                <w:szCs w:val="14"/>
                <w:lang w:val="en-US"/>
              </w:rPr>
              <w:t>No mensurable</w:t>
            </w:r>
          </w:p>
          <w:p w:rsidR="001C19F7" w:rsidRPr="00916619" w:rsidRDefault="001C19F7" w:rsidP="008B1CDA">
            <w:pPr>
              <w:keepNext/>
              <w:keepLines/>
              <w:ind w:right="20" w:hanging="71"/>
              <w:jc w:val="center"/>
              <w:rPr>
                <w:b/>
                <w:bCs/>
                <w:color w:val="808080"/>
                <w:sz w:val="14"/>
                <w:szCs w:val="14"/>
                <w:lang w:val="en-US"/>
              </w:rPr>
            </w:pP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II.8 Las controversias nacionales e internacionales en materia de P.I. se evitan o resuelven cada vez con más frecuencia mediante procedimientos de mediación, arbitraje y demás métodos de solución extrajudicial de controversias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keepNext/>
              <w:keepLines/>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456" w:type="pct"/>
            <w:gridSpan w:val="2"/>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696" w:type="pct"/>
            <w:gridSpan w:val="5"/>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Cada vez más se considera la posibilidad de utilizar servicios extrajudiciales de solución de controversias en las transacciones sobre P.I., entre otras cosas, valiéndose de los procedimientos de la OMPI</w:t>
            </w:r>
          </w:p>
        </w:tc>
        <w:tc>
          <w:tcPr>
            <w:tcW w:w="902" w:type="pct"/>
            <w:gridSpan w:val="2"/>
            <w:tcBorders>
              <w:top w:val="nil"/>
              <w:left w:val="nil"/>
              <w:bottom w:val="single" w:sz="4" w:space="0" w:color="auto"/>
              <w:right w:val="nil"/>
            </w:tcBorders>
            <w:shd w:val="clear" w:color="auto" w:fill="auto"/>
          </w:tcPr>
          <w:p w:rsidR="001C19F7" w:rsidRPr="00867291" w:rsidDel="00862781" w:rsidRDefault="001C19F7" w:rsidP="008B1CDA">
            <w:pPr>
              <w:rPr>
                <w:i/>
                <w:color w:val="000000" w:themeColor="text1"/>
                <w:sz w:val="16"/>
                <w:szCs w:val="16"/>
              </w:rPr>
            </w:pPr>
            <w:r w:rsidRPr="00867291">
              <w:rPr>
                <w:color w:val="000000" w:themeColor="text1"/>
                <w:sz w:val="16"/>
              </w:rPr>
              <w:t>N.d. (OOB)</w:t>
            </w: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Se tramitarán mediante WIPO MAC (OOB) 30 controversias presentadas por usuarios brasileños en el INPI y 4 presentadas por no residentes en la OOB</w:t>
            </w:r>
          </w:p>
          <w:p w:rsidR="001C19F7" w:rsidRPr="00867291" w:rsidRDefault="001C19F7" w:rsidP="008B1CDA">
            <w:pPr>
              <w:rPr>
                <w:color w:val="000000" w:themeColor="text1"/>
                <w:sz w:val="16"/>
                <w:szCs w:val="16"/>
              </w:rPr>
            </w:pPr>
          </w:p>
        </w:tc>
        <w:tc>
          <w:tcPr>
            <w:tcW w:w="1456" w:type="pct"/>
            <w:gridSpan w:val="2"/>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Debido a cambios en el INPI en 2014, quedó suspendido el proyecto de utilizar servicios de solución extrajudicial de controversias relativas a transacciones de P.I. (OOB)</w:t>
            </w:r>
          </w:p>
          <w:p w:rsidR="001C19F7" w:rsidRPr="00867291" w:rsidDel="00844714" w:rsidRDefault="001C19F7" w:rsidP="008B1CDA">
            <w:pPr>
              <w:rPr>
                <w:color w:val="000000" w:themeColor="text1"/>
                <w:sz w:val="16"/>
                <w:szCs w:val="16"/>
              </w:rPr>
            </w:pPr>
          </w:p>
        </w:tc>
        <w:tc>
          <w:tcPr>
            <w:tcW w:w="696" w:type="pct"/>
            <w:gridSpan w:val="5"/>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left="-27" w:right="20"/>
              <w:jc w:val="center"/>
              <w:rPr>
                <w:b/>
                <w:bCs/>
                <w:color w:val="000000" w:themeColor="text1"/>
                <w:sz w:val="16"/>
                <w:szCs w:val="16"/>
              </w:rPr>
            </w:pPr>
            <w:r w:rsidRPr="00916619">
              <w:rPr>
                <w:b/>
                <w:color w:val="FF0000"/>
                <w:sz w:val="16"/>
                <w:szCs w:val="16"/>
                <w:lang w:val="en-US"/>
              </w:rPr>
              <w:t>No</w:t>
            </w:r>
            <w:r w:rsidRPr="00867291">
              <w:rPr>
                <w:b/>
                <w:color w:val="000000" w:themeColor="text1"/>
                <w:sz w:val="16"/>
              </w:rPr>
              <w:t xml:space="preserve"> </w:t>
            </w:r>
            <w:r w:rsidRPr="00916619">
              <w:rPr>
                <w:b/>
                <w:color w:val="FF0000"/>
                <w:sz w:val="16"/>
                <w:szCs w:val="16"/>
                <w:lang w:val="en-US"/>
              </w:rPr>
              <w:t>logrado</w:t>
            </w:r>
          </w:p>
        </w:tc>
      </w:tr>
      <w:tr w:rsidR="001C19F7" w:rsidRPr="00867291" w:rsidTr="008B1CDA">
        <w:trPr>
          <w:trHeight w:val="610"/>
        </w:trPr>
        <w:tc>
          <w:tcPr>
            <w:tcW w:w="5000" w:type="pct"/>
            <w:gridSpan w:val="15"/>
            <w:tcBorders>
              <w:top w:val="single" w:sz="4" w:space="0" w:color="auto"/>
              <w:bottom w:val="single" w:sz="2" w:space="0" w:color="auto"/>
            </w:tcBorders>
            <w:shd w:val="clear" w:color="auto" w:fill="C6D9F1" w:themeFill="text2" w:themeFillTint="33"/>
          </w:tcPr>
          <w:p w:rsidR="001C19F7" w:rsidRPr="00867291" w:rsidRDefault="001C19F7" w:rsidP="008B1CDA">
            <w:pPr>
              <w:keepNext/>
              <w:spacing w:before="120" w:after="120"/>
              <w:ind w:left="1985" w:hanging="1985"/>
              <w:rPr>
                <w:b/>
                <w:bCs/>
                <w:color w:val="000000" w:themeColor="text1"/>
                <w:sz w:val="16"/>
                <w:szCs w:val="16"/>
              </w:rPr>
            </w:pPr>
            <w:r w:rsidRPr="00867291">
              <w:rPr>
                <w:b/>
                <w:color w:val="000000" w:themeColor="text1"/>
                <w:sz w:val="16"/>
              </w:rPr>
              <w:lastRenderedPageBreak/>
              <w:t>Resultado previsto:</w:t>
            </w:r>
            <w:r w:rsidRPr="00867291">
              <w:rPr>
                <w:color w:val="000000" w:themeColor="text1"/>
              </w:rPr>
              <w:tab/>
            </w:r>
            <w:r w:rsidRPr="00867291">
              <w:rPr>
                <w:color w:val="000000" w:themeColor="text1"/>
                <w:sz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1C19F7" w:rsidRPr="00867291" w:rsidTr="008B1CDA">
        <w:tc>
          <w:tcPr>
            <w:tcW w:w="1103" w:type="pct"/>
            <w:tcBorders>
              <w:top w:val="single" w:sz="2" w:space="0" w:color="auto"/>
              <w:left w:val="single" w:sz="2" w:space="0" w:color="auto"/>
              <w:bottom w:val="nil"/>
              <w:right w:val="nil"/>
            </w:tcBorders>
            <w:shd w:val="clear" w:color="auto" w:fill="auto"/>
          </w:tcPr>
          <w:p w:rsidR="001C19F7" w:rsidRPr="00867291" w:rsidRDefault="001C19F7" w:rsidP="008B1CDA">
            <w:pPr>
              <w:keepNext/>
              <w:rPr>
                <w:color w:val="000000" w:themeColor="text1"/>
                <w:sz w:val="16"/>
                <w:szCs w:val="16"/>
              </w:rPr>
            </w:pPr>
            <w:r w:rsidRPr="00867291">
              <w:rPr>
                <w:b/>
                <w:color w:val="000000" w:themeColor="text1"/>
                <w:sz w:val="16"/>
              </w:rPr>
              <w:t>Indicadores de rendimiento</w:t>
            </w:r>
          </w:p>
        </w:tc>
        <w:tc>
          <w:tcPr>
            <w:tcW w:w="902" w:type="pct"/>
            <w:gridSpan w:val="2"/>
            <w:tcBorders>
              <w:top w:val="single" w:sz="2" w:space="0" w:color="auto"/>
              <w:left w:val="nil"/>
              <w:bottom w:val="nil"/>
              <w:right w:val="nil"/>
            </w:tcBorders>
            <w:shd w:val="clear" w:color="auto" w:fill="auto"/>
          </w:tcPr>
          <w:p w:rsidR="001C19F7" w:rsidRPr="00867291" w:rsidRDefault="001C19F7" w:rsidP="008B1CDA">
            <w:pPr>
              <w:keepNext/>
              <w:rPr>
                <w:i/>
                <w:color w:val="000000" w:themeColor="text1"/>
                <w:sz w:val="16"/>
                <w:szCs w:val="16"/>
              </w:rPr>
            </w:pPr>
            <w:r w:rsidRPr="00867291">
              <w:rPr>
                <w:b/>
                <w:color w:val="000000" w:themeColor="text1"/>
                <w:sz w:val="16"/>
              </w:rPr>
              <w:t>Referencia</w:t>
            </w:r>
          </w:p>
        </w:tc>
        <w:tc>
          <w:tcPr>
            <w:tcW w:w="843" w:type="pct"/>
            <w:gridSpan w:val="5"/>
            <w:tcBorders>
              <w:top w:val="single" w:sz="2" w:space="0" w:color="auto"/>
              <w:left w:val="nil"/>
              <w:bottom w:val="nil"/>
              <w:right w:val="nil"/>
            </w:tcBorders>
            <w:shd w:val="clear" w:color="auto" w:fill="auto"/>
            <w:tcMar>
              <w:top w:w="110" w:type="dxa"/>
            </w:tcMar>
          </w:tcPr>
          <w:p w:rsidR="001C19F7" w:rsidRPr="00867291" w:rsidRDefault="001C19F7" w:rsidP="008B1CDA">
            <w:pPr>
              <w:keepNext/>
              <w:rPr>
                <w:color w:val="000000" w:themeColor="text1"/>
                <w:sz w:val="16"/>
                <w:szCs w:val="16"/>
              </w:rPr>
            </w:pPr>
            <w:r w:rsidRPr="00867291">
              <w:rPr>
                <w:b/>
                <w:color w:val="000000" w:themeColor="text1"/>
                <w:sz w:val="16"/>
              </w:rPr>
              <w:t>Objetivos</w:t>
            </w:r>
          </w:p>
        </w:tc>
        <w:tc>
          <w:tcPr>
            <w:tcW w:w="1456" w:type="pct"/>
            <w:gridSpan w:val="2"/>
            <w:tcBorders>
              <w:top w:val="single" w:sz="2" w:space="0" w:color="auto"/>
              <w:left w:val="nil"/>
              <w:bottom w:val="nil"/>
              <w:right w:val="nil"/>
            </w:tcBorders>
            <w:shd w:val="clear" w:color="auto" w:fill="FFFFFF"/>
            <w:tcMar>
              <w:top w:w="110" w:type="dxa"/>
            </w:tcMar>
          </w:tcPr>
          <w:p w:rsidR="001C19F7" w:rsidRPr="00867291" w:rsidRDefault="001C19F7" w:rsidP="008B1CDA">
            <w:pPr>
              <w:keepNext/>
              <w:rPr>
                <w:color w:val="000000" w:themeColor="text1"/>
                <w:sz w:val="16"/>
                <w:szCs w:val="16"/>
              </w:rPr>
            </w:pPr>
            <w:r w:rsidRPr="00867291">
              <w:rPr>
                <w:b/>
                <w:color w:val="000000" w:themeColor="text1"/>
                <w:sz w:val="16"/>
              </w:rPr>
              <w:t>Datos sobre el rendimiento</w:t>
            </w:r>
          </w:p>
        </w:tc>
        <w:tc>
          <w:tcPr>
            <w:tcW w:w="696" w:type="pct"/>
            <w:gridSpan w:val="5"/>
            <w:tcBorders>
              <w:top w:val="single" w:sz="2" w:space="0" w:color="auto"/>
              <w:left w:val="nil"/>
              <w:bottom w:val="nil"/>
              <w:right w:val="single" w:sz="2"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03" w:type="pct"/>
            <w:tcBorders>
              <w:top w:val="nil"/>
              <w:left w:val="single" w:sz="2" w:space="0" w:color="auto"/>
              <w:bottom w:val="single" w:sz="2" w:space="0" w:color="auto"/>
              <w:right w:val="nil"/>
            </w:tcBorders>
            <w:shd w:val="clear" w:color="auto" w:fill="auto"/>
          </w:tcPr>
          <w:p w:rsidR="001C19F7" w:rsidRPr="00867291" w:rsidRDefault="001C19F7" w:rsidP="008B1CDA">
            <w:pPr>
              <w:keepNext/>
              <w:rPr>
                <w:color w:val="000000" w:themeColor="text1"/>
                <w:sz w:val="16"/>
                <w:szCs w:val="16"/>
              </w:rPr>
            </w:pPr>
            <w:r w:rsidRPr="00867291">
              <w:rPr>
                <w:color w:val="000000" w:themeColor="text1"/>
                <w:sz w:val="16"/>
              </w:rPr>
              <w:t>Porcentaje de encargados de la adopción de políticas, funcionarios gubernamentales, profesionales de la P.I. y participantes en talleres con un mayor conocimiento de los organismos de gestión colectiva y la manera de usar eficazmente la P.I. al servicio del desarrollo</w:t>
            </w:r>
          </w:p>
        </w:tc>
        <w:tc>
          <w:tcPr>
            <w:tcW w:w="902" w:type="pct"/>
            <w:gridSpan w:val="2"/>
            <w:tcBorders>
              <w:top w:val="nil"/>
              <w:left w:val="nil"/>
              <w:bottom w:val="single" w:sz="2" w:space="0" w:color="auto"/>
              <w:right w:val="nil"/>
            </w:tcBorders>
            <w:shd w:val="clear" w:color="auto" w:fill="auto"/>
          </w:tcPr>
          <w:p w:rsidR="001C19F7" w:rsidRPr="00867291" w:rsidRDefault="001C19F7" w:rsidP="008B1CDA">
            <w:pPr>
              <w:keepNext/>
              <w:rPr>
                <w:color w:val="000000" w:themeColor="text1"/>
                <w:sz w:val="16"/>
                <w:szCs w:val="16"/>
              </w:rPr>
            </w:pPr>
            <w:r w:rsidRPr="00867291">
              <w:rPr>
                <w:color w:val="000000" w:themeColor="text1"/>
                <w:sz w:val="16"/>
              </w:rPr>
              <w:t>N.d. (OOB)</w:t>
            </w:r>
          </w:p>
          <w:p w:rsidR="001C19F7" w:rsidRPr="00867291" w:rsidRDefault="001C19F7" w:rsidP="008B1CDA">
            <w:pPr>
              <w:keepNext/>
              <w:rPr>
                <w:color w:val="000000" w:themeColor="text1"/>
                <w:sz w:val="16"/>
                <w:szCs w:val="16"/>
              </w:rPr>
            </w:pPr>
            <w:r w:rsidRPr="00867291">
              <w:rPr>
                <w:color w:val="000000" w:themeColor="text1"/>
                <w:sz w:val="16"/>
              </w:rPr>
              <w:t>N.d. (OOJ)</w:t>
            </w:r>
          </w:p>
          <w:p w:rsidR="001C19F7" w:rsidRPr="00867291" w:rsidRDefault="001C19F7" w:rsidP="008B1CDA">
            <w:pPr>
              <w:keepNext/>
              <w:rPr>
                <w:color w:val="000000" w:themeColor="text1"/>
                <w:sz w:val="16"/>
                <w:szCs w:val="16"/>
              </w:rPr>
            </w:pPr>
            <w:r w:rsidRPr="00867291">
              <w:rPr>
                <w:color w:val="000000" w:themeColor="text1"/>
                <w:sz w:val="16"/>
              </w:rPr>
              <w:t>60% (OOS)</w:t>
            </w:r>
          </w:p>
          <w:p w:rsidR="001C19F7" w:rsidRPr="00867291" w:rsidRDefault="001C19F7" w:rsidP="008B1CDA">
            <w:pPr>
              <w:keepNext/>
              <w:rPr>
                <w:i/>
                <w:color w:val="000000" w:themeColor="text1"/>
                <w:sz w:val="16"/>
                <w:szCs w:val="16"/>
              </w:rPr>
            </w:pPr>
          </w:p>
        </w:tc>
        <w:tc>
          <w:tcPr>
            <w:tcW w:w="843" w:type="pct"/>
            <w:gridSpan w:val="5"/>
            <w:tcBorders>
              <w:top w:val="nil"/>
              <w:left w:val="nil"/>
              <w:bottom w:val="single" w:sz="2" w:space="0" w:color="auto"/>
              <w:right w:val="nil"/>
            </w:tcBorders>
            <w:shd w:val="clear" w:color="auto" w:fill="auto"/>
            <w:tcMar>
              <w:top w:w="110" w:type="dxa"/>
            </w:tcMar>
          </w:tcPr>
          <w:p w:rsidR="001C19F7" w:rsidRPr="00867291" w:rsidRDefault="001C19F7" w:rsidP="008B1CDA">
            <w:pPr>
              <w:keepNext/>
              <w:rPr>
                <w:color w:val="000000" w:themeColor="text1"/>
                <w:sz w:val="16"/>
                <w:szCs w:val="16"/>
              </w:rPr>
            </w:pPr>
            <w:r w:rsidRPr="00867291">
              <w:rPr>
                <w:color w:val="000000" w:themeColor="text1"/>
                <w:sz w:val="16"/>
              </w:rPr>
              <w:t>75% (OOB)</w:t>
            </w:r>
          </w:p>
          <w:p w:rsidR="001C19F7" w:rsidRPr="00867291" w:rsidRDefault="001C19F7" w:rsidP="008B1CDA">
            <w:pPr>
              <w:keepNext/>
              <w:rPr>
                <w:color w:val="000000" w:themeColor="text1"/>
                <w:sz w:val="16"/>
                <w:szCs w:val="16"/>
              </w:rPr>
            </w:pPr>
            <w:r w:rsidRPr="00867291">
              <w:rPr>
                <w:color w:val="000000" w:themeColor="text1"/>
                <w:sz w:val="16"/>
              </w:rPr>
              <w:t>75% (OOJ)</w:t>
            </w:r>
          </w:p>
          <w:p w:rsidR="001C19F7" w:rsidRPr="00867291" w:rsidRDefault="001C19F7" w:rsidP="008B1CDA">
            <w:pPr>
              <w:keepNext/>
              <w:rPr>
                <w:color w:val="000000" w:themeColor="text1"/>
                <w:sz w:val="16"/>
                <w:szCs w:val="16"/>
              </w:rPr>
            </w:pPr>
            <w:r w:rsidRPr="00867291">
              <w:rPr>
                <w:color w:val="000000" w:themeColor="text1"/>
                <w:sz w:val="16"/>
              </w:rPr>
              <w:t>&gt; 70% (OOS)</w:t>
            </w:r>
          </w:p>
          <w:p w:rsidR="001C19F7" w:rsidRPr="00867291" w:rsidRDefault="001C19F7" w:rsidP="008B1CDA">
            <w:pPr>
              <w:keepNext/>
              <w:rPr>
                <w:color w:val="000000" w:themeColor="text1"/>
                <w:sz w:val="16"/>
                <w:szCs w:val="16"/>
              </w:rPr>
            </w:pPr>
          </w:p>
        </w:tc>
        <w:tc>
          <w:tcPr>
            <w:tcW w:w="1456" w:type="pct"/>
            <w:gridSpan w:val="2"/>
            <w:tcBorders>
              <w:top w:val="nil"/>
              <w:left w:val="nil"/>
              <w:bottom w:val="single" w:sz="2" w:space="0" w:color="auto"/>
              <w:right w:val="nil"/>
            </w:tcBorders>
            <w:shd w:val="clear" w:color="auto" w:fill="FFFFFF"/>
            <w:tcMar>
              <w:top w:w="110" w:type="dxa"/>
            </w:tcMar>
          </w:tcPr>
          <w:p w:rsidR="001C19F7" w:rsidRPr="00867291" w:rsidRDefault="001C19F7" w:rsidP="008B1CDA">
            <w:pPr>
              <w:keepNext/>
              <w:rPr>
                <w:color w:val="000000" w:themeColor="text1"/>
                <w:sz w:val="16"/>
                <w:szCs w:val="16"/>
              </w:rPr>
            </w:pPr>
            <w:r w:rsidRPr="00867291">
              <w:rPr>
                <w:color w:val="000000" w:themeColor="text1"/>
                <w:sz w:val="16"/>
              </w:rPr>
              <w:t>75% (OOB)</w:t>
            </w:r>
          </w:p>
          <w:p w:rsidR="001C19F7" w:rsidRPr="00867291" w:rsidRDefault="001C19F7" w:rsidP="008B1CDA">
            <w:pPr>
              <w:keepNext/>
              <w:rPr>
                <w:color w:val="000000" w:themeColor="text1"/>
                <w:sz w:val="16"/>
                <w:szCs w:val="16"/>
              </w:rPr>
            </w:pPr>
          </w:p>
          <w:p w:rsidR="001C19F7" w:rsidRPr="00867291" w:rsidRDefault="001C19F7" w:rsidP="008B1CDA">
            <w:pPr>
              <w:keepNext/>
              <w:rPr>
                <w:color w:val="000000" w:themeColor="text1"/>
                <w:sz w:val="16"/>
                <w:szCs w:val="16"/>
              </w:rPr>
            </w:pPr>
            <w:r w:rsidRPr="00867291">
              <w:rPr>
                <w:color w:val="000000" w:themeColor="text1"/>
                <w:sz w:val="16"/>
              </w:rPr>
              <w:t>100% (OOJ)</w:t>
            </w:r>
          </w:p>
          <w:p w:rsidR="001C19F7" w:rsidRPr="00867291" w:rsidRDefault="001C19F7" w:rsidP="008B1CDA">
            <w:pPr>
              <w:keepNext/>
              <w:rPr>
                <w:color w:val="000000" w:themeColor="text1"/>
                <w:sz w:val="16"/>
                <w:szCs w:val="16"/>
              </w:rPr>
            </w:pPr>
          </w:p>
          <w:p w:rsidR="001C19F7" w:rsidRPr="00867291" w:rsidDel="00EA6FE2" w:rsidRDefault="001C19F7" w:rsidP="008B1CDA">
            <w:pPr>
              <w:keepNext/>
              <w:rPr>
                <w:color w:val="000000" w:themeColor="text1"/>
                <w:sz w:val="16"/>
                <w:szCs w:val="16"/>
              </w:rPr>
            </w:pPr>
            <w:r w:rsidRPr="00867291">
              <w:rPr>
                <w:color w:val="000000" w:themeColor="text1"/>
                <w:sz w:val="16"/>
              </w:rPr>
              <w:t>100% (OOS)</w:t>
            </w:r>
          </w:p>
        </w:tc>
        <w:tc>
          <w:tcPr>
            <w:tcW w:w="696" w:type="pct"/>
            <w:gridSpan w:val="5"/>
            <w:tcBorders>
              <w:top w:val="nil"/>
              <w:left w:val="nil"/>
              <w:bottom w:val="single" w:sz="2" w:space="0" w:color="auto"/>
              <w:right w:val="single" w:sz="2" w:space="0" w:color="auto"/>
            </w:tcBorders>
            <w:shd w:val="clear" w:color="auto" w:fill="auto"/>
            <w:tcMar>
              <w:top w:w="110" w:type="dxa"/>
            </w:tcMar>
          </w:tcPr>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867291" w:rsidRDefault="001C19F7" w:rsidP="008B1CDA">
            <w:pPr>
              <w:keepNext/>
              <w:keepLines/>
              <w:ind w:left="71" w:right="20"/>
              <w:jc w:val="center"/>
              <w:rPr>
                <w:b/>
                <w:bCs/>
                <w:color w:val="000000" w:themeColor="text1"/>
                <w:sz w:val="16"/>
                <w:szCs w:val="16"/>
              </w:rPr>
            </w:pPr>
          </w:p>
        </w:tc>
      </w:tr>
      <w:tr w:rsidR="001C19F7" w:rsidRPr="00867291" w:rsidTr="008B1CDA">
        <w:tc>
          <w:tcPr>
            <w:tcW w:w="5000" w:type="pct"/>
            <w:gridSpan w:val="15"/>
            <w:tcBorders>
              <w:top w:val="single" w:sz="2" w:space="0" w:color="auto"/>
              <w:bottom w:val="single" w:sz="4" w:space="0" w:color="auto"/>
            </w:tcBorders>
            <w:shd w:val="clear" w:color="auto" w:fill="C6D9F1" w:themeFill="text2" w:themeFillTint="33"/>
          </w:tcPr>
          <w:p w:rsidR="001C19F7" w:rsidRPr="00867291" w:rsidRDefault="001C19F7" w:rsidP="008B1CDA">
            <w:pPr>
              <w:keepNext/>
              <w:tabs>
                <w:tab w:val="left" w:pos="-4253"/>
              </w:tab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IV.2 Mejora del acceso y uso de información de P.I. por parte de instituciones de P.I. y el público para fomentar la innovación y la creatividad</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409" w:type="pct"/>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r w:rsidRPr="00867291">
              <w:rPr>
                <w:rStyle w:val="FootnoteReference"/>
                <w:b/>
                <w:color w:val="000000" w:themeColor="text1"/>
              </w:rPr>
              <w:footnoteReference w:id="115"/>
            </w:r>
          </w:p>
        </w:tc>
        <w:tc>
          <w:tcPr>
            <w:tcW w:w="743" w:type="pct"/>
            <w:gridSpan w:val="6"/>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rPr>
          <w:trHeight w:val="4192"/>
        </w:trPr>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usuarios de las bases de datos mundiales de la OMPI: PATENTSCOPE y Base Mundial de Datos sobre Marcas</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rPr>
                <w:i/>
                <w:color w:val="000000" w:themeColor="text1"/>
                <w:sz w:val="16"/>
                <w:szCs w:val="16"/>
              </w:rPr>
            </w:pPr>
            <w:r w:rsidRPr="00EF75DA">
              <w:rPr>
                <w:i/>
                <w:color w:val="002060"/>
                <w:sz w:val="16"/>
                <w:szCs w:val="16"/>
                <w:lang w:eastAsia="en-US"/>
              </w:rPr>
              <w:t>Referencia actualizada a fines de 2013:</w:t>
            </w:r>
            <w:r w:rsidRPr="00867291">
              <w:rPr>
                <w:rStyle w:val="FootnoteReference"/>
                <w:color w:val="000000" w:themeColor="text1"/>
              </w:rPr>
              <w:footnoteReference w:id="116"/>
            </w:r>
            <w:r w:rsidRPr="00867291">
              <w:rPr>
                <w:i/>
                <w:color w:val="000000" w:themeColor="text1"/>
                <w:sz w:val="16"/>
              </w:rPr>
              <w:t xml:space="preserve">  </w:t>
            </w:r>
          </w:p>
          <w:p w:rsidR="001C19F7" w:rsidRPr="00867291" w:rsidRDefault="001C19F7" w:rsidP="008B1CDA">
            <w:pPr>
              <w:rPr>
                <w:color w:val="000000" w:themeColor="text1"/>
                <w:sz w:val="16"/>
                <w:szCs w:val="16"/>
              </w:rPr>
            </w:pPr>
            <w:r w:rsidRPr="00867291">
              <w:rPr>
                <w:color w:val="000000" w:themeColor="text1"/>
                <w:sz w:val="16"/>
              </w:rPr>
              <w:t xml:space="preserve">PATENTSCOPE (Trim. 3 2013): </w:t>
            </w:r>
          </w:p>
          <w:p w:rsidR="001C19F7" w:rsidRPr="00867291" w:rsidRDefault="001C19F7" w:rsidP="001C19F7">
            <w:pPr>
              <w:pStyle w:val="ListParagraph"/>
              <w:numPr>
                <w:ilvl w:val="0"/>
                <w:numId w:val="91"/>
              </w:numPr>
              <w:ind w:left="279" w:hanging="270"/>
              <w:contextualSpacing/>
              <w:rPr>
                <w:rFonts w:eastAsia="SimSun" w:cs="Arial"/>
                <w:color w:val="000000" w:themeColor="text1"/>
                <w:sz w:val="16"/>
                <w:szCs w:val="16"/>
              </w:rPr>
            </w:pPr>
            <w:r w:rsidRPr="00867291">
              <w:rPr>
                <w:color w:val="000000" w:themeColor="text1"/>
                <w:sz w:val="16"/>
              </w:rPr>
              <w:t>3.839 (OOB)</w:t>
            </w:r>
          </w:p>
          <w:p w:rsidR="001C19F7" w:rsidRPr="00867291" w:rsidRDefault="001C19F7" w:rsidP="001C19F7">
            <w:pPr>
              <w:pStyle w:val="ListParagraph"/>
              <w:numPr>
                <w:ilvl w:val="0"/>
                <w:numId w:val="91"/>
              </w:numPr>
              <w:ind w:left="279" w:right="-39" w:hanging="270"/>
              <w:contextualSpacing/>
              <w:rPr>
                <w:rFonts w:eastAsia="SimSun" w:cs="Arial"/>
                <w:color w:val="000000" w:themeColor="text1"/>
                <w:sz w:val="16"/>
                <w:szCs w:val="16"/>
              </w:rPr>
            </w:pPr>
            <w:r w:rsidRPr="00867291">
              <w:rPr>
                <w:color w:val="000000" w:themeColor="text1"/>
                <w:sz w:val="16"/>
              </w:rPr>
              <w:t>14.906 (OOJ)</w:t>
            </w:r>
          </w:p>
          <w:p w:rsidR="001C19F7" w:rsidRPr="00867291" w:rsidRDefault="001C19F7" w:rsidP="001C19F7">
            <w:pPr>
              <w:pStyle w:val="ListParagraph"/>
              <w:numPr>
                <w:ilvl w:val="0"/>
                <w:numId w:val="91"/>
              </w:numPr>
              <w:spacing w:after="200"/>
              <w:ind w:left="279" w:hanging="270"/>
              <w:contextualSpacing/>
              <w:rPr>
                <w:rFonts w:eastAsia="SimSun" w:cs="Arial"/>
                <w:color w:val="000000" w:themeColor="text1"/>
                <w:sz w:val="16"/>
                <w:szCs w:val="16"/>
              </w:rPr>
            </w:pPr>
            <w:r w:rsidRPr="00867291">
              <w:rPr>
                <w:color w:val="000000" w:themeColor="text1"/>
                <w:sz w:val="16"/>
              </w:rPr>
              <w:t>6.772 (OOS)</w:t>
            </w:r>
          </w:p>
          <w:p w:rsidR="001C19F7" w:rsidRPr="00867291" w:rsidRDefault="001C19F7" w:rsidP="008B1CDA">
            <w:pPr>
              <w:rPr>
                <w:color w:val="000000" w:themeColor="text1"/>
                <w:sz w:val="16"/>
                <w:szCs w:val="16"/>
              </w:rPr>
            </w:pPr>
            <w:r w:rsidRPr="00867291">
              <w:rPr>
                <w:color w:val="000000" w:themeColor="text1"/>
                <w:sz w:val="16"/>
              </w:rPr>
              <w:t xml:space="preserve">PATENTSCOPE (Trim. 3 2012): </w:t>
            </w:r>
          </w:p>
          <w:p w:rsidR="001C19F7" w:rsidRPr="00867291" w:rsidRDefault="001C19F7" w:rsidP="001C19F7">
            <w:pPr>
              <w:pStyle w:val="ListParagraph"/>
              <w:numPr>
                <w:ilvl w:val="0"/>
                <w:numId w:val="91"/>
              </w:numPr>
              <w:ind w:left="279" w:hanging="270"/>
              <w:contextualSpacing/>
              <w:rPr>
                <w:rFonts w:eastAsia="SimSun" w:cs="Arial"/>
                <w:color w:val="000000" w:themeColor="text1"/>
                <w:sz w:val="16"/>
                <w:szCs w:val="16"/>
              </w:rPr>
            </w:pPr>
            <w:r w:rsidRPr="00867291">
              <w:rPr>
                <w:color w:val="000000" w:themeColor="text1"/>
                <w:sz w:val="16"/>
              </w:rPr>
              <w:t>3.891 (OOB)</w:t>
            </w:r>
          </w:p>
          <w:p w:rsidR="001C19F7" w:rsidRPr="00867291" w:rsidRDefault="001C19F7" w:rsidP="001C19F7">
            <w:pPr>
              <w:pStyle w:val="ListParagraph"/>
              <w:numPr>
                <w:ilvl w:val="0"/>
                <w:numId w:val="91"/>
              </w:numPr>
              <w:ind w:left="279" w:right="-39" w:hanging="270"/>
              <w:contextualSpacing/>
              <w:rPr>
                <w:rFonts w:eastAsia="SimSun" w:cs="Arial"/>
                <w:color w:val="000000" w:themeColor="text1"/>
                <w:sz w:val="16"/>
                <w:szCs w:val="16"/>
              </w:rPr>
            </w:pPr>
            <w:r w:rsidRPr="00867291">
              <w:rPr>
                <w:color w:val="000000" w:themeColor="text1"/>
                <w:sz w:val="16"/>
              </w:rPr>
              <w:t>15.114 (OOJ)</w:t>
            </w:r>
          </w:p>
          <w:p w:rsidR="001C19F7" w:rsidRPr="00867291" w:rsidRDefault="001C19F7" w:rsidP="001C19F7">
            <w:pPr>
              <w:pStyle w:val="ListParagraph"/>
              <w:numPr>
                <w:ilvl w:val="0"/>
                <w:numId w:val="91"/>
              </w:numPr>
              <w:spacing w:after="200"/>
              <w:ind w:left="279" w:hanging="270"/>
              <w:contextualSpacing/>
              <w:rPr>
                <w:rFonts w:eastAsia="SimSun" w:cs="Arial"/>
                <w:color w:val="000000" w:themeColor="text1"/>
                <w:sz w:val="16"/>
                <w:szCs w:val="16"/>
              </w:rPr>
            </w:pPr>
            <w:r w:rsidRPr="00867291">
              <w:rPr>
                <w:color w:val="000000" w:themeColor="text1"/>
                <w:sz w:val="16"/>
              </w:rPr>
              <w:t>6.595 (OOS)</w:t>
            </w:r>
          </w:p>
          <w:p w:rsidR="001C19F7" w:rsidRPr="00867291" w:rsidRDefault="001C19F7" w:rsidP="008B1CDA">
            <w:pPr>
              <w:pStyle w:val="ListParagraph"/>
              <w:spacing w:after="200"/>
              <w:ind w:left="279"/>
              <w:contextualSpacing/>
              <w:rPr>
                <w:rFonts w:eastAsia="SimSun" w:cs="Arial"/>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Base Mundial de Datos sobre Marcas (Trim. 2013):</w:t>
            </w:r>
          </w:p>
          <w:p w:rsidR="001C19F7" w:rsidRPr="00867291" w:rsidRDefault="001C19F7" w:rsidP="001C19F7">
            <w:pPr>
              <w:pStyle w:val="ListParagraph"/>
              <w:numPr>
                <w:ilvl w:val="0"/>
                <w:numId w:val="92"/>
              </w:numPr>
              <w:ind w:left="279" w:hanging="279"/>
              <w:contextualSpacing/>
              <w:rPr>
                <w:rFonts w:eastAsia="SimSun" w:cs="Arial"/>
                <w:color w:val="000000" w:themeColor="text1"/>
                <w:sz w:val="16"/>
                <w:szCs w:val="16"/>
              </w:rPr>
            </w:pPr>
            <w:r w:rsidRPr="00867291">
              <w:rPr>
                <w:color w:val="000000" w:themeColor="text1"/>
                <w:sz w:val="16"/>
              </w:rPr>
              <w:t>186 (OOB)</w:t>
            </w:r>
          </w:p>
          <w:p w:rsidR="001C19F7" w:rsidRPr="00867291" w:rsidRDefault="001C19F7" w:rsidP="001C19F7">
            <w:pPr>
              <w:pStyle w:val="ListParagraph"/>
              <w:numPr>
                <w:ilvl w:val="0"/>
                <w:numId w:val="92"/>
              </w:numPr>
              <w:ind w:left="279" w:hanging="279"/>
              <w:contextualSpacing/>
              <w:rPr>
                <w:rFonts w:eastAsia="SimSun" w:cs="Arial"/>
                <w:color w:val="000000" w:themeColor="text1"/>
                <w:sz w:val="16"/>
                <w:szCs w:val="16"/>
              </w:rPr>
            </w:pPr>
            <w:r w:rsidRPr="00867291">
              <w:rPr>
                <w:color w:val="000000" w:themeColor="text1"/>
                <w:sz w:val="16"/>
              </w:rPr>
              <w:t>543 (OOJ)</w:t>
            </w:r>
          </w:p>
          <w:p w:rsidR="001C19F7" w:rsidRPr="00867291" w:rsidRDefault="001C19F7" w:rsidP="001C19F7">
            <w:pPr>
              <w:pStyle w:val="ListParagraph"/>
              <w:numPr>
                <w:ilvl w:val="0"/>
                <w:numId w:val="92"/>
              </w:numPr>
              <w:ind w:left="279" w:right="-39" w:hanging="279"/>
              <w:contextualSpacing/>
              <w:rPr>
                <w:rFonts w:eastAsia="SimSun" w:cs="Arial"/>
                <w:color w:val="000000" w:themeColor="text1"/>
                <w:sz w:val="16"/>
                <w:szCs w:val="16"/>
              </w:rPr>
            </w:pPr>
            <w:r w:rsidRPr="00867291">
              <w:rPr>
                <w:color w:val="000000" w:themeColor="text1"/>
                <w:sz w:val="16"/>
              </w:rPr>
              <w:t>1.711 (OOS)</w:t>
            </w:r>
          </w:p>
          <w:p w:rsidR="001C19F7" w:rsidRPr="00867291" w:rsidRDefault="001C19F7" w:rsidP="008B1CDA">
            <w:pPr>
              <w:pStyle w:val="ListParagraph"/>
              <w:ind w:left="360"/>
              <w:rPr>
                <w:rFonts w:eastAsia="SimSun" w:cs="Arial"/>
                <w:color w:val="000000" w:themeColor="text1"/>
                <w:sz w:val="16"/>
                <w:szCs w:val="16"/>
                <w:highlight w:val="yellow"/>
              </w:rPr>
            </w:pPr>
          </w:p>
          <w:p w:rsidR="001C19F7" w:rsidRPr="00867291" w:rsidRDefault="001C19F7" w:rsidP="008B1CDA">
            <w:pPr>
              <w:rPr>
                <w:color w:val="000000" w:themeColor="text1"/>
                <w:sz w:val="16"/>
                <w:szCs w:val="16"/>
              </w:rPr>
            </w:pPr>
            <w:r w:rsidRPr="00867291">
              <w:rPr>
                <w:color w:val="000000" w:themeColor="text1"/>
                <w:sz w:val="16"/>
              </w:rPr>
              <w:t>(Trim. 3 2012):</w:t>
            </w:r>
          </w:p>
          <w:p w:rsidR="001C19F7" w:rsidRPr="00867291" w:rsidRDefault="001C19F7" w:rsidP="001C19F7">
            <w:pPr>
              <w:pStyle w:val="ListParagraph"/>
              <w:numPr>
                <w:ilvl w:val="0"/>
                <w:numId w:val="92"/>
              </w:numPr>
              <w:ind w:left="279" w:hanging="279"/>
              <w:contextualSpacing/>
              <w:rPr>
                <w:rFonts w:eastAsia="SimSun" w:cs="Arial"/>
                <w:color w:val="000000" w:themeColor="text1"/>
                <w:sz w:val="16"/>
                <w:szCs w:val="16"/>
              </w:rPr>
            </w:pPr>
            <w:r w:rsidRPr="00867291">
              <w:rPr>
                <w:color w:val="000000" w:themeColor="text1"/>
                <w:sz w:val="16"/>
              </w:rPr>
              <w:t>75 (OOB)</w:t>
            </w:r>
          </w:p>
          <w:p w:rsidR="001C19F7" w:rsidRPr="00867291" w:rsidRDefault="001C19F7" w:rsidP="001C19F7">
            <w:pPr>
              <w:pStyle w:val="ListParagraph"/>
              <w:numPr>
                <w:ilvl w:val="0"/>
                <w:numId w:val="92"/>
              </w:numPr>
              <w:ind w:left="279" w:hanging="279"/>
              <w:contextualSpacing/>
              <w:rPr>
                <w:rFonts w:eastAsia="SimSun" w:cs="Arial"/>
                <w:color w:val="000000" w:themeColor="text1"/>
                <w:sz w:val="16"/>
                <w:szCs w:val="16"/>
              </w:rPr>
            </w:pPr>
            <w:r w:rsidRPr="00867291">
              <w:rPr>
                <w:color w:val="000000" w:themeColor="text1"/>
                <w:sz w:val="16"/>
              </w:rPr>
              <w:t>275 (OOJ)</w:t>
            </w:r>
          </w:p>
          <w:p w:rsidR="001C19F7" w:rsidRPr="00867291" w:rsidRDefault="001C19F7" w:rsidP="001C19F7">
            <w:pPr>
              <w:pStyle w:val="ListParagraph"/>
              <w:numPr>
                <w:ilvl w:val="0"/>
                <w:numId w:val="92"/>
              </w:numPr>
              <w:ind w:left="279" w:right="-39" w:hanging="279"/>
              <w:contextualSpacing/>
              <w:rPr>
                <w:rFonts w:eastAsia="SimSun" w:cs="Arial"/>
                <w:color w:val="000000" w:themeColor="text1"/>
                <w:sz w:val="16"/>
                <w:szCs w:val="16"/>
              </w:rPr>
            </w:pPr>
            <w:r w:rsidRPr="00867291">
              <w:rPr>
                <w:color w:val="000000" w:themeColor="text1"/>
                <w:sz w:val="16"/>
              </w:rPr>
              <w:t>415 (OOS)</w:t>
            </w:r>
          </w:p>
          <w:p w:rsidR="001C19F7" w:rsidRPr="00867291" w:rsidRDefault="001C19F7" w:rsidP="008B1CDA">
            <w:pPr>
              <w:rPr>
                <w:color w:val="000000" w:themeColor="text1"/>
                <w:sz w:val="16"/>
                <w:szCs w:val="16"/>
                <w:highlight w:val="yellow"/>
              </w:rPr>
            </w:pPr>
          </w:p>
          <w:p w:rsidR="001C19F7" w:rsidRPr="00867291" w:rsidRDefault="001C19F7" w:rsidP="008B1CDA">
            <w:pPr>
              <w:rPr>
                <w:i/>
                <w:color w:val="000000" w:themeColor="text1"/>
                <w:sz w:val="16"/>
                <w:szCs w:val="16"/>
              </w:rPr>
            </w:pPr>
            <w:r w:rsidRPr="00867291">
              <w:rPr>
                <w:i/>
                <w:color w:val="000000" w:themeColor="text1"/>
                <w:sz w:val="16"/>
              </w:rPr>
              <w:t>Referencia original en el presupuesto de 2014/15:</w:t>
            </w:r>
          </w:p>
          <w:p w:rsidR="001C19F7" w:rsidRPr="00867291" w:rsidRDefault="001C19F7" w:rsidP="008B1CDA">
            <w:pPr>
              <w:rPr>
                <w:i/>
                <w:color w:val="000000" w:themeColor="text1"/>
                <w:sz w:val="16"/>
                <w:szCs w:val="16"/>
              </w:rPr>
            </w:pPr>
            <w:r w:rsidRPr="00867291">
              <w:rPr>
                <w:color w:val="000000" w:themeColor="text1"/>
                <w:sz w:val="16"/>
              </w:rPr>
              <w:t>Estadísticas a fines de 2013 (OOB)</w:t>
            </w:r>
            <w:r w:rsidRPr="00867291">
              <w:rPr>
                <w:i/>
                <w:color w:val="000000" w:themeColor="text1"/>
                <w:sz w:val="16"/>
              </w:rPr>
              <w:t xml:space="preserve"> </w:t>
            </w:r>
          </w:p>
          <w:p w:rsidR="001C19F7" w:rsidRPr="00867291" w:rsidRDefault="001C19F7" w:rsidP="008B1CDA">
            <w:pPr>
              <w:rPr>
                <w:color w:val="000000" w:themeColor="text1"/>
                <w:sz w:val="16"/>
                <w:szCs w:val="16"/>
              </w:rPr>
            </w:pPr>
            <w:r w:rsidRPr="00867291">
              <w:rPr>
                <w:color w:val="000000" w:themeColor="text1"/>
                <w:sz w:val="16"/>
              </w:rPr>
              <w:t>Estadísticas a fines de 2013 (OOJ)</w:t>
            </w:r>
          </w:p>
          <w:p w:rsidR="001C19F7" w:rsidRDefault="001C19F7" w:rsidP="008B1CDA">
            <w:pPr>
              <w:rPr>
                <w:color w:val="000000" w:themeColor="text1"/>
                <w:sz w:val="16"/>
              </w:rPr>
            </w:pPr>
            <w:r w:rsidRPr="00867291">
              <w:rPr>
                <w:color w:val="000000" w:themeColor="text1"/>
                <w:sz w:val="16"/>
              </w:rPr>
              <w:t>Por determinar (OOS)</w:t>
            </w:r>
          </w:p>
          <w:p w:rsidR="001C19F7" w:rsidRPr="00867291" w:rsidRDefault="001C19F7" w:rsidP="008B1CDA">
            <w:pPr>
              <w:rPr>
                <w:i/>
                <w:color w:val="000000" w:themeColor="text1"/>
                <w:sz w:val="16"/>
                <w:szCs w:val="16"/>
              </w:rPr>
            </w:pP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5%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5% (OOJ)</w:t>
            </w:r>
            <w:r w:rsidRPr="00867291">
              <w:rPr>
                <w:rStyle w:val="FootnoteReference"/>
                <w:color w:val="000000" w:themeColor="text1"/>
              </w:rPr>
              <w:footnoteReference w:id="117"/>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5% en los usuarios de la ASEAN (OOS)</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tc>
        <w:tc>
          <w:tcPr>
            <w:tcW w:w="1409" w:type="pct"/>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PATENTSCOPE:</w:t>
            </w:r>
          </w:p>
          <w:p w:rsidR="001C19F7" w:rsidRPr="00867291" w:rsidRDefault="001C19F7" w:rsidP="008B1CDA">
            <w:pPr>
              <w:rPr>
                <w:color w:val="000000" w:themeColor="text1"/>
                <w:sz w:val="16"/>
                <w:szCs w:val="16"/>
              </w:rPr>
            </w:pPr>
            <w:r w:rsidRPr="00867291">
              <w:rPr>
                <w:color w:val="000000" w:themeColor="text1"/>
                <w:sz w:val="16"/>
              </w:rPr>
              <w:t>2014/15: 8.533 (+10%)</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4.688 (+22%)</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2015:  3.845 (-18%)</w:t>
            </w:r>
          </w:p>
          <w:p w:rsidR="001C19F7" w:rsidRPr="00867291" w:rsidRDefault="001C19F7" w:rsidP="008B1CDA">
            <w:pPr>
              <w:rPr>
                <w:color w:val="000000" w:themeColor="text1"/>
                <w:sz w:val="16"/>
                <w:szCs w:val="16"/>
              </w:rPr>
            </w:pPr>
            <w:r w:rsidRPr="00867291">
              <w:rPr>
                <w:color w:val="000000" w:themeColor="text1"/>
                <w:sz w:val="16"/>
              </w:rPr>
              <w:t>(OOB)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 30.743 (+2%)</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14.711</w:t>
            </w:r>
            <w:r w:rsidRPr="00867291">
              <w:rPr>
                <w:rStyle w:val="FootnoteReference"/>
                <w:color w:val="000000" w:themeColor="text1"/>
              </w:rPr>
              <w:t xml:space="preserve"> </w:t>
            </w:r>
            <w:r w:rsidRPr="00867291">
              <w:rPr>
                <w:color w:val="000000" w:themeColor="text1"/>
                <w:sz w:val="16"/>
              </w:rPr>
              <w:t>(-1%)</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16.032 (+2%</w:t>
            </w:r>
            <w:r w:rsidRPr="00867291">
              <w:rPr>
                <w:rStyle w:val="FootnoteReference"/>
                <w:color w:val="000000" w:themeColor="text1"/>
              </w:rPr>
              <w:footnoteReference w:id="118"/>
            </w:r>
            <w:r w:rsidRPr="00867291">
              <w:rPr>
                <w:color w:val="000000" w:themeColor="text1"/>
                <w:sz w:val="16"/>
              </w:rPr>
              <w:t>)</w:t>
            </w:r>
          </w:p>
          <w:p w:rsidR="001C19F7" w:rsidRPr="00867291" w:rsidRDefault="001C19F7" w:rsidP="008B1CDA">
            <w:pPr>
              <w:rPr>
                <w:color w:val="000000" w:themeColor="text1"/>
                <w:sz w:val="16"/>
                <w:szCs w:val="16"/>
              </w:rPr>
            </w:pPr>
            <w:r w:rsidRPr="00867291">
              <w:rPr>
                <w:color w:val="000000" w:themeColor="text1"/>
                <w:sz w:val="16"/>
              </w:rPr>
              <w:t>(OOJ)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 15.525 (+16%)</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2014:  8.054 (+19%)</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7.471 (-7</w:t>
            </w:r>
            <w:proofErr w:type="gramStart"/>
            <w:r w:rsidRPr="00867291">
              <w:rPr>
                <w:color w:val="000000" w:themeColor="text1"/>
                <w:sz w:val="16"/>
              </w:rPr>
              <w:t>,2</w:t>
            </w:r>
            <w:proofErr w:type="gramEnd"/>
            <w:r w:rsidRPr="00867291">
              <w:rPr>
                <w:color w:val="000000" w:themeColor="text1"/>
                <w:sz w:val="16"/>
              </w:rPr>
              <w:t>%)</w:t>
            </w:r>
          </w:p>
          <w:p w:rsidR="001C19F7" w:rsidRPr="00867291" w:rsidRDefault="001C19F7" w:rsidP="008B1CDA">
            <w:pPr>
              <w:rPr>
                <w:color w:val="000000" w:themeColor="text1"/>
                <w:sz w:val="16"/>
                <w:szCs w:val="16"/>
              </w:rPr>
            </w:pPr>
            <w:r w:rsidRPr="00867291">
              <w:rPr>
                <w:color w:val="000000" w:themeColor="text1"/>
                <w:sz w:val="16"/>
              </w:rPr>
              <w:t>(OOS)</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Base de datos mundial:</w:t>
            </w:r>
          </w:p>
          <w:p w:rsidR="001C19F7" w:rsidRPr="00867291" w:rsidRDefault="001C19F7" w:rsidP="008B1CDA">
            <w:pPr>
              <w:rPr>
                <w:color w:val="000000" w:themeColor="text1"/>
                <w:sz w:val="16"/>
                <w:szCs w:val="16"/>
              </w:rPr>
            </w:pPr>
            <w:r w:rsidRPr="00867291">
              <w:rPr>
                <w:color w:val="000000" w:themeColor="text1"/>
                <w:sz w:val="16"/>
              </w:rPr>
              <w:t>2014/15: 8.533 (+302%)</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532 (+186%)</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2015:  516 (+164%)</w:t>
            </w:r>
          </w:p>
          <w:p w:rsidR="001C19F7" w:rsidRPr="00867291" w:rsidRDefault="001C19F7" w:rsidP="008B1CDA">
            <w:pPr>
              <w:rPr>
                <w:color w:val="000000" w:themeColor="text1"/>
                <w:sz w:val="16"/>
                <w:szCs w:val="16"/>
              </w:rPr>
            </w:pPr>
            <w:r w:rsidRPr="00867291">
              <w:rPr>
                <w:color w:val="000000" w:themeColor="text1"/>
                <w:sz w:val="16"/>
              </w:rPr>
              <w:t>(OOB)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 30.743 (+789%)</w:t>
            </w:r>
          </w:p>
          <w:p w:rsidR="001C19F7" w:rsidRPr="00867291" w:rsidRDefault="001C19F7" w:rsidP="001C19F7">
            <w:pPr>
              <w:pStyle w:val="ListParagraph"/>
              <w:numPr>
                <w:ilvl w:val="0"/>
                <w:numId w:val="95"/>
              </w:numPr>
              <w:ind w:left="347" w:hanging="347"/>
              <w:rPr>
                <w:rFonts w:eastAsia="SimSun" w:cs="Arial"/>
                <w:color w:val="000000" w:themeColor="text1"/>
                <w:sz w:val="16"/>
                <w:szCs w:val="16"/>
              </w:rPr>
            </w:pPr>
            <w:r w:rsidRPr="00867291">
              <w:rPr>
                <w:color w:val="000000" w:themeColor="text1"/>
                <w:sz w:val="16"/>
              </w:rPr>
              <w:t>2014:  3.096</w:t>
            </w:r>
            <w:r w:rsidRPr="00867291">
              <w:rPr>
                <w:rStyle w:val="FootnoteReference"/>
                <w:color w:val="000000" w:themeColor="text1"/>
              </w:rPr>
              <w:t xml:space="preserve"> </w:t>
            </w:r>
            <w:r w:rsidRPr="00867291">
              <w:rPr>
                <w:color w:val="000000" w:themeColor="text1"/>
                <w:sz w:val="16"/>
              </w:rPr>
              <w:t>(+470%)</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4.173 (+632%)</w:t>
            </w:r>
          </w:p>
          <w:p w:rsidR="001C19F7" w:rsidRPr="00867291" w:rsidRDefault="001C19F7" w:rsidP="008B1CDA">
            <w:pPr>
              <w:rPr>
                <w:color w:val="000000" w:themeColor="text1"/>
                <w:sz w:val="16"/>
                <w:szCs w:val="16"/>
              </w:rPr>
            </w:pPr>
            <w:r w:rsidRPr="00867291">
              <w:rPr>
                <w:color w:val="000000" w:themeColor="text1"/>
                <w:sz w:val="16"/>
              </w:rPr>
              <w:t>(OOJ)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2014/15: 15.525 (+1.153%)</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2014:  8.941 (+423%)</w:t>
            </w:r>
          </w:p>
          <w:p w:rsidR="001C19F7" w:rsidRPr="00867291" w:rsidRDefault="001C19F7" w:rsidP="001C19F7">
            <w:pPr>
              <w:pStyle w:val="ListParagraph"/>
              <w:numPr>
                <w:ilvl w:val="0"/>
                <w:numId w:val="95"/>
              </w:numPr>
              <w:ind w:left="347" w:right="-92" w:hanging="347"/>
              <w:rPr>
                <w:rFonts w:eastAsia="SimSun" w:cs="Arial"/>
                <w:color w:val="000000" w:themeColor="text1"/>
                <w:sz w:val="16"/>
                <w:szCs w:val="16"/>
              </w:rPr>
            </w:pPr>
            <w:r w:rsidRPr="00867291">
              <w:rPr>
                <w:color w:val="000000" w:themeColor="text1"/>
                <w:sz w:val="16"/>
              </w:rPr>
              <w:t>2015:  17.696 (+885%)</w:t>
            </w:r>
          </w:p>
          <w:p w:rsidR="001C19F7" w:rsidRPr="00867291" w:rsidRDefault="001C19F7" w:rsidP="008B1CDA">
            <w:pPr>
              <w:rPr>
                <w:color w:val="000000" w:themeColor="text1"/>
                <w:sz w:val="16"/>
                <w:szCs w:val="16"/>
              </w:rPr>
            </w:pPr>
            <w:r w:rsidRPr="00867291">
              <w:rPr>
                <w:color w:val="000000" w:themeColor="text1"/>
                <w:sz w:val="16"/>
              </w:rPr>
              <w:t>(OOS)</w:t>
            </w:r>
          </w:p>
        </w:tc>
        <w:tc>
          <w:tcPr>
            <w:tcW w:w="743" w:type="pct"/>
            <w:gridSpan w:val="6"/>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8"/>
                <w:szCs w:val="8"/>
              </w:rPr>
            </w:pPr>
          </w:p>
          <w:p w:rsidR="001C19F7" w:rsidRPr="00867291" w:rsidRDefault="001C19F7" w:rsidP="008B1CDA">
            <w:pPr>
              <w:keepNext/>
              <w:keepLines/>
              <w:ind w:right="20"/>
              <w:rPr>
                <w:b/>
                <w:bCs/>
                <w:color w:val="000000" w:themeColor="text1"/>
                <w:sz w:val="8"/>
                <w:szCs w:val="8"/>
              </w:rPr>
            </w:pPr>
          </w:p>
          <w:p w:rsidR="001C19F7" w:rsidRPr="00867291" w:rsidRDefault="00044DA1" w:rsidP="008B1CDA">
            <w:pPr>
              <w:keepNext/>
              <w:keepLines/>
              <w:ind w:right="20"/>
              <w:jc w:val="center"/>
              <w:rPr>
                <w:b/>
                <w:bCs/>
                <w:color w:val="000000" w:themeColor="text1"/>
                <w:sz w:val="16"/>
                <w:szCs w:val="16"/>
              </w:rPr>
            </w:pPr>
            <w:r>
              <w:rPr>
                <w:b/>
                <w:bCs/>
                <w:color w:val="00B050"/>
                <w:sz w:val="16"/>
                <w:szCs w:val="16"/>
                <w:lang w:val="en-US"/>
              </w:rPr>
              <w:t>Plenamente logrado</w:t>
            </w:r>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8"/>
                <w:szCs w:val="8"/>
              </w:rPr>
            </w:pPr>
          </w:p>
          <w:p w:rsidR="001C19F7" w:rsidRPr="00867291" w:rsidRDefault="001C19F7" w:rsidP="008B1CDA">
            <w:pPr>
              <w:keepNext/>
              <w:keepLines/>
              <w:ind w:right="20"/>
              <w:rPr>
                <w:b/>
                <w:bCs/>
                <w:color w:val="000000" w:themeColor="text1"/>
                <w:sz w:val="16"/>
                <w:szCs w:val="16"/>
              </w:rPr>
            </w:pPr>
          </w:p>
          <w:p w:rsidR="001C19F7" w:rsidRPr="00867291" w:rsidRDefault="001C19F7" w:rsidP="008B1CDA">
            <w:pPr>
              <w:keepNext/>
              <w:keepLines/>
              <w:ind w:right="20"/>
              <w:rPr>
                <w:b/>
                <w:bCs/>
                <w:color w:val="000000" w:themeColor="text1"/>
                <w:sz w:val="8"/>
                <w:szCs w:val="8"/>
              </w:rPr>
            </w:pPr>
          </w:p>
          <w:p w:rsidR="001C19F7" w:rsidRPr="00867291" w:rsidRDefault="001C19F7" w:rsidP="008B1CDA">
            <w:pPr>
              <w:keepNext/>
              <w:keepLines/>
              <w:ind w:left="71" w:right="20"/>
              <w:jc w:val="center"/>
              <w:rPr>
                <w:b/>
                <w:bCs/>
                <w:color w:val="000000" w:themeColor="text1"/>
                <w:sz w:val="16"/>
                <w:szCs w:val="16"/>
              </w:rPr>
            </w:pPr>
            <w:r w:rsidRPr="00475F12">
              <w:rPr>
                <w:b/>
                <w:color w:val="FF0000"/>
                <w:sz w:val="16"/>
                <w:szCs w:val="16"/>
                <w:lang w:val="en-US"/>
              </w:rPr>
              <w:t>No</w:t>
            </w:r>
            <w:r w:rsidRPr="00867291">
              <w:rPr>
                <w:b/>
                <w:color w:val="000000" w:themeColor="text1"/>
                <w:sz w:val="16"/>
              </w:rPr>
              <w:t xml:space="preserve"> </w:t>
            </w:r>
            <w:r w:rsidRPr="00475F12">
              <w:rPr>
                <w:b/>
                <w:color w:val="FF0000"/>
                <w:sz w:val="16"/>
                <w:szCs w:val="16"/>
                <w:lang w:val="en-US"/>
              </w:rPr>
              <w:t>logrado</w:t>
            </w:r>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16"/>
                <w:szCs w:val="16"/>
              </w:rPr>
            </w:pPr>
          </w:p>
          <w:p w:rsidR="001C19F7" w:rsidRPr="00867291" w:rsidRDefault="001C19F7" w:rsidP="008B1CDA">
            <w:pPr>
              <w:keepNext/>
              <w:keepLines/>
              <w:ind w:left="71" w:right="20"/>
              <w:jc w:val="center"/>
              <w:rPr>
                <w:b/>
                <w:bCs/>
                <w:color w:val="000000" w:themeColor="text1"/>
                <w:sz w:val="16"/>
                <w:szCs w:val="16"/>
              </w:rPr>
            </w:pPr>
          </w:p>
          <w:p w:rsidR="001C19F7" w:rsidRPr="00281B3B" w:rsidRDefault="00044DA1" w:rsidP="008B1CDA">
            <w:pPr>
              <w:keepNext/>
              <w:keepLines/>
              <w:ind w:left="71" w:right="20"/>
              <w:jc w:val="center"/>
              <w:rPr>
                <w:b/>
                <w:bCs/>
                <w:color w:val="00B050"/>
                <w:sz w:val="16"/>
                <w:szCs w:val="16"/>
                <w:lang w:val="en-US"/>
              </w:rPr>
            </w:pPr>
            <w:r>
              <w:rPr>
                <w:b/>
                <w:bCs/>
                <w:color w:val="00B050"/>
                <w:sz w:val="16"/>
                <w:szCs w:val="16"/>
                <w:lang w:val="en-US"/>
              </w:rPr>
              <w:t>Plenamente logrado</w:t>
            </w:r>
          </w:p>
          <w:p w:rsidR="001C19F7" w:rsidRPr="00281B3B" w:rsidRDefault="001C19F7" w:rsidP="008B1CDA">
            <w:pPr>
              <w:keepNext/>
              <w:keepLines/>
              <w:ind w:left="71"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044DA1" w:rsidP="008B1CDA">
            <w:pPr>
              <w:keepNext/>
              <w:keepLines/>
              <w:ind w:left="71" w:right="20"/>
              <w:jc w:val="center"/>
              <w:rPr>
                <w:b/>
                <w:bCs/>
                <w:color w:val="00B050"/>
                <w:sz w:val="16"/>
                <w:szCs w:val="16"/>
                <w:lang w:val="en-US"/>
              </w:rPr>
            </w:pPr>
            <w:r>
              <w:rPr>
                <w:b/>
                <w:bCs/>
                <w:color w:val="00B050"/>
                <w:sz w:val="16"/>
                <w:szCs w:val="16"/>
                <w:lang w:val="en-US"/>
              </w:rPr>
              <w:t>Plenamente logrado</w:t>
            </w: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044DA1" w:rsidP="008B1CDA">
            <w:pPr>
              <w:keepNext/>
              <w:keepLines/>
              <w:ind w:right="20"/>
              <w:jc w:val="center"/>
              <w:rPr>
                <w:b/>
                <w:bCs/>
                <w:color w:val="00B050"/>
                <w:sz w:val="16"/>
                <w:szCs w:val="16"/>
                <w:lang w:val="en-US"/>
              </w:rPr>
            </w:pPr>
            <w:r>
              <w:rPr>
                <w:b/>
                <w:bCs/>
                <w:color w:val="00B050"/>
                <w:sz w:val="16"/>
                <w:szCs w:val="16"/>
                <w:lang w:val="en-US"/>
              </w:rPr>
              <w:t>Plenamente logrado</w:t>
            </w: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1C19F7" w:rsidP="008B1CDA">
            <w:pPr>
              <w:keepNext/>
              <w:keepLines/>
              <w:ind w:right="20"/>
              <w:jc w:val="center"/>
              <w:rPr>
                <w:b/>
                <w:bCs/>
                <w:color w:val="00B050"/>
                <w:sz w:val="16"/>
                <w:szCs w:val="16"/>
                <w:lang w:val="en-US"/>
              </w:rPr>
            </w:pPr>
          </w:p>
          <w:p w:rsidR="001C19F7" w:rsidRPr="00281B3B" w:rsidRDefault="00044DA1" w:rsidP="008B1CDA">
            <w:pPr>
              <w:keepNext/>
              <w:keepLines/>
              <w:ind w:left="71" w:right="20"/>
              <w:jc w:val="center"/>
              <w:rPr>
                <w:b/>
                <w:bCs/>
                <w:color w:val="00B050"/>
                <w:sz w:val="16"/>
                <w:szCs w:val="16"/>
                <w:lang w:val="en-US"/>
              </w:rPr>
            </w:pPr>
            <w:r>
              <w:rPr>
                <w:b/>
                <w:bCs/>
                <w:color w:val="00B050"/>
                <w:sz w:val="16"/>
                <w:szCs w:val="16"/>
                <w:lang w:val="en-US"/>
              </w:rPr>
              <w:t>Plenamente logrado</w:t>
            </w:r>
          </w:p>
          <w:p w:rsidR="001C19F7" w:rsidRPr="00867291" w:rsidRDefault="001C19F7" w:rsidP="008B1CDA">
            <w:pPr>
              <w:keepNext/>
              <w:keepLines/>
              <w:ind w:right="20"/>
              <w:jc w:val="center"/>
              <w:rPr>
                <w:b/>
                <w:bCs/>
                <w:color w:val="000000" w:themeColor="text1"/>
                <w:sz w:val="16"/>
                <w:szCs w:val="16"/>
              </w:rPr>
            </w:pPr>
          </w:p>
        </w:tc>
      </w:tr>
      <w:tr w:rsidR="001C19F7" w:rsidRPr="00867291" w:rsidTr="009B427C">
        <w:trPr>
          <w:trHeight w:val="713"/>
        </w:trPr>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lastRenderedPageBreak/>
              <w:t>Resultado previsto:</w:t>
            </w:r>
            <w:r w:rsidRPr="00867291">
              <w:rPr>
                <w:color w:val="000000" w:themeColor="text1"/>
              </w:rPr>
              <w:tab/>
            </w:r>
            <w:r w:rsidRPr="00867291">
              <w:rPr>
                <w:color w:val="000000" w:themeColor="text1"/>
                <w:sz w:val="16"/>
              </w:rPr>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511" w:type="pct"/>
            <w:gridSpan w:val="4"/>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641" w:type="pct"/>
            <w:gridSpan w:val="3"/>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rPr>
          <w:trHeight w:val="1330"/>
        </w:trPr>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Participación de las partes interesadas en plataformas de la OMPI como WIPO GREEN y WIPO Re:Search</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p>
          <w:p w:rsidR="001C19F7" w:rsidRPr="00867291" w:rsidRDefault="001C19F7" w:rsidP="008B1CDA">
            <w:pPr>
              <w:rPr>
                <w:color w:val="000000" w:themeColor="text1"/>
                <w:sz w:val="16"/>
                <w:szCs w:val="16"/>
              </w:rPr>
            </w:pPr>
            <w:r w:rsidRPr="00EF75DA">
              <w:rPr>
                <w:color w:val="002060"/>
                <w:sz w:val="16"/>
                <w:szCs w:val="16"/>
                <w:lang w:eastAsia="en-US"/>
              </w:rPr>
              <w:t>N.d.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1 (JIPA)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6818B6">
              <w:rPr>
                <w:color w:val="002060"/>
                <w:sz w:val="16"/>
                <w:szCs w:val="16"/>
                <w:lang w:eastAsia="en-US"/>
              </w:rPr>
              <w:t>No se dispone de referencia para WIPO GREEN dado que la plataforma se inauguró en noviembre de 2013;  848 visitantes de WIPO Re:Search (OOS</w:t>
            </w:r>
            <w:r>
              <w:rPr>
                <w:color w:val="002060"/>
                <w:sz w:val="16"/>
                <w:szCs w:val="16"/>
                <w:lang w:eastAsia="en-US"/>
              </w:rPr>
              <w:t>)</w:t>
            </w:r>
            <w:r w:rsidRPr="00867291">
              <w:rPr>
                <w:color w:val="000000" w:themeColor="text1"/>
                <w:sz w:val="16"/>
              </w:rPr>
              <w:t xml:space="preserve">         </w:t>
            </w:r>
          </w:p>
          <w:p w:rsidR="001C19F7" w:rsidRPr="00867291" w:rsidRDefault="001C19F7" w:rsidP="008B1CDA">
            <w:pPr>
              <w:rPr>
                <w:i/>
                <w:color w:val="000000" w:themeColor="text1"/>
                <w:sz w:val="16"/>
                <w:szCs w:val="16"/>
              </w:rPr>
            </w:pPr>
          </w:p>
          <w:p w:rsidR="001C19F7" w:rsidRPr="00867291" w:rsidRDefault="001C19F7" w:rsidP="008B1CDA">
            <w:pPr>
              <w:rPr>
                <w:i/>
                <w:color w:val="000000" w:themeColor="text1"/>
                <w:sz w:val="16"/>
                <w:szCs w:val="16"/>
              </w:rPr>
            </w:pPr>
            <w:r w:rsidRPr="00867291">
              <w:rPr>
                <w:i/>
                <w:color w:val="000000" w:themeColor="text1"/>
                <w:sz w:val="16"/>
              </w:rPr>
              <w:t xml:space="preserve">Referencia original en el presupuesto de 2014/15: </w:t>
            </w:r>
          </w:p>
          <w:p w:rsidR="001C19F7" w:rsidRPr="00867291" w:rsidRDefault="001C19F7" w:rsidP="008B1CDA">
            <w:pPr>
              <w:rPr>
                <w:color w:val="000000" w:themeColor="text1"/>
                <w:sz w:val="16"/>
                <w:szCs w:val="16"/>
              </w:rPr>
            </w:pPr>
            <w:r w:rsidRPr="00867291">
              <w:rPr>
                <w:color w:val="000000" w:themeColor="text1"/>
                <w:sz w:val="16"/>
              </w:rPr>
              <w:t>N.d. (OOB)</w:t>
            </w:r>
          </w:p>
          <w:p w:rsidR="001C19F7" w:rsidRPr="00867291" w:rsidRDefault="001C19F7" w:rsidP="008B1CDA">
            <w:pPr>
              <w:rPr>
                <w:color w:val="000000" w:themeColor="text1"/>
                <w:sz w:val="16"/>
                <w:szCs w:val="16"/>
              </w:rPr>
            </w:pPr>
            <w:r w:rsidRPr="00867291">
              <w:rPr>
                <w:color w:val="000000" w:themeColor="text1"/>
                <w:sz w:val="16"/>
              </w:rPr>
              <w:t>N.d. (OOJ)</w:t>
            </w:r>
          </w:p>
          <w:p w:rsidR="001C19F7" w:rsidRPr="00867291" w:rsidRDefault="001C19F7" w:rsidP="008B1CDA">
            <w:pPr>
              <w:rPr>
                <w:color w:val="000000" w:themeColor="text1"/>
                <w:sz w:val="16"/>
                <w:szCs w:val="16"/>
              </w:rPr>
            </w:pPr>
            <w:r w:rsidRPr="00867291">
              <w:rPr>
                <w:color w:val="000000" w:themeColor="text1"/>
                <w:sz w:val="16"/>
              </w:rPr>
              <w:t>Por determinar (OOS)</w:t>
            </w:r>
          </w:p>
          <w:p w:rsidR="001C19F7" w:rsidRPr="00867291" w:rsidRDefault="001C19F7" w:rsidP="008B1CDA">
            <w:pPr>
              <w:rPr>
                <w:color w:val="000000" w:themeColor="text1"/>
                <w:sz w:val="16"/>
                <w:szCs w:val="16"/>
              </w:rPr>
            </w:pP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30 tecnologías desarrolladas por instituciones y empresas brasileñas en WIPO GREEN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Nuevos casos en WIPO GREEN o nueva participación en WIPO Re:Search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Aumento del 5% en los usuarios de la ASEAN (OOS)</w:t>
            </w:r>
          </w:p>
          <w:p w:rsidR="001C19F7" w:rsidRPr="00867291" w:rsidRDefault="001C19F7" w:rsidP="008B1CDA">
            <w:pPr>
              <w:rPr>
                <w:color w:val="000000" w:themeColor="text1"/>
                <w:sz w:val="16"/>
                <w:szCs w:val="16"/>
              </w:rPr>
            </w:pPr>
          </w:p>
        </w:tc>
        <w:tc>
          <w:tcPr>
            <w:tcW w:w="1511" w:type="pct"/>
            <w:gridSpan w:val="4"/>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En 2015 se incorporaron en WIPO GREEN unas 7 nuevas tecnologías desarrolladas por instituciones brasileñas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WIPO GREEN: Otros 22 usuarios adicionales en 2014/15 (50 en conjunto);  4 asociados adicionales (Instituto Waseda, Team E-Kansai, APICI-JIPII y Teijin) en 2014/15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WIPO Re: Search:  4 empresas incorporaron tecnologías con ayuda de la OOJ;  1 nuevo asociado (Takeda Pharmaceutical Company)</w:t>
            </w:r>
          </w:p>
          <w:p w:rsidR="001C19F7" w:rsidRPr="00867291" w:rsidRDefault="001C19F7" w:rsidP="008B1CDA">
            <w:pPr>
              <w:rPr>
                <w:color w:val="000000" w:themeColor="text1"/>
                <w:sz w:val="16"/>
                <w:szCs w:val="16"/>
              </w:rPr>
            </w:pPr>
            <w:r w:rsidRPr="00867291">
              <w:rPr>
                <w:color w:val="000000" w:themeColor="text1"/>
                <w:sz w:val="16"/>
              </w:rPr>
              <w:t>(OOJ)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WIPO GREEN:  21 usuarios en 2014/15 (OOS)</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WIPO Re:Search:</w:t>
            </w:r>
          </w:p>
          <w:p w:rsidR="001C19F7" w:rsidRPr="001C19F7" w:rsidRDefault="001C19F7" w:rsidP="001C19F7">
            <w:pPr>
              <w:pStyle w:val="ListParagraph"/>
              <w:numPr>
                <w:ilvl w:val="0"/>
                <w:numId w:val="96"/>
              </w:numPr>
              <w:rPr>
                <w:rFonts w:eastAsia="SimSun" w:cs="Arial"/>
                <w:color w:val="000000" w:themeColor="text1"/>
                <w:sz w:val="16"/>
                <w:szCs w:val="16"/>
                <w:lang w:val="es-ES"/>
              </w:rPr>
            </w:pPr>
            <w:r w:rsidRPr="001C19F7">
              <w:rPr>
                <w:color w:val="000000" w:themeColor="text1"/>
                <w:sz w:val="16"/>
                <w:lang w:val="es-ES"/>
              </w:rPr>
              <w:t xml:space="preserve">959 visitantes de la ASEAN a WIPO Re:Search en 2014 (13% de aumento) </w:t>
            </w:r>
          </w:p>
          <w:p w:rsidR="001C19F7" w:rsidRPr="001C19F7" w:rsidRDefault="001C19F7" w:rsidP="001C19F7">
            <w:pPr>
              <w:pStyle w:val="ListParagraph"/>
              <w:numPr>
                <w:ilvl w:val="0"/>
                <w:numId w:val="96"/>
              </w:numPr>
              <w:rPr>
                <w:rFonts w:eastAsia="SimSun" w:cs="Arial"/>
                <w:color w:val="000000" w:themeColor="text1"/>
                <w:sz w:val="16"/>
                <w:szCs w:val="16"/>
                <w:lang w:val="es-ES"/>
              </w:rPr>
            </w:pPr>
            <w:r w:rsidRPr="001C19F7">
              <w:rPr>
                <w:color w:val="000000" w:themeColor="text1"/>
                <w:sz w:val="16"/>
                <w:lang w:val="es-ES"/>
              </w:rPr>
              <w:t xml:space="preserve">417 visitantes de ASEAN en 2015 (disminución </w:t>
            </w:r>
            <w:r w:rsidRPr="001C19F7">
              <w:rPr>
                <w:color w:val="000000" w:themeColor="text1"/>
                <w:lang w:val="es-ES"/>
              </w:rPr>
              <w:noBreakHyphen/>
            </w:r>
            <w:r w:rsidRPr="001C19F7">
              <w:rPr>
                <w:color w:val="000000" w:themeColor="text1"/>
                <w:sz w:val="16"/>
                <w:lang w:val="es-ES"/>
              </w:rPr>
              <w:t>57%)</w:t>
            </w:r>
          </w:p>
          <w:p w:rsidR="001C19F7" w:rsidRPr="00867291" w:rsidRDefault="001C19F7" w:rsidP="008B1CDA">
            <w:pPr>
              <w:rPr>
                <w:color w:val="000000" w:themeColor="text1"/>
                <w:sz w:val="16"/>
                <w:szCs w:val="16"/>
              </w:rPr>
            </w:pPr>
            <w:r w:rsidRPr="00867291">
              <w:rPr>
                <w:color w:val="000000" w:themeColor="text1"/>
                <w:sz w:val="16"/>
              </w:rPr>
              <w:t>Además, 1 nuevo socio que proviene de Filipinas (</w:t>
            </w:r>
            <w:r w:rsidRPr="00BF2A21">
              <w:rPr>
                <w:i/>
                <w:color w:val="000000" w:themeColor="text1"/>
                <w:sz w:val="16"/>
              </w:rPr>
              <w:t>Research Institute of Tropical Medicine</w:t>
            </w:r>
            <w:r w:rsidRPr="00867291">
              <w:rPr>
                <w:color w:val="000000" w:themeColor="text1"/>
                <w:sz w:val="16"/>
              </w:rPr>
              <w:t>)</w:t>
            </w:r>
          </w:p>
          <w:p w:rsidR="001C19F7" w:rsidRPr="00867291" w:rsidRDefault="001C19F7" w:rsidP="008B1CDA">
            <w:pPr>
              <w:rPr>
                <w:color w:val="000000" w:themeColor="text1"/>
                <w:sz w:val="16"/>
                <w:szCs w:val="16"/>
              </w:rPr>
            </w:pPr>
            <w:r w:rsidRPr="00867291">
              <w:rPr>
                <w:color w:val="000000" w:themeColor="text1"/>
                <w:sz w:val="16"/>
              </w:rPr>
              <w:t xml:space="preserve">(OOS) </w:t>
            </w:r>
          </w:p>
        </w:tc>
        <w:tc>
          <w:tcPr>
            <w:tcW w:w="641" w:type="pct"/>
            <w:gridSpan w:val="3"/>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right="20"/>
              <w:jc w:val="center"/>
              <w:rPr>
                <w:b/>
                <w:bCs/>
                <w:color w:val="000000" w:themeColor="text1"/>
                <w:sz w:val="16"/>
                <w:szCs w:val="16"/>
              </w:rPr>
            </w:pPr>
            <w:r w:rsidRPr="00EF75DA">
              <w:rPr>
                <w:b/>
                <w:color w:val="FF0000"/>
                <w:sz w:val="16"/>
                <w:szCs w:val="16"/>
              </w:rPr>
              <w:t>No</w:t>
            </w:r>
            <w:r w:rsidRPr="00867291">
              <w:rPr>
                <w:b/>
                <w:color w:val="000000" w:themeColor="text1"/>
                <w:sz w:val="16"/>
              </w:rPr>
              <w:t xml:space="preserve"> </w:t>
            </w:r>
            <w:r w:rsidRPr="00EF75DA">
              <w:rPr>
                <w:b/>
                <w:color w:val="FF0000"/>
                <w:sz w:val="16"/>
                <w:szCs w:val="16"/>
              </w:rPr>
              <w:t>logrado</w:t>
            </w:r>
          </w:p>
          <w:p w:rsidR="001C19F7" w:rsidRPr="00867291" w:rsidRDefault="001C19F7" w:rsidP="008B1CDA">
            <w:pPr>
              <w:keepNext/>
              <w:keepLines/>
              <w:ind w:right="20"/>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867291" w:rsidRDefault="00044DA1" w:rsidP="008B1CDA">
            <w:pPr>
              <w:keepNext/>
              <w:keepLines/>
              <w:ind w:right="20"/>
              <w:jc w:val="center"/>
              <w:rPr>
                <w:b/>
                <w:bCs/>
                <w:color w:val="000000" w:themeColor="text1"/>
                <w:sz w:val="16"/>
                <w:szCs w:val="16"/>
              </w:rPr>
            </w:pPr>
            <w:r>
              <w:rPr>
                <w:b/>
                <w:bCs/>
                <w:color w:val="00B050"/>
                <w:sz w:val="16"/>
                <w:szCs w:val="16"/>
              </w:rPr>
              <w:t>Plenamente logrado</w:t>
            </w:r>
          </w:p>
          <w:p w:rsidR="001C19F7" w:rsidRPr="00867291" w:rsidRDefault="001C19F7" w:rsidP="008B1CDA">
            <w:pPr>
              <w:keepNext/>
              <w:keepLines/>
              <w:ind w:right="20"/>
              <w:jc w:val="center"/>
              <w:rPr>
                <w:b/>
                <w:bCs/>
                <w:color w:val="000000" w:themeColor="text1"/>
                <w:sz w:val="16"/>
                <w:szCs w:val="16"/>
              </w:rPr>
            </w:pPr>
          </w:p>
          <w:p w:rsidR="001C19F7" w:rsidRPr="00867291" w:rsidRDefault="001C19F7" w:rsidP="008B1CDA">
            <w:pPr>
              <w:keepNext/>
              <w:keepLines/>
              <w:ind w:right="20"/>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867291" w:rsidRDefault="001C19F7" w:rsidP="008B1CDA">
            <w:pPr>
              <w:keepNext/>
              <w:keepLines/>
              <w:ind w:right="20"/>
              <w:jc w:val="center"/>
              <w:rPr>
                <w:b/>
                <w:bCs/>
                <w:color w:val="000000" w:themeColor="text1"/>
                <w:sz w:val="16"/>
                <w:szCs w:val="16"/>
              </w:rPr>
            </w:pPr>
          </w:p>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867291" w:rsidRDefault="001C19F7" w:rsidP="008B1CDA">
            <w:pPr>
              <w:keepNext/>
              <w:keepLines/>
              <w:ind w:right="20"/>
              <w:rPr>
                <w:b/>
                <w:bCs/>
                <w:color w:val="000000" w:themeColor="text1"/>
                <w:sz w:val="14"/>
                <w:szCs w:val="14"/>
              </w:rPr>
            </w:pPr>
          </w:p>
          <w:p w:rsidR="001C19F7" w:rsidRPr="00867291" w:rsidRDefault="001C19F7" w:rsidP="008B1CDA">
            <w:pPr>
              <w:keepNext/>
              <w:keepLines/>
              <w:ind w:right="20"/>
              <w:jc w:val="center"/>
              <w:rPr>
                <w:b/>
                <w:bCs/>
                <w:color w:val="000000" w:themeColor="text1"/>
                <w:sz w:val="14"/>
                <w:szCs w:val="14"/>
              </w:rPr>
            </w:pPr>
          </w:p>
          <w:p w:rsidR="001C19F7" w:rsidRPr="00867291" w:rsidRDefault="001C19F7" w:rsidP="008B1CDA">
            <w:pPr>
              <w:keepNext/>
              <w:keepLines/>
              <w:ind w:right="20"/>
              <w:jc w:val="center"/>
              <w:rPr>
                <w:b/>
                <w:bCs/>
                <w:color w:val="000000" w:themeColor="text1"/>
                <w:sz w:val="14"/>
                <w:szCs w:val="14"/>
              </w:rPr>
            </w:pPr>
          </w:p>
          <w:p w:rsidR="001C19F7" w:rsidRPr="00867291" w:rsidRDefault="001C19F7" w:rsidP="008B1CDA">
            <w:pPr>
              <w:keepNext/>
              <w:keepLines/>
              <w:ind w:right="20"/>
              <w:jc w:val="center"/>
              <w:rPr>
                <w:b/>
                <w:bCs/>
                <w:color w:val="000000" w:themeColor="text1"/>
                <w:sz w:val="14"/>
                <w:szCs w:val="14"/>
              </w:rPr>
            </w:pPr>
          </w:p>
          <w:p w:rsidR="001C19F7" w:rsidRPr="00044DA1" w:rsidRDefault="001C19F7" w:rsidP="00044DA1">
            <w:pPr>
              <w:keepNext/>
              <w:keepLines/>
              <w:ind w:left="-117" w:right="-45" w:firstLine="19"/>
              <w:jc w:val="center"/>
              <w:rPr>
                <w:b/>
                <w:bCs/>
                <w:color w:val="808080"/>
                <w:sz w:val="14"/>
                <w:szCs w:val="14"/>
              </w:rPr>
            </w:pPr>
            <w:r w:rsidRPr="00044DA1">
              <w:rPr>
                <w:b/>
                <w:bCs/>
                <w:color w:val="808080"/>
                <w:sz w:val="14"/>
                <w:szCs w:val="14"/>
              </w:rPr>
              <w:t>No mensurable</w:t>
            </w:r>
          </w:p>
          <w:p w:rsidR="001C19F7" w:rsidRPr="00867291" w:rsidRDefault="001C19F7" w:rsidP="008B1CDA">
            <w:pPr>
              <w:keepNext/>
              <w:keepLines/>
              <w:ind w:right="20"/>
              <w:rPr>
                <w:b/>
                <w:bCs/>
                <w:color w:val="000000" w:themeColor="text1"/>
                <w:sz w:val="16"/>
                <w:szCs w:val="16"/>
              </w:rPr>
            </w:pPr>
          </w:p>
          <w:p w:rsidR="001C19F7" w:rsidRPr="00044DA1" w:rsidRDefault="001C19F7" w:rsidP="008B1CDA">
            <w:pPr>
              <w:keepNext/>
              <w:keepLines/>
              <w:ind w:right="20"/>
              <w:jc w:val="center"/>
              <w:rPr>
                <w:b/>
                <w:color w:val="FF0000"/>
                <w:sz w:val="16"/>
                <w:szCs w:val="16"/>
              </w:rPr>
            </w:pPr>
            <w:r w:rsidRPr="00044DA1">
              <w:rPr>
                <w:b/>
                <w:color w:val="FF0000"/>
                <w:sz w:val="16"/>
                <w:szCs w:val="16"/>
              </w:rPr>
              <w:t>No logrado</w:t>
            </w:r>
          </w:p>
          <w:p w:rsidR="001C19F7" w:rsidRPr="00867291" w:rsidRDefault="001C19F7" w:rsidP="008B1CDA">
            <w:pPr>
              <w:keepNext/>
              <w:keepLines/>
              <w:ind w:left="71" w:right="20"/>
              <w:jc w:val="center"/>
              <w:rPr>
                <w:b/>
                <w:bCs/>
                <w:color w:val="000000" w:themeColor="text1"/>
                <w:sz w:val="16"/>
                <w:szCs w:val="16"/>
              </w:rPr>
            </w:pP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VIII.1 Comunicación más eficaz con el público en general acerca de la P.I. y la función de la OMPI</w:t>
            </w:r>
          </w:p>
        </w:tc>
      </w:tr>
      <w:tr w:rsidR="001C19F7" w:rsidRPr="00867291" w:rsidTr="009B427C">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ind w:left="-87"/>
              <w:rPr>
                <w:color w:val="000000" w:themeColor="text1"/>
                <w:sz w:val="16"/>
                <w:szCs w:val="16"/>
              </w:rPr>
            </w:pPr>
            <w:r w:rsidRPr="00867291">
              <w:rPr>
                <w:b/>
                <w:color w:val="000000" w:themeColor="text1"/>
                <w:sz w:val="16"/>
              </w:rPr>
              <w:t>Objetivos</w:t>
            </w:r>
          </w:p>
        </w:tc>
        <w:tc>
          <w:tcPr>
            <w:tcW w:w="1511" w:type="pct"/>
            <w:gridSpan w:val="4"/>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641" w:type="pct"/>
            <w:gridSpan w:val="3"/>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9B427C">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Aumento del tráfico en el sitio web de las Oficinas de la OMPI en el exterior</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p>
          <w:p w:rsidR="001C19F7" w:rsidRPr="00EF75DA" w:rsidRDefault="001C19F7" w:rsidP="008B1CDA">
            <w:pPr>
              <w:rPr>
                <w:color w:val="002060"/>
                <w:sz w:val="16"/>
                <w:szCs w:val="16"/>
                <w:lang w:eastAsia="en-US"/>
              </w:rPr>
            </w:pPr>
            <w:r w:rsidRPr="00EF75DA">
              <w:rPr>
                <w:color w:val="002060"/>
                <w:sz w:val="16"/>
                <w:szCs w:val="16"/>
                <w:lang w:eastAsia="en-US"/>
              </w:rPr>
              <w:t>N.d. (OOB)</w:t>
            </w:r>
          </w:p>
          <w:p w:rsidR="001C19F7" w:rsidRPr="00EF75DA" w:rsidRDefault="001C19F7" w:rsidP="008B1CDA">
            <w:pPr>
              <w:rPr>
                <w:color w:val="002060"/>
                <w:sz w:val="16"/>
                <w:szCs w:val="16"/>
                <w:lang w:eastAsia="en-US"/>
              </w:rPr>
            </w:pPr>
            <w:r w:rsidRPr="00EF75DA">
              <w:rPr>
                <w:color w:val="002060"/>
                <w:sz w:val="16"/>
                <w:szCs w:val="16"/>
                <w:lang w:eastAsia="en-US"/>
              </w:rPr>
              <w:t>5.900 (OOJ)</w:t>
            </w:r>
          </w:p>
          <w:p w:rsidR="001C19F7" w:rsidRPr="00867291" w:rsidRDefault="001C19F7" w:rsidP="008B1CDA">
            <w:pPr>
              <w:rPr>
                <w:color w:val="000000" w:themeColor="text1"/>
                <w:sz w:val="16"/>
                <w:szCs w:val="16"/>
              </w:rPr>
            </w:pPr>
            <w:r w:rsidRPr="00EF75DA">
              <w:rPr>
                <w:color w:val="002060"/>
                <w:sz w:val="16"/>
                <w:szCs w:val="16"/>
                <w:lang w:eastAsia="en-US"/>
              </w:rPr>
              <w:t>9.717 páginas vistas (OOS)</w:t>
            </w:r>
          </w:p>
          <w:p w:rsidR="001C19F7" w:rsidRPr="00867291" w:rsidRDefault="001C19F7" w:rsidP="008B1CDA">
            <w:pPr>
              <w:rPr>
                <w:i/>
                <w:color w:val="000000" w:themeColor="text1"/>
                <w:sz w:val="16"/>
                <w:szCs w:val="16"/>
              </w:rPr>
            </w:pPr>
            <w:r w:rsidRPr="00867291">
              <w:rPr>
                <w:i/>
                <w:color w:val="000000" w:themeColor="text1"/>
                <w:sz w:val="16"/>
              </w:rPr>
              <w:t>Referencia original en el presupuesto de 2014/15:</w:t>
            </w:r>
          </w:p>
          <w:p w:rsidR="001C19F7" w:rsidRPr="00867291" w:rsidRDefault="001C19F7" w:rsidP="008B1CDA">
            <w:pPr>
              <w:rPr>
                <w:i/>
                <w:color w:val="000000" w:themeColor="text1"/>
                <w:sz w:val="16"/>
                <w:szCs w:val="16"/>
              </w:rPr>
            </w:pPr>
            <w:r w:rsidRPr="00867291">
              <w:rPr>
                <w:color w:val="000000" w:themeColor="text1"/>
                <w:sz w:val="16"/>
              </w:rPr>
              <w:t>Por determinar (OOB)</w:t>
            </w:r>
            <w:r w:rsidRPr="00867291">
              <w:rPr>
                <w:i/>
                <w:color w:val="000000" w:themeColor="text1"/>
                <w:sz w:val="16"/>
              </w:rPr>
              <w:t xml:space="preserve"> </w:t>
            </w:r>
          </w:p>
          <w:p w:rsidR="001C19F7" w:rsidRPr="00867291" w:rsidRDefault="001C19F7" w:rsidP="008B1CDA">
            <w:pPr>
              <w:rPr>
                <w:color w:val="000000" w:themeColor="text1"/>
                <w:sz w:val="16"/>
                <w:szCs w:val="16"/>
              </w:rPr>
            </w:pPr>
            <w:r w:rsidRPr="00867291">
              <w:rPr>
                <w:color w:val="000000" w:themeColor="text1"/>
                <w:sz w:val="16"/>
              </w:rPr>
              <w:t>Por determinar (OOJ)</w:t>
            </w:r>
          </w:p>
          <w:p w:rsidR="001C19F7" w:rsidRPr="00867291" w:rsidRDefault="001C19F7" w:rsidP="008B1CDA">
            <w:pPr>
              <w:rPr>
                <w:color w:val="000000" w:themeColor="text1"/>
                <w:sz w:val="16"/>
                <w:szCs w:val="16"/>
              </w:rPr>
            </w:pPr>
            <w:r w:rsidRPr="00867291">
              <w:rPr>
                <w:color w:val="000000" w:themeColor="text1"/>
                <w:sz w:val="16"/>
              </w:rPr>
              <w:t>Por determinar (OOS)</w:t>
            </w:r>
          </w:p>
        </w:tc>
        <w:tc>
          <w:tcPr>
            <w:tcW w:w="843" w:type="pct"/>
            <w:gridSpan w:val="5"/>
            <w:tcBorders>
              <w:top w:val="nil"/>
              <w:left w:val="nil"/>
              <w:bottom w:val="single" w:sz="4" w:space="0" w:color="auto"/>
              <w:right w:val="nil"/>
            </w:tcBorders>
            <w:shd w:val="clear" w:color="auto" w:fill="auto"/>
            <w:tcMar>
              <w:top w:w="110" w:type="dxa"/>
            </w:tcMar>
          </w:tcPr>
          <w:p w:rsidR="001C19F7" w:rsidRPr="009B427C" w:rsidRDefault="001C19F7" w:rsidP="008B1CDA">
            <w:pPr>
              <w:ind w:left="-87"/>
              <w:rPr>
                <w:color w:val="000000" w:themeColor="text1"/>
                <w:sz w:val="16"/>
                <w:szCs w:val="16"/>
              </w:rPr>
            </w:pPr>
            <w:r w:rsidRPr="009B427C">
              <w:rPr>
                <w:color w:val="000000" w:themeColor="text1"/>
                <w:sz w:val="16"/>
                <w:szCs w:val="16"/>
              </w:rPr>
              <w:t>Aumento del tráfico:</w:t>
            </w:r>
          </w:p>
          <w:p w:rsidR="001C19F7" w:rsidRPr="009B427C" w:rsidRDefault="001C19F7" w:rsidP="008B1CDA">
            <w:pPr>
              <w:ind w:left="-87" w:right="-181"/>
              <w:rPr>
                <w:color w:val="000000" w:themeColor="text1"/>
                <w:sz w:val="16"/>
                <w:szCs w:val="16"/>
              </w:rPr>
            </w:pPr>
          </w:p>
          <w:p w:rsidR="001C19F7" w:rsidRPr="00867291" w:rsidRDefault="001C19F7" w:rsidP="008B1CDA">
            <w:pPr>
              <w:ind w:left="-87" w:right="-181"/>
              <w:rPr>
                <w:color w:val="000000" w:themeColor="text1"/>
                <w:sz w:val="16"/>
                <w:szCs w:val="16"/>
              </w:rPr>
            </w:pPr>
            <w:r w:rsidRPr="00867291">
              <w:rPr>
                <w:color w:val="000000" w:themeColor="text1"/>
                <w:sz w:val="16"/>
              </w:rPr>
              <w:t>5% desde el Brasil (OOB)</w:t>
            </w:r>
          </w:p>
          <w:p w:rsidR="001C19F7" w:rsidRPr="00867291" w:rsidRDefault="001C19F7" w:rsidP="008B1CDA">
            <w:pPr>
              <w:ind w:left="-87"/>
              <w:rPr>
                <w:color w:val="000000" w:themeColor="text1"/>
                <w:sz w:val="16"/>
                <w:szCs w:val="16"/>
              </w:rPr>
            </w:pPr>
          </w:p>
          <w:p w:rsidR="001C19F7" w:rsidRPr="00867291" w:rsidRDefault="001C19F7" w:rsidP="008B1CDA">
            <w:pPr>
              <w:ind w:left="-87"/>
              <w:rPr>
                <w:color w:val="000000" w:themeColor="text1"/>
                <w:sz w:val="16"/>
                <w:szCs w:val="16"/>
              </w:rPr>
            </w:pPr>
            <w:r w:rsidRPr="00867291">
              <w:rPr>
                <w:color w:val="000000" w:themeColor="text1"/>
                <w:sz w:val="16"/>
              </w:rPr>
              <w:t>5% (OOJ)</w:t>
            </w:r>
            <w:r w:rsidRPr="00867291">
              <w:rPr>
                <w:rStyle w:val="FootnoteReference"/>
                <w:color w:val="000000" w:themeColor="text1"/>
              </w:rPr>
              <w:footnoteReference w:id="119"/>
            </w:r>
          </w:p>
          <w:p w:rsidR="001C19F7" w:rsidRPr="00867291" w:rsidRDefault="001C19F7" w:rsidP="008B1CDA">
            <w:pPr>
              <w:rPr>
                <w:color w:val="000000" w:themeColor="text1"/>
                <w:sz w:val="16"/>
                <w:szCs w:val="16"/>
              </w:rPr>
            </w:pPr>
          </w:p>
          <w:p w:rsidR="001C19F7" w:rsidRPr="00867291" w:rsidRDefault="001C19F7" w:rsidP="008B1CDA">
            <w:pPr>
              <w:ind w:left="-87"/>
              <w:rPr>
                <w:color w:val="000000" w:themeColor="text1"/>
                <w:sz w:val="16"/>
                <w:szCs w:val="16"/>
              </w:rPr>
            </w:pPr>
            <w:r w:rsidRPr="00867291">
              <w:rPr>
                <w:color w:val="000000" w:themeColor="text1"/>
                <w:sz w:val="16"/>
              </w:rPr>
              <w:t>5% de la región de la ASEAN (OOS)</w:t>
            </w:r>
          </w:p>
          <w:p w:rsidR="001C19F7" w:rsidRPr="00867291" w:rsidRDefault="001C19F7" w:rsidP="008B1CDA">
            <w:pPr>
              <w:ind w:left="-87"/>
              <w:rPr>
                <w:color w:val="000000" w:themeColor="text1"/>
                <w:sz w:val="16"/>
                <w:szCs w:val="16"/>
              </w:rPr>
            </w:pPr>
          </w:p>
        </w:tc>
        <w:tc>
          <w:tcPr>
            <w:tcW w:w="1511" w:type="pct"/>
            <w:gridSpan w:val="4"/>
            <w:tcBorders>
              <w:top w:val="nil"/>
              <w:left w:val="nil"/>
              <w:bottom w:val="single" w:sz="4" w:space="0" w:color="auto"/>
              <w:right w:val="nil"/>
            </w:tcBorders>
            <w:shd w:val="clear" w:color="auto" w:fill="FFFFFF"/>
            <w:tcMar>
              <w:top w:w="110" w:type="dxa"/>
            </w:tcMar>
          </w:tcPr>
          <w:tbl>
            <w:tblPr>
              <w:tblStyle w:val="TableGrid"/>
              <w:tblpPr w:leftFromText="180" w:rightFromText="180" w:vertAnchor="text" w:tblpY="1"/>
              <w:tblOverlap w:val="never"/>
              <w:tblW w:w="2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450"/>
              <w:gridCol w:w="1080"/>
              <w:gridCol w:w="1080"/>
            </w:tblGrid>
            <w:tr w:rsidR="001C19F7" w:rsidRPr="00867291" w:rsidTr="008B1CDA">
              <w:tc>
                <w:tcPr>
                  <w:tcW w:w="450" w:type="dxa"/>
                  <w:tcMar>
                    <w:top w:w="29" w:type="dxa"/>
                    <w:left w:w="0" w:type="dxa"/>
                    <w:bottom w:w="29" w:type="dxa"/>
                    <w:right w:w="0" w:type="dxa"/>
                  </w:tcMar>
                </w:tcPr>
                <w:p w:rsidR="001C19F7" w:rsidRPr="00867291" w:rsidRDefault="001C19F7" w:rsidP="008B1CDA">
                  <w:pPr>
                    <w:jc w:val="center"/>
                    <w:rPr>
                      <w:color w:val="000000" w:themeColor="text1"/>
                      <w:sz w:val="16"/>
                      <w:szCs w:val="16"/>
                    </w:rPr>
                  </w:pPr>
                </w:p>
              </w:tc>
              <w:tc>
                <w:tcPr>
                  <w:tcW w:w="1080" w:type="dxa"/>
                  <w:tcMar>
                    <w:top w:w="29" w:type="dxa"/>
                    <w:left w:w="0" w:type="dxa"/>
                    <w:bottom w:w="29" w:type="dxa"/>
                    <w:right w:w="0" w:type="dxa"/>
                  </w:tcMar>
                </w:tcPr>
                <w:p w:rsidR="001C19F7" w:rsidRPr="00867291" w:rsidRDefault="001C19F7" w:rsidP="008B1CDA">
                  <w:pPr>
                    <w:jc w:val="center"/>
                    <w:rPr>
                      <w:color w:val="000000" w:themeColor="text1"/>
                      <w:sz w:val="16"/>
                      <w:szCs w:val="16"/>
                    </w:rPr>
                  </w:pPr>
                  <w:r w:rsidRPr="00867291">
                    <w:rPr>
                      <w:color w:val="000000" w:themeColor="text1"/>
                      <w:sz w:val="16"/>
                    </w:rPr>
                    <w:t>2014</w:t>
                  </w:r>
                </w:p>
              </w:tc>
              <w:tc>
                <w:tcPr>
                  <w:tcW w:w="1080" w:type="dxa"/>
                  <w:tcMar>
                    <w:top w:w="29" w:type="dxa"/>
                    <w:left w:w="0" w:type="dxa"/>
                    <w:bottom w:w="29" w:type="dxa"/>
                    <w:right w:w="0" w:type="dxa"/>
                  </w:tcMar>
                </w:tcPr>
                <w:p w:rsidR="001C19F7" w:rsidRPr="00867291" w:rsidRDefault="001C19F7" w:rsidP="008B1CDA">
                  <w:pPr>
                    <w:jc w:val="center"/>
                    <w:rPr>
                      <w:color w:val="000000" w:themeColor="text1"/>
                      <w:sz w:val="16"/>
                      <w:szCs w:val="16"/>
                    </w:rPr>
                  </w:pPr>
                  <w:r w:rsidRPr="00867291">
                    <w:rPr>
                      <w:color w:val="000000" w:themeColor="text1"/>
                      <w:sz w:val="16"/>
                    </w:rPr>
                    <w:t>2015</w:t>
                  </w:r>
                </w:p>
              </w:tc>
            </w:tr>
            <w:tr w:rsidR="001C19F7" w:rsidRPr="00867291" w:rsidTr="008B1CDA">
              <w:trPr>
                <w:trHeight w:val="288"/>
              </w:trPr>
              <w:tc>
                <w:tcPr>
                  <w:tcW w:w="45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OOB</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n.d.</w:t>
                  </w:r>
                  <w:r w:rsidRPr="00867291">
                    <w:rPr>
                      <w:rStyle w:val="FootnoteReference"/>
                      <w:color w:val="000000" w:themeColor="text1"/>
                    </w:rPr>
                    <w:footnoteReference w:id="120"/>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1.966</w:t>
                  </w:r>
                </w:p>
              </w:tc>
            </w:tr>
            <w:tr w:rsidR="001C19F7" w:rsidRPr="00867291" w:rsidTr="008B1CDA">
              <w:trPr>
                <w:trHeight w:val="288"/>
              </w:trPr>
              <w:tc>
                <w:tcPr>
                  <w:tcW w:w="45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OOJ</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 xml:space="preserve">+30% </w:t>
                  </w:r>
                </w:p>
                <w:p w:rsidR="001C19F7" w:rsidRPr="00867291" w:rsidRDefault="001C19F7" w:rsidP="008B1CDA">
                  <w:pPr>
                    <w:jc w:val="center"/>
                    <w:rPr>
                      <w:color w:val="000000" w:themeColor="text1"/>
                      <w:sz w:val="16"/>
                      <w:szCs w:val="16"/>
                    </w:rPr>
                  </w:pPr>
                  <w:r w:rsidRPr="00867291">
                    <w:rPr>
                      <w:color w:val="000000" w:themeColor="text1"/>
                      <w:sz w:val="16"/>
                    </w:rPr>
                    <w:t>(7.650 visitas)</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+13%</w:t>
                  </w:r>
                  <w:r w:rsidRPr="00867291">
                    <w:rPr>
                      <w:rStyle w:val="FootnoteReference"/>
                      <w:color w:val="000000" w:themeColor="text1"/>
                    </w:rPr>
                    <w:footnoteReference w:id="121"/>
                  </w:r>
                </w:p>
                <w:p w:rsidR="001C19F7" w:rsidRPr="00867291" w:rsidRDefault="001C19F7" w:rsidP="008B1CDA">
                  <w:pPr>
                    <w:jc w:val="center"/>
                    <w:rPr>
                      <w:color w:val="000000" w:themeColor="text1"/>
                      <w:sz w:val="16"/>
                      <w:szCs w:val="16"/>
                    </w:rPr>
                  </w:pPr>
                  <w:r w:rsidRPr="00867291">
                    <w:rPr>
                      <w:color w:val="000000" w:themeColor="text1"/>
                      <w:sz w:val="16"/>
                    </w:rPr>
                    <w:t xml:space="preserve"> (7.027 visitas)</w:t>
                  </w:r>
                </w:p>
              </w:tc>
            </w:tr>
            <w:tr w:rsidR="001C19F7" w:rsidRPr="00867291" w:rsidTr="008B1CDA">
              <w:trPr>
                <w:trHeight w:val="288"/>
              </w:trPr>
              <w:tc>
                <w:tcPr>
                  <w:tcW w:w="45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OOS</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 xml:space="preserve">+2% </w:t>
                  </w:r>
                </w:p>
                <w:p w:rsidR="001C19F7" w:rsidRPr="00867291" w:rsidRDefault="001C19F7" w:rsidP="008B1CDA">
                  <w:pPr>
                    <w:jc w:val="center"/>
                    <w:rPr>
                      <w:color w:val="000000" w:themeColor="text1"/>
                      <w:sz w:val="16"/>
                      <w:szCs w:val="16"/>
                    </w:rPr>
                  </w:pPr>
                  <w:r w:rsidRPr="00867291">
                    <w:rPr>
                      <w:color w:val="000000" w:themeColor="text1"/>
                      <w:sz w:val="16"/>
                    </w:rPr>
                    <w:t>(9.882 visitas)</w:t>
                  </w:r>
                </w:p>
              </w:tc>
              <w:tc>
                <w:tcPr>
                  <w:tcW w:w="1080" w:type="dxa"/>
                  <w:tcMar>
                    <w:top w:w="29" w:type="dxa"/>
                    <w:left w:w="0" w:type="dxa"/>
                    <w:bottom w:w="29" w:type="dxa"/>
                    <w:right w:w="0" w:type="dxa"/>
                  </w:tcMar>
                  <w:vAlign w:val="center"/>
                </w:tcPr>
                <w:p w:rsidR="001C19F7" w:rsidRPr="00867291" w:rsidRDefault="001C19F7" w:rsidP="008B1CDA">
                  <w:pPr>
                    <w:jc w:val="center"/>
                    <w:rPr>
                      <w:color w:val="000000" w:themeColor="text1"/>
                      <w:sz w:val="16"/>
                      <w:szCs w:val="16"/>
                    </w:rPr>
                  </w:pPr>
                  <w:r w:rsidRPr="00867291">
                    <w:rPr>
                      <w:color w:val="000000" w:themeColor="text1"/>
                      <w:sz w:val="16"/>
                    </w:rPr>
                    <w:t>+2%</w:t>
                  </w:r>
                </w:p>
                <w:p w:rsidR="001C19F7" w:rsidRPr="00867291" w:rsidRDefault="001C19F7" w:rsidP="008B1CDA">
                  <w:pPr>
                    <w:jc w:val="center"/>
                    <w:rPr>
                      <w:color w:val="000000" w:themeColor="text1"/>
                      <w:sz w:val="16"/>
                      <w:szCs w:val="16"/>
                    </w:rPr>
                  </w:pPr>
                  <w:r w:rsidRPr="00867291">
                    <w:rPr>
                      <w:color w:val="000000" w:themeColor="text1"/>
                      <w:sz w:val="16"/>
                    </w:rPr>
                    <w:t>(10.042 visitas)</w:t>
                  </w:r>
                </w:p>
              </w:tc>
            </w:tr>
          </w:tbl>
          <w:p w:rsidR="001C19F7" w:rsidRPr="00867291" w:rsidRDefault="001C19F7" w:rsidP="008B1CDA">
            <w:pPr>
              <w:rPr>
                <w:color w:val="000000" w:themeColor="text1"/>
                <w:sz w:val="16"/>
                <w:szCs w:val="16"/>
              </w:rPr>
            </w:pPr>
          </w:p>
        </w:tc>
        <w:tc>
          <w:tcPr>
            <w:tcW w:w="641" w:type="pct"/>
            <w:gridSpan w:val="3"/>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right="20"/>
              <w:rPr>
                <w:b/>
                <w:bCs/>
                <w:color w:val="000000" w:themeColor="text1"/>
                <w:sz w:val="16"/>
                <w:szCs w:val="16"/>
              </w:rPr>
            </w:pPr>
          </w:p>
          <w:p w:rsidR="001C19F7" w:rsidRPr="00867291" w:rsidRDefault="001C19F7" w:rsidP="008B1CDA">
            <w:pPr>
              <w:keepNext/>
              <w:keepLines/>
              <w:ind w:right="20"/>
              <w:rPr>
                <w:b/>
                <w:bCs/>
                <w:color w:val="000000" w:themeColor="text1"/>
                <w:sz w:val="8"/>
                <w:szCs w:val="8"/>
              </w:rPr>
            </w:pPr>
          </w:p>
          <w:p w:rsidR="001C19F7" w:rsidRPr="00867291" w:rsidRDefault="001C19F7" w:rsidP="008B1CDA">
            <w:pPr>
              <w:keepNext/>
              <w:keepLines/>
              <w:ind w:left="-117" w:right="-45" w:firstLine="19"/>
              <w:jc w:val="center"/>
              <w:rPr>
                <w:b/>
                <w:bCs/>
                <w:color w:val="000000" w:themeColor="text1"/>
                <w:sz w:val="8"/>
                <w:szCs w:val="8"/>
              </w:rPr>
            </w:pPr>
            <w:r w:rsidRPr="00EF75DA">
              <w:rPr>
                <w:b/>
                <w:bCs/>
                <w:color w:val="808080"/>
                <w:sz w:val="14"/>
                <w:szCs w:val="14"/>
              </w:rPr>
              <w:t>No</w:t>
            </w:r>
            <w:r w:rsidRPr="00867291">
              <w:rPr>
                <w:b/>
                <w:color w:val="000000" w:themeColor="text1"/>
                <w:sz w:val="14"/>
              </w:rPr>
              <w:t xml:space="preserve"> </w:t>
            </w:r>
            <w:r w:rsidRPr="00EF75DA">
              <w:rPr>
                <w:b/>
                <w:bCs/>
                <w:color w:val="808080"/>
                <w:sz w:val="14"/>
                <w:szCs w:val="14"/>
              </w:rPr>
              <w:t>mensurable</w:t>
            </w:r>
          </w:p>
          <w:p w:rsidR="001C19F7" w:rsidRPr="00867291" w:rsidRDefault="001C19F7" w:rsidP="008B1CDA">
            <w:pPr>
              <w:keepNext/>
              <w:keepLines/>
              <w:ind w:right="20"/>
              <w:jc w:val="center"/>
              <w:rPr>
                <w:b/>
                <w:bCs/>
                <w:color w:val="000000" w:themeColor="text1"/>
                <w:sz w:val="4"/>
                <w:szCs w:val="4"/>
              </w:rPr>
            </w:pPr>
          </w:p>
          <w:p w:rsidR="001C19F7" w:rsidRPr="00EF75DA" w:rsidRDefault="00044DA1" w:rsidP="008B1CDA">
            <w:pPr>
              <w:keepNext/>
              <w:keepLines/>
              <w:ind w:right="20"/>
              <w:jc w:val="center"/>
              <w:rPr>
                <w:b/>
                <w:bCs/>
                <w:color w:val="00B050"/>
                <w:sz w:val="16"/>
                <w:szCs w:val="16"/>
              </w:rPr>
            </w:pPr>
            <w:r>
              <w:rPr>
                <w:b/>
                <w:bCs/>
                <w:color w:val="00B050"/>
                <w:sz w:val="16"/>
                <w:szCs w:val="16"/>
              </w:rPr>
              <w:t>Plenamente logrado</w:t>
            </w:r>
          </w:p>
          <w:p w:rsidR="001C19F7" w:rsidRPr="00867291" w:rsidRDefault="001C19F7" w:rsidP="008B1CDA">
            <w:pPr>
              <w:keepNext/>
              <w:keepLines/>
              <w:ind w:right="20"/>
              <w:rPr>
                <w:b/>
                <w:bCs/>
                <w:color w:val="000000" w:themeColor="text1"/>
                <w:sz w:val="4"/>
                <w:szCs w:val="4"/>
              </w:rPr>
            </w:pPr>
          </w:p>
          <w:p w:rsidR="001C19F7" w:rsidRPr="00EF75DA" w:rsidRDefault="00044DA1" w:rsidP="008B1CDA">
            <w:pPr>
              <w:keepNext/>
              <w:spacing w:line="276" w:lineRule="auto"/>
              <w:ind w:right="20"/>
              <w:jc w:val="center"/>
              <w:rPr>
                <w:b/>
                <w:bCs/>
                <w:color w:val="F79646" w:themeColor="accent6"/>
                <w:sz w:val="16"/>
                <w:szCs w:val="16"/>
              </w:rPr>
            </w:pPr>
            <w:r>
              <w:rPr>
                <w:b/>
                <w:bCs/>
                <w:color w:val="F79646" w:themeColor="accent6"/>
                <w:sz w:val="16"/>
                <w:szCs w:val="16"/>
              </w:rPr>
              <w:t>Parcialmente l</w:t>
            </w:r>
            <w:r w:rsidR="001C19F7" w:rsidRPr="00EF75DA">
              <w:rPr>
                <w:b/>
                <w:bCs/>
                <w:color w:val="F79646" w:themeColor="accent6"/>
                <w:sz w:val="16"/>
                <w:szCs w:val="16"/>
              </w:rPr>
              <w:t>ogrado</w:t>
            </w:r>
          </w:p>
          <w:p w:rsidR="001C19F7" w:rsidRPr="00867291" w:rsidRDefault="001C19F7" w:rsidP="008B1CDA">
            <w:pPr>
              <w:keepNext/>
              <w:keepLines/>
              <w:ind w:right="20"/>
              <w:jc w:val="center"/>
              <w:rPr>
                <w:b/>
                <w:bCs/>
                <w:color w:val="000000" w:themeColor="text1"/>
                <w:sz w:val="16"/>
                <w:szCs w:val="16"/>
              </w:rPr>
            </w:pPr>
          </w:p>
        </w:tc>
      </w:tr>
      <w:tr w:rsidR="001C19F7" w:rsidRPr="00867291" w:rsidTr="009B427C">
        <w:tc>
          <w:tcPr>
            <w:tcW w:w="1103" w:type="pct"/>
            <w:tcBorders>
              <w:top w:val="single" w:sz="4" w:space="0" w:color="auto"/>
              <w:left w:val="single" w:sz="4" w:space="0" w:color="auto"/>
              <w:bottom w:val="single" w:sz="4" w:space="0" w:color="auto"/>
              <w:right w:val="nil"/>
            </w:tcBorders>
            <w:shd w:val="clear" w:color="auto" w:fill="auto"/>
          </w:tcPr>
          <w:p w:rsidR="001C19F7" w:rsidRPr="00867291" w:rsidRDefault="001C19F7" w:rsidP="009B427C">
            <w:pPr>
              <w:keepNext/>
              <w:rPr>
                <w:color w:val="000000" w:themeColor="text1"/>
                <w:sz w:val="16"/>
                <w:szCs w:val="16"/>
              </w:rPr>
            </w:pPr>
            <w:r w:rsidRPr="00867291">
              <w:rPr>
                <w:color w:val="000000" w:themeColor="text1"/>
                <w:sz w:val="16"/>
              </w:rPr>
              <w:lastRenderedPageBreak/>
              <w:t>Porcentaje de opiniones favorables de las partes interesadas sobre la misión, las actividades y la imagen institucional de la OMPI</w:t>
            </w:r>
          </w:p>
        </w:tc>
        <w:tc>
          <w:tcPr>
            <w:tcW w:w="902" w:type="pct"/>
            <w:gridSpan w:val="2"/>
            <w:tcBorders>
              <w:top w:val="single" w:sz="4" w:space="0" w:color="auto"/>
              <w:left w:val="nil"/>
              <w:bottom w:val="single" w:sz="4" w:space="0" w:color="auto"/>
              <w:right w:val="nil"/>
            </w:tcBorders>
            <w:shd w:val="clear" w:color="auto" w:fill="auto"/>
          </w:tcPr>
          <w:p w:rsidR="001C19F7" w:rsidRPr="00867291" w:rsidRDefault="001C19F7" w:rsidP="009B427C">
            <w:pPr>
              <w:keepNext/>
              <w:keepLines/>
              <w:rPr>
                <w:color w:val="000000" w:themeColor="text1"/>
                <w:sz w:val="16"/>
                <w:szCs w:val="16"/>
              </w:rPr>
            </w:pPr>
            <w:r w:rsidRPr="00867291">
              <w:rPr>
                <w:color w:val="000000" w:themeColor="text1"/>
                <w:sz w:val="16"/>
              </w:rPr>
              <w:t>N.d. (OOB)</w:t>
            </w:r>
          </w:p>
          <w:p w:rsidR="001C19F7" w:rsidRPr="00867291" w:rsidRDefault="001C19F7" w:rsidP="009B427C">
            <w:pPr>
              <w:keepNext/>
              <w:keepLines/>
              <w:rPr>
                <w:color w:val="000000" w:themeColor="text1"/>
                <w:sz w:val="16"/>
                <w:szCs w:val="16"/>
              </w:rPr>
            </w:pPr>
            <w:r w:rsidRPr="00867291">
              <w:rPr>
                <w:color w:val="000000" w:themeColor="text1"/>
                <w:sz w:val="16"/>
              </w:rPr>
              <w:t>N.d. (OOJ)</w:t>
            </w:r>
          </w:p>
          <w:p w:rsidR="001C19F7" w:rsidRPr="00867291" w:rsidRDefault="001C19F7" w:rsidP="009B427C">
            <w:pPr>
              <w:keepNext/>
              <w:keepLines/>
              <w:rPr>
                <w:i/>
                <w:color w:val="000000" w:themeColor="text1"/>
                <w:sz w:val="16"/>
                <w:szCs w:val="16"/>
              </w:rPr>
            </w:pPr>
            <w:r w:rsidRPr="00867291">
              <w:rPr>
                <w:color w:val="000000" w:themeColor="text1"/>
                <w:sz w:val="16"/>
              </w:rPr>
              <w:t>N.d. (OOS)</w:t>
            </w:r>
          </w:p>
        </w:tc>
        <w:tc>
          <w:tcPr>
            <w:tcW w:w="843" w:type="pct"/>
            <w:gridSpan w:val="5"/>
            <w:tcBorders>
              <w:top w:val="single" w:sz="4" w:space="0" w:color="auto"/>
              <w:left w:val="nil"/>
              <w:bottom w:val="single" w:sz="4" w:space="0" w:color="auto"/>
              <w:right w:val="nil"/>
            </w:tcBorders>
            <w:shd w:val="clear" w:color="auto" w:fill="auto"/>
            <w:tcMar>
              <w:top w:w="110" w:type="dxa"/>
            </w:tcMar>
          </w:tcPr>
          <w:p w:rsidR="001C19F7" w:rsidRPr="00867291" w:rsidRDefault="001C19F7" w:rsidP="009B427C">
            <w:pPr>
              <w:keepNext/>
              <w:keepLines/>
              <w:rPr>
                <w:color w:val="000000" w:themeColor="text1"/>
                <w:sz w:val="16"/>
                <w:szCs w:val="16"/>
              </w:rPr>
            </w:pPr>
            <w:r w:rsidRPr="00867291">
              <w:rPr>
                <w:color w:val="000000" w:themeColor="text1"/>
                <w:sz w:val="16"/>
              </w:rPr>
              <w:t>75% (OOB)</w:t>
            </w:r>
          </w:p>
          <w:p w:rsidR="001C19F7" w:rsidRPr="00867291" w:rsidRDefault="001C19F7" w:rsidP="009B427C">
            <w:pPr>
              <w:keepNext/>
              <w:keepLines/>
              <w:rPr>
                <w:color w:val="000000" w:themeColor="text1"/>
                <w:sz w:val="16"/>
                <w:szCs w:val="16"/>
              </w:rPr>
            </w:pPr>
          </w:p>
          <w:p w:rsidR="001C19F7" w:rsidRPr="00867291" w:rsidRDefault="001C19F7" w:rsidP="009B427C">
            <w:pPr>
              <w:keepNext/>
              <w:keepLines/>
              <w:rPr>
                <w:color w:val="000000" w:themeColor="text1"/>
                <w:sz w:val="16"/>
                <w:szCs w:val="16"/>
              </w:rPr>
            </w:pPr>
            <w:r w:rsidRPr="00867291">
              <w:rPr>
                <w:color w:val="000000" w:themeColor="text1"/>
                <w:sz w:val="16"/>
              </w:rPr>
              <w:t>75% (OOJ)</w:t>
            </w:r>
          </w:p>
          <w:p w:rsidR="001C19F7" w:rsidRPr="00867291" w:rsidRDefault="001C19F7" w:rsidP="009B427C">
            <w:pPr>
              <w:keepNext/>
              <w:keepLines/>
              <w:rPr>
                <w:color w:val="000000" w:themeColor="text1"/>
                <w:sz w:val="16"/>
                <w:szCs w:val="16"/>
              </w:rPr>
            </w:pPr>
          </w:p>
          <w:p w:rsidR="001C19F7" w:rsidRPr="00867291" w:rsidRDefault="001C19F7" w:rsidP="009B427C">
            <w:pPr>
              <w:keepNext/>
              <w:keepLines/>
              <w:ind w:right="-34"/>
              <w:rPr>
                <w:color w:val="000000" w:themeColor="text1"/>
                <w:sz w:val="16"/>
                <w:szCs w:val="16"/>
              </w:rPr>
            </w:pPr>
            <w:r w:rsidRPr="00867291">
              <w:rPr>
                <w:color w:val="000000" w:themeColor="text1"/>
                <w:sz w:val="16"/>
              </w:rPr>
              <w:t>&gt; 70% de los participantes en actividades importantes de la OMPI (OOS)</w:t>
            </w:r>
          </w:p>
        </w:tc>
        <w:tc>
          <w:tcPr>
            <w:tcW w:w="1511" w:type="pct"/>
            <w:gridSpan w:val="4"/>
            <w:tcBorders>
              <w:top w:val="single" w:sz="4" w:space="0" w:color="auto"/>
              <w:left w:val="nil"/>
              <w:bottom w:val="single" w:sz="4" w:space="0" w:color="auto"/>
              <w:right w:val="nil"/>
            </w:tcBorders>
            <w:shd w:val="clear" w:color="auto" w:fill="FFFFFF"/>
            <w:tcMar>
              <w:top w:w="110" w:type="dxa"/>
            </w:tcMar>
          </w:tcPr>
          <w:p w:rsidR="001C19F7" w:rsidRPr="00867291" w:rsidRDefault="001C19F7" w:rsidP="009B427C">
            <w:pPr>
              <w:keepNext/>
              <w:keepLines/>
              <w:rPr>
                <w:color w:val="000000" w:themeColor="text1"/>
                <w:sz w:val="16"/>
                <w:szCs w:val="16"/>
              </w:rPr>
            </w:pPr>
            <w:r w:rsidRPr="00867291">
              <w:rPr>
                <w:color w:val="000000" w:themeColor="text1"/>
                <w:sz w:val="16"/>
              </w:rPr>
              <w:t xml:space="preserve">75% (OOB) </w:t>
            </w:r>
          </w:p>
          <w:p w:rsidR="001C19F7" w:rsidRPr="00867291" w:rsidRDefault="001C19F7" w:rsidP="009B427C">
            <w:pPr>
              <w:keepNext/>
              <w:keepLines/>
              <w:rPr>
                <w:color w:val="000000" w:themeColor="text1"/>
                <w:sz w:val="16"/>
                <w:szCs w:val="16"/>
              </w:rPr>
            </w:pPr>
          </w:p>
          <w:p w:rsidR="001C19F7" w:rsidRPr="00867291" w:rsidRDefault="001C19F7" w:rsidP="009B427C">
            <w:pPr>
              <w:keepNext/>
              <w:keepLines/>
              <w:rPr>
                <w:color w:val="000000" w:themeColor="text1"/>
                <w:sz w:val="16"/>
                <w:szCs w:val="16"/>
              </w:rPr>
            </w:pPr>
            <w:r w:rsidRPr="00867291">
              <w:rPr>
                <w:color w:val="000000" w:themeColor="text1"/>
                <w:sz w:val="16"/>
              </w:rPr>
              <w:t>94% (OOJ)</w:t>
            </w:r>
          </w:p>
          <w:p w:rsidR="001C19F7" w:rsidRPr="00867291" w:rsidRDefault="001C19F7" w:rsidP="009B427C">
            <w:pPr>
              <w:keepNext/>
              <w:keepLines/>
              <w:rPr>
                <w:color w:val="000000" w:themeColor="text1"/>
                <w:sz w:val="16"/>
                <w:szCs w:val="16"/>
              </w:rPr>
            </w:pPr>
          </w:p>
          <w:p w:rsidR="001C19F7" w:rsidRPr="00867291" w:rsidRDefault="001C19F7" w:rsidP="009B427C">
            <w:pPr>
              <w:keepNext/>
              <w:keepLines/>
              <w:rPr>
                <w:color w:val="000000" w:themeColor="text1"/>
                <w:sz w:val="16"/>
                <w:szCs w:val="16"/>
              </w:rPr>
            </w:pPr>
            <w:r w:rsidRPr="00867291">
              <w:rPr>
                <w:color w:val="000000" w:themeColor="text1"/>
                <w:sz w:val="16"/>
              </w:rPr>
              <w:t>90% (OOS)</w:t>
            </w:r>
          </w:p>
        </w:tc>
        <w:tc>
          <w:tcPr>
            <w:tcW w:w="641" w:type="pct"/>
            <w:gridSpan w:val="3"/>
            <w:tcBorders>
              <w:top w:val="single" w:sz="4" w:space="0" w:color="auto"/>
              <w:left w:val="nil"/>
              <w:bottom w:val="single" w:sz="4" w:space="0" w:color="auto"/>
              <w:right w:val="single" w:sz="4" w:space="0" w:color="auto"/>
            </w:tcBorders>
            <w:shd w:val="clear" w:color="auto" w:fill="auto"/>
            <w:tcMar>
              <w:top w:w="110" w:type="dxa"/>
            </w:tcMar>
          </w:tcPr>
          <w:p w:rsidR="001C19F7" w:rsidRPr="00EF75DA" w:rsidRDefault="00044DA1" w:rsidP="009B427C">
            <w:pPr>
              <w:keepNext/>
              <w:keepLines/>
              <w:ind w:right="20"/>
              <w:jc w:val="center"/>
              <w:rPr>
                <w:b/>
                <w:bCs/>
                <w:color w:val="00B050"/>
                <w:sz w:val="16"/>
                <w:szCs w:val="16"/>
              </w:rPr>
            </w:pPr>
            <w:r>
              <w:rPr>
                <w:b/>
                <w:bCs/>
                <w:color w:val="00B050"/>
                <w:sz w:val="16"/>
                <w:szCs w:val="16"/>
              </w:rPr>
              <w:t>Plenamente logrado</w:t>
            </w:r>
          </w:p>
          <w:p w:rsidR="001C19F7" w:rsidRPr="00EF75DA" w:rsidRDefault="00044DA1" w:rsidP="009B427C">
            <w:pPr>
              <w:keepNext/>
              <w:keepLines/>
              <w:ind w:right="20"/>
              <w:jc w:val="center"/>
              <w:rPr>
                <w:b/>
                <w:bCs/>
                <w:color w:val="00B050"/>
                <w:sz w:val="16"/>
                <w:szCs w:val="16"/>
              </w:rPr>
            </w:pPr>
            <w:r>
              <w:rPr>
                <w:b/>
                <w:bCs/>
                <w:color w:val="00B050"/>
                <w:sz w:val="16"/>
                <w:szCs w:val="16"/>
              </w:rPr>
              <w:t>Plenamente logrado</w:t>
            </w:r>
          </w:p>
          <w:p w:rsidR="001C19F7" w:rsidRPr="00EF75DA" w:rsidRDefault="00044DA1" w:rsidP="009B427C">
            <w:pPr>
              <w:keepNext/>
              <w:keepLines/>
              <w:ind w:right="20"/>
              <w:jc w:val="center"/>
              <w:rPr>
                <w:b/>
                <w:bCs/>
                <w:color w:val="00B050"/>
                <w:sz w:val="16"/>
                <w:szCs w:val="16"/>
              </w:rPr>
            </w:pPr>
            <w:r>
              <w:rPr>
                <w:b/>
                <w:bCs/>
                <w:color w:val="00B050"/>
                <w:sz w:val="16"/>
                <w:szCs w:val="16"/>
              </w:rPr>
              <w:t>Plenamente logrado</w:t>
            </w: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9B427C">
            <w:pPr>
              <w:keepNext/>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VIII.2 Mejora en la prestación de servicios y la atención de consultas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575" w:type="pct"/>
            <w:gridSpan w:val="6"/>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576" w:type="pct"/>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rPr>
          <w:trHeight w:val="1258"/>
        </w:trPr>
        <w:tc>
          <w:tcPr>
            <w:tcW w:w="1103" w:type="pct"/>
            <w:tcBorders>
              <w:top w:val="nil"/>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Índice de satisfacción de los clientes y partes interesadas.</w:t>
            </w:r>
          </w:p>
        </w:tc>
        <w:tc>
          <w:tcPr>
            <w:tcW w:w="902" w:type="pct"/>
            <w:gridSpan w:val="2"/>
            <w:tcBorders>
              <w:top w:val="nil"/>
              <w:left w:val="nil"/>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N.d. (OOB)</w:t>
            </w:r>
          </w:p>
          <w:p w:rsidR="001C19F7" w:rsidRPr="00867291" w:rsidRDefault="001C19F7" w:rsidP="008B1CDA">
            <w:pPr>
              <w:rPr>
                <w:color w:val="000000" w:themeColor="text1"/>
                <w:sz w:val="16"/>
                <w:szCs w:val="16"/>
              </w:rPr>
            </w:pPr>
            <w:r w:rsidRPr="00867291">
              <w:rPr>
                <w:color w:val="000000" w:themeColor="text1"/>
                <w:sz w:val="16"/>
              </w:rPr>
              <w:t>N.d. (OOJ)</w:t>
            </w:r>
          </w:p>
          <w:p w:rsidR="001C19F7" w:rsidRPr="00867291" w:rsidRDefault="001C19F7" w:rsidP="008B1CDA">
            <w:pPr>
              <w:rPr>
                <w:i/>
                <w:color w:val="000000" w:themeColor="text1"/>
                <w:sz w:val="16"/>
                <w:szCs w:val="16"/>
              </w:rPr>
            </w:pPr>
            <w:r w:rsidRPr="00867291">
              <w:rPr>
                <w:color w:val="000000" w:themeColor="text1"/>
                <w:sz w:val="16"/>
              </w:rPr>
              <w:t>N.d. (OOS)</w:t>
            </w:r>
          </w:p>
        </w:tc>
        <w:tc>
          <w:tcPr>
            <w:tcW w:w="843" w:type="pct"/>
            <w:gridSpan w:val="5"/>
            <w:tcBorders>
              <w:top w:val="nil"/>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Por determinar (OOB)</w:t>
            </w:r>
          </w:p>
          <w:p w:rsidR="001C19F7" w:rsidRPr="00867291" w:rsidRDefault="001C19F7" w:rsidP="008B1CDA">
            <w:pPr>
              <w:rPr>
                <w:color w:val="000000" w:themeColor="text1"/>
                <w:sz w:val="16"/>
                <w:szCs w:val="16"/>
              </w:rPr>
            </w:pPr>
            <w:r w:rsidRPr="00867291">
              <w:rPr>
                <w:color w:val="000000" w:themeColor="text1"/>
                <w:sz w:val="16"/>
              </w:rPr>
              <w:t>Por determinar (OOJ)</w:t>
            </w:r>
          </w:p>
          <w:p w:rsidR="001C19F7" w:rsidRPr="00867291" w:rsidRDefault="001C19F7" w:rsidP="008B1CDA">
            <w:pPr>
              <w:rPr>
                <w:color w:val="000000" w:themeColor="text1"/>
                <w:sz w:val="16"/>
                <w:szCs w:val="16"/>
              </w:rPr>
            </w:pPr>
            <w:r w:rsidRPr="00867291">
              <w:rPr>
                <w:color w:val="000000" w:themeColor="text1"/>
                <w:sz w:val="16"/>
              </w:rPr>
              <w:t>&gt; 90% de las personas que llaman están satisfechas con el servicio que proporciona la OOS (OOS)</w:t>
            </w:r>
          </w:p>
        </w:tc>
        <w:tc>
          <w:tcPr>
            <w:tcW w:w="1575" w:type="pct"/>
            <w:gridSpan w:val="6"/>
            <w:tcBorders>
              <w:top w:val="nil"/>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No se dispone de datos (OOB)</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El 95% de las personas que llaman están satisfechas (OOJ)</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El 93% de las personas que llaman están satisfechas (OOS)</w:t>
            </w:r>
          </w:p>
        </w:tc>
        <w:tc>
          <w:tcPr>
            <w:tcW w:w="576" w:type="pct"/>
            <w:tcBorders>
              <w:top w:val="nil"/>
              <w:left w:val="nil"/>
              <w:bottom w:val="nil"/>
              <w:right w:val="single" w:sz="4" w:space="0" w:color="auto"/>
            </w:tcBorders>
            <w:shd w:val="clear" w:color="auto" w:fill="auto"/>
            <w:tcMar>
              <w:top w:w="110" w:type="dxa"/>
            </w:tcMar>
          </w:tcPr>
          <w:p w:rsidR="001C19F7" w:rsidRPr="00EF75DA" w:rsidRDefault="001C19F7" w:rsidP="008B1CDA">
            <w:pPr>
              <w:keepNext/>
              <w:keepLines/>
              <w:ind w:left="-117" w:right="20"/>
              <w:jc w:val="center"/>
              <w:rPr>
                <w:b/>
                <w:bCs/>
                <w:color w:val="808080" w:themeColor="background1" w:themeShade="80"/>
                <w:sz w:val="14"/>
                <w:szCs w:val="14"/>
              </w:rPr>
            </w:pPr>
            <w:r w:rsidRPr="00EF75DA">
              <w:rPr>
                <w:b/>
                <w:bCs/>
                <w:color w:val="808080" w:themeColor="background1" w:themeShade="80"/>
                <w:sz w:val="14"/>
                <w:szCs w:val="14"/>
              </w:rPr>
              <w:t>No mensurable</w:t>
            </w:r>
          </w:p>
          <w:p w:rsidR="001C19F7" w:rsidRPr="00EF75DA" w:rsidRDefault="001C19F7" w:rsidP="008B1CDA">
            <w:pPr>
              <w:keepNext/>
              <w:keepLines/>
              <w:ind w:left="-117" w:right="20"/>
              <w:jc w:val="center"/>
              <w:rPr>
                <w:b/>
                <w:bCs/>
                <w:color w:val="808080" w:themeColor="background1" w:themeShade="80"/>
                <w:sz w:val="14"/>
                <w:szCs w:val="14"/>
              </w:rPr>
            </w:pPr>
            <w:r w:rsidRPr="00EF75DA">
              <w:rPr>
                <w:b/>
                <w:bCs/>
                <w:color w:val="808080" w:themeColor="background1" w:themeShade="80"/>
                <w:sz w:val="14"/>
                <w:szCs w:val="14"/>
              </w:rPr>
              <w:t>No mensurable</w:t>
            </w:r>
          </w:p>
          <w:p w:rsidR="001C19F7" w:rsidRPr="00867291" w:rsidRDefault="00044DA1" w:rsidP="008B1CDA">
            <w:pPr>
              <w:keepNext/>
              <w:keepLines/>
              <w:ind w:left="-117" w:right="20"/>
              <w:jc w:val="center"/>
              <w:rPr>
                <w:b/>
                <w:bCs/>
                <w:color w:val="000000" w:themeColor="text1"/>
                <w:sz w:val="16"/>
                <w:szCs w:val="16"/>
              </w:rPr>
            </w:pPr>
            <w:r>
              <w:rPr>
                <w:b/>
                <w:bCs/>
                <w:color w:val="00B050"/>
                <w:sz w:val="16"/>
                <w:szCs w:val="16"/>
              </w:rPr>
              <w:t>Plenamente logrado</w:t>
            </w:r>
          </w:p>
        </w:tc>
      </w:tr>
      <w:tr w:rsidR="001C19F7" w:rsidRPr="00867291" w:rsidTr="008B1CDA">
        <w:trPr>
          <w:trHeight w:val="1510"/>
        </w:trPr>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Duración de la tramitación de las peticiones de información</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spacing w:after="120"/>
              <w:rPr>
                <w:color w:val="000000" w:themeColor="text1"/>
                <w:sz w:val="16"/>
                <w:szCs w:val="16"/>
              </w:rPr>
            </w:pPr>
            <w:r w:rsidRPr="00867291">
              <w:rPr>
                <w:color w:val="000000" w:themeColor="text1"/>
                <w:sz w:val="16"/>
              </w:rPr>
              <w:t>N.d. (OOB)</w:t>
            </w:r>
          </w:p>
          <w:p w:rsidR="001C19F7" w:rsidRPr="00867291" w:rsidRDefault="001C19F7" w:rsidP="008B1CDA">
            <w:pPr>
              <w:spacing w:after="120"/>
              <w:rPr>
                <w:color w:val="000000" w:themeColor="text1"/>
                <w:sz w:val="16"/>
                <w:szCs w:val="16"/>
              </w:rPr>
            </w:pPr>
            <w:r w:rsidRPr="00867291">
              <w:rPr>
                <w:color w:val="000000" w:themeColor="text1"/>
                <w:sz w:val="16"/>
              </w:rPr>
              <w:t>N.d. (OOJ)</w:t>
            </w:r>
          </w:p>
          <w:p w:rsidR="001C19F7" w:rsidRPr="00867291" w:rsidRDefault="001C19F7" w:rsidP="008B1CDA">
            <w:pPr>
              <w:spacing w:after="120"/>
              <w:rPr>
                <w:color w:val="000000" w:themeColor="text1"/>
                <w:sz w:val="16"/>
                <w:szCs w:val="16"/>
              </w:rPr>
            </w:pPr>
            <w:r w:rsidRPr="00867291">
              <w:rPr>
                <w:color w:val="000000" w:themeColor="text1"/>
                <w:sz w:val="16"/>
              </w:rPr>
              <w:t>N.d. (OOS)</w:t>
            </w: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spacing w:after="120"/>
              <w:rPr>
                <w:color w:val="000000" w:themeColor="text1"/>
                <w:sz w:val="16"/>
                <w:szCs w:val="16"/>
              </w:rPr>
            </w:pPr>
            <w:r w:rsidRPr="00867291">
              <w:rPr>
                <w:color w:val="000000" w:themeColor="text1"/>
                <w:sz w:val="16"/>
              </w:rPr>
              <w:t>Por determinar (OOB)</w:t>
            </w:r>
          </w:p>
          <w:p w:rsidR="001C19F7" w:rsidRPr="00867291" w:rsidRDefault="001C19F7" w:rsidP="008B1CDA">
            <w:pPr>
              <w:spacing w:after="120"/>
              <w:rPr>
                <w:color w:val="000000" w:themeColor="text1"/>
                <w:sz w:val="16"/>
                <w:szCs w:val="16"/>
              </w:rPr>
            </w:pPr>
            <w:r w:rsidRPr="00867291">
              <w:rPr>
                <w:color w:val="000000" w:themeColor="text1"/>
                <w:sz w:val="16"/>
              </w:rPr>
              <w:t>Por determinar (OOJ)</w:t>
            </w:r>
          </w:p>
          <w:p w:rsidR="001C19F7" w:rsidRPr="00867291" w:rsidRDefault="001C19F7" w:rsidP="008B1CDA">
            <w:pPr>
              <w:spacing w:after="120"/>
              <w:rPr>
                <w:color w:val="000000" w:themeColor="text1"/>
                <w:sz w:val="16"/>
                <w:szCs w:val="16"/>
              </w:rPr>
            </w:pPr>
            <w:r w:rsidRPr="00867291">
              <w:rPr>
                <w:color w:val="000000" w:themeColor="text1"/>
                <w:sz w:val="16"/>
              </w:rPr>
              <w:t>En el 95% de los casos se responde en un plazo de tres días laborables (OOS)</w:t>
            </w:r>
          </w:p>
        </w:tc>
        <w:tc>
          <w:tcPr>
            <w:tcW w:w="1575" w:type="pct"/>
            <w:gridSpan w:val="6"/>
            <w:tcBorders>
              <w:top w:val="nil"/>
              <w:left w:val="nil"/>
              <w:bottom w:val="single" w:sz="4" w:space="0" w:color="auto"/>
              <w:right w:val="nil"/>
            </w:tcBorders>
            <w:shd w:val="clear" w:color="auto" w:fill="FFFFFF"/>
            <w:tcMar>
              <w:top w:w="110" w:type="dxa"/>
            </w:tcMar>
          </w:tcPr>
          <w:p w:rsidR="001C19F7" w:rsidRPr="00867291" w:rsidRDefault="001C19F7" w:rsidP="008B1CDA">
            <w:pPr>
              <w:spacing w:after="120"/>
              <w:rPr>
                <w:color w:val="000000" w:themeColor="text1"/>
                <w:sz w:val="16"/>
                <w:szCs w:val="16"/>
              </w:rPr>
            </w:pPr>
            <w:r w:rsidRPr="00867291">
              <w:rPr>
                <w:color w:val="000000" w:themeColor="text1"/>
                <w:sz w:val="16"/>
              </w:rPr>
              <w:t>No se dispone de datos (OOB)</w:t>
            </w:r>
          </w:p>
          <w:p w:rsidR="001C19F7" w:rsidRPr="00867291" w:rsidRDefault="001C19F7" w:rsidP="008B1CDA">
            <w:pPr>
              <w:spacing w:after="120"/>
              <w:rPr>
                <w:color w:val="000000" w:themeColor="text1"/>
                <w:sz w:val="16"/>
                <w:szCs w:val="16"/>
              </w:rPr>
            </w:pPr>
            <w:r w:rsidRPr="00867291">
              <w:rPr>
                <w:color w:val="000000" w:themeColor="text1"/>
                <w:sz w:val="16"/>
              </w:rPr>
              <w:t>En el 99% de los casos se responde en un plazo de tres días laborables (OOJ)</w:t>
            </w:r>
          </w:p>
          <w:p w:rsidR="001C19F7" w:rsidRPr="00867291" w:rsidRDefault="001C19F7" w:rsidP="008B1CDA">
            <w:pPr>
              <w:spacing w:after="120"/>
              <w:rPr>
                <w:color w:val="000000" w:themeColor="text1"/>
                <w:sz w:val="16"/>
                <w:szCs w:val="16"/>
              </w:rPr>
            </w:pPr>
            <w:r w:rsidRPr="00867291">
              <w:rPr>
                <w:color w:val="000000" w:themeColor="text1"/>
                <w:sz w:val="16"/>
              </w:rPr>
              <w:t>En el 95% de los casos se responde en un plazo de tres días laborables (OOS)</w:t>
            </w:r>
          </w:p>
        </w:tc>
        <w:tc>
          <w:tcPr>
            <w:tcW w:w="576" w:type="pct"/>
            <w:tcBorders>
              <w:top w:val="nil"/>
              <w:left w:val="nil"/>
              <w:bottom w:val="single" w:sz="4" w:space="0" w:color="auto"/>
              <w:right w:val="single" w:sz="4" w:space="0" w:color="auto"/>
            </w:tcBorders>
            <w:shd w:val="clear" w:color="auto" w:fill="auto"/>
            <w:tcMar>
              <w:top w:w="110" w:type="dxa"/>
            </w:tcMar>
          </w:tcPr>
          <w:p w:rsidR="001C19F7" w:rsidRPr="00EF75DA" w:rsidRDefault="001C19F7" w:rsidP="008B1CDA">
            <w:pPr>
              <w:keepNext/>
              <w:keepLines/>
              <w:ind w:left="-117" w:right="20"/>
              <w:jc w:val="center"/>
              <w:rPr>
                <w:b/>
                <w:bCs/>
                <w:color w:val="808080" w:themeColor="background1" w:themeShade="80"/>
                <w:sz w:val="14"/>
                <w:szCs w:val="14"/>
              </w:rPr>
            </w:pPr>
            <w:r w:rsidRPr="00EF75DA">
              <w:rPr>
                <w:b/>
                <w:bCs/>
                <w:color w:val="808080" w:themeColor="background1" w:themeShade="80"/>
                <w:sz w:val="14"/>
                <w:szCs w:val="14"/>
              </w:rPr>
              <w:t>No mensurable</w:t>
            </w:r>
          </w:p>
          <w:p w:rsidR="001C19F7" w:rsidRPr="00EF75DA" w:rsidRDefault="001C19F7" w:rsidP="008B1CDA">
            <w:pPr>
              <w:keepNext/>
              <w:keepLines/>
              <w:ind w:left="-117" w:right="20"/>
              <w:jc w:val="center"/>
              <w:rPr>
                <w:b/>
                <w:bCs/>
                <w:color w:val="808080" w:themeColor="background1" w:themeShade="80"/>
                <w:sz w:val="14"/>
                <w:szCs w:val="14"/>
              </w:rPr>
            </w:pPr>
            <w:r w:rsidRPr="00EF75DA">
              <w:rPr>
                <w:b/>
                <w:bCs/>
                <w:color w:val="808080" w:themeColor="background1" w:themeShade="80"/>
                <w:sz w:val="14"/>
                <w:szCs w:val="14"/>
              </w:rPr>
              <w:t>No mensurable</w:t>
            </w:r>
          </w:p>
          <w:p w:rsidR="001C19F7" w:rsidRPr="00867291" w:rsidRDefault="001C19F7" w:rsidP="008B1CDA">
            <w:pPr>
              <w:keepNext/>
              <w:keepLines/>
              <w:ind w:left="-117" w:right="20"/>
              <w:jc w:val="center"/>
              <w:rPr>
                <w:b/>
                <w:bCs/>
                <w:color w:val="000000" w:themeColor="text1"/>
                <w:sz w:val="12"/>
                <w:szCs w:val="16"/>
              </w:rPr>
            </w:pPr>
          </w:p>
          <w:p w:rsidR="001C19F7" w:rsidRPr="00867291" w:rsidRDefault="00044DA1" w:rsidP="008B1CDA">
            <w:pPr>
              <w:keepNext/>
              <w:keepLines/>
              <w:ind w:left="-117" w:right="20"/>
              <w:jc w:val="center"/>
              <w:rPr>
                <w:b/>
                <w:bCs/>
                <w:color w:val="000000" w:themeColor="text1"/>
                <w:sz w:val="16"/>
                <w:szCs w:val="16"/>
              </w:rPr>
            </w:pPr>
            <w:r>
              <w:rPr>
                <w:b/>
                <w:bCs/>
                <w:color w:val="00B050"/>
                <w:sz w:val="16"/>
                <w:szCs w:val="16"/>
              </w:rPr>
              <w:t>Plenamente logrado</w:t>
            </w: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8B1CDA">
            <w:pPr>
              <w:keepNext/>
              <w:keepLines/>
              <w:spacing w:before="120" w:after="120"/>
              <w:ind w:left="1985" w:hanging="1985"/>
              <w:rPr>
                <w:b/>
                <w:bCs/>
                <w:color w:val="000000" w:themeColor="text1"/>
                <w:sz w:val="16"/>
                <w:szCs w:val="16"/>
              </w:rPr>
            </w:pPr>
            <w:r w:rsidRPr="00867291">
              <w:rPr>
                <w:b/>
                <w:color w:val="000000" w:themeColor="text1"/>
                <w:sz w:val="16"/>
              </w:rPr>
              <w:t>Resultado previsto:</w:t>
            </w:r>
            <w:r w:rsidRPr="00867291">
              <w:rPr>
                <w:color w:val="000000" w:themeColor="text1"/>
              </w:rPr>
              <w:tab/>
            </w:r>
            <w:r w:rsidRPr="00867291">
              <w:rPr>
                <w:color w:val="000000" w:themeColor="text1"/>
                <w:sz w:val="16"/>
              </w:rPr>
              <w:t>VIII.4 Intercambios abiertos, transparentes y dinámicos con las organizaciones no gubernamentales</w:t>
            </w:r>
          </w:p>
        </w:tc>
      </w:tr>
      <w:tr w:rsidR="001C19F7" w:rsidRPr="00867291" w:rsidTr="008B1CDA">
        <w:tc>
          <w:tcPr>
            <w:tcW w:w="1103" w:type="pct"/>
            <w:tcBorders>
              <w:top w:val="single" w:sz="4" w:space="0" w:color="auto"/>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8B1CDA">
            <w:pPr>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b/>
                <w:color w:val="000000" w:themeColor="text1"/>
                <w:sz w:val="16"/>
              </w:rPr>
              <w:t>Objetivos</w:t>
            </w:r>
          </w:p>
        </w:tc>
        <w:tc>
          <w:tcPr>
            <w:tcW w:w="1569" w:type="pct"/>
            <w:gridSpan w:val="5"/>
            <w:tcBorders>
              <w:top w:val="single" w:sz="4" w:space="0" w:color="auto"/>
              <w:left w:val="nil"/>
              <w:bottom w:val="nil"/>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b/>
                <w:color w:val="000000" w:themeColor="text1"/>
                <w:sz w:val="16"/>
              </w:rPr>
              <w:t>Datos sobre el rendimiento</w:t>
            </w:r>
          </w:p>
        </w:tc>
        <w:tc>
          <w:tcPr>
            <w:tcW w:w="583" w:type="pct"/>
            <w:gridSpan w:val="2"/>
            <w:tcBorders>
              <w:top w:val="single" w:sz="4" w:space="0" w:color="auto"/>
              <w:left w:val="nil"/>
              <w:bottom w:val="nil"/>
              <w:right w:val="single" w:sz="4" w:space="0" w:color="auto"/>
            </w:tcBorders>
            <w:shd w:val="clear" w:color="auto" w:fill="auto"/>
            <w:tcMar>
              <w:top w:w="110" w:type="dxa"/>
            </w:tcMar>
          </w:tcPr>
          <w:p w:rsidR="001C19F7" w:rsidRPr="00867291" w:rsidRDefault="001C19F7" w:rsidP="008B1CDA">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8B1CDA">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Participación eficaz y en mayor grado de las partes interesadas no gubernamentales en las actividades de la OMPI y viceversa</w:t>
            </w: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spacing w:after="160"/>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p>
          <w:p w:rsidR="001C19F7" w:rsidRPr="00867291" w:rsidRDefault="001C19F7" w:rsidP="008B1CDA">
            <w:pPr>
              <w:spacing w:after="160"/>
              <w:rPr>
                <w:color w:val="000000" w:themeColor="text1"/>
                <w:sz w:val="16"/>
                <w:szCs w:val="16"/>
              </w:rPr>
            </w:pPr>
            <w:r w:rsidRPr="00EF75DA">
              <w:rPr>
                <w:color w:val="002060"/>
                <w:sz w:val="16"/>
                <w:szCs w:val="16"/>
                <w:lang w:eastAsia="en-US"/>
              </w:rPr>
              <w:t>Al 31 de diciembre de 2013 habían asistido a sesiones de comités de la OMPI 227 representantes de ONG que gozan de la condición de observador permanente</w:t>
            </w:r>
          </w:p>
          <w:p w:rsidR="001C19F7" w:rsidRPr="00867291" w:rsidRDefault="001C19F7" w:rsidP="008B1CDA">
            <w:pPr>
              <w:rPr>
                <w:i/>
                <w:color w:val="000000" w:themeColor="text1"/>
                <w:sz w:val="16"/>
                <w:szCs w:val="16"/>
              </w:rPr>
            </w:pPr>
            <w:r w:rsidRPr="00867291">
              <w:rPr>
                <w:i/>
                <w:color w:val="000000" w:themeColor="text1"/>
                <w:sz w:val="16"/>
              </w:rPr>
              <w:t xml:space="preserve">Referencia original en el presupuesto de 2014/15: </w:t>
            </w:r>
            <w:r w:rsidRPr="00867291">
              <w:rPr>
                <w:color w:val="000000" w:themeColor="text1"/>
                <w:sz w:val="16"/>
              </w:rPr>
              <w:t>por determinar</w:t>
            </w: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Aumento del 10% en la participación de diversas partes interesadas</w:t>
            </w:r>
          </w:p>
          <w:p w:rsidR="001C19F7" w:rsidRPr="00867291" w:rsidRDefault="001C19F7" w:rsidP="008B1CDA">
            <w:pPr>
              <w:rPr>
                <w:color w:val="000000" w:themeColor="text1"/>
                <w:sz w:val="16"/>
                <w:szCs w:val="16"/>
              </w:rPr>
            </w:pPr>
          </w:p>
        </w:tc>
        <w:tc>
          <w:tcPr>
            <w:tcW w:w="1569" w:type="pct"/>
            <w:gridSpan w:val="5"/>
            <w:tcBorders>
              <w:top w:val="nil"/>
              <w:left w:val="nil"/>
              <w:bottom w:val="single" w:sz="4" w:space="0" w:color="auto"/>
              <w:right w:val="nil"/>
            </w:tcBorders>
            <w:shd w:val="clear" w:color="auto" w:fill="FFFFFF"/>
            <w:tcMar>
              <w:top w:w="110" w:type="dxa"/>
            </w:tcMar>
          </w:tcPr>
          <w:p w:rsidR="001C19F7" w:rsidRPr="00867291" w:rsidRDefault="001C19F7" w:rsidP="008B1CDA">
            <w:pPr>
              <w:rPr>
                <w:color w:val="000000" w:themeColor="text1"/>
                <w:sz w:val="16"/>
                <w:szCs w:val="16"/>
              </w:rPr>
            </w:pPr>
            <w:r w:rsidRPr="00867291">
              <w:rPr>
                <w:color w:val="000000" w:themeColor="text1"/>
                <w:sz w:val="16"/>
              </w:rPr>
              <w:t>En 2014, 292 representantes de ONG con acreditación permanente asistieron a sesiones de comités de la OMPI (13), es decir, el 71,4% del número total de observadores presentes en esas reuniones.</w:t>
            </w:r>
          </w:p>
          <w:p w:rsidR="001C19F7" w:rsidRPr="00867291" w:rsidRDefault="001C19F7" w:rsidP="008B1CDA">
            <w:pPr>
              <w:rPr>
                <w:color w:val="000000" w:themeColor="text1"/>
                <w:sz w:val="16"/>
                <w:szCs w:val="16"/>
              </w:rPr>
            </w:pPr>
          </w:p>
          <w:p w:rsidR="001C19F7" w:rsidRPr="00867291" w:rsidRDefault="001C19F7" w:rsidP="008B1CDA">
            <w:pPr>
              <w:rPr>
                <w:color w:val="000000" w:themeColor="text1"/>
                <w:sz w:val="16"/>
                <w:szCs w:val="16"/>
              </w:rPr>
            </w:pPr>
            <w:r w:rsidRPr="00867291">
              <w:rPr>
                <w:color w:val="000000" w:themeColor="text1"/>
                <w:sz w:val="16"/>
              </w:rPr>
              <w:t>En 2015, 196 representantes de ONG con acreditación permanente asistieron a sesiones de comités de la OMPI, es decir, el 85,3% del número total de observadores presentes en esas reuniones, lo que implica un aumento del 13,9% con respecto a 2014.</w:t>
            </w:r>
          </w:p>
        </w:tc>
        <w:tc>
          <w:tcPr>
            <w:tcW w:w="583" w:type="pct"/>
            <w:gridSpan w:val="2"/>
            <w:tcBorders>
              <w:top w:val="nil"/>
              <w:left w:val="nil"/>
              <w:bottom w:val="single" w:sz="4" w:space="0" w:color="auto"/>
              <w:right w:val="single" w:sz="4" w:space="0" w:color="auto"/>
            </w:tcBorders>
            <w:shd w:val="clear" w:color="auto" w:fill="auto"/>
            <w:tcMar>
              <w:top w:w="110" w:type="dxa"/>
            </w:tcMar>
          </w:tcPr>
          <w:p w:rsidR="001C19F7" w:rsidRPr="00867291" w:rsidRDefault="00044DA1" w:rsidP="008B1CDA">
            <w:pPr>
              <w:keepNext/>
              <w:keepLines/>
              <w:ind w:left="-107" w:right="20"/>
              <w:jc w:val="center"/>
              <w:rPr>
                <w:b/>
                <w:bCs/>
                <w:color w:val="000000" w:themeColor="text1"/>
                <w:sz w:val="16"/>
                <w:szCs w:val="16"/>
              </w:rPr>
            </w:pPr>
            <w:r>
              <w:rPr>
                <w:b/>
                <w:bCs/>
                <w:color w:val="00B050"/>
                <w:sz w:val="16"/>
                <w:szCs w:val="16"/>
                <w:lang w:val="en-US"/>
              </w:rPr>
              <w:t>Plenamente logrado</w:t>
            </w:r>
          </w:p>
        </w:tc>
      </w:tr>
      <w:tr w:rsidR="001C19F7" w:rsidRPr="00867291" w:rsidTr="008B1CDA">
        <w:tc>
          <w:tcPr>
            <w:tcW w:w="5000" w:type="pct"/>
            <w:gridSpan w:val="15"/>
            <w:tcBorders>
              <w:top w:val="single" w:sz="4" w:space="0" w:color="auto"/>
              <w:bottom w:val="single" w:sz="4" w:space="0" w:color="auto"/>
            </w:tcBorders>
            <w:shd w:val="clear" w:color="auto" w:fill="C6D9F1" w:themeFill="text2" w:themeFillTint="33"/>
          </w:tcPr>
          <w:p w:rsidR="001C19F7" w:rsidRPr="00867291" w:rsidRDefault="001C19F7" w:rsidP="00E37C27">
            <w:pPr>
              <w:keepNext/>
              <w:spacing w:before="120" w:after="120"/>
              <w:ind w:left="1985" w:hanging="1985"/>
              <w:rPr>
                <w:b/>
                <w:bCs/>
                <w:color w:val="000000" w:themeColor="text1"/>
                <w:sz w:val="16"/>
                <w:szCs w:val="16"/>
              </w:rPr>
            </w:pPr>
            <w:r w:rsidRPr="00867291">
              <w:rPr>
                <w:b/>
                <w:color w:val="000000" w:themeColor="text1"/>
                <w:sz w:val="16"/>
              </w:rPr>
              <w:lastRenderedPageBreak/>
              <w:t>Resultado previsto:</w:t>
            </w:r>
            <w:r w:rsidRPr="00867291">
              <w:rPr>
                <w:color w:val="000000" w:themeColor="text1"/>
              </w:rPr>
              <w:tab/>
            </w:r>
            <w:r w:rsidRPr="00867291">
              <w:rPr>
                <w:color w:val="000000" w:themeColor="text1"/>
                <w:sz w:val="16"/>
              </w:rPr>
              <w:t>VIII.5 La OMPI participa y colabora eficazmente en los procesos y negociaciones de las NN.UU. y otras OIG</w:t>
            </w:r>
          </w:p>
        </w:tc>
      </w:tr>
      <w:tr w:rsidR="001C19F7" w:rsidRPr="00867291" w:rsidTr="002005BB">
        <w:tc>
          <w:tcPr>
            <w:tcW w:w="1103" w:type="pct"/>
            <w:tcBorders>
              <w:top w:val="single" w:sz="4" w:space="0" w:color="auto"/>
              <w:left w:val="single" w:sz="4" w:space="0" w:color="auto"/>
              <w:bottom w:val="nil"/>
              <w:right w:val="nil"/>
            </w:tcBorders>
            <w:shd w:val="clear" w:color="auto" w:fill="auto"/>
          </w:tcPr>
          <w:p w:rsidR="001C19F7" w:rsidRPr="00867291" w:rsidRDefault="001C19F7" w:rsidP="00E37C27">
            <w:pPr>
              <w:keepNext/>
              <w:rPr>
                <w:color w:val="000000" w:themeColor="text1"/>
                <w:sz w:val="16"/>
                <w:szCs w:val="16"/>
              </w:rPr>
            </w:pPr>
            <w:r w:rsidRPr="00867291">
              <w:rPr>
                <w:b/>
                <w:color w:val="000000" w:themeColor="text1"/>
                <w:sz w:val="16"/>
              </w:rPr>
              <w:t>Indicadores de rendimiento</w:t>
            </w:r>
          </w:p>
        </w:tc>
        <w:tc>
          <w:tcPr>
            <w:tcW w:w="902" w:type="pct"/>
            <w:gridSpan w:val="2"/>
            <w:tcBorders>
              <w:top w:val="single" w:sz="4" w:space="0" w:color="auto"/>
              <w:left w:val="nil"/>
              <w:bottom w:val="nil"/>
              <w:right w:val="nil"/>
            </w:tcBorders>
            <w:shd w:val="clear" w:color="auto" w:fill="auto"/>
          </w:tcPr>
          <w:p w:rsidR="001C19F7" w:rsidRPr="00867291" w:rsidRDefault="001C19F7" w:rsidP="00E37C27">
            <w:pPr>
              <w:keepNext/>
              <w:rPr>
                <w:i/>
                <w:color w:val="000000" w:themeColor="text1"/>
                <w:sz w:val="16"/>
                <w:szCs w:val="16"/>
              </w:rPr>
            </w:pPr>
            <w:r w:rsidRPr="00867291">
              <w:rPr>
                <w:b/>
                <w:color w:val="000000" w:themeColor="text1"/>
                <w:sz w:val="16"/>
              </w:rPr>
              <w:t>Referencia</w:t>
            </w:r>
          </w:p>
        </w:tc>
        <w:tc>
          <w:tcPr>
            <w:tcW w:w="843" w:type="pct"/>
            <w:gridSpan w:val="5"/>
            <w:tcBorders>
              <w:top w:val="single" w:sz="4" w:space="0" w:color="auto"/>
              <w:left w:val="nil"/>
              <w:bottom w:val="nil"/>
              <w:right w:val="nil"/>
            </w:tcBorders>
            <w:shd w:val="clear" w:color="auto" w:fill="auto"/>
            <w:tcMar>
              <w:top w:w="110" w:type="dxa"/>
            </w:tcMar>
          </w:tcPr>
          <w:p w:rsidR="001C19F7" w:rsidRPr="00867291" w:rsidRDefault="001C19F7" w:rsidP="00E37C27">
            <w:pPr>
              <w:keepNext/>
              <w:rPr>
                <w:color w:val="000000" w:themeColor="text1"/>
                <w:sz w:val="16"/>
                <w:szCs w:val="16"/>
              </w:rPr>
            </w:pPr>
            <w:r w:rsidRPr="00867291">
              <w:rPr>
                <w:b/>
                <w:color w:val="000000" w:themeColor="text1"/>
                <w:sz w:val="16"/>
              </w:rPr>
              <w:t>Objetivos</w:t>
            </w:r>
          </w:p>
        </w:tc>
        <w:tc>
          <w:tcPr>
            <w:tcW w:w="1575" w:type="pct"/>
            <w:gridSpan w:val="6"/>
            <w:tcBorders>
              <w:top w:val="single" w:sz="4" w:space="0" w:color="auto"/>
              <w:left w:val="nil"/>
              <w:bottom w:val="nil"/>
              <w:right w:val="nil"/>
            </w:tcBorders>
            <w:shd w:val="clear" w:color="auto" w:fill="FFFFFF"/>
            <w:tcMar>
              <w:top w:w="110" w:type="dxa"/>
            </w:tcMar>
          </w:tcPr>
          <w:p w:rsidR="001C19F7" w:rsidRPr="00867291" w:rsidRDefault="001C19F7" w:rsidP="00E37C27">
            <w:pPr>
              <w:keepNext/>
              <w:rPr>
                <w:color w:val="000000" w:themeColor="text1"/>
                <w:sz w:val="16"/>
                <w:szCs w:val="16"/>
              </w:rPr>
            </w:pPr>
            <w:r w:rsidRPr="00867291">
              <w:rPr>
                <w:b/>
                <w:color w:val="000000" w:themeColor="text1"/>
                <w:sz w:val="16"/>
              </w:rPr>
              <w:t>Datos sobre el rendimiento</w:t>
            </w:r>
          </w:p>
        </w:tc>
        <w:tc>
          <w:tcPr>
            <w:tcW w:w="576" w:type="pct"/>
            <w:tcBorders>
              <w:top w:val="single" w:sz="4" w:space="0" w:color="auto"/>
              <w:left w:val="nil"/>
              <w:bottom w:val="nil"/>
              <w:right w:val="single" w:sz="4" w:space="0" w:color="auto"/>
            </w:tcBorders>
            <w:shd w:val="clear" w:color="auto" w:fill="auto"/>
            <w:tcMar>
              <w:top w:w="110" w:type="dxa"/>
            </w:tcMar>
          </w:tcPr>
          <w:p w:rsidR="001C19F7" w:rsidRPr="00867291" w:rsidRDefault="001C19F7" w:rsidP="00E37C27">
            <w:pPr>
              <w:keepNext/>
              <w:keepLines/>
              <w:ind w:left="71" w:right="20"/>
              <w:jc w:val="center"/>
              <w:rPr>
                <w:b/>
                <w:bCs/>
                <w:color w:val="000000" w:themeColor="text1"/>
                <w:sz w:val="16"/>
                <w:szCs w:val="16"/>
              </w:rPr>
            </w:pPr>
            <w:r w:rsidRPr="00867291">
              <w:rPr>
                <w:b/>
                <w:color w:val="000000" w:themeColor="text1"/>
                <w:sz w:val="16"/>
              </w:rPr>
              <w:t>Clave de colores</w:t>
            </w:r>
          </w:p>
        </w:tc>
      </w:tr>
      <w:tr w:rsidR="001C19F7" w:rsidRPr="00867291" w:rsidTr="002005BB">
        <w:trPr>
          <w:trHeight w:val="1887"/>
        </w:trPr>
        <w:tc>
          <w:tcPr>
            <w:tcW w:w="1103" w:type="pct"/>
            <w:tcBorders>
              <w:top w:val="nil"/>
              <w:left w:val="single" w:sz="4" w:space="0" w:color="auto"/>
              <w:bottom w:val="nil"/>
              <w:right w:val="nil"/>
            </w:tcBorders>
            <w:shd w:val="clear" w:color="auto" w:fill="auto"/>
          </w:tcPr>
          <w:p w:rsidR="001C19F7" w:rsidRPr="00867291" w:rsidRDefault="001C19F7" w:rsidP="00E37C27">
            <w:pPr>
              <w:keepNext/>
              <w:rPr>
                <w:color w:val="000000" w:themeColor="text1"/>
                <w:sz w:val="16"/>
                <w:szCs w:val="16"/>
              </w:rPr>
            </w:pPr>
            <w:r w:rsidRPr="00867291">
              <w:rPr>
                <w:color w:val="000000" w:themeColor="text1"/>
                <w:sz w:val="16"/>
              </w:rPr>
              <w:t>Utilización de las aportaciones de la OMPI en informes, resoluciones y documentos de procesos de las partes interesadas</w:t>
            </w:r>
          </w:p>
        </w:tc>
        <w:tc>
          <w:tcPr>
            <w:tcW w:w="902" w:type="pct"/>
            <w:gridSpan w:val="2"/>
            <w:tcBorders>
              <w:top w:val="nil"/>
              <w:left w:val="nil"/>
              <w:bottom w:val="nil"/>
              <w:right w:val="nil"/>
            </w:tcBorders>
            <w:shd w:val="clear" w:color="auto" w:fill="auto"/>
          </w:tcPr>
          <w:p w:rsidR="001C19F7" w:rsidRPr="00867291" w:rsidRDefault="001C19F7" w:rsidP="00E37C27">
            <w:pPr>
              <w:keepNext/>
              <w:rPr>
                <w:i/>
                <w:color w:val="000000" w:themeColor="text1"/>
                <w:sz w:val="16"/>
                <w:szCs w:val="16"/>
              </w:rPr>
            </w:pPr>
            <w:r w:rsidRPr="00EF75DA">
              <w:rPr>
                <w:i/>
                <w:color w:val="002060"/>
                <w:sz w:val="16"/>
                <w:szCs w:val="16"/>
                <w:lang w:eastAsia="en-US"/>
              </w:rPr>
              <w:t>Referencia actualizada a fines de 2013:</w:t>
            </w:r>
            <w:r w:rsidRPr="00867291">
              <w:rPr>
                <w:i/>
                <w:color w:val="000000" w:themeColor="text1"/>
                <w:sz w:val="16"/>
              </w:rPr>
              <w:t xml:space="preserve">  </w:t>
            </w:r>
            <w:r w:rsidRPr="00EF75DA">
              <w:rPr>
                <w:color w:val="002060"/>
                <w:sz w:val="16"/>
                <w:szCs w:val="16"/>
                <w:lang w:eastAsia="en-US"/>
              </w:rPr>
              <w:t xml:space="preserve">38 aportaciones en 2012/13, todas las cuales se reflejaron </w:t>
            </w:r>
            <w:r w:rsidRPr="00867291">
              <w:rPr>
                <w:color w:val="000000" w:themeColor="text1"/>
                <w:sz w:val="16"/>
              </w:rPr>
              <w:t>satisfactoriamente</w:t>
            </w:r>
          </w:p>
          <w:p w:rsidR="001C19F7" w:rsidRPr="00867291" w:rsidRDefault="001C19F7" w:rsidP="00E37C27">
            <w:pPr>
              <w:keepNext/>
              <w:rPr>
                <w:i/>
                <w:color w:val="000000" w:themeColor="text1"/>
                <w:sz w:val="16"/>
                <w:szCs w:val="16"/>
              </w:rPr>
            </w:pPr>
            <w:r w:rsidRPr="00867291">
              <w:rPr>
                <w:i/>
                <w:color w:val="000000" w:themeColor="text1"/>
                <w:sz w:val="16"/>
              </w:rPr>
              <w:t xml:space="preserve">Referencia original en el presupuesto de 2014/15: </w:t>
            </w:r>
          </w:p>
          <w:p w:rsidR="001C19F7" w:rsidRPr="00867291" w:rsidRDefault="001C19F7" w:rsidP="00E37C27">
            <w:pPr>
              <w:keepNext/>
              <w:rPr>
                <w:i/>
                <w:color w:val="000000" w:themeColor="text1"/>
                <w:sz w:val="16"/>
                <w:szCs w:val="16"/>
              </w:rPr>
            </w:pPr>
            <w:r w:rsidRPr="00867291">
              <w:rPr>
                <w:color w:val="000000" w:themeColor="text1"/>
                <w:sz w:val="16"/>
              </w:rPr>
              <w:t>20 de 24 (a fines de 2011)</w:t>
            </w:r>
          </w:p>
        </w:tc>
        <w:tc>
          <w:tcPr>
            <w:tcW w:w="843" w:type="pct"/>
            <w:gridSpan w:val="5"/>
            <w:tcBorders>
              <w:top w:val="nil"/>
              <w:left w:val="nil"/>
              <w:bottom w:val="nil"/>
              <w:right w:val="nil"/>
            </w:tcBorders>
            <w:shd w:val="clear" w:color="auto" w:fill="auto"/>
            <w:tcMar>
              <w:top w:w="110" w:type="dxa"/>
            </w:tcMar>
          </w:tcPr>
          <w:p w:rsidR="001C19F7" w:rsidRPr="00867291" w:rsidRDefault="001C19F7" w:rsidP="00E37C27">
            <w:pPr>
              <w:keepNext/>
              <w:rPr>
                <w:color w:val="000000" w:themeColor="text1"/>
                <w:sz w:val="16"/>
                <w:szCs w:val="16"/>
              </w:rPr>
            </w:pPr>
            <w:r w:rsidRPr="00867291">
              <w:rPr>
                <w:color w:val="000000" w:themeColor="text1"/>
                <w:sz w:val="16"/>
              </w:rPr>
              <w:t>Uso al 100%</w:t>
            </w:r>
          </w:p>
        </w:tc>
        <w:tc>
          <w:tcPr>
            <w:tcW w:w="1575" w:type="pct"/>
            <w:gridSpan w:val="6"/>
            <w:tcBorders>
              <w:top w:val="nil"/>
              <w:left w:val="nil"/>
              <w:bottom w:val="nil"/>
              <w:right w:val="nil"/>
            </w:tcBorders>
            <w:shd w:val="clear" w:color="auto" w:fill="FFFFFF"/>
            <w:tcMar>
              <w:top w:w="110" w:type="dxa"/>
            </w:tcMar>
          </w:tcPr>
          <w:p w:rsidR="001C19F7" w:rsidRPr="00867291" w:rsidRDefault="001C19F7" w:rsidP="00E37C27">
            <w:pPr>
              <w:keepNext/>
              <w:rPr>
                <w:color w:val="000000" w:themeColor="text1"/>
                <w:sz w:val="16"/>
                <w:szCs w:val="16"/>
              </w:rPr>
            </w:pPr>
            <w:r w:rsidRPr="00867291">
              <w:rPr>
                <w:color w:val="000000" w:themeColor="text1"/>
                <w:sz w:val="16"/>
              </w:rPr>
              <w:t>33 aportaciones en 2014/15, todas las cuales se reflejaron satisfactoriamente</w:t>
            </w:r>
          </w:p>
        </w:tc>
        <w:tc>
          <w:tcPr>
            <w:tcW w:w="576" w:type="pct"/>
            <w:tcBorders>
              <w:top w:val="nil"/>
              <w:left w:val="nil"/>
              <w:bottom w:val="nil"/>
              <w:right w:val="single" w:sz="4" w:space="0" w:color="auto"/>
            </w:tcBorders>
            <w:shd w:val="clear" w:color="auto" w:fill="auto"/>
            <w:tcMar>
              <w:top w:w="110" w:type="dxa"/>
            </w:tcMar>
          </w:tcPr>
          <w:p w:rsidR="001C19F7" w:rsidRPr="00867291" w:rsidRDefault="00044DA1" w:rsidP="00E37C27">
            <w:pPr>
              <w:keepNext/>
              <w:keepLines/>
              <w:ind w:left="-116" w:right="20"/>
              <w:jc w:val="center"/>
              <w:rPr>
                <w:b/>
                <w:bCs/>
                <w:color w:val="000000" w:themeColor="text1"/>
                <w:sz w:val="16"/>
                <w:szCs w:val="16"/>
              </w:rPr>
            </w:pPr>
            <w:r>
              <w:rPr>
                <w:b/>
                <w:bCs/>
                <w:color w:val="00B050"/>
                <w:sz w:val="16"/>
                <w:szCs w:val="16"/>
                <w:lang w:val="en-US"/>
              </w:rPr>
              <w:t>Plenamente logrado</w:t>
            </w:r>
          </w:p>
        </w:tc>
      </w:tr>
      <w:tr w:rsidR="001C19F7" w:rsidRPr="00867291" w:rsidTr="002005BB">
        <w:tc>
          <w:tcPr>
            <w:tcW w:w="1103" w:type="pct"/>
            <w:tcBorders>
              <w:top w:val="nil"/>
              <w:left w:val="single" w:sz="4" w:space="0" w:color="auto"/>
              <w:bottom w:val="nil"/>
              <w:right w:val="nil"/>
            </w:tcBorders>
            <w:shd w:val="clear" w:color="auto" w:fill="auto"/>
          </w:tcPr>
          <w:p w:rsidR="001C19F7" w:rsidRPr="00867291" w:rsidRDefault="001C19F7" w:rsidP="008B1CDA">
            <w:pPr>
              <w:keepNext/>
              <w:keepLines/>
              <w:rPr>
                <w:color w:val="000000" w:themeColor="text1"/>
                <w:sz w:val="16"/>
                <w:szCs w:val="16"/>
              </w:rPr>
            </w:pPr>
            <w:r w:rsidRPr="00867291">
              <w:rPr>
                <w:color w:val="000000" w:themeColor="text1"/>
                <w:sz w:val="16"/>
              </w:rPr>
              <w:t>Porcentaje de respuestas cursadas puntualmente atendiendo a peticiones externas de aportación por parte de las NN.UU., OIG, etc.</w:t>
            </w:r>
          </w:p>
        </w:tc>
        <w:tc>
          <w:tcPr>
            <w:tcW w:w="902" w:type="pct"/>
            <w:gridSpan w:val="2"/>
            <w:tcBorders>
              <w:top w:val="nil"/>
              <w:left w:val="nil"/>
              <w:bottom w:val="nil"/>
              <w:right w:val="nil"/>
            </w:tcBorders>
            <w:shd w:val="clear" w:color="auto" w:fill="auto"/>
          </w:tcPr>
          <w:p w:rsidR="001C19F7" w:rsidRPr="00867291" w:rsidRDefault="001C19F7" w:rsidP="008B1CDA">
            <w:pPr>
              <w:keepNext/>
              <w:keepLines/>
              <w:rPr>
                <w:color w:val="000000" w:themeColor="text1"/>
                <w:sz w:val="16"/>
                <w:szCs w:val="16"/>
              </w:rPr>
            </w:pPr>
            <w:r w:rsidRPr="00800FF4">
              <w:rPr>
                <w:color w:val="002060"/>
                <w:sz w:val="16"/>
                <w:szCs w:val="16"/>
                <w:lang w:eastAsia="en-US"/>
              </w:rPr>
              <w:t>Referencia actualizada a fines de 2013</w:t>
            </w:r>
            <w:r w:rsidRPr="00867291">
              <w:rPr>
                <w:i/>
                <w:color w:val="000000" w:themeColor="text1"/>
                <w:sz w:val="16"/>
              </w:rPr>
              <w:t xml:space="preserve">:  </w:t>
            </w:r>
            <w:r w:rsidRPr="00EF75DA">
              <w:rPr>
                <w:color w:val="002060"/>
                <w:sz w:val="16"/>
                <w:szCs w:val="16"/>
                <w:lang w:eastAsia="en-US"/>
              </w:rPr>
              <w:t>se procesó el 90,5% en el plazo de 5 días laborables</w:t>
            </w:r>
          </w:p>
          <w:p w:rsidR="001C19F7" w:rsidRPr="00867291" w:rsidRDefault="001C19F7" w:rsidP="008B1CDA">
            <w:pPr>
              <w:keepNext/>
              <w:keepLines/>
              <w:rPr>
                <w:i/>
                <w:color w:val="000000" w:themeColor="text1"/>
                <w:sz w:val="16"/>
                <w:szCs w:val="16"/>
              </w:rPr>
            </w:pPr>
            <w:r w:rsidRPr="00867291">
              <w:rPr>
                <w:i/>
                <w:color w:val="000000" w:themeColor="text1"/>
                <w:sz w:val="16"/>
              </w:rPr>
              <w:t xml:space="preserve">Referencia original en el presupuesto de 2014/15: </w:t>
            </w:r>
          </w:p>
          <w:p w:rsidR="001C19F7" w:rsidRPr="00867291" w:rsidDel="001B4F90" w:rsidRDefault="001C19F7" w:rsidP="008B1CDA">
            <w:pPr>
              <w:keepNext/>
              <w:keepLines/>
              <w:rPr>
                <w:i/>
                <w:color w:val="000000" w:themeColor="text1"/>
                <w:sz w:val="16"/>
                <w:szCs w:val="16"/>
              </w:rPr>
            </w:pPr>
            <w:r w:rsidRPr="00867291">
              <w:rPr>
                <w:color w:val="000000" w:themeColor="text1"/>
                <w:sz w:val="16"/>
              </w:rPr>
              <w:t>Por determinar (datos de 2012)</w:t>
            </w:r>
          </w:p>
        </w:tc>
        <w:tc>
          <w:tcPr>
            <w:tcW w:w="843" w:type="pct"/>
            <w:gridSpan w:val="5"/>
            <w:tcBorders>
              <w:top w:val="nil"/>
              <w:left w:val="nil"/>
              <w:bottom w:val="nil"/>
              <w:right w:val="nil"/>
            </w:tcBorders>
            <w:shd w:val="clear" w:color="auto" w:fill="auto"/>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100%</w:t>
            </w:r>
          </w:p>
        </w:tc>
        <w:tc>
          <w:tcPr>
            <w:tcW w:w="1575" w:type="pct"/>
            <w:gridSpan w:val="6"/>
            <w:tcBorders>
              <w:top w:val="nil"/>
              <w:left w:val="nil"/>
              <w:bottom w:val="nil"/>
              <w:right w:val="nil"/>
            </w:tcBorders>
            <w:shd w:val="clear" w:color="auto" w:fill="FFFFFF"/>
            <w:tcMar>
              <w:top w:w="110" w:type="dxa"/>
            </w:tcMar>
          </w:tcPr>
          <w:p w:rsidR="001C19F7" w:rsidRPr="00867291" w:rsidRDefault="001C19F7" w:rsidP="008B1CDA">
            <w:pPr>
              <w:keepNext/>
              <w:keepLines/>
              <w:rPr>
                <w:color w:val="000000" w:themeColor="text1"/>
                <w:sz w:val="16"/>
                <w:szCs w:val="16"/>
              </w:rPr>
            </w:pPr>
            <w:r w:rsidRPr="00867291">
              <w:rPr>
                <w:color w:val="000000" w:themeColor="text1"/>
                <w:sz w:val="16"/>
              </w:rPr>
              <w:t>254 de 273 (93%) respuestas cursadas puntualmente (en 5 días laborables)</w:t>
            </w:r>
          </w:p>
        </w:tc>
        <w:tc>
          <w:tcPr>
            <w:tcW w:w="576" w:type="pct"/>
            <w:tcBorders>
              <w:top w:val="nil"/>
              <w:left w:val="nil"/>
              <w:bottom w:val="nil"/>
              <w:right w:val="single" w:sz="4" w:space="0" w:color="auto"/>
            </w:tcBorders>
            <w:shd w:val="clear" w:color="auto" w:fill="auto"/>
            <w:tcMar>
              <w:top w:w="110" w:type="dxa"/>
            </w:tcMar>
          </w:tcPr>
          <w:p w:rsidR="001C19F7" w:rsidRPr="00867291" w:rsidRDefault="00044DA1" w:rsidP="008B1CDA">
            <w:pPr>
              <w:keepNext/>
              <w:keepLines/>
              <w:ind w:left="-116" w:right="20"/>
              <w:jc w:val="center"/>
              <w:rPr>
                <w:b/>
                <w:bCs/>
                <w:color w:val="000000" w:themeColor="text1"/>
                <w:sz w:val="16"/>
                <w:szCs w:val="16"/>
              </w:rPr>
            </w:pPr>
            <w:r>
              <w:rPr>
                <w:b/>
                <w:bCs/>
                <w:color w:val="00B050"/>
                <w:sz w:val="16"/>
                <w:szCs w:val="16"/>
                <w:lang w:val="en-US"/>
              </w:rPr>
              <w:t>Plenamente logrado</w:t>
            </w:r>
          </w:p>
        </w:tc>
      </w:tr>
      <w:tr w:rsidR="001C19F7" w:rsidRPr="00867291" w:rsidTr="008B1CDA">
        <w:trPr>
          <w:trHeight w:val="500"/>
        </w:trPr>
        <w:tc>
          <w:tcPr>
            <w:tcW w:w="1103" w:type="pct"/>
            <w:tcBorders>
              <w:top w:val="nil"/>
              <w:left w:val="single" w:sz="4" w:space="0" w:color="auto"/>
              <w:bottom w:val="nil"/>
              <w:right w:val="nil"/>
            </w:tcBorders>
            <w:shd w:val="clear" w:color="auto" w:fill="auto"/>
          </w:tcPr>
          <w:p w:rsidR="001C19F7" w:rsidRPr="00867291" w:rsidRDefault="001C19F7" w:rsidP="008B1CDA">
            <w:pPr>
              <w:rPr>
                <w:color w:val="000000" w:themeColor="text1"/>
                <w:sz w:val="16"/>
                <w:szCs w:val="16"/>
              </w:rPr>
            </w:pPr>
            <w:r w:rsidRPr="00867291">
              <w:rPr>
                <w:color w:val="000000" w:themeColor="text1"/>
                <w:sz w:val="16"/>
              </w:rPr>
              <w:t>Número de programas de P.I. ejecutados conjuntamente con otros organismos de NN.UU. y otras OIG.</w:t>
            </w:r>
          </w:p>
        </w:tc>
        <w:tc>
          <w:tcPr>
            <w:tcW w:w="902" w:type="pct"/>
            <w:gridSpan w:val="2"/>
            <w:tcBorders>
              <w:top w:val="nil"/>
              <w:left w:val="nil"/>
              <w:bottom w:val="nil"/>
              <w:right w:val="nil"/>
            </w:tcBorders>
            <w:shd w:val="clear" w:color="auto" w:fill="auto"/>
          </w:tcPr>
          <w:p w:rsidR="001C19F7" w:rsidRPr="00867291" w:rsidRDefault="001C19F7" w:rsidP="008B1CDA">
            <w:pPr>
              <w:rPr>
                <w:i/>
                <w:color w:val="000000" w:themeColor="text1"/>
                <w:sz w:val="16"/>
                <w:szCs w:val="16"/>
              </w:rPr>
            </w:pPr>
            <w:r w:rsidRPr="00867291">
              <w:rPr>
                <w:color w:val="000000" w:themeColor="text1"/>
                <w:sz w:val="16"/>
              </w:rPr>
              <w:t>0 (cero) (OOS)</w:t>
            </w:r>
          </w:p>
        </w:tc>
        <w:tc>
          <w:tcPr>
            <w:tcW w:w="843" w:type="pct"/>
            <w:gridSpan w:val="5"/>
            <w:tcBorders>
              <w:top w:val="nil"/>
              <w:left w:val="nil"/>
              <w:bottom w:val="nil"/>
              <w:right w:val="nil"/>
            </w:tcBorders>
            <w:shd w:val="clear" w:color="auto" w:fill="auto"/>
            <w:tcMar>
              <w:top w:w="110" w:type="dxa"/>
            </w:tcMar>
          </w:tcPr>
          <w:p w:rsidR="001C19F7" w:rsidRPr="00867291" w:rsidRDefault="001C19F7" w:rsidP="008B1CDA">
            <w:pPr>
              <w:rPr>
                <w:color w:val="000000" w:themeColor="text1"/>
                <w:sz w:val="16"/>
                <w:szCs w:val="16"/>
              </w:rPr>
            </w:pPr>
            <w:r w:rsidRPr="00867291">
              <w:rPr>
                <w:color w:val="000000" w:themeColor="text1"/>
                <w:sz w:val="16"/>
              </w:rPr>
              <w:t>2 (OOS)</w:t>
            </w:r>
          </w:p>
        </w:tc>
        <w:tc>
          <w:tcPr>
            <w:tcW w:w="1575" w:type="pct"/>
            <w:gridSpan w:val="6"/>
            <w:tcBorders>
              <w:top w:val="nil"/>
              <w:left w:val="nil"/>
              <w:bottom w:val="nil"/>
              <w:right w:val="nil"/>
            </w:tcBorders>
            <w:shd w:val="clear" w:color="auto" w:fill="FFFFFF"/>
            <w:tcMar>
              <w:top w:w="110" w:type="dxa"/>
            </w:tcMar>
          </w:tcPr>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 xml:space="preserve">2 eventos con organismos especializados de las NN.UU. (PNUMA y ONUDI) </w:t>
            </w:r>
          </w:p>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Varios eventos junto con el equipo del Acuerdo de Libre Comercio ASEAN-Australia-Nueva Zelandia (AANZFTA), Secretaría de la ASEAN, Cooperación Económica Asia-Pacífico (APEC) y proyecto de protección de los derechos de propiedad intelectual de la Oficina de Armonización del Mercado Interior /UE-ASEAN (OAMI/ECAP) III</w:t>
            </w:r>
          </w:p>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1 foro de proveedores de asistencia técnica en P.I.</w:t>
            </w:r>
          </w:p>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Actividad conjunta con el Consejo de Cooperación Económica del Pacífico (PECC) a la que asistieron otras 8 organizaciones internacionales e intergubernamentales</w:t>
            </w:r>
          </w:p>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 xml:space="preserve">Participación en 1 actividad con la Asociación pro Naciones Unidas de Singapur (UNAS) </w:t>
            </w:r>
          </w:p>
        </w:tc>
        <w:tc>
          <w:tcPr>
            <w:tcW w:w="576" w:type="pct"/>
            <w:tcBorders>
              <w:top w:val="nil"/>
              <w:left w:val="nil"/>
              <w:bottom w:val="nil"/>
              <w:right w:val="single" w:sz="4" w:space="0" w:color="auto"/>
            </w:tcBorders>
            <w:shd w:val="clear" w:color="auto" w:fill="auto"/>
            <w:tcMar>
              <w:top w:w="110" w:type="dxa"/>
            </w:tcMar>
          </w:tcPr>
          <w:p w:rsidR="001C19F7" w:rsidRPr="00800FF4" w:rsidRDefault="00044DA1" w:rsidP="008B1CDA">
            <w:pPr>
              <w:keepNext/>
              <w:keepLines/>
              <w:ind w:left="-116" w:right="20"/>
              <w:jc w:val="center"/>
              <w:rPr>
                <w:b/>
                <w:bCs/>
                <w:color w:val="00B050"/>
                <w:sz w:val="16"/>
                <w:szCs w:val="16"/>
                <w:lang w:val="en-US"/>
              </w:rPr>
            </w:pPr>
            <w:r>
              <w:rPr>
                <w:b/>
                <w:bCs/>
                <w:color w:val="00B050"/>
                <w:sz w:val="16"/>
                <w:szCs w:val="16"/>
                <w:lang w:val="en-US"/>
              </w:rPr>
              <w:t>Plenamente logrado</w:t>
            </w:r>
          </w:p>
        </w:tc>
      </w:tr>
      <w:tr w:rsidR="001C19F7" w:rsidRPr="00867291" w:rsidTr="008B1CDA">
        <w:trPr>
          <w:trHeight w:val="500"/>
        </w:trPr>
        <w:tc>
          <w:tcPr>
            <w:tcW w:w="1103" w:type="pct"/>
            <w:tcBorders>
              <w:top w:val="nil"/>
              <w:left w:val="single" w:sz="4" w:space="0" w:color="auto"/>
              <w:bottom w:val="single" w:sz="4" w:space="0" w:color="auto"/>
              <w:right w:val="nil"/>
            </w:tcBorders>
            <w:shd w:val="clear" w:color="auto" w:fill="auto"/>
          </w:tcPr>
          <w:p w:rsidR="001C19F7" w:rsidRPr="00867291" w:rsidRDefault="001C19F7" w:rsidP="008B1CDA">
            <w:pPr>
              <w:rPr>
                <w:color w:val="000000" w:themeColor="text1"/>
                <w:sz w:val="16"/>
                <w:szCs w:val="16"/>
              </w:rPr>
            </w:pPr>
          </w:p>
        </w:tc>
        <w:tc>
          <w:tcPr>
            <w:tcW w:w="902" w:type="pct"/>
            <w:gridSpan w:val="2"/>
            <w:tcBorders>
              <w:top w:val="nil"/>
              <w:left w:val="nil"/>
              <w:bottom w:val="single" w:sz="4" w:space="0" w:color="auto"/>
              <w:right w:val="nil"/>
            </w:tcBorders>
            <w:shd w:val="clear" w:color="auto" w:fill="auto"/>
          </w:tcPr>
          <w:p w:rsidR="001C19F7" w:rsidRPr="00867291" w:rsidRDefault="001C19F7" w:rsidP="008B1CDA">
            <w:pPr>
              <w:rPr>
                <w:color w:val="000000" w:themeColor="text1"/>
                <w:sz w:val="16"/>
                <w:szCs w:val="16"/>
              </w:rPr>
            </w:pPr>
          </w:p>
        </w:tc>
        <w:tc>
          <w:tcPr>
            <w:tcW w:w="843" w:type="pct"/>
            <w:gridSpan w:val="5"/>
            <w:tcBorders>
              <w:top w:val="nil"/>
              <w:left w:val="nil"/>
              <w:bottom w:val="single" w:sz="4" w:space="0" w:color="auto"/>
              <w:right w:val="nil"/>
            </w:tcBorders>
            <w:shd w:val="clear" w:color="auto" w:fill="auto"/>
            <w:tcMar>
              <w:top w:w="110" w:type="dxa"/>
            </w:tcMar>
          </w:tcPr>
          <w:p w:rsidR="001C19F7" w:rsidRPr="00867291" w:rsidRDefault="001C19F7" w:rsidP="008B1CDA">
            <w:pPr>
              <w:rPr>
                <w:color w:val="000000" w:themeColor="text1"/>
                <w:sz w:val="16"/>
                <w:szCs w:val="16"/>
              </w:rPr>
            </w:pPr>
          </w:p>
        </w:tc>
        <w:tc>
          <w:tcPr>
            <w:tcW w:w="1575" w:type="pct"/>
            <w:gridSpan w:val="6"/>
            <w:tcBorders>
              <w:top w:val="nil"/>
              <w:left w:val="nil"/>
              <w:bottom w:val="single" w:sz="4" w:space="0" w:color="auto"/>
              <w:right w:val="nil"/>
            </w:tcBorders>
            <w:shd w:val="clear" w:color="auto" w:fill="FFFFFF"/>
            <w:tcMar>
              <w:top w:w="110" w:type="dxa"/>
            </w:tcMar>
          </w:tcPr>
          <w:p w:rsidR="001C19F7" w:rsidRPr="001C19F7" w:rsidRDefault="001C19F7" w:rsidP="001C19F7">
            <w:pPr>
              <w:pStyle w:val="ListParagraph"/>
              <w:numPr>
                <w:ilvl w:val="0"/>
                <w:numId w:val="93"/>
              </w:numPr>
              <w:spacing w:after="60"/>
              <w:ind w:left="357" w:hanging="357"/>
              <w:rPr>
                <w:rFonts w:eastAsia="SimSun" w:cs="Arial"/>
                <w:color w:val="000000" w:themeColor="text1"/>
                <w:sz w:val="16"/>
                <w:szCs w:val="16"/>
                <w:lang w:val="es-ES"/>
              </w:rPr>
            </w:pPr>
            <w:r w:rsidRPr="001C19F7">
              <w:rPr>
                <w:color w:val="000000" w:themeColor="text1"/>
                <w:sz w:val="16"/>
                <w:lang w:val="es-ES"/>
              </w:rPr>
              <w:t>Participación en 1 actividad del grupo de la Alianza de política en materia de ciencia, tecnología e innovación de la Cooperación Económica Asia-Pacífico (APEC) (OOS)</w:t>
            </w:r>
          </w:p>
        </w:tc>
        <w:tc>
          <w:tcPr>
            <w:tcW w:w="576" w:type="pct"/>
            <w:tcBorders>
              <w:top w:val="nil"/>
              <w:left w:val="nil"/>
              <w:bottom w:val="single" w:sz="4" w:space="0" w:color="auto"/>
              <w:right w:val="single" w:sz="4" w:space="0" w:color="auto"/>
            </w:tcBorders>
            <w:shd w:val="clear" w:color="auto" w:fill="auto"/>
            <w:tcMar>
              <w:top w:w="110" w:type="dxa"/>
            </w:tcMar>
          </w:tcPr>
          <w:p w:rsidR="001C19F7" w:rsidRPr="00867291" w:rsidRDefault="001C19F7" w:rsidP="008B1CDA">
            <w:pPr>
              <w:keepNext/>
              <w:keepLines/>
              <w:ind w:left="-116" w:right="20"/>
              <w:jc w:val="center"/>
              <w:rPr>
                <w:b/>
                <w:bCs/>
                <w:color w:val="000000" w:themeColor="text1"/>
                <w:sz w:val="16"/>
                <w:szCs w:val="16"/>
              </w:rPr>
            </w:pPr>
          </w:p>
        </w:tc>
      </w:tr>
    </w:tbl>
    <w:p w:rsidR="001C19F7" w:rsidRPr="00867291" w:rsidRDefault="001C19F7" w:rsidP="001C19F7">
      <w:pPr>
        <w:rPr>
          <w:color w:val="000000" w:themeColor="text1"/>
          <w:szCs w:val="22"/>
        </w:rPr>
      </w:pPr>
    </w:p>
    <w:p w:rsidR="001C19F7" w:rsidRPr="00867291" w:rsidRDefault="001C19F7" w:rsidP="001C19F7">
      <w:pPr>
        <w:rPr>
          <w:color w:val="000000" w:themeColor="text1"/>
          <w:szCs w:val="22"/>
        </w:rPr>
      </w:pPr>
    </w:p>
    <w:p w:rsidR="001C19F7" w:rsidRDefault="001C19F7" w:rsidP="001C19F7">
      <w:pPr>
        <w:spacing w:after="200" w:line="276" w:lineRule="auto"/>
        <w:rPr>
          <w:color w:val="000000" w:themeColor="text1"/>
        </w:rPr>
      </w:pPr>
      <w:r>
        <w:rPr>
          <w:color w:val="000000" w:themeColor="text1"/>
        </w:rPr>
        <w:br w:type="page"/>
      </w:r>
    </w:p>
    <w:p w:rsidR="001C19F7" w:rsidRPr="001C19F7" w:rsidRDefault="001C19F7" w:rsidP="001C19F7">
      <w:pPr>
        <w:rPr>
          <w:color w:val="000000" w:themeColor="text1"/>
          <w:sz w:val="20"/>
        </w:rPr>
      </w:pPr>
      <w:r w:rsidRPr="001C19F7">
        <w:rPr>
          <w:sz w:val="20"/>
        </w:rPr>
        <w:lastRenderedPageBreak/>
        <w:t>INFORMACIÓN SOBRE LOS RIESGOS PLANTEADOS EN EL BIENIO</w:t>
      </w:r>
    </w:p>
    <w:p w:rsidR="001C19F7" w:rsidRPr="001C19F7" w:rsidRDefault="001C19F7" w:rsidP="001C19F7">
      <w:pPr>
        <w:rPr>
          <w:color w:val="000000" w:themeColor="text1"/>
          <w:sz w:val="20"/>
        </w:rPr>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6"/>
        <w:gridCol w:w="2224"/>
        <w:gridCol w:w="2310"/>
        <w:gridCol w:w="2568"/>
      </w:tblGrid>
      <w:tr w:rsidR="001C19F7" w:rsidRPr="00867291" w:rsidTr="008B1CDA">
        <w:trPr>
          <w:trHeight w:val="979"/>
        </w:trPr>
        <w:tc>
          <w:tcPr>
            <w:tcW w:w="2396" w:type="dxa"/>
            <w:tcBorders>
              <w:top w:val="single" w:sz="4" w:space="0" w:color="auto"/>
              <w:left w:val="single" w:sz="4" w:space="0" w:color="auto"/>
              <w:bottom w:val="single" w:sz="4" w:space="0" w:color="auto"/>
              <w:right w:val="nil"/>
            </w:tcBorders>
            <w:shd w:val="clear" w:color="auto" w:fill="C6D9F1" w:themeFill="text2" w:themeFillTint="33"/>
            <w:vAlign w:val="center"/>
          </w:tcPr>
          <w:p w:rsidR="001C19F7" w:rsidRPr="00867291" w:rsidRDefault="001C19F7" w:rsidP="008B1CDA">
            <w:pPr>
              <w:keepNext/>
              <w:keepLines/>
              <w:jc w:val="center"/>
              <w:rPr>
                <w:b/>
                <w:bCs/>
                <w:iCs/>
                <w:color w:val="000000" w:themeColor="text1"/>
                <w:sz w:val="18"/>
                <w:szCs w:val="14"/>
              </w:rPr>
            </w:pPr>
            <w:r w:rsidRPr="00867291">
              <w:rPr>
                <w:b/>
                <w:color w:val="000000" w:themeColor="text1"/>
                <w:sz w:val="18"/>
              </w:rPr>
              <w:t>Riesgos en el logro de los resultados del programa</w:t>
            </w:r>
          </w:p>
        </w:tc>
        <w:tc>
          <w:tcPr>
            <w:tcW w:w="2224" w:type="dxa"/>
            <w:tcBorders>
              <w:top w:val="single" w:sz="4" w:space="0" w:color="auto"/>
              <w:left w:val="nil"/>
              <w:bottom w:val="single" w:sz="4" w:space="0" w:color="auto"/>
              <w:right w:val="nil"/>
            </w:tcBorders>
            <w:shd w:val="clear" w:color="auto" w:fill="C6D9F1" w:themeFill="text2" w:themeFillTint="33"/>
            <w:vAlign w:val="center"/>
          </w:tcPr>
          <w:p w:rsidR="001C19F7" w:rsidRPr="00867291" w:rsidRDefault="001C19F7" w:rsidP="008B1CDA">
            <w:pPr>
              <w:keepNext/>
              <w:keepLines/>
              <w:jc w:val="center"/>
              <w:rPr>
                <w:b/>
                <w:bCs/>
                <w:iCs/>
                <w:color w:val="000000" w:themeColor="text1"/>
                <w:sz w:val="18"/>
                <w:szCs w:val="14"/>
              </w:rPr>
            </w:pPr>
            <w:r w:rsidRPr="00867291">
              <w:rPr>
                <w:b/>
                <w:color w:val="000000" w:themeColor="text1"/>
                <w:sz w:val="18"/>
              </w:rPr>
              <w:t>Planes de mitigación ejecutados o en ejecución</w:t>
            </w:r>
          </w:p>
        </w:tc>
        <w:tc>
          <w:tcPr>
            <w:tcW w:w="2310" w:type="dxa"/>
            <w:tcBorders>
              <w:top w:val="single" w:sz="4" w:space="0" w:color="auto"/>
              <w:left w:val="nil"/>
              <w:bottom w:val="single" w:sz="4" w:space="0" w:color="auto"/>
              <w:right w:val="nil"/>
            </w:tcBorders>
            <w:shd w:val="clear" w:color="auto" w:fill="C6D9F1" w:themeFill="text2" w:themeFillTint="33"/>
            <w:vAlign w:val="center"/>
          </w:tcPr>
          <w:p w:rsidR="001C19F7" w:rsidRPr="00867291" w:rsidRDefault="001C19F7" w:rsidP="008B1CDA">
            <w:pPr>
              <w:keepNext/>
              <w:keepLines/>
              <w:jc w:val="center"/>
              <w:rPr>
                <w:b/>
                <w:bCs/>
                <w:color w:val="000000" w:themeColor="text1"/>
                <w:sz w:val="18"/>
                <w:szCs w:val="18"/>
              </w:rPr>
            </w:pPr>
            <w:r w:rsidRPr="00867291">
              <w:rPr>
                <w:b/>
                <w:color w:val="000000" w:themeColor="text1"/>
                <w:sz w:val="18"/>
              </w:rPr>
              <w:t xml:space="preserve">Evolución de los riesgos y estrategias </w:t>
            </w:r>
            <w:r>
              <w:rPr>
                <w:b/>
                <w:color w:val="000000" w:themeColor="text1"/>
                <w:sz w:val="18"/>
              </w:rPr>
              <w:t>de mitigación</w:t>
            </w:r>
            <w:r w:rsidRPr="00867291">
              <w:rPr>
                <w:b/>
                <w:color w:val="000000" w:themeColor="text1"/>
                <w:sz w:val="18"/>
              </w:rPr>
              <w:t xml:space="preserve"> durante el bienio</w:t>
            </w:r>
          </w:p>
        </w:tc>
        <w:tc>
          <w:tcPr>
            <w:tcW w:w="2568" w:type="dxa"/>
            <w:tcBorders>
              <w:top w:val="single" w:sz="4" w:space="0" w:color="auto"/>
              <w:left w:val="nil"/>
              <w:bottom w:val="single" w:sz="4" w:space="0" w:color="auto"/>
              <w:right w:val="single" w:sz="4" w:space="0" w:color="auto"/>
            </w:tcBorders>
            <w:shd w:val="clear" w:color="auto" w:fill="C6D9F1" w:themeFill="text2" w:themeFillTint="33"/>
            <w:vAlign w:val="center"/>
          </w:tcPr>
          <w:p w:rsidR="001C19F7" w:rsidRPr="00867291" w:rsidRDefault="001C19F7" w:rsidP="008B1CDA">
            <w:pPr>
              <w:keepNext/>
              <w:keepLines/>
              <w:jc w:val="center"/>
              <w:rPr>
                <w:b/>
                <w:bCs/>
                <w:color w:val="000000" w:themeColor="text1"/>
                <w:sz w:val="18"/>
                <w:szCs w:val="18"/>
              </w:rPr>
            </w:pPr>
            <w:r>
              <w:rPr>
                <w:b/>
                <w:color w:val="000000" w:themeColor="text1"/>
                <w:sz w:val="18"/>
              </w:rPr>
              <w:t>Incidencia</w:t>
            </w:r>
            <w:r w:rsidRPr="00867291">
              <w:rPr>
                <w:b/>
                <w:color w:val="000000" w:themeColor="text1"/>
                <w:sz w:val="18"/>
              </w:rPr>
              <w:t xml:space="preserve"> en el rendimiento del programa</w:t>
            </w:r>
          </w:p>
        </w:tc>
      </w:tr>
      <w:tr w:rsidR="001C19F7" w:rsidRPr="00867291" w:rsidTr="008B1CDA">
        <w:trPr>
          <w:trHeight w:val="776"/>
        </w:trPr>
        <w:tc>
          <w:tcPr>
            <w:tcW w:w="2396" w:type="dxa"/>
            <w:tcBorders>
              <w:top w:val="single" w:sz="4" w:space="0" w:color="auto"/>
            </w:tcBorders>
            <w:shd w:val="clear" w:color="auto" w:fill="auto"/>
            <w:tcMar>
              <w:top w:w="113" w:type="dxa"/>
              <w:bottom w:w="85" w:type="dxa"/>
            </w:tcMar>
          </w:tcPr>
          <w:p w:rsidR="001C19F7" w:rsidRPr="00867291" w:rsidRDefault="001C19F7" w:rsidP="008B1CDA">
            <w:pPr>
              <w:keepNext/>
              <w:keepLines/>
              <w:tabs>
                <w:tab w:val="left" w:pos="3465"/>
              </w:tabs>
              <w:rPr>
                <w:color w:val="000000" w:themeColor="text1"/>
                <w:sz w:val="16"/>
              </w:rPr>
            </w:pPr>
            <w:r w:rsidRPr="00867291">
              <w:rPr>
                <w:color w:val="000000" w:themeColor="text1"/>
                <w:sz w:val="16"/>
              </w:rPr>
              <w:t>La participación eficaz de la OMPI en los procesos de las NN.UU. y otras OIG y ONG, así como la utilidad que tiene en esos procesos, se basa en la aceptación de que es una fuente creíble y fiable de apoyo, asistencia e información</w:t>
            </w:r>
          </w:p>
        </w:tc>
        <w:tc>
          <w:tcPr>
            <w:tcW w:w="2224" w:type="dxa"/>
            <w:tcBorders>
              <w:top w:val="single" w:sz="4" w:space="0" w:color="auto"/>
            </w:tcBorders>
            <w:shd w:val="clear" w:color="auto" w:fill="auto"/>
            <w:tcMar>
              <w:top w:w="113" w:type="dxa"/>
              <w:bottom w:w="85" w:type="dxa"/>
            </w:tcMar>
          </w:tcPr>
          <w:p w:rsidR="001C19F7" w:rsidRPr="00867291" w:rsidRDefault="001C19F7" w:rsidP="008B1CDA">
            <w:pPr>
              <w:keepNext/>
              <w:keepLines/>
              <w:autoSpaceDE w:val="0"/>
              <w:autoSpaceDN w:val="0"/>
              <w:adjustRightInd w:val="0"/>
              <w:ind w:right="-59"/>
              <w:rPr>
                <w:color w:val="000000" w:themeColor="text1"/>
                <w:sz w:val="16"/>
              </w:rPr>
            </w:pPr>
            <w:r w:rsidRPr="00867291">
              <w:rPr>
                <w:color w:val="000000" w:themeColor="text1"/>
                <w:sz w:val="16"/>
              </w:rPr>
              <w:t>Velar por que las aportaciones de la OMPI se basen en hechos, tengan carácter empírico y equilibrado, reflejen las opiniones de todas las partes interesadas, sean puntuales y estén bien enfocadas.</w:t>
            </w:r>
            <w:r>
              <w:rPr>
                <w:color w:val="000000" w:themeColor="text1"/>
                <w:sz w:val="16"/>
              </w:rPr>
              <w:t xml:space="preserve"> </w:t>
            </w:r>
            <w:r w:rsidRPr="00867291">
              <w:rPr>
                <w:color w:val="000000" w:themeColor="text1"/>
                <w:sz w:val="16"/>
              </w:rPr>
              <w:t xml:space="preserve">  Fomentar los vínculos de cooperación para incrementar la repercusión de las aportaciones de la OMPI.</w:t>
            </w:r>
          </w:p>
        </w:tc>
        <w:tc>
          <w:tcPr>
            <w:tcW w:w="2310" w:type="dxa"/>
            <w:tcBorders>
              <w:top w:val="single" w:sz="4" w:space="0" w:color="auto"/>
            </w:tcBorders>
          </w:tcPr>
          <w:p w:rsidR="001C19F7" w:rsidRPr="00867291" w:rsidRDefault="001C19F7" w:rsidP="008B1CDA">
            <w:pPr>
              <w:rPr>
                <w:color w:val="000000" w:themeColor="text1"/>
                <w:sz w:val="16"/>
                <w:szCs w:val="16"/>
              </w:rPr>
            </w:pPr>
            <w:r w:rsidRPr="00867291">
              <w:rPr>
                <w:color w:val="000000" w:themeColor="text1"/>
                <w:sz w:val="16"/>
              </w:rPr>
              <w:t>Se acentuó el riesgo dado que importantes procesos impulsados por las Naciones Unidas durante el bienio dieron lugar a solicitudes de contribución cada vez más detalladas y complejas.  Para velar por que las medidas paliativas sean adecuadas, se hizo hincapié en la intensificación de la coordinación tanto internamente como con los socios externos.</w:t>
            </w:r>
          </w:p>
        </w:tc>
        <w:tc>
          <w:tcPr>
            <w:tcW w:w="2568" w:type="dxa"/>
            <w:tcBorders>
              <w:top w:val="single" w:sz="4" w:space="0" w:color="auto"/>
            </w:tcBorders>
          </w:tcPr>
          <w:p w:rsidR="001C19F7" w:rsidRPr="00867291" w:rsidRDefault="001C19F7" w:rsidP="008B1CDA">
            <w:pPr>
              <w:rPr>
                <w:color w:val="000000" w:themeColor="text1"/>
                <w:sz w:val="16"/>
                <w:szCs w:val="16"/>
              </w:rPr>
            </w:pPr>
            <w:r w:rsidRPr="00867291">
              <w:rPr>
                <w:color w:val="000000" w:themeColor="text1"/>
                <w:sz w:val="16"/>
              </w:rPr>
              <w:t xml:space="preserve">Sin repercusión importante en el rendimiento del programa. </w:t>
            </w:r>
          </w:p>
        </w:tc>
      </w:tr>
      <w:tr w:rsidR="001C19F7" w:rsidRPr="00867291" w:rsidTr="008B1CDA">
        <w:trPr>
          <w:trHeight w:val="939"/>
        </w:trPr>
        <w:tc>
          <w:tcPr>
            <w:tcW w:w="2396" w:type="dxa"/>
            <w:shd w:val="clear" w:color="auto" w:fill="auto"/>
            <w:tcMar>
              <w:top w:w="113" w:type="dxa"/>
              <w:bottom w:w="85" w:type="dxa"/>
            </w:tcMar>
          </w:tcPr>
          <w:p w:rsidR="001C19F7" w:rsidRPr="00867291" w:rsidRDefault="001C19F7" w:rsidP="008B1CDA">
            <w:pPr>
              <w:keepNext/>
              <w:keepLines/>
              <w:tabs>
                <w:tab w:val="left" w:pos="3465"/>
              </w:tabs>
              <w:rPr>
                <w:color w:val="000000" w:themeColor="text1"/>
                <w:sz w:val="16"/>
              </w:rPr>
            </w:pPr>
            <w:r w:rsidRPr="00867291">
              <w:rPr>
                <w:color w:val="000000" w:themeColor="text1"/>
                <w:sz w:val="16"/>
              </w:rPr>
              <w:t>Si no se cumplen los objetivos de movilización de recursos no se podrán iniciar determinados proyectos de P.I. al servicio del desarrollo</w:t>
            </w:r>
          </w:p>
        </w:tc>
        <w:tc>
          <w:tcPr>
            <w:tcW w:w="2224" w:type="dxa"/>
            <w:shd w:val="clear" w:color="auto" w:fill="auto"/>
            <w:tcMar>
              <w:top w:w="113" w:type="dxa"/>
              <w:bottom w:w="85" w:type="dxa"/>
            </w:tcMar>
          </w:tcPr>
          <w:p w:rsidR="001C19F7" w:rsidRPr="00867291" w:rsidRDefault="001C19F7" w:rsidP="008B1CDA">
            <w:pPr>
              <w:keepNext/>
              <w:keepLines/>
              <w:rPr>
                <w:color w:val="000000" w:themeColor="text1"/>
                <w:sz w:val="16"/>
              </w:rPr>
            </w:pPr>
            <w:r w:rsidRPr="00867291">
              <w:rPr>
                <w:color w:val="000000" w:themeColor="text1"/>
                <w:sz w:val="16"/>
              </w:rPr>
              <w:t>Velar por la ejecución de proyectos de alta calidad para la movilización de recursos que estén orientados específicamente a la obtención de financiación de los donantes  Seguir desarrollando la capacidad de la organización para movilizar y administrar recursos extrapresupuestarios</w:t>
            </w:r>
            <w:r>
              <w:rPr>
                <w:color w:val="000000" w:themeColor="text1"/>
                <w:sz w:val="16"/>
              </w:rPr>
              <w:t xml:space="preserve">.   </w:t>
            </w:r>
            <w:r w:rsidRPr="00867291">
              <w:rPr>
                <w:color w:val="000000" w:themeColor="text1"/>
                <w:sz w:val="16"/>
              </w:rPr>
              <w:t xml:space="preserve"> Fomentar el conocimiento de las prioridades de los donantes y los contactos con estos últimos.  </w:t>
            </w:r>
          </w:p>
        </w:tc>
        <w:tc>
          <w:tcPr>
            <w:tcW w:w="2310" w:type="dxa"/>
          </w:tcPr>
          <w:p w:rsidR="001C19F7" w:rsidRPr="00867291" w:rsidRDefault="001C19F7" w:rsidP="008B1CDA">
            <w:pPr>
              <w:rPr>
                <w:color w:val="000000" w:themeColor="text1"/>
                <w:sz w:val="16"/>
                <w:szCs w:val="16"/>
              </w:rPr>
            </w:pPr>
            <w:r w:rsidRPr="00867291">
              <w:rPr>
                <w:color w:val="000000" w:themeColor="text1"/>
                <w:sz w:val="16"/>
              </w:rPr>
              <w:t>Se trata de un riesgo permanente para el programa, que se abordó con eficacia mediante las medidas paliativas, como estaba previsto.</w:t>
            </w:r>
          </w:p>
        </w:tc>
        <w:tc>
          <w:tcPr>
            <w:tcW w:w="2568" w:type="dxa"/>
          </w:tcPr>
          <w:p w:rsidR="001C19F7" w:rsidRPr="00867291" w:rsidRDefault="001C19F7" w:rsidP="008B1CDA">
            <w:pPr>
              <w:rPr>
                <w:color w:val="000000" w:themeColor="text1"/>
                <w:sz w:val="16"/>
                <w:szCs w:val="16"/>
              </w:rPr>
            </w:pPr>
            <w:r w:rsidRPr="00867291">
              <w:rPr>
                <w:color w:val="000000" w:themeColor="text1"/>
                <w:sz w:val="16"/>
              </w:rPr>
              <w:t>Sin repercusión importante en el rendimiento del programa.</w:t>
            </w:r>
          </w:p>
          <w:p w:rsidR="001C19F7" w:rsidRPr="00867291" w:rsidRDefault="001C19F7" w:rsidP="008B1CDA">
            <w:pPr>
              <w:rPr>
                <w:color w:val="000000" w:themeColor="text1"/>
                <w:sz w:val="16"/>
                <w:szCs w:val="16"/>
              </w:rPr>
            </w:pPr>
          </w:p>
        </w:tc>
      </w:tr>
      <w:tr w:rsidR="001C19F7" w:rsidRPr="00867291" w:rsidTr="008B1CDA">
        <w:trPr>
          <w:trHeight w:val="939"/>
        </w:trPr>
        <w:tc>
          <w:tcPr>
            <w:tcW w:w="2396" w:type="dxa"/>
            <w:shd w:val="clear" w:color="auto" w:fill="auto"/>
            <w:tcMar>
              <w:top w:w="113" w:type="dxa"/>
              <w:bottom w:w="85" w:type="dxa"/>
            </w:tcMar>
          </w:tcPr>
          <w:p w:rsidR="001C19F7" w:rsidRPr="00867291" w:rsidRDefault="001C19F7" w:rsidP="008B1CDA">
            <w:pPr>
              <w:keepNext/>
              <w:keepLines/>
              <w:autoSpaceDE w:val="0"/>
              <w:autoSpaceDN w:val="0"/>
              <w:adjustRightInd w:val="0"/>
              <w:ind w:right="-59"/>
              <w:rPr>
                <w:color w:val="000000" w:themeColor="text1"/>
                <w:sz w:val="16"/>
                <w:szCs w:val="16"/>
              </w:rPr>
            </w:pPr>
            <w:r w:rsidRPr="00867291">
              <w:rPr>
                <w:color w:val="000000" w:themeColor="text1"/>
                <w:sz w:val="16"/>
              </w:rPr>
              <w:t>Problemas de seguridad o desastres naturales ponen en peligro la labor de las oficinas en el exterior destinada a lograr los resultados previstos.</w:t>
            </w:r>
          </w:p>
        </w:tc>
        <w:tc>
          <w:tcPr>
            <w:tcW w:w="2224" w:type="dxa"/>
            <w:shd w:val="clear" w:color="auto" w:fill="auto"/>
            <w:tcMar>
              <w:top w:w="113" w:type="dxa"/>
              <w:bottom w:w="85" w:type="dxa"/>
            </w:tcMar>
          </w:tcPr>
          <w:p w:rsidR="001C19F7" w:rsidRPr="00867291" w:rsidRDefault="001C19F7" w:rsidP="008B1CDA">
            <w:pPr>
              <w:keepNext/>
              <w:keepLines/>
              <w:autoSpaceDE w:val="0"/>
              <w:autoSpaceDN w:val="0"/>
              <w:adjustRightInd w:val="0"/>
              <w:ind w:right="-59"/>
              <w:rPr>
                <w:color w:val="000000" w:themeColor="text1"/>
                <w:sz w:val="16"/>
                <w:szCs w:val="16"/>
              </w:rPr>
            </w:pPr>
            <w:r w:rsidRPr="00867291">
              <w:rPr>
                <w:color w:val="000000" w:themeColor="text1"/>
                <w:sz w:val="16"/>
              </w:rPr>
              <w:t>Establecer una estrecha cooperación con el gobierno anfitrión y ampliar el plan de continuidad de las actividades de la OMPI para dar cabida a las oficinas en el exterior</w:t>
            </w:r>
            <w:proofErr w:type="gramStart"/>
            <w:r w:rsidRPr="00867291">
              <w:rPr>
                <w:color w:val="000000" w:themeColor="text1"/>
                <w:sz w:val="16"/>
              </w:rPr>
              <w:t>..</w:t>
            </w:r>
            <w:proofErr w:type="gramEnd"/>
          </w:p>
        </w:tc>
        <w:tc>
          <w:tcPr>
            <w:tcW w:w="2310" w:type="dxa"/>
          </w:tcPr>
          <w:p w:rsidR="001C19F7" w:rsidRPr="00867291" w:rsidRDefault="001C19F7" w:rsidP="008B1CDA">
            <w:pPr>
              <w:keepNext/>
              <w:keepLines/>
              <w:rPr>
                <w:color w:val="000000" w:themeColor="text1"/>
                <w:sz w:val="16"/>
              </w:rPr>
            </w:pPr>
            <w:r w:rsidRPr="00867291">
              <w:rPr>
                <w:color w:val="000000" w:themeColor="text1"/>
                <w:sz w:val="16"/>
              </w:rPr>
              <w:t xml:space="preserve">Se trata de un riesgo permanente, que se abordó con eficacia mediante las medidas paliativas previstas, entre ellas una cooperación más estrecha con las Autoridades pertinentes y una preparación más adecuada para la pronta intervención en casos de catástrofe, como por ejemplo la adquisición de suministros para la supervivencia y la creación de una cadena de comunicación </w:t>
            </w:r>
            <w:proofErr w:type="gramStart"/>
            <w:r w:rsidRPr="00867291">
              <w:rPr>
                <w:color w:val="000000" w:themeColor="text1"/>
                <w:sz w:val="16"/>
              </w:rPr>
              <w:t>interna</w:t>
            </w:r>
            <w:proofErr w:type="gramEnd"/>
            <w:r w:rsidRPr="00867291">
              <w:rPr>
                <w:color w:val="000000" w:themeColor="text1"/>
                <w:sz w:val="16"/>
              </w:rPr>
              <w:t xml:space="preserve">.  </w:t>
            </w:r>
          </w:p>
        </w:tc>
        <w:tc>
          <w:tcPr>
            <w:tcW w:w="2568" w:type="dxa"/>
          </w:tcPr>
          <w:p w:rsidR="001C19F7" w:rsidRPr="00867291" w:rsidRDefault="001C19F7" w:rsidP="008B1CDA">
            <w:pPr>
              <w:keepNext/>
              <w:keepLines/>
              <w:rPr>
                <w:color w:val="000000" w:themeColor="text1"/>
                <w:sz w:val="16"/>
              </w:rPr>
            </w:pPr>
            <w:r w:rsidRPr="00867291">
              <w:rPr>
                <w:color w:val="000000" w:themeColor="text1"/>
                <w:sz w:val="16"/>
              </w:rPr>
              <w:t xml:space="preserve">Sin repercusión importante en el rendimiento del programa. </w:t>
            </w:r>
          </w:p>
        </w:tc>
      </w:tr>
    </w:tbl>
    <w:p w:rsidR="001C19F7" w:rsidRPr="00867291" w:rsidRDefault="001C19F7" w:rsidP="001C19F7">
      <w:pPr>
        <w:rPr>
          <w:color w:val="000000" w:themeColor="text1"/>
        </w:rPr>
      </w:pPr>
    </w:p>
    <w:p w:rsidR="001C19F7" w:rsidRPr="00867291" w:rsidRDefault="001C19F7" w:rsidP="001C19F7">
      <w:pPr>
        <w:rPr>
          <w:color w:val="000000" w:themeColor="text1"/>
        </w:rPr>
      </w:pPr>
    </w:p>
    <w:p w:rsidR="001C19F7" w:rsidRPr="001C19F7" w:rsidRDefault="001C19F7" w:rsidP="001C19F7">
      <w:pPr>
        <w:keepNext/>
        <w:keepLines/>
        <w:rPr>
          <w:color w:val="000000" w:themeColor="text1"/>
          <w:sz w:val="20"/>
        </w:rPr>
      </w:pPr>
      <w:r w:rsidRPr="001C19F7">
        <w:rPr>
          <w:color w:val="000000" w:themeColor="text1"/>
          <w:sz w:val="20"/>
        </w:rPr>
        <w:lastRenderedPageBreak/>
        <w:t>UTILIZACIÓN DE LOS RECURSOS</w:t>
      </w:r>
    </w:p>
    <w:p w:rsidR="001C19F7" w:rsidRPr="001C19F7" w:rsidRDefault="001C19F7" w:rsidP="001C19F7">
      <w:pPr>
        <w:keepNext/>
        <w:keepLines/>
        <w:rPr>
          <w:color w:val="000000" w:themeColor="text1"/>
          <w:sz w:val="20"/>
        </w:rPr>
      </w:pPr>
    </w:p>
    <w:p w:rsidR="001C19F7" w:rsidRPr="001C19F7" w:rsidRDefault="001C19F7" w:rsidP="001C19F7">
      <w:pPr>
        <w:pStyle w:val="NormalWeb"/>
        <w:keepNext/>
        <w:keepLines/>
        <w:spacing w:before="0" w:beforeAutospacing="0" w:after="0" w:afterAutospacing="0"/>
        <w:jc w:val="center"/>
        <w:rPr>
          <w:color w:val="000000" w:themeColor="text1"/>
          <w:sz w:val="20"/>
          <w:szCs w:val="20"/>
          <w:lang w:val="es-ES"/>
        </w:rPr>
      </w:pPr>
      <w:r w:rsidRPr="001C19F7">
        <w:rPr>
          <w:color w:val="000000" w:themeColor="text1"/>
          <w:sz w:val="20"/>
          <w:szCs w:val="20"/>
          <w:lang w:val="es-ES"/>
        </w:rPr>
        <w:t xml:space="preserve">Presupuesto y gastos reales (por resultado) </w:t>
      </w:r>
    </w:p>
    <w:p w:rsidR="001C19F7" w:rsidRPr="001C19F7" w:rsidRDefault="001C19F7" w:rsidP="001C19F7">
      <w:pPr>
        <w:pStyle w:val="NormalWeb"/>
        <w:keepNext/>
        <w:keepLines/>
        <w:spacing w:before="0" w:beforeAutospacing="0" w:after="0" w:afterAutospacing="0"/>
        <w:jc w:val="center"/>
        <w:rPr>
          <w:i/>
          <w:iCs/>
          <w:color w:val="000000" w:themeColor="text1"/>
          <w:sz w:val="20"/>
          <w:szCs w:val="20"/>
          <w:lang w:val="es-ES"/>
        </w:rPr>
      </w:pPr>
      <w:r w:rsidRPr="001C19F7">
        <w:rPr>
          <w:i/>
          <w:color w:val="000000" w:themeColor="text1"/>
          <w:sz w:val="20"/>
          <w:szCs w:val="20"/>
          <w:lang w:val="es-ES"/>
        </w:rPr>
        <w:t>(</w:t>
      </w:r>
      <w:proofErr w:type="gramStart"/>
      <w:r w:rsidRPr="001C19F7">
        <w:rPr>
          <w:i/>
          <w:color w:val="000000" w:themeColor="text1"/>
          <w:sz w:val="20"/>
          <w:szCs w:val="20"/>
          <w:lang w:val="es-ES"/>
        </w:rPr>
        <w:t>en</w:t>
      </w:r>
      <w:proofErr w:type="gramEnd"/>
      <w:r w:rsidRPr="001C19F7">
        <w:rPr>
          <w:i/>
          <w:color w:val="000000" w:themeColor="text1"/>
          <w:sz w:val="20"/>
          <w:szCs w:val="20"/>
          <w:lang w:val="es-ES"/>
        </w:rPr>
        <w:t xml:space="preserve"> miles de francos suizos)</w:t>
      </w:r>
    </w:p>
    <w:p w:rsidR="001C19F7" w:rsidRPr="001C19F7" w:rsidRDefault="001C19F7" w:rsidP="001C19F7">
      <w:pPr>
        <w:pStyle w:val="NormalWeb"/>
        <w:keepNext/>
        <w:keepLines/>
        <w:spacing w:before="0" w:beforeAutospacing="0" w:after="0" w:afterAutospacing="0"/>
        <w:jc w:val="center"/>
        <w:rPr>
          <w:color w:val="000000" w:themeColor="text1"/>
          <w:sz w:val="20"/>
          <w:szCs w:val="20"/>
          <w:lang w:val="es-ES"/>
        </w:rPr>
      </w:pPr>
    </w:p>
    <w:p w:rsidR="001C19F7" w:rsidRPr="00867291" w:rsidRDefault="001C19F7" w:rsidP="001C19F7">
      <w:pPr>
        <w:jc w:val="center"/>
        <w:rPr>
          <w:color w:val="000000" w:themeColor="text1"/>
        </w:rPr>
      </w:pPr>
      <w:r>
        <w:rPr>
          <w:noProof/>
          <w:color w:val="000000" w:themeColor="text1"/>
          <w:lang w:val="en-US" w:eastAsia="en-US"/>
        </w:rPr>
        <w:drawing>
          <wp:inline distT="0" distB="0" distL="0" distR="0" wp14:anchorId="07243632" wp14:editId="133FBF89">
            <wp:extent cx="5177723" cy="565316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77797" cy="5653245"/>
                    </a:xfrm>
                    <a:prstGeom prst="rect">
                      <a:avLst/>
                    </a:prstGeom>
                    <a:noFill/>
                    <a:ln>
                      <a:noFill/>
                    </a:ln>
                  </pic:spPr>
                </pic:pic>
              </a:graphicData>
            </a:graphic>
          </wp:inline>
        </w:drawing>
      </w:r>
    </w:p>
    <w:p w:rsidR="001C19F7" w:rsidRDefault="001C19F7" w:rsidP="001C19F7">
      <w:pPr>
        <w:jc w:val="center"/>
        <w:rPr>
          <w:color w:val="000000" w:themeColor="text1"/>
          <w:sz w:val="20"/>
        </w:rPr>
      </w:pPr>
    </w:p>
    <w:p w:rsidR="00A62586" w:rsidRPr="001C19F7" w:rsidRDefault="00A62586" w:rsidP="001C19F7">
      <w:pPr>
        <w:jc w:val="center"/>
        <w:rPr>
          <w:color w:val="000000" w:themeColor="text1"/>
          <w:sz w:val="20"/>
        </w:rPr>
      </w:pPr>
    </w:p>
    <w:p w:rsidR="001C19F7" w:rsidRPr="001C19F7" w:rsidRDefault="001C19F7" w:rsidP="001C19F7">
      <w:pPr>
        <w:pStyle w:val="NormalWeb"/>
        <w:keepNext/>
        <w:keepLines/>
        <w:spacing w:before="0" w:beforeAutospacing="0" w:after="0" w:afterAutospacing="0"/>
        <w:jc w:val="center"/>
        <w:rPr>
          <w:color w:val="000000" w:themeColor="text1"/>
          <w:sz w:val="20"/>
          <w:szCs w:val="20"/>
          <w:lang w:val="es-ES"/>
        </w:rPr>
      </w:pPr>
      <w:r w:rsidRPr="001C19F7">
        <w:rPr>
          <w:color w:val="000000" w:themeColor="text1"/>
          <w:sz w:val="20"/>
          <w:szCs w:val="20"/>
          <w:lang w:val="es-ES"/>
        </w:rPr>
        <w:t xml:space="preserve">Presupuesto y gastos reales (de personal y no relativos a personal) </w:t>
      </w:r>
    </w:p>
    <w:p w:rsidR="001C19F7" w:rsidRPr="001C19F7" w:rsidRDefault="001C19F7" w:rsidP="001C19F7">
      <w:pPr>
        <w:pStyle w:val="NormalWeb"/>
        <w:keepNext/>
        <w:keepLines/>
        <w:spacing w:before="0" w:beforeAutospacing="0" w:after="0" w:afterAutospacing="0"/>
        <w:jc w:val="center"/>
        <w:rPr>
          <w:i/>
          <w:iCs/>
          <w:color w:val="000000" w:themeColor="text1"/>
          <w:sz w:val="20"/>
          <w:szCs w:val="20"/>
          <w:lang w:val="es-ES"/>
        </w:rPr>
      </w:pPr>
      <w:r w:rsidRPr="001C19F7">
        <w:rPr>
          <w:i/>
          <w:color w:val="000000" w:themeColor="text1"/>
          <w:sz w:val="20"/>
          <w:szCs w:val="20"/>
          <w:lang w:val="es-ES"/>
        </w:rPr>
        <w:t>(</w:t>
      </w:r>
      <w:proofErr w:type="gramStart"/>
      <w:r w:rsidRPr="001C19F7">
        <w:rPr>
          <w:i/>
          <w:color w:val="000000" w:themeColor="text1"/>
          <w:sz w:val="20"/>
          <w:szCs w:val="20"/>
          <w:lang w:val="es-ES"/>
        </w:rPr>
        <w:t>en</w:t>
      </w:r>
      <w:proofErr w:type="gramEnd"/>
      <w:r w:rsidRPr="001C19F7">
        <w:rPr>
          <w:i/>
          <w:color w:val="000000" w:themeColor="text1"/>
          <w:sz w:val="20"/>
          <w:szCs w:val="20"/>
          <w:lang w:val="es-ES"/>
        </w:rPr>
        <w:t xml:space="preserve"> miles de francos suizos)</w:t>
      </w:r>
    </w:p>
    <w:p w:rsidR="001C19F7" w:rsidRPr="001C19F7" w:rsidRDefault="001C19F7" w:rsidP="001C19F7">
      <w:pPr>
        <w:pStyle w:val="NormalWeb"/>
        <w:keepNext/>
        <w:keepLines/>
        <w:spacing w:before="0" w:beforeAutospacing="0" w:after="0" w:afterAutospacing="0"/>
        <w:jc w:val="center"/>
        <w:rPr>
          <w:color w:val="000000" w:themeColor="text1"/>
          <w:sz w:val="20"/>
          <w:szCs w:val="20"/>
          <w:lang w:val="es-ES"/>
        </w:rPr>
      </w:pPr>
    </w:p>
    <w:p w:rsidR="001C19F7" w:rsidRPr="00867291" w:rsidRDefault="001C19F7" w:rsidP="001C19F7">
      <w:pPr>
        <w:jc w:val="center"/>
        <w:rPr>
          <w:i/>
          <w:color w:val="000000" w:themeColor="text1"/>
          <w:szCs w:val="16"/>
        </w:rPr>
      </w:pPr>
      <w:r>
        <w:rPr>
          <w:noProof/>
          <w:color w:val="000000" w:themeColor="text1"/>
          <w:lang w:val="en-US" w:eastAsia="en-US"/>
        </w:rPr>
        <w:drawing>
          <wp:inline distT="0" distB="0" distL="0" distR="0" wp14:anchorId="178A2E0E" wp14:editId="2B159765">
            <wp:extent cx="5433237" cy="103135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41077" cy="1032846"/>
                    </a:xfrm>
                    <a:prstGeom prst="rect">
                      <a:avLst/>
                    </a:prstGeom>
                    <a:noFill/>
                    <a:ln>
                      <a:noFill/>
                    </a:ln>
                  </pic:spPr>
                </pic:pic>
              </a:graphicData>
            </a:graphic>
          </wp:inline>
        </w:drawing>
      </w:r>
    </w:p>
    <w:p w:rsidR="001C19F7" w:rsidRPr="001C19F7" w:rsidRDefault="001C19F7" w:rsidP="001C19F7">
      <w:pPr>
        <w:rPr>
          <w:i/>
          <w:color w:val="000000" w:themeColor="text1"/>
          <w:sz w:val="20"/>
        </w:rPr>
      </w:pPr>
    </w:p>
    <w:p w:rsidR="001C19F7" w:rsidRPr="001C19F7" w:rsidRDefault="001C19F7" w:rsidP="001C19F7">
      <w:pPr>
        <w:rPr>
          <w:i/>
          <w:color w:val="000000" w:themeColor="text1"/>
          <w:sz w:val="20"/>
        </w:rPr>
      </w:pPr>
    </w:p>
    <w:p w:rsidR="001C19F7" w:rsidRPr="001C19F7" w:rsidRDefault="001C19F7" w:rsidP="001B204E">
      <w:pPr>
        <w:keepNext/>
        <w:keepLines/>
        <w:tabs>
          <w:tab w:val="left" w:pos="709"/>
        </w:tabs>
        <w:rPr>
          <w:color w:val="000000" w:themeColor="text1"/>
          <w:sz w:val="20"/>
          <w:u w:val="single"/>
        </w:rPr>
      </w:pPr>
      <w:r w:rsidRPr="001C19F7">
        <w:rPr>
          <w:color w:val="000000" w:themeColor="text1"/>
          <w:sz w:val="20"/>
        </w:rPr>
        <w:lastRenderedPageBreak/>
        <w:t>A.</w:t>
      </w:r>
      <w:r w:rsidRPr="001C19F7">
        <w:rPr>
          <w:color w:val="000000" w:themeColor="text1"/>
          <w:sz w:val="20"/>
        </w:rPr>
        <w:tab/>
      </w:r>
      <w:r w:rsidRPr="001C19F7">
        <w:rPr>
          <w:color w:val="000000" w:themeColor="text1"/>
          <w:sz w:val="20"/>
          <w:u w:val="single"/>
        </w:rPr>
        <w:t xml:space="preserve">Presupuesto final de 2014/15 tras las transferencias </w:t>
      </w:r>
    </w:p>
    <w:p w:rsidR="001C19F7" w:rsidRPr="001C19F7" w:rsidRDefault="001C19F7" w:rsidP="001C19F7">
      <w:pPr>
        <w:keepNext/>
        <w:keepLines/>
        <w:rPr>
          <w:color w:val="000000" w:themeColor="text1"/>
          <w:sz w:val="20"/>
          <w:u w:val="single"/>
        </w:rPr>
      </w:pPr>
    </w:p>
    <w:p w:rsidR="001C19F7" w:rsidRPr="001C19F7" w:rsidRDefault="001C19F7" w:rsidP="00276C89">
      <w:pPr>
        <w:pStyle w:val="ListParagraph"/>
        <w:keepNext/>
        <w:keepLines/>
        <w:numPr>
          <w:ilvl w:val="0"/>
          <w:numId w:val="94"/>
        </w:numPr>
        <w:tabs>
          <w:tab w:val="left" w:pos="709"/>
        </w:tabs>
        <w:ind w:left="0" w:firstLine="0"/>
        <w:jc w:val="both"/>
        <w:rPr>
          <w:rFonts w:cs="Arial"/>
          <w:color w:val="000000" w:themeColor="text1"/>
          <w:lang w:val="es-ES"/>
        </w:rPr>
      </w:pPr>
      <w:r w:rsidRPr="001C19F7">
        <w:rPr>
          <w:color w:val="000000" w:themeColor="text1"/>
          <w:lang w:val="es-ES"/>
        </w:rPr>
        <w:t>La disminución neta de los recursos de personal en el presupuesto final de 2014/15 después de las transferencias es el reflejo de la transferencia de recursos de personal al programa 9 para reforzar las actividades de la Oficina para África (que se refleja como disminución en el resultado VIII.4 (Intercambios abiertos, transparentes y dinámicos con las organizaciones no gubernamentales).</w:t>
      </w:r>
    </w:p>
    <w:p w:rsidR="001C19F7" w:rsidRPr="001C19F7" w:rsidRDefault="001C19F7" w:rsidP="001C19F7">
      <w:pPr>
        <w:pStyle w:val="ListParagraph"/>
        <w:tabs>
          <w:tab w:val="left" w:pos="709"/>
        </w:tabs>
        <w:ind w:left="0"/>
        <w:contextualSpacing/>
        <w:jc w:val="both"/>
        <w:rPr>
          <w:rFonts w:cs="Arial"/>
          <w:color w:val="000000" w:themeColor="text1"/>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u w:val="single"/>
          <w:lang w:val="es-ES"/>
        </w:rPr>
      </w:pPr>
      <w:r w:rsidRPr="001C19F7">
        <w:rPr>
          <w:color w:val="000000" w:themeColor="text1"/>
          <w:lang w:val="es-ES"/>
        </w:rPr>
        <w:t>El aumento neto de los recursos no relativos al personal en el presupuesto final de 2014/15 después de las transferencias se debe principalmente a</w:t>
      </w:r>
      <w:proofErr w:type="gramStart"/>
      <w:r w:rsidRPr="001C19F7">
        <w:rPr>
          <w:color w:val="000000" w:themeColor="text1"/>
          <w:lang w:val="es-ES"/>
        </w:rPr>
        <w:t>:  i</w:t>
      </w:r>
      <w:proofErr w:type="gramEnd"/>
      <w:r w:rsidRPr="001C19F7">
        <w:rPr>
          <w:color w:val="000000" w:themeColor="text1"/>
          <w:lang w:val="es-ES"/>
        </w:rPr>
        <w:t>) la asignación inicial de recursos para la OOC y la OOR;  ii) la transferencia de fondos adicionales a la OOC para la obra de infraestructura debida al proyecto GOA;  y la transferencia de fondos adicionales a las oficinas en el exterior para la participación de sus directores en las Asambleas Generales de la OMPI.</w:t>
      </w:r>
    </w:p>
    <w:p w:rsidR="001C19F7" w:rsidRPr="001C19F7" w:rsidRDefault="001C19F7" w:rsidP="001C19F7">
      <w:pPr>
        <w:pStyle w:val="ListParagraph"/>
        <w:tabs>
          <w:tab w:val="left" w:pos="709"/>
        </w:tabs>
        <w:ind w:left="0"/>
        <w:jc w:val="both"/>
        <w:rPr>
          <w:rFonts w:cs="Arial"/>
          <w:color w:val="000000" w:themeColor="text1"/>
          <w:u w:val="single"/>
          <w:lang w:val="es-ES"/>
        </w:rPr>
      </w:pPr>
    </w:p>
    <w:p w:rsidR="001C19F7" w:rsidRPr="001C19F7" w:rsidRDefault="001C19F7" w:rsidP="00276C89">
      <w:pPr>
        <w:pStyle w:val="ListParagraph"/>
        <w:numPr>
          <w:ilvl w:val="0"/>
          <w:numId w:val="94"/>
        </w:numPr>
        <w:tabs>
          <w:tab w:val="left" w:pos="709"/>
        </w:tabs>
        <w:ind w:left="0" w:firstLine="0"/>
        <w:jc w:val="both"/>
        <w:rPr>
          <w:rFonts w:cs="Arial"/>
          <w:color w:val="000000" w:themeColor="text1"/>
          <w:u w:val="single"/>
          <w:lang w:val="es-ES"/>
        </w:rPr>
      </w:pPr>
      <w:r w:rsidRPr="001C19F7">
        <w:rPr>
          <w:color w:val="000000" w:themeColor="text1"/>
          <w:lang w:val="es-ES"/>
        </w:rPr>
        <w:t xml:space="preserve">Los ajustes en los resultados previstos se deben principalmente a: i) la asignación inicial de recursos para la OOC y la OOR, que se reflejan, en particular, en los resultados previstos II.1 (Fomento del uso de la vía del PCT) y II.6 (Mayor y más eficaz utilización de los sistemas de Madrid y de Lisboa;  ii) la importancia cada vez mayor que atribuyen las Oficinas en el exterior a la comunicación más eficaz acerca de los servicios mundiales de P.I. de la OMPI, que se refleja en el resultado previsto VIII.1 (Comunicación más eficaz con el público en general) y mejor servicio al cliente, que se refleja en el resultado previsto VIII.2 (Mejora en la prestación de servicios y la atención de consultas);  y iii) la redistribución de recursos del resultado VIII.4 (Intercambios abiertos, transparentes y dinámicos con las ONG) al resultado VIII.5 (La OMPI participa y colabora eficazmente en los procesos y negociaciones de las NN.UU. y otras OIG) a raíz de la reorganización interna del programa.  </w:t>
      </w:r>
    </w:p>
    <w:p w:rsidR="001C19F7" w:rsidRPr="001C19F7" w:rsidRDefault="001C19F7" w:rsidP="001C19F7">
      <w:pPr>
        <w:rPr>
          <w:color w:val="000000" w:themeColor="text1"/>
          <w:sz w:val="20"/>
        </w:rPr>
      </w:pPr>
    </w:p>
    <w:p w:rsidR="001C19F7" w:rsidRPr="001C19F7" w:rsidRDefault="001C19F7" w:rsidP="001B204E">
      <w:pPr>
        <w:tabs>
          <w:tab w:val="left" w:pos="709"/>
        </w:tabs>
        <w:jc w:val="both"/>
        <w:rPr>
          <w:color w:val="000000" w:themeColor="text1"/>
          <w:sz w:val="20"/>
          <w:u w:val="single"/>
        </w:rPr>
      </w:pPr>
      <w:r w:rsidRPr="001C19F7">
        <w:rPr>
          <w:color w:val="000000" w:themeColor="text1"/>
          <w:sz w:val="20"/>
        </w:rPr>
        <w:t>B.</w:t>
      </w:r>
      <w:r w:rsidRPr="001C19F7">
        <w:rPr>
          <w:color w:val="000000" w:themeColor="text1"/>
          <w:sz w:val="20"/>
        </w:rPr>
        <w:tab/>
      </w:r>
      <w:r w:rsidRPr="001C19F7">
        <w:rPr>
          <w:color w:val="000000" w:themeColor="text1"/>
          <w:sz w:val="20"/>
          <w:u w:val="single"/>
        </w:rPr>
        <w:t xml:space="preserve">Utilización del presupuesto en 2014/15 </w:t>
      </w:r>
    </w:p>
    <w:p w:rsidR="001C19F7" w:rsidRPr="001C19F7" w:rsidRDefault="001C19F7" w:rsidP="001C19F7">
      <w:pPr>
        <w:jc w:val="both"/>
        <w:rPr>
          <w:color w:val="000000" w:themeColor="text1"/>
          <w:sz w:val="20"/>
          <w:u w:val="single"/>
        </w:rPr>
      </w:pPr>
    </w:p>
    <w:p w:rsidR="001C19F7" w:rsidRPr="001C19F7" w:rsidRDefault="001C19F7" w:rsidP="00276C89">
      <w:pPr>
        <w:pStyle w:val="ListParagraph"/>
        <w:numPr>
          <w:ilvl w:val="0"/>
          <w:numId w:val="94"/>
        </w:numPr>
        <w:tabs>
          <w:tab w:val="left" w:pos="709"/>
        </w:tabs>
        <w:ind w:left="0" w:firstLine="0"/>
        <w:jc w:val="both"/>
        <w:rPr>
          <w:color w:val="000000" w:themeColor="text1"/>
          <w:lang w:val="es-ES"/>
        </w:rPr>
      </w:pPr>
      <w:r w:rsidRPr="001C19F7">
        <w:rPr>
          <w:color w:val="000000" w:themeColor="text1"/>
          <w:lang w:val="es-ES"/>
        </w:rPr>
        <w:t>La utilización global del presupuesto en el bienio 2014/15 fue del 81%.  Esta utilización se debe principalmente a:  i) la apertura de la OOC y la OOR en julio de 2014, es decir, a mitad de año, y se refleja en particular en los resultados II.1 (Fomento del uso de la vía del PCT), II.6 (Mayor y más eficaz utilización de los Sistemas de Madrid y Lisboa) y III.2 (Aumento de las capacidades en recursos humanos);  ii) el aplazamiento de las actividades relacionadas con el proyecto de uso de servicios extrajudiciales de solución de controversias acerca de transacciones de propiedad intelectual en la OOB, que se refleja en el resultado II.8 (controversias nacionales e internacionales en materia de propiedad intelectual);  iii) determinadas actividades de creación de capacidad, que se reflejan en el resultado III.2 (Aumento de las capacidades en recursos humanos) por parte de otros programas directamente en los países /regiones;  y iv) la aplicación de medidas de costo-eficacia en las misiones del personal, en particular, en lo que se refiere al resultado VIII.5 (La OMPI participa y colabora eficazmente en los procesos y negociaciones de las NN.UU. y otras OIG).</w:t>
      </w:r>
    </w:p>
    <w:p w:rsidR="001C19F7" w:rsidRPr="001C19F7" w:rsidRDefault="001C19F7" w:rsidP="001C19F7">
      <w:pPr>
        <w:jc w:val="both"/>
        <w:rPr>
          <w:color w:val="000000" w:themeColor="text1"/>
          <w:sz w:val="20"/>
        </w:rPr>
      </w:pPr>
    </w:p>
    <w:p w:rsidR="001C19F7" w:rsidRPr="001C19F7" w:rsidRDefault="001C19F7" w:rsidP="001C19F7">
      <w:pPr>
        <w:jc w:val="both"/>
        <w:rPr>
          <w:color w:val="000000" w:themeColor="text1"/>
          <w:sz w:val="20"/>
        </w:rPr>
      </w:pPr>
    </w:p>
    <w:p w:rsidR="001C19F7" w:rsidRPr="001C19F7" w:rsidRDefault="001C19F7" w:rsidP="001C19F7">
      <w:pPr>
        <w:jc w:val="both"/>
        <w:rPr>
          <w:color w:val="000000" w:themeColor="text1"/>
          <w:sz w:val="20"/>
        </w:rPr>
      </w:pPr>
    </w:p>
    <w:p w:rsidR="00FA423E" w:rsidRPr="001C19F7" w:rsidRDefault="00FA423E" w:rsidP="00FA423E">
      <w:pPr>
        <w:rPr>
          <w:sz w:val="20"/>
        </w:rPr>
      </w:pPr>
      <w:r w:rsidRPr="001C19F7">
        <w:rPr>
          <w:sz w:val="20"/>
        </w:rPr>
        <w:br w:type="page"/>
      </w:r>
    </w:p>
    <w:p w:rsidR="00FA423E" w:rsidRPr="00F171B5" w:rsidRDefault="00FA423E" w:rsidP="00FA423E">
      <w:pPr>
        <w:pStyle w:val="StyleHeading214ptAuto"/>
        <w:rPr>
          <w:rFonts w:ascii="Arial" w:hAnsi="Arial" w:cs="Arial"/>
          <w:sz w:val="20"/>
          <w:szCs w:val="20"/>
          <w:lang w:val="es-ES"/>
        </w:rPr>
      </w:pPr>
      <w:bookmarkStart w:id="168" w:name="_Toc455159102"/>
      <w:bookmarkStart w:id="169" w:name="_Toc367350601"/>
      <w:r w:rsidRPr="00F171B5">
        <w:rPr>
          <w:rFonts w:ascii="Arial" w:hAnsi="Arial" w:cs="Arial"/>
          <w:sz w:val="20"/>
          <w:szCs w:val="20"/>
          <w:lang w:val="es-ES_tradnl"/>
        </w:rPr>
        <w:lastRenderedPageBreak/>
        <w:t>META ESTRATÉGICA IX</w:t>
      </w:r>
      <w:bookmarkEnd w:id="168"/>
    </w:p>
    <w:p w:rsidR="00FA423E" w:rsidRPr="00F171B5" w:rsidRDefault="00FA423E" w:rsidP="00FA423E">
      <w:pPr>
        <w:jc w:val="center"/>
        <w:rPr>
          <w:sz w:val="20"/>
        </w:rPr>
      </w:pPr>
    </w:p>
    <w:bookmarkEnd w:id="169"/>
    <w:p w:rsidR="00FA423E" w:rsidRPr="00F171B5" w:rsidRDefault="00FA423E" w:rsidP="00FA423E">
      <w:pPr>
        <w:jc w:val="center"/>
        <w:rPr>
          <w:sz w:val="20"/>
        </w:rPr>
      </w:pPr>
      <w:r w:rsidRPr="00F171B5">
        <w:rPr>
          <w:b/>
          <w:sz w:val="20"/>
          <w:lang w:val="es-ES_tradnl"/>
        </w:rPr>
        <w:t>APOYO ADMINISTRATIVO Y FINANCIERO EFICIENTE</w:t>
      </w:r>
    </w:p>
    <w:p w:rsidR="00FA423E" w:rsidRPr="00F171B5" w:rsidRDefault="00FA423E" w:rsidP="00FA423E">
      <w:pPr>
        <w:jc w:val="center"/>
        <w:rPr>
          <w:sz w:val="20"/>
        </w:rPr>
      </w:pPr>
    </w:p>
    <w:p w:rsidR="00FA423E" w:rsidRPr="00F171B5" w:rsidRDefault="00FA423E" w:rsidP="00FA423E">
      <w:pPr>
        <w:jc w:val="center"/>
        <w:rPr>
          <w:b/>
          <w:sz w:val="20"/>
        </w:rPr>
      </w:pPr>
      <w:r w:rsidRPr="00F171B5">
        <w:rPr>
          <w:b/>
          <w:sz w:val="20"/>
        </w:rPr>
        <w:t xml:space="preserve">Cuadro sobre el rendimiento bienal </w:t>
      </w:r>
    </w:p>
    <w:p w:rsidR="00FA423E" w:rsidRPr="00F171B5" w:rsidRDefault="00FA423E" w:rsidP="00FA423E">
      <w:pPr>
        <w:jc w:val="center"/>
        <w:rPr>
          <w:b/>
          <w:sz w:val="20"/>
        </w:rPr>
      </w:pPr>
    </w:p>
    <w:p w:rsidR="00FA423E" w:rsidRPr="00F171B5" w:rsidRDefault="00FA423E" w:rsidP="00FA423E">
      <w:pPr>
        <w:autoSpaceDE w:val="0"/>
        <w:autoSpaceDN w:val="0"/>
        <w:adjustRightInd w:val="0"/>
        <w:jc w:val="both"/>
        <w:rPr>
          <w:sz w:val="20"/>
        </w:rPr>
      </w:pPr>
      <w:r w:rsidRPr="00F171B5">
        <w:rPr>
          <w:sz w:val="20"/>
          <w:lang w:val="es-ES_tradnl"/>
        </w:rPr>
        <w:t>En el siguiente cuadro se reseñan los avances realizados hacia la consecución de los resultados en el bienio 2014/15, medidos con arreglo a los indicadores de los programas que contribuyen al logro de esta meta estratégica.</w:t>
      </w:r>
      <w:r w:rsidRPr="00F171B5">
        <w:rPr>
          <w:sz w:val="20"/>
        </w:rPr>
        <w:t xml:space="preserve">  </w:t>
      </w:r>
    </w:p>
    <w:p w:rsidR="00FA423E" w:rsidRPr="00F171B5" w:rsidRDefault="00FA423E" w:rsidP="00FA423E">
      <w:pPr>
        <w:jc w:val="center"/>
        <w:rPr>
          <w:sz w:val="20"/>
        </w:rPr>
      </w:pPr>
      <w:r w:rsidRPr="00F171B5">
        <w:rPr>
          <w:noProof/>
          <w:sz w:val="20"/>
          <w:lang w:val="en-US" w:eastAsia="en-US"/>
        </w:rPr>
        <w:drawing>
          <wp:inline distT="0" distB="0" distL="0" distR="0" wp14:anchorId="29BA6E5A" wp14:editId="70284DBB">
            <wp:extent cx="5940425" cy="3162603"/>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0425" cy="3162603"/>
                    </a:xfrm>
                    <a:prstGeom prst="rect">
                      <a:avLst/>
                    </a:prstGeom>
                    <a:noFill/>
                    <a:ln>
                      <a:noFill/>
                    </a:ln>
                  </pic:spPr>
                </pic:pic>
              </a:graphicData>
            </a:graphic>
          </wp:inline>
        </w:drawing>
      </w:r>
    </w:p>
    <w:p w:rsidR="00FA423E" w:rsidRPr="00F171B5" w:rsidRDefault="00FA423E" w:rsidP="00FA423E">
      <w:pPr>
        <w:jc w:val="center"/>
        <w:rPr>
          <w:sz w:val="20"/>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2"/>
        <w:gridCol w:w="4032"/>
        <w:gridCol w:w="1693"/>
        <w:gridCol w:w="873"/>
      </w:tblGrid>
      <w:tr w:rsidR="00FA423E" w:rsidRPr="00AF5E7C" w:rsidTr="00DC1333">
        <w:trPr>
          <w:cantSplit/>
          <w:trHeight w:val="317"/>
          <w:tblHeader/>
        </w:trPr>
        <w:tc>
          <w:tcPr>
            <w:tcW w:w="151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bCs/>
                <w:sz w:val="18"/>
                <w:szCs w:val="18"/>
              </w:rPr>
            </w:pPr>
            <w:r w:rsidRPr="007E4934">
              <w:rPr>
                <w:b/>
                <w:bCs/>
                <w:sz w:val="18"/>
                <w:szCs w:val="18"/>
                <w:lang w:val="es-ES_tradnl"/>
              </w:rPr>
              <w:t>Resultados previstos</w:t>
            </w:r>
          </w:p>
        </w:tc>
        <w:tc>
          <w:tcPr>
            <w:tcW w:w="213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rPr>
                <w:b/>
                <w:sz w:val="18"/>
                <w:szCs w:val="18"/>
              </w:rPr>
            </w:pPr>
            <w:r w:rsidRPr="007E4934">
              <w:rPr>
                <w:b/>
                <w:sz w:val="18"/>
                <w:szCs w:val="18"/>
                <w:lang w:val="es-ES_tradnl"/>
              </w:rPr>
              <w:t>Indicadores de rendimiento</w:t>
            </w:r>
          </w:p>
        </w:tc>
        <w:tc>
          <w:tcPr>
            <w:tcW w:w="89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FA423E" w:rsidRPr="007E4934" w:rsidRDefault="00FA423E" w:rsidP="00DC1333">
            <w:pPr>
              <w:spacing w:after="120"/>
              <w:ind w:left="85"/>
              <w:jc w:val="center"/>
              <w:rPr>
                <w:sz w:val="18"/>
                <w:szCs w:val="18"/>
              </w:rPr>
            </w:pPr>
            <w:r w:rsidRPr="007E4934">
              <w:rPr>
                <w:b/>
                <w:sz w:val="18"/>
                <w:szCs w:val="18"/>
                <w:lang w:val="es-ES_tradnl"/>
              </w:rPr>
              <w:t>Programas responsables</w:t>
            </w:r>
          </w:p>
        </w:tc>
        <w:tc>
          <w:tcPr>
            <w:tcW w:w="461" w:type="pct"/>
            <w:tcBorders>
              <w:top w:val="single" w:sz="4" w:space="0" w:color="auto"/>
              <w:bottom w:val="single" w:sz="4" w:space="0" w:color="auto"/>
            </w:tcBorders>
            <w:shd w:val="clear" w:color="auto" w:fill="DAEEF3" w:themeFill="accent5" w:themeFillTint="33"/>
            <w:vAlign w:val="center"/>
          </w:tcPr>
          <w:p w:rsidR="00FA423E" w:rsidRPr="005967EA" w:rsidRDefault="00FA423E" w:rsidP="00DC1333">
            <w:pPr>
              <w:spacing w:after="120"/>
              <w:ind w:left="12" w:hanging="12"/>
              <w:jc w:val="center"/>
              <w:rPr>
                <w:b/>
                <w:bCs/>
                <w:sz w:val="18"/>
                <w:szCs w:val="18"/>
              </w:rPr>
            </w:pPr>
            <w:r w:rsidRPr="007E4934">
              <w:rPr>
                <w:b/>
                <w:bCs/>
                <w:sz w:val="18"/>
                <w:szCs w:val="18"/>
                <w:lang w:val="es-ES_tradnl"/>
              </w:rPr>
              <w:t>Clave de colores</w:t>
            </w:r>
          </w:p>
        </w:tc>
      </w:tr>
      <w:tr w:rsidR="00FA423E" w:rsidRPr="00AF5E7C" w:rsidTr="00DC1333">
        <w:trPr>
          <w:cantSplit/>
          <w:trHeight w:val="704"/>
        </w:trPr>
        <w:tc>
          <w:tcPr>
            <w:tcW w:w="1513"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IX.1 Servicios de apoyo eficaces, eficientes, de calidad y orientados al cliente, tanto a los clientes internos como a las partes interesadas externas</w:t>
            </w:r>
          </w:p>
        </w:tc>
        <w:tc>
          <w:tcPr>
            <w:tcW w:w="2131" w:type="pct"/>
            <w:tcBorders>
              <w:top w:val="single" w:sz="4" w:space="0" w:color="auto"/>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Suministro de informes y análisis financieros y de gestión solicitados por el personal directivo superior, los directores de programa y los Estados miembros con arreglo a los plazos acordados</w:t>
            </w:r>
          </w:p>
        </w:tc>
        <w:tc>
          <w:tcPr>
            <w:tcW w:w="895" w:type="pct"/>
            <w:tcBorders>
              <w:top w:val="single" w:sz="4" w:space="0" w:color="auto"/>
            </w:tcBorders>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22</w:t>
            </w:r>
          </w:p>
        </w:tc>
        <w:tc>
          <w:tcPr>
            <w:tcW w:w="461" w:type="pct"/>
            <w:tcBorders>
              <w:top w:val="single" w:sz="4" w:space="0" w:color="auto"/>
            </w:tcBorders>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FF0000"/>
                <w:szCs w:val="22"/>
              </w:rPr>
              <w:sym w:font="Wingdings" w:char="F06C"/>
            </w:r>
          </w:p>
        </w:tc>
      </w:tr>
      <w:tr w:rsidR="00FA423E" w:rsidRPr="00AF5E7C" w:rsidTr="00DC1333">
        <w:trPr>
          <w:cantSplit/>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Atención de consultas recibidas a nivel interno y externo con arreglo a los plazos establecidos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24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bCs/>
                <w:sz w:val="16"/>
                <w:szCs w:val="16"/>
              </w:rPr>
            </w:pPr>
            <w:r w:rsidRPr="007E4934">
              <w:rPr>
                <w:bCs/>
                <w:sz w:val="16"/>
                <w:szCs w:val="16"/>
                <w:lang w:val="es-ES_tradnl"/>
              </w:rPr>
              <w:t>Porcentaje de miembros del personal satisfechos de los servicios de recursos humanos</w:t>
            </w:r>
          </w:p>
        </w:tc>
        <w:tc>
          <w:tcPr>
            <w:tcW w:w="895"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23</w:t>
            </w:r>
          </w:p>
        </w:tc>
        <w:tc>
          <w:tcPr>
            <w:tcW w:w="46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Prestación puntual, precisa y eficaz de servicios de operaciones en materia de recursos humanos</w:t>
            </w:r>
          </w:p>
        </w:tc>
        <w:tc>
          <w:tcPr>
            <w:tcW w:w="895" w:type="pct"/>
            <w:shd w:val="clear" w:color="auto" w:fill="FFFFFF"/>
            <w:tcMar>
              <w:top w:w="113" w:type="dxa"/>
              <w:bottom w:w="85" w:type="dxa"/>
            </w:tcMar>
          </w:tcPr>
          <w:p w:rsidR="00FA423E" w:rsidRPr="007E4934" w:rsidRDefault="00FA423E" w:rsidP="00DC1333">
            <w:pPr>
              <w:jc w:val="center"/>
              <w:rPr>
                <w:sz w:val="16"/>
                <w:szCs w:val="16"/>
              </w:rPr>
            </w:pPr>
            <w:r w:rsidRPr="007E4934">
              <w:rPr>
                <w:sz w:val="16"/>
                <w:szCs w:val="16"/>
                <w:lang w:val="es-ES_tradnl"/>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72"/>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Finalización del proyecto de construcción de la nueva sala de conferencias atendiendo a los requisitos de calidad, de manera puntual y dentro de los límites presupuestarios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00"/>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Uso de la sala de conferencias como lugar preferido para las reuniones y actividades de los Estados miembros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bCs/>
                <w:sz w:val="16"/>
                <w:szCs w:val="16"/>
              </w:rPr>
            </w:pPr>
            <w:r w:rsidRPr="007E4934">
              <w:rPr>
                <w:bCs/>
                <w:sz w:val="16"/>
                <w:szCs w:val="16"/>
                <w:lang w:val="es-ES_tradnl"/>
              </w:rPr>
              <w:t>Disminución de los costos de adquisición de productos y servicios por la OMPI (derivada de solicitudes de ofertas o negociaciones directas)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2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internos satisfechos con los servicios de adquisiciones</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Tiempo de tramitación de peticiones relativas a los viajes (autorizaciones electrónicas de viaje (e-TA), peticiones electrónicas de actividades (e-ER), visados)</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4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Costo medio de los billetes (billetes de la empresa de gestión de viajes y del PNUD)</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1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Se administran eficazmente todos los tipos de espacio del recinto de la OMPI (espacios de trabajo, almacenamiento y archivo)</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1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highlight w:val="cyan"/>
              </w:rPr>
            </w:pPr>
            <w:r w:rsidRPr="007E4934">
              <w:rPr>
                <w:sz w:val="16"/>
                <w:szCs w:val="16"/>
              </w:rPr>
              <w:t>e renuevan, modernizan o transforman los edificios del recinto de la OMPI para que sigan sirviendo a los fines establecidos</w:t>
            </w:r>
          </w:p>
        </w:tc>
        <w:tc>
          <w:tcPr>
            <w:tcW w:w="895" w:type="pct"/>
            <w:shd w:val="clear" w:color="auto" w:fill="FFFFFF"/>
            <w:tcMar>
              <w:top w:w="113" w:type="dxa"/>
              <w:bottom w:w="85" w:type="dxa"/>
            </w:tcMar>
          </w:tcPr>
          <w:p w:rsidR="00FA423E" w:rsidRPr="007E4934" w:rsidRDefault="00FA423E" w:rsidP="00DC1333">
            <w:pPr>
              <w:jc w:val="center"/>
              <w:rPr>
                <w:sz w:val="16"/>
                <w:szCs w:val="16"/>
                <w:lang w:val="es-ES_tradnl"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481"/>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Todos los tipos de instalaciones técnicas esenciales cumplen las normas técnicas aplicables</w:t>
            </w:r>
            <w:r w:rsidRPr="007E4934">
              <w:rPr>
                <w:sz w:val="16"/>
                <w:szCs w:val="16"/>
              </w:rPr>
              <w:t xml:space="preserve"> </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Los sistemas de TIC se alojan y se administran económicamente en concordancia con las necesidades operativas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42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acuerdos de prestación de servicios para el alojamiento de sistemas y servicios que cumplen con el marco de acuerdos de prestación de servicios para las TIC</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4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Continuidad de los servicios de TIC de los sistemas esenciales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1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usuarios y sectores de actividades que están satisfechos con los servicios de TIC</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2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El personal tiene fácil acceso a tecnologías de las comunicaciones integradas y de amplio alcance</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1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bCs/>
                <w:sz w:val="16"/>
                <w:szCs w:val="16"/>
              </w:rPr>
            </w:pPr>
            <w:r w:rsidRPr="007E4934">
              <w:rPr>
                <w:bCs/>
                <w:sz w:val="16"/>
                <w:szCs w:val="16"/>
                <w:lang w:val="es-ES_tradnl"/>
              </w:rPr>
              <w:t>Porcentaje de usuarios internos y externos satisfechos de los Servicios de Conferencias de la OMPI</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4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Aplicación eficaz de la Política Lingüística de la OMPI</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4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Costo por palabra traducida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Calidad de las traducciones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Disminución de los costos de impresión (por página)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517"/>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Publicación a tiempo de los documentos para los comités y grupos de trabajo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27</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516"/>
        </w:trPr>
        <w:tc>
          <w:tcPr>
            <w:tcW w:w="1513"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IX.2 Funcionamiento sin contratiempos de la Secretaría, provista de un personal bien dirigido, dotado de las competencias adecuadas y capaz de conseguir resultados</w:t>
            </w: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peticiones de asesoramiento y servicios jurídicos que reciben respuestas rápidas, independientes y fiables de la Oficina del Consejero Jurídico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A6A6A6" w:themeColor="background1" w:themeShade="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Rendimiento del capital invertido en concordancia con los parámetros establecidos por el Comité Asesor en materia de Inversiones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Los pagos (incluidas las tasas correspondientes a los Sistemas de Madrid y de La Haya) se efectúan en el plazo estipulado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que expresan satisfacción con la formación recibida (cursos de iniciación, formación sobre el sistema de PRI, formación relacionada con la gestión por resultados)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encuestados (OMPI) que estiman que la OMPI debe rendir cuentas sobre sus resultados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programas de la OMPI que utilizan los datos sobre el rendimiento para gestionar el rendimiento del programa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26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Duración del proceso de contratación</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dependencias de la Organización cuyos planes de recursos humanos están vinculados a los planes de trabajo anuales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recién contratados que satisfacen las necesidades de la Organización</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cuyo desempeño se evalúa en función de objetivos y competencias específicos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necesidades de formación esenciales que se han satisfecho a nivel individual y colectivo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E26B0A"/>
                <w:szCs w:val="22"/>
              </w:rPr>
              <w:sym w:font="Wingdings" w:char="F06C"/>
            </w: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promedio de días de ausencia por enfermedad por empleado (ausentismo)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E26B0A"/>
              </w:rPr>
            </w:pPr>
            <w:r w:rsidRPr="00CC3F44">
              <w:rPr>
                <w:color w:val="E26B0A"/>
                <w:szCs w:val="22"/>
              </w:rPr>
              <w:sym w:font="Wingdings" w:char="F06C"/>
            </w:r>
          </w:p>
        </w:tc>
      </w:tr>
      <w:tr w:rsidR="00FA423E" w:rsidRPr="00AF5E7C" w:rsidTr="00DC1333">
        <w:trPr>
          <w:cantSplit/>
          <w:trHeight w:val="301"/>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mujeres en cargos de la categoría profesional y superior</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FF0000"/>
                <w:szCs w:val="22"/>
              </w:rPr>
              <w:sym w:font="Wingdings" w:char="F06C"/>
            </w:r>
            <w:r w:rsidRPr="00CC3F44">
              <w:rPr>
                <w:color w:val="FF0000"/>
                <w:szCs w:val="22"/>
              </w:rPr>
              <w:sym w:font="Wingdings" w:char="F06C"/>
            </w:r>
            <w:r w:rsidRPr="00CC3F44">
              <w:rPr>
                <w:color w:val="FF0000"/>
                <w:szCs w:val="22"/>
              </w:rPr>
              <w:sym w:font="Wingdings" w:char="F06C"/>
            </w:r>
          </w:p>
        </w:tc>
      </w:tr>
      <w:tr w:rsidR="00FA423E" w:rsidRPr="00AF5E7C" w:rsidTr="00DC1333">
        <w:trPr>
          <w:cantSplit/>
          <w:trHeight w:val="436"/>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highlight w:val="cyan"/>
              </w:rPr>
            </w:pPr>
            <w:r w:rsidRPr="007E4934">
              <w:rPr>
                <w:sz w:val="16"/>
                <w:szCs w:val="16"/>
              </w:rPr>
              <w:t>Diversidad geográfica - % de Estados miembros representados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23</w:t>
            </w:r>
          </w:p>
        </w:tc>
        <w:tc>
          <w:tcPr>
            <w:tcW w:w="461" w:type="pct"/>
            <w:shd w:val="clear" w:color="auto" w:fill="FFFFFF"/>
          </w:tcPr>
          <w:p w:rsidR="00FA423E" w:rsidRPr="00CC3F44" w:rsidRDefault="00FA423E" w:rsidP="00DC1333">
            <w:pPr>
              <w:jc w:val="center"/>
              <w:rPr>
                <w:color w:val="A6A6A6"/>
              </w:rPr>
            </w:pPr>
            <w:r w:rsidRPr="00CC3F44">
              <w:rPr>
                <w:color w:val="A6A6A6" w:themeColor="background1" w:themeShade="A6"/>
                <w:szCs w:val="22"/>
              </w:rPr>
              <w:sym w:font="Wingdings" w:char="F06C"/>
            </w:r>
          </w:p>
        </w:tc>
      </w:tr>
      <w:tr w:rsidR="00FA423E" w:rsidRPr="00AF5E7C" w:rsidTr="00DC1333">
        <w:trPr>
          <w:cantSplit/>
          <w:trHeight w:val="335"/>
        </w:trPr>
        <w:tc>
          <w:tcPr>
            <w:tcW w:w="151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IX.3 Entorno de trabajo propicio basado en un marco regulador eficaz y medios adecuados para atender los temas de interés del personal</w:t>
            </w: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de la OMPI conscientes de los servicios disponibles en la Oficina del Mediador y del mecanismo informal de solución de conflictos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A6A6A6" w:themeColor="background1" w:themeShade="A6"/>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rPr>
                <w:sz w:val="16"/>
                <w:szCs w:val="16"/>
              </w:rPr>
            </w:pPr>
          </w:p>
        </w:tc>
        <w:tc>
          <w:tcPr>
            <w:tcW w:w="2131" w:type="pct"/>
            <w:tcBorders>
              <w:bottom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encuestados que afirman ser conscientes de los principios y políticas de la OMPI en material de ética profesional</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21</w:t>
            </w:r>
          </w:p>
        </w:tc>
        <w:tc>
          <w:tcPr>
            <w:tcW w:w="461" w:type="pct"/>
            <w:shd w:val="clear" w:color="auto" w:fill="FFFFFF"/>
          </w:tcPr>
          <w:p w:rsidR="00FA423E" w:rsidRPr="00CC3F44" w:rsidRDefault="00FA423E" w:rsidP="00DC1333">
            <w:pPr>
              <w:jc w:val="center"/>
            </w:pPr>
            <w:r w:rsidRPr="00CC3F44">
              <w:rPr>
                <w:color w:val="A6A6A6" w:themeColor="background1" w:themeShade="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tcBorders>
              <w:top w:val="nil"/>
              <w:bottom w:val="single" w:sz="4" w:space="0" w:color="auto"/>
            </w:tcBorders>
            <w:shd w:val="clear" w:color="auto" w:fill="auto"/>
            <w:tcMar>
              <w:top w:w="113" w:type="dxa"/>
              <w:bottom w:w="85" w:type="dxa"/>
            </w:tcMar>
          </w:tcPr>
          <w:p w:rsidR="00FA423E" w:rsidRPr="007E4934" w:rsidRDefault="00FA423E" w:rsidP="00DC1333">
            <w:pPr>
              <w:rPr>
                <w:sz w:val="16"/>
                <w:szCs w:val="16"/>
                <w:lang w:val="es-ES_tradnl"/>
              </w:rPr>
            </w:pPr>
            <w:r w:rsidRPr="007E4934">
              <w:rPr>
                <w:sz w:val="16"/>
                <w:szCs w:val="16"/>
                <w:lang w:val="es-ES_tradnl"/>
              </w:rPr>
              <w:t>El Reglamento Financiero y la Reglamentación Financiera y las órdenes de servicio pertinentes están actualizados</w:t>
            </w:r>
          </w:p>
          <w:p w:rsidR="00FA423E" w:rsidRPr="007E4934" w:rsidRDefault="00FA423E" w:rsidP="00DC1333">
            <w:pPr>
              <w:rPr>
                <w:sz w:val="16"/>
                <w:szCs w:val="16"/>
                <w:lang w:val="es-ES_tradnl"/>
              </w:rPr>
            </w:pPr>
          </w:p>
          <w:p w:rsidR="00FA423E" w:rsidRPr="007E4934" w:rsidRDefault="00FA423E" w:rsidP="00DC1333">
            <w:pPr>
              <w:rPr>
                <w:sz w:val="16"/>
                <w:szCs w:val="16"/>
              </w:rPr>
            </w:pP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22</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256"/>
        </w:trPr>
        <w:tc>
          <w:tcPr>
            <w:tcW w:w="1513" w:type="pct"/>
            <w:vMerge w:val="restart"/>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lastRenderedPageBreak/>
              <w:t>IX.4 Una organización responsable con el medio ambiente y la sociedad en la que se garantiza la seguridad de su personal, los delegados, los visitantes, la información y los activos físicos</w:t>
            </w:r>
          </w:p>
        </w:tc>
        <w:tc>
          <w:tcPr>
            <w:tcW w:w="2131" w:type="pct"/>
            <w:tcBorders>
              <w:top w:val="single" w:sz="4" w:space="0" w:color="auto"/>
              <w:bottom w:val="nil"/>
            </w:tcBorders>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t>Mejora de la accesibilidad al recinto de la OMPI</w:t>
            </w:r>
          </w:p>
        </w:tc>
        <w:tc>
          <w:tcPr>
            <w:tcW w:w="895" w:type="pct"/>
            <w:shd w:val="clear" w:color="auto" w:fill="FFFFFF"/>
            <w:tcMar>
              <w:top w:w="113" w:type="dxa"/>
              <w:bottom w:w="85" w:type="dxa"/>
            </w:tcMar>
          </w:tcPr>
          <w:p w:rsidR="00FA423E" w:rsidRPr="007E4934" w:rsidRDefault="00FA423E" w:rsidP="00DC1333">
            <w:pPr>
              <w:keepNext/>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keepNext/>
              <w:jc w:val="center"/>
            </w:pPr>
            <w:r w:rsidRPr="00CC3F44">
              <w:rPr>
                <w:color w:val="FF0000"/>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keepNext/>
              <w:rPr>
                <w:sz w:val="16"/>
                <w:szCs w:val="16"/>
              </w:rPr>
            </w:pPr>
          </w:p>
        </w:tc>
        <w:tc>
          <w:tcPr>
            <w:tcW w:w="2131" w:type="pct"/>
            <w:tcBorders>
              <w:top w:val="nil"/>
              <w:bottom w:val="nil"/>
            </w:tcBorders>
            <w:shd w:val="clear" w:color="auto" w:fill="auto"/>
            <w:tcMar>
              <w:top w:w="113" w:type="dxa"/>
              <w:bottom w:w="85" w:type="dxa"/>
            </w:tcMar>
          </w:tcPr>
          <w:p w:rsidR="00FA423E" w:rsidRPr="007E4934" w:rsidRDefault="00FA423E" w:rsidP="00DC1333">
            <w:pPr>
              <w:keepNext/>
              <w:rPr>
                <w:sz w:val="16"/>
                <w:szCs w:val="16"/>
              </w:rPr>
            </w:pPr>
            <w:r w:rsidRPr="007E4934">
              <w:rPr>
                <w:sz w:val="16"/>
                <w:szCs w:val="16"/>
                <w:lang w:val="es-ES_tradnl"/>
              </w:rPr>
              <w:t>Menor repercusión de los edificios de la OMPI en el medio ambiente</w:t>
            </w:r>
            <w:r w:rsidRPr="007E4934">
              <w:rPr>
                <w:sz w:val="16"/>
                <w:szCs w:val="16"/>
              </w:rPr>
              <w:t xml:space="preserve"> </w:t>
            </w:r>
          </w:p>
        </w:tc>
        <w:tc>
          <w:tcPr>
            <w:tcW w:w="895" w:type="pct"/>
            <w:shd w:val="clear" w:color="auto" w:fill="FFFFFF"/>
            <w:tcMar>
              <w:top w:w="113" w:type="dxa"/>
              <w:bottom w:w="85" w:type="dxa"/>
            </w:tcMar>
          </w:tcPr>
          <w:p w:rsidR="00FA423E" w:rsidRPr="007E4934" w:rsidRDefault="00FA423E" w:rsidP="00DC1333">
            <w:pPr>
              <w:keepNext/>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keepNext/>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rPr>
                <w:sz w:val="16"/>
                <w:szCs w:val="16"/>
              </w:rPr>
            </w:pPr>
          </w:p>
        </w:tc>
        <w:tc>
          <w:tcPr>
            <w:tcW w:w="2131" w:type="pct"/>
            <w:tcBorders>
              <w:top w:val="nil"/>
            </w:tcBorders>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Los locales de la OMPI satisfacen las recomendaciones efectuadas en 2009 por el Instituto de Seguridad y Vigilancia (Neuchatel) y las medidas de seguridad y vigilancia del perímetro con arreglo a las normas mínimas operativas de seguridad y vigilancia para las sedes de NN.UU.</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24</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Se refuerza la seguridad de la información para protegerse contra los ataques cada vez más frecuentes en Internet</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Situación de la certificación con arreglo a la norma ISO 27001 de los procedimientos de gestión de riesgos para la seguridad de la información</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Eficacia de los controles de seguridad de la información (a nivel interno y externo)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25</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miembros del personal, delegados y visitantes que notifican lesiones o incidentes relacionados con el entorno laboral</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28</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peticiones de asistencia relativa a la seguridad atendidas puntualmente en las conferencias o actividades organizadas en Ginebra o en otros lugares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28</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Supervisión de las medidas de acceso físico para velar por que se cumplan plenamente las normas aplicables durante el período de construcción de la nueva sala de conferencias y las instalaciones conexas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pPr>
            <w:r w:rsidRPr="00CC3F44">
              <w:rPr>
                <w:color w:val="A6A6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Supervisión de las medidas aplicadas durante el período de construcción con el fin de respetar el medio ambiente y reducir el consumo de energía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A6A6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Finalización de la aplicación de las medidas de seguridad y vigilancia del perímetro de la nueva sala de conferencias con arreglo a las normas mínimas operativas de seguridad y vigilancia para las sedes de NN.UU.</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29</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vMerge w:val="restar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IX.8 Mejor rendición de cuentas, aprendizaje institucional, uso óptimo de los recursos, administración, control interno y buen gobierno gracias a la asistencia que proporciona una supervisión eficaz e independiente</w:t>
            </w: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Número de interferencias y grado de independencia percibido por las principales partes interesadas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Porcentaje de EFICACIA de la labor de la DASI que abarca esferas de alto riesgo y gran pertinencia</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pPr>
            <w:r w:rsidRPr="00CC3F44">
              <w:rPr>
                <w:color w:val="008000"/>
                <w:szCs w:val="22"/>
              </w:rPr>
              <w:sym w:font="Wingdings" w:char="F06C"/>
            </w:r>
          </w:p>
        </w:tc>
      </w:tr>
      <w:tr w:rsidR="00FA423E" w:rsidRPr="00AF5E7C" w:rsidTr="00DC1333">
        <w:trPr>
          <w:cantSplit/>
          <w:trHeight w:val="335"/>
        </w:trPr>
        <w:tc>
          <w:tcPr>
            <w:tcW w:w="1513" w:type="pct"/>
            <w:vMerge/>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r w:rsidRPr="00CC3F44">
              <w:rPr>
                <w:color w:val="008000"/>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PERTINENCIA, VALOR AÑADIDO Y ADMINISTRACIÓN:  Ahorros o mejoras tangibles en los procedimientos y sistemas</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rPr>
                <w:color w:val="0070C0"/>
              </w:rPr>
            </w:pPr>
            <w:r w:rsidRPr="00CC3F44">
              <w:rPr>
                <w:color w:val="A6A6A6"/>
                <w:szCs w:val="22"/>
              </w:rPr>
              <w:sym w:font="Wingdings" w:char="F06C"/>
            </w:r>
          </w:p>
        </w:tc>
      </w:tr>
      <w:tr w:rsidR="00FA423E" w:rsidRPr="00AF5E7C" w:rsidTr="00DC1333">
        <w:trPr>
          <w:cantSplit/>
          <w:trHeight w:val="335"/>
        </w:trPr>
        <w:tc>
          <w:tcPr>
            <w:tcW w:w="1513" w:type="pct"/>
            <w:shd w:val="clear" w:color="auto" w:fill="auto"/>
            <w:tcMar>
              <w:top w:w="113" w:type="dxa"/>
              <w:bottom w:w="85" w:type="dxa"/>
            </w:tcMar>
          </w:tcPr>
          <w:p w:rsidR="00FA423E" w:rsidRPr="007E4934" w:rsidRDefault="00FA423E" w:rsidP="00DC1333">
            <w:pPr>
              <w:rPr>
                <w:sz w:val="16"/>
                <w:szCs w:val="16"/>
              </w:rPr>
            </w:pPr>
          </w:p>
        </w:tc>
        <w:tc>
          <w:tcPr>
            <w:tcW w:w="2131" w:type="pct"/>
            <w:shd w:val="clear" w:color="auto" w:fill="auto"/>
            <w:tcMar>
              <w:top w:w="113" w:type="dxa"/>
              <w:bottom w:w="85" w:type="dxa"/>
            </w:tcMar>
          </w:tcPr>
          <w:p w:rsidR="00FA423E" w:rsidRPr="007E4934" w:rsidRDefault="00FA423E" w:rsidP="00DC1333">
            <w:pPr>
              <w:rPr>
                <w:sz w:val="16"/>
                <w:szCs w:val="16"/>
              </w:rPr>
            </w:pPr>
            <w:r w:rsidRPr="007E4934">
              <w:rPr>
                <w:sz w:val="16"/>
                <w:szCs w:val="16"/>
                <w:lang w:val="es-ES_tradnl"/>
              </w:rPr>
              <w:t>APRENDIZAJE INSTITUCIONAL:   Adopción de enseñanzas y recomendaciones extraídas de los procesos de supervisión</w:t>
            </w:r>
          </w:p>
        </w:tc>
        <w:tc>
          <w:tcPr>
            <w:tcW w:w="895" w:type="pct"/>
            <w:shd w:val="clear" w:color="auto" w:fill="FFFFFF"/>
            <w:tcMar>
              <w:top w:w="113" w:type="dxa"/>
              <w:bottom w:w="85" w:type="dxa"/>
            </w:tcMar>
          </w:tcPr>
          <w:p w:rsidR="00FA423E" w:rsidRPr="007E4934" w:rsidRDefault="00FA423E" w:rsidP="00DC1333">
            <w:pPr>
              <w:jc w:val="center"/>
              <w:rPr>
                <w:sz w:val="16"/>
                <w:szCs w:val="16"/>
                <w:lang w:bidi="th-TH"/>
              </w:rPr>
            </w:pPr>
            <w:r w:rsidRPr="007E4934">
              <w:rPr>
                <w:sz w:val="16"/>
                <w:szCs w:val="16"/>
                <w:lang w:val="es-ES_tradnl" w:bidi="th-TH"/>
              </w:rPr>
              <w:t>Programa 26</w:t>
            </w:r>
          </w:p>
        </w:tc>
        <w:tc>
          <w:tcPr>
            <w:tcW w:w="461" w:type="pct"/>
            <w:shd w:val="clear" w:color="auto" w:fill="FFFFFF"/>
          </w:tcPr>
          <w:p w:rsidR="00FA423E" w:rsidRPr="00CC3F44" w:rsidRDefault="00FA423E" w:rsidP="00DC1333">
            <w:pPr>
              <w:jc w:val="center"/>
              <w:rPr>
                <w:color w:val="A6A6A6" w:themeColor="background1" w:themeShade="A6"/>
                <w:szCs w:val="22"/>
              </w:rPr>
            </w:pPr>
            <w:r w:rsidRPr="00CC3F44">
              <w:rPr>
                <w:color w:val="008000"/>
                <w:szCs w:val="22"/>
              </w:rPr>
              <w:sym w:font="Wingdings" w:char="F06C"/>
            </w:r>
            <w:r w:rsidRPr="00CC3F44">
              <w:rPr>
                <w:color w:val="E26B0A"/>
                <w:szCs w:val="22"/>
              </w:rPr>
              <w:sym w:font="Wingdings" w:char="F06C"/>
            </w:r>
          </w:p>
        </w:tc>
      </w:tr>
    </w:tbl>
    <w:p w:rsidR="00991FD6" w:rsidRDefault="00991FD6">
      <w:r>
        <w:br w:type="page"/>
      </w:r>
    </w:p>
    <w:p w:rsidR="00221F0B" w:rsidRPr="00B101BC" w:rsidRDefault="00221F0B" w:rsidP="00DC1333">
      <w:pPr>
        <w:pStyle w:val="Heading2"/>
        <w:keepNext w:val="0"/>
        <w:ind w:left="2410" w:hanging="2410"/>
        <w:rPr>
          <w:b/>
        </w:rPr>
      </w:pPr>
      <w:bookmarkStart w:id="170" w:name="_Toc422927435"/>
      <w:bookmarkStart w:id="171" w:name="_Toc455159103"/>
      <w:r w:rsidRPr="00B101BC">
        <w:rPr>
          <w:b/>
        </w:rPr>
        <w:lastRenderedPageBreak/>
        <w:t>PROGRAMA 21</w:t>
      </w:r>
      <w:r w:rsidRPr="00B101BC">
        <w:rPr>
          <w:b/>
        </w:rPr>
        <w:tab/>
        <w:t>GESTIÓN EJECUTIVA</w:t>
      </w:r>
      <w:bookmarkEnd w:id="170"/>
      <w:bookmarkEnd w:id="171"/>
    </w:p>
    <w:p w:rsidR="00221F0B" w:rsidRPr="00B101BC" w:rsidRDefault="00221F0B" w:rsidP="00DC1333">
      <w:pPr>
        <w:rPr>
          <w:sz w:val="20"/>
        </w:rPr>
      </w:pPr>
    </w:p>
    <w:p w:rsidR="00221F0B" w:rsidRPr="00B101BC" w:rsidRDefault="00221F0B" w:rsidP="00DC1333">
      <w:pPr>
        <w:tabs>
          <w:tab w:val="left" w:pos="2410"/>
        </w:tabs>
        <w:rPr>
          <w:b/>
          <w:sz w:val="20"/>
        </w:rPr>
      </w:pPr>
      <w:r w:rsidRPr="00B101BC">
        <w:rPr>
          <w:b/>
          <w:sz w:val="20"/>
        </w:rPr>
        <w:t>Director de programa</w:t>
      </w:r>
      <w:r w:rsidRPr="00B101BC">
        <w:rPr>
          <w:b/>
          <w:sz w:val="20"/>
        </w:rPr>
        <w:tab/>
        <w:t>Director General</w:t>
      </w:r>
    </w:p>
    <w:p w:rsidR="00221F0B" w:rsidRPr="00B101BC" w:rsidRDefault="00221F0B" w:rsidP="00DC1333">
      <w:pPr>
        <w:rPr>
          <w:sz w:val="20"/>
        </w:rPr>
      </w:pPr>
    </w:p>
    <w:p w:rsidR="00221F0B" w:rsidRPr="00B101BC" w:rsidRDefault="00221F0B" w:rsidP="00DC1333">
      <w:pPr>
        <w:rPr>
          <w:sz w:val="20"/>
        </w:rPr>
      </w:pPr>
    </w:p>
    <w:p w:rsidR="00221F0B" w:rsidRPr="00B101BC" w:rsidRDefault="008F7CBE" w:rsidP="00DC1333">
      <w:pPr>
        <w:rPr>
          <w:bCs/>
          <w:szCs w:val="22"/>
        </w:rPr>
      </w:pPr>
      <w:r w:rsidRPr="008F7CBE">
        <w:rPr>
          <w:bCs/>
          <w:sz w:val="20"/>
          <w:szCs w:val="22"/>
        </w:rPr>
        <w:t>LOGROS ALCANZADOS EN EL BIENIO 2014/15</w:t>
      </w:r>
    </w:p>
    <w:p w:rsidR="00221F0B" w:rsidRPr="00B101BC" w:rsidRDefault="00221F0B" w:rsidP="00DC1333">
      <w:pPr>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bCs/>
          <w:color w:val="000000"/>
          <w:sz w:val="20"/>
        </w:rPr>
      </w:pPr>
      <w:r w:rsidRPr="00B101BC">
        <w:rPr>
          <w:bCs/>
          <w:sz w:val="20"/>
        </w:rPr>
        <w:t>La atención eficaz a los Estados miembros sigue siendo un elemento esencial para avanzar en el logro de las nueve metas estratégicas de la Organización. En el bienio 2014/15 salieron a relucir dificultades en diversas áreas cuando los Estados miembros intentaron alcanzar un consenso en torno a las metas estratégicas.  A este respecto, el Director General celebró debates centrados en el tema con los Estados miembros en distintos foros a fin de prestar asistencia y brindar un espacio propicio para alcanzar un consenso.  Se alcanzaron logros en algunos ámbitos, particularmente el consenso al que llegaron los Estados miembros después de varios año</w:t>
      </w:r>
      <w:r>
        <w:rPr>
          <w:bCs/>
          <w:sz w:val="20"/>
        </w:rPr>
        <w:t>s de negociaciones difíciles</w:t>
      </w:r>
      <w:r w:rsidRPr="00B101BC">
        <w:rPr>
          <w:bCs/>
          <w:sz w:val="20"/>
        </w:rPr>
        <w:t xml:space="preserve"> en relación con las fórmulas para abrir nuevas oficinas de la OMPI en el exterior.  En otros ámbitos</w:t>
      </w:r>
      <w:r w:rsidRPr="00B101BC">
        <w:rPr>
          <w:bCs/>
          <w:color w:val="000000"/>
          <w:sz w:val="20"/>
        </w:rPr>
        <w:t>, en espec</w:t>
      </w:r>
      <w:r>
        <w:rPr>
          <w:bCs/>
          <w:color w:val="000000"/>
          <w:sz w:val="20"/>
        </w:rPr>
        <w:t>ial en el plano normativo, los E</w:t>
      </w:r>
      <w:r w:rsidRPr="00B101BC">
        <w:rPr>
          <w:bCs/>
          <w:color w:val="000000"/>
          <w:sz w:val="20"/>
        </w:rPr>
        <w:t>stados miembros todavía tenían un largo camino por recorrer para resolver ciertas cuestiones.  Los mismos mecanismos de comunicación, como las sesiones informativas con los Embajadores, resultaban muy valiosos como medio para obtener comentarios y consejos adecuados a fin de impulsar el progreso en numerosos aspectos.</w:t>
      </w:r>
    </w:p>
    <w:p w:rsidR="00221F0B" w:rsidRPr="00B101BC" w:rsidRDefault="00221F0B" w:rsidP="00DC1333">
      <w:pPr>
        <w:autoSpaceDE w:val="0"/>
        <w:autoSpaceDN w:val="0"/>
        <w:adjustRightInd w:val="0"/>
        <w:jc w:val="both"/>
        <w:rPr>
          <w:bCs/>
          <w:color w:val="000000"/>
          <w:sz w:val="20"/>
        </w:rPr>
      </w:pPr>
    </w:p>
    <w:p w:rsidR="00221F0B" w:rsidRPr="00B101BC" w:rsidRDefault="00221F0B" w:rsidP="00EC2771">
      <w:pPr>
        <w:numPr>
          <w:ilvl w:val="0"/>
          <w:numId w:val="98"/>
        </w:numPr>
        <w:tabs>
          <w:tab w:val="clear" w:pos="680"/>
          <w:tab w:val="num" w:pos="709"/>
        </w:tabs>
        <w:autoSpaceDE w:val="0"/>
        <w:autoSpaceDN w:val="0"/>
        <w:adjustRightInd w:val="0"/>
        <w:jc w:val="both"/>
        <w:rPr>
          <w:bCs/>
          <w:color w:val="000000"/>
          <w:sz w:val="20"/>
        </w:rPr>
      </w:pPr>
      <w:r w:rsidRPr="00B101BC">
        <w:rPr>
          <w:bCs/>
          <w:color w:val="000000"/>
          <w:sz w:val="20"/>
        </w:rPr>
        <w:t xml:space="preserve">La colaboración interna también desempeñó una función importante en la ejecución de los programas, pues orientaba el progreso hacia la consecución de las </w:t>
      </w:r>
      <w:r w:rsidRPr="00B101BC">
        <w:rPr>
          <w:bCs/>
          <w:sz w:val="20"/>
        </w:rPr>
        <w:t xml:space="preserve">metas estratégicas.  La comunicación con el personal, a través de sesiones informativas periódicas a cargo del Director General y en otros foros, era fundamental para explicar los cambios necesarios y buscar apoyo al respecto.  Las reuniones periódicas del Equipo Directivo Superior proporcionaron orientación a las dependencias de la Organización, convirtiendo las decisiones estratégicas en realidades prácticas.  El segundo mandato del Director General supuso una oportunidad para aportar nuevas ideas y dotar de energías renovadas al Equipo Directivo Superior con la suma de cuatro nuevos miembros a la experiencia de los cuatro miembros del Equipo anterior. </w:t>
      </w:r>
      <w:r>
        <w:rPr>
          <w:bCs/>
          <w:sz w:val="20"/>
        </w:rPr>
        <w:t xml:space="preserve"> El E</w:t>
      </w:r>
      <w:r w:rsidRPr="00B101BC">
        <w:rPr>
          <w:bCs/>
          <w:sz w:val="20"/>
        </w:rPr>
        <w:t>quipo se amplió con la incorporación de directores de programa encargados de recursos humanos y asuntos jurídicos, elementos intersectoriales importantes para la adopción de decisiones estratégicas.  Con la conclusión satisfactoria del Programa de Alineación Estratégica (PAE) en 2013, el Equip</w:t>
      </w:r>
      <w:r>
        <w:rPr>
          <w:bCs/>
          <w:sz w:val="20"/>
        </w:rPr>
        <w:t>o Directivo Superior desempeñó</w:t>
      </w:r>
      <w:r w:rsidRPr="00B101BC">
        <w:rPr>
          <w:bCs/>
          <w:sz w:val="20"/>
        </w:rPr>
        <w:t xml:space="preserve"> una labor fundamental en cuanto a velar por que se mantuvieran los resultados obtenidos en términos de cultura y valores, eficiencia en los distintos </w:t>
      </w:r>
      <w:r w:rsidRPr="00B101BC">
        <w:rPr>
          <w:bCs/>
          <w:color w:val="000000"/>
          <w:sz w:val="20"/>
        </w:rPr>
        <w:t>procesos y una armonización más adecuada de los programas, las estructuras y los recursos en relación con las nueve metas estratégicas.</w:t>
      </w:r>
    </w:p>
    <w:p w:rsidR="00221F0B" w:rsidRPr="00B101BC" w:rsidRDefault="00221F0B" w:rsidP="00DC1333">
      <w:pPr>
        <w:jc w:val="both"/>
        <w:rPr>
          <w:bCs/>
          <w:color w:val="000000"/>
          <w:sz w:val="20"/>
        </w:rPr>
      </w:pPr>
    </w:p>
    <w:p w:rsidR="00221F0B" w:rsidRPr="00B101BC" w:rsidRDefault="00221F0B" w:rsidP="00EC2771">
      <w:pPr>
        <w:numPr>
          <w:ilvl w:val="0"/>
          <w:numId w:val="98"/>
        </w:numPr>
        <w:tabs>
          <w:tab w:val="clear" w:pos="680"/>
          <w:tab w:val="num" w:pos="709"/>
        </w:tabs>
        <w:autoSpaceDE w:val="0"/>
        <w:autoSpaceDN w:val="0"/>
        <w:adjustRightInd w:val="0"/>
        <w:jc w:val="both"/>
        <w:rPr>
          <w:bCs/>
          <w:sz w:val="20"/>
        </w:rPr>
      </w:pPr>
      <w:r w:rsidRPr="00B101BC">
        <w:rPr>
          <w:bCs/>
          <w:color w:val="000000"/>
          <w:sz w:val="20"/>
        </w:rPr>
        <w:t xml:space="preserve">La </w:t>
      </w:r>
      <w:r w:rsidRPr="00B101BC">
        <w:rPr>
          <w:bCs/>
          <w:sz w:val="20"/>
        </w:rPr>
        <w:t xml:space="preserve">Oficina del Consejero Jurídico, con su diligencia y fiabilidad acostumbradas, siguió facilitando asesoramiento y servicios jurídicos, en consonancia con las obligaciones reglamentarias y la legislación aplicable, al Director General, a la Secretaría y a los Estados miembros sobre derecho constitucional, contractual y convencional, y asuntos relacionados con la administración y los recursos humanos, en el contexto de una demanda fuerte y, en algunos ámbitos, creciente. La Oficina del Consejero Jurídico participó activamente en el proceso de propuesta y nombramiento del Director General en 2014, así como en la prestación de asistencia y apoyo jurídicos para la Conferencia Diplomática para la Adopción de una nueva Acta del Arreglo de Lisboa, celebrada en mayo de 2015.  Uno de los retos más importantes durante el bienio 2014/15 fue el comienzo del nuevo sistema de administración de justicia que entró en vigor el 1 de enero de 2014.  </w:t>
      </w:r>
      <w:r w:rsidRPr="00B101BC">
        <w:rPr>
          <w:sz w:val="20"/>
        </w:rPr>
        <w:t>La Oficina del Consejero Jurídico logró adaptarse perfectamente al nuevo sistema en lo que se refiere a la representación de la Administración ante reclamaciones y quejas por parte del personal.  La Oficina del Consejero Jurídico continuó desempeñando de manera eficiente las funciones de depositario de los tratados administrados por la OMPI, a pesar del aumento de peticiones de asesoramiento.  En el transcurso del bienio 2014/15 la base de datos WIPO Lex</w:t>
      </w:r>
      <w:r>
        <w:rPr>
          <w:sz w:val="20"/>
        </w:rPr>
        <w:t>,</w:t>
      </w:r>
      <w:r w:rsidRPr="00B101BC">
        <w:rPr>
          <w:sz w:val="20"/>
        </w:rPr>
        <w:t xml:space="preserve"> con información jurídica relativa a la P.I.</w:t>
      </w:r>
      <w:r>
        <w:rPr>
          <w:sz w:val="20"/>
        </w:rPr>
        <w:t>,</w:t>
      </w:r>
      <w:r w:rsidRPr="00B101BC">
        <w:rPr>
          <w:sz w:val="20"/>
        </w:rPr>
        <w:t xml:space="preserve"> tuvo más de 3,3 millones de usuarios procedentes de todo el mundo, mientras que en el bienio 2012/13 la cifra fue de 2,2 millones.  La Oficina del Consejero Jurídico centró gran parte de su atención en colaborar con las partes interesadas no gubernamentales, sobre todo mediante la celebración de reuniones anuales de organizaciones no gubernamentales acreditadas con el Director General en 2014 y 2105.</w:t>
      </w:r>
    </w:p>
    <w:p w:rsidR="00221F0B" w:rsidRPr="00B101BC" w:rsidRDefault="00221F0B" w:rsidP="00DC1333">
      <w:pPr>
        <w:jc w:val="both"/>
        <w:rPr>
          <w:bCs/>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color w:val="000000"/>
          <w:sz w:val="20"/>
        </w:rPr>
        <w:t>La División de Asuntos de las Asambleas y Documentación coordinó la organización de los períodos ordinarios de sesiones de las Asambleas de 2014 y 2015, además de dos períodos extraordinarios de sesiones que se celebraron en marzo de 2014 (Co</w:t>
      </w:r>
      <w:r>
        <w:rPr>
          <w:color w:val="000000"/>
          <w:sz w:val="20"/>
        </w:rPr>
        <w:t>mité de Coordinación) y mayo de </w:t>
      </w:r>
      <w:r w:rsidRPr="00B101BC">
        <w:rPr>
          <w:color w:val="000000"/>
          <w:sz w:val="20"/>
        </w:rPr>
        <w:t xml:space="preserve">2014 (Asamblea General).  Cada uno de los períodos ordinarios de sesiones contó con la asistencia de unos 1.000 delegados procedentes de más de 200 Estados miembros y observadores.  Se siguieron introduciendo o perfeccionando varias innovaciones y medidas de racionalización en la organización (por </w:t>
      </w:r>
      <w:r w:rsidRPr="00B101BC">
        <w:rPr>
          <w:color w:val="000000"/>
          <w:sz w:val="20"/>
        </w:rPr>
        <w:lastRenderedPageBreak/>
        <w:t>ejemplo la retransmisión por Internet, la inscripción electrónica, los pases con fotografía y nuevos procedimientos de viaje) con el objeto de mejorar la eficacia de las reuniones, reducir su costo y huella de carbono</w:t>
      </w:r>
      <w:r>
        <w:rPr>
          <w:color w:val="000000"/>
          <w:sz w:val="20"/>
        </w:rPr>
        <w:t>,</w:t>
      </w:r>
      <w:r w:rsidRPr="00B101BC">
        <w:rPr>
          <w:color w:val="000000"/>
          <w:sz w:val="20"/>
        </w:rPr>
        <w:t xml:space="preserve"> y promover una mayor apertura de los procedimientos y accesibilidad a ellos.  </w:t>
      </w:r>
      <w:r w:rsidRPr="00B101BC">
        <w:rPr>
          <w:sz w:val="20"/>
        </w:rPr>
        <w:t>La documentación fue entregada con sobrada antelación.  El afán de extremar la eficiencia y de proporcionar a los Estados miembros una experiencia positiva de las Asambleas se reflejó en los elevados niveles de satisfacción registrados en las encuestas.</w:t>
      </w:r>
    </w:p>
    <w:p w:rsidR="00221F0B" w:rsidRPr="00B101BC" w:rsidRDefault="00221F0B" w:rsidP="00DC1333">
      <w:pPr>
        <w:jc w:val="both"/>
        <w:rPr>
          <w:bCs/>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 xml:space="preserve">La OMPI continuó </w:t>
      </w:r>
      <w:r>
        <w:rPr>
          <w:sz w:val="20"/>
        </w:rPr>
        <w:t>participando activamente en el s</w:t>
      </w:r>
      <w:r w:rsidRPr="00B101BC">
        <w:rPr>
          <w:sz w:val="20"/>
        </w:rPr>
        <w:t>istema de las Naciones Unidas, incluida la Junta de los Jefes Ejecutivos del Sistema de las Naciones Unidas para la Coordinación (JJE) con sus dos comités: el Comité de Alto Nivel sobre Gestión (HLCM) y el Comité de Alto Nivel sobre Programas (HLCP), lo que supuso una importante oportunidad para que la OMPI destacara sus perspectivas</w:t>
      </w:r>
      <w:r>
        <w:rPr>
          <w:sz w:val="20"/>
        </w:rPr>
        <w:t xml:space="preserve"> en el marco de los debates del s</w:t>
      </w:r>
      <w:r w:rsidRPr="00B101BC">
        <w:rPr>
          <w:sz w:val="20"/>
        </w:rPr>
        <w:t xml:space="preserve">istema de las Naciones Unidas </w:t>
      </w:r>
      <w:r w:rsidRPr="00B101BC">
        <w:rPr>
          <w:color w:val="000000"/>
          <w:sz w:val="20"/>
        </w:rPr>
        <w:t xml:space="preserve">e intercambiara buenas prácticas administrativas y operativas; </w:t>
      </w:r>
      <w:r>
        <w:rPr>
          <w:color w:val="000000"/>
          <w:sz w:val="20"/>
        </w:rPr>
        <w:t xml:space="preserve"> </w:t>
      </w:r>
      <w:r w:rsidRPr="00B101BC">
        <w:rPr>
          <w:color w:val="000000"/>
          <w:sz w:val="20"/>
        </w:rPr>
        <w:t>también fue una buena oportunidad para que la Organización ayudara a estable</w:t>
      </w:r>
      <w:r>
        <w:rPr>
          <w:color w:val="000000"/>
          <w:sz w:val="20"/>
        </w:rPr>
        <w:t>cer un entorno coherente en el s</w:t>
      </w:r>
      <w:r w:rsidRPr="00B101BC">
        <w:rPr>
          <w:color w:val="000000"/>
          <w:sz w:val="20"/>
        </w:rPr>
        <w:t xml:space="preserve">istema de las Naciones Unidas. </w:t>
      </w:r>
    </w:p>
    <w:p w:rsidR="00221F0B" w:rsidRPr="00B101BC" w:rsidRDefault="00221F0B" w:rsidP="00DC1333">
      <w:pPr>
        <w:jc w:val="both"/>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 xml:space="preserve">En diciembre de 2014 la ODG asumió la responsabilidad de coordinar todas las oficinas en el exterior y supervisar la Oficina de la OMPI en Singapur y la Oficina de la </w:t>
      </w:r>
      <w:r w:rsidR="000D5101">
        <w:rPr>
          <w:sz w:val="20"/>
        </w:rPr>
        <w:t>OMPI en el Brasil.  En enero de </w:t>
      </w:r>
      <w:r w:rsidRPr="00B101BC">
        <w:rPr>
          <w:sz w:val="20"/>
        </w:rPr>
        <w:t>2015 se pusieron en marcha una serie de iniciativas para garantizar una mayor coherencia funcional y la plena integración de las oficinas en el exterior en la labor de la Organización.  Entre dichas iniciativas se encuentran la organización de la primera reunión de jefes de oficinas en la sede, la creación de numerosos grupos de trabajo para examinar la incidencia de las políticas institucionales en las oficinas en el exterior, la celebración de videoconferencias dos veces al mes, la puesta en funcionamiento de una nueva arquitectura de T.I. que proporcione una conectividad ininterrumpida entra las oficinas y la sede, y la modernización de los sitios web de las oficinas.  Inmediatamente se hizo evidente que en la OMPI se está inculcando una nueva cultura en relación con las oficinas en el exterior que ha incidido positivamente en la ejecución del mandato.</w:t>
      </w:r>
    </w:p>
    <w:p w:rsidR="00221F0B" w:rsidRPr="00221F0B" w:rsidRDefault="00221F0B" w:rsidP="00991FD6">
      <w:pPr>
        <w:pStyle w:val="ListParagraph"/>
        <w:ind w:left="0"/>
        <w:rPr>
          <w:lang w:val="es-ES"/>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La Oficina de Ética Profesional sufrió un revés al no contar con un Oficial Jefe de Ética Profesional de abril a julio de 2014.  Se designó un Oficial Jefe de Ética Profesional con carácter interino desde agosto de 2014 hasta el nombramiento del nuevo Oficial Jefe de Ética Profesional en septiembre de 2015.  La Oficina de Ética Profesional continuó aplicando su política sobre declaración de intereses, que incluye, entre otras cosas, revelar los intereses financieros de conformidad con las IPSAS, y supervisó la Política</w:t>
      </w:r>
      <w:r w:rsidR="0036610D">
        <w:rPr>
          <w:sz w:val="20"/>
        </w:rPr>
        <w:t xml:space="preserve"> de Protección de las personas que colaboran en una actividad de supervisión o que señalan faltas u otras irregularidades (“Política</w:t>
      </w:r>
      <w:r w:rsidRPr="00B101BC">
        <w:rPr>
          <w:sz w:val="20"/>
        </w:rPr>
        <w:t xml:space="preserve"> de protección de los denunciantes de irregularidades</w:t>
      </w:r>
      <w:r w:rsidR="0036610D">
        <w:rPr>
          <w:sz w:val="20"/>
        </w:rPr>
        <w:t>”)</w:t>
      </w:r>
      <w:r w:rsidRPr="00B101BC">
        <w:rPr>
          <w:sz w:val="20"/>
        </w:rPr>
        <w:t>, que articula el valor que se atribuye a la participación de todo el personal en las actividades de vigilancia de la Organización mediante la concesión de protección contra represalias.  El Código de Ética Profesional de la OMPI continuó proporcionando una plataforma co</w:t>
      </w:r>
      <w:r>
        <w:rPr>
          <w:sz w:val="20"/>
        </w:rPr>
        <w:t xml:space="preserve">mún de principios rectores y </w:t>
      </w:r>
      <w:r w:rsidRPr="00B101BC">
        <w:rPr>
          <w:sz w:val="20"/>
        </w:rPr>
        <w:t xml:space="preserve">valores que el personal de la OMPI debe observar en el desempeño </w:t>
      </w:r>
      <w:r w:rsidRPr="0036610D">
        <w:rPr>
          <w:sz w:val="20"/>
        </w:rPr>
        <w:t>de sus funciones, y la Oficina prestó servicios de asesoramiento a miembros del personal de todos los niveles acerca de su aplicación.  Además, se impartió formación sobre ética profesional con carácter obligatorio a todo el personal que se incorporó a la Organización a fin de asegurarse de que todos los trabajadores nuevos conozcan bien la cultura de ética profesional de la OMPI.  Igualmente, se intensificó la colaboración con la Red de Ética de las Organizaciones Multilaterales.</w:t>
      </w:r>
    </w:p>
    <w:p w:rsidR="00221F0B" w:rsidRPr="00B101BC" w:rsidRDefault="00221F0B" w:rsidP="00DC1333">
      <w:pPr>
        <w:jc w:val="both"/>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La entrada en vigor el 1 de enero de 2014 del nuevo sistema de administración de justicia fortaleció a la Oficina del Mediador, que forma parte integrante del marco de rendición de cuentas e integridad de la OMPI.  Un aspecto clave de esta reforma fue el reconocimiento de la importancia de la prevención de conflictos mediante la inclusión de la solución informal de conflictos en el Estatuto y Reglamento del Personal.  Para acompañar este cambio, la Oficina se centró en sensibilizar al personal y mejorar su capacidad de manejo de conflictos mediante iniciativas de formación, entre las que se incluyeron talleres sobre comunicación no violenta, la impartición en toda la organización de una formación de dos días de duración sobre gestión de conflictos</w:t>
      </w:r>
      <w:r>
        <w:rPr>
          <w:sz w:val="20"/>
        </w:rPr>
        <w:t>,</w:t>
      </w:r>
      <w:r w:rsidRPr="00B101BC">
        <w:rPr>
          <w:sz w:val="20"/>
        </w:rPr>
        <w:t xml:space="preserve"> a la que asistieron 631 miembros del personal, y la realización de programas de orientación para los nuevos empleados.</w:t>
      </w:r>
    </w:p>
    <w:p w:rsidR="00221F0B" w:rsidRPr="00B101BC" w:rsidRDefault="00221F0B" w:rsidP="00DC1333">
      <w:pPr>
        <w:jc w:val="both"/>
        <w:rPr>
          <w:bCs/>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color w:val="000000"/>
          <w:sz w:val="20"/>
        </w:rPr>
        <w:t>En mayo de 2014 se estableció la función de coordinador de</w:t>
      </w:r>
      <w:r w:rsidRPr="00B101BC">
        <w:rPr>
          <w:color w:val="0000FF"/>
          <w:sz w:val="20"/>
        </w:rPr>
        <w:t xml:space="preserve"> </w:t>
      </w:r>
      <w:r w:rsidRPr="00B101BC">
        <w:rPr>
          <w:sz w:val="20"/>
        </w:rPr>
        <w:t>continuidad de las operaciones en la ODG</w:t>
      </w:r>
      <w:r w:rsidRPr="00B101BC">
        <w:rPr>
          <w:color w:val="000000"/>
          <w:sz w:val="20"/>
        </w:rPr>
        <w:t xml:space="preserve">.  Se consiguió avanzar de forma considerable en la puesta en marcha de los elementos necesarios para un sistema institucional de reacción y recuperación, como la publicación de una estrategia y política institucional de reacción y recuperación y la puesta en funcionamiento del primer sistema de notificación de emergencia de la Organización.  A partir de estos fundamentos de políticas se inició un análisis del impacto en las operaciones para identificar las prioridades y las expectativas de la Organización en materia de recuperación y reconstitución en caso de que se produzca un hecho </w:t>
      </w:r>
      <w:r w:rsidRPr="00B101BC">
        <w:rPr>
          <w:color w:val="000000"/>
          <w:sz w:val="20"/>
        </w:rPr>
        <w:lastRenderedPageBreak/>
        <w:t xml:space="preserve">perturbador.  </w:t>
      </w:r>
      <w:r w:rsidRPr="00B101BC">
        <w:rPr>
          <w:sz w:val="20"/>
        </w:rPr>
        <w:t>Se espera que estos elementos permitan sentar una base sólida para que el sistema siga evolucionando durante el próximo bienio.</w:t>
      </w:r>
    </w:p>
    <w:p w:rsidR="00221F0B" w:rsidRPr="00B101BC" w:rsidRDefault="00221F0B" w:rsidP="00DC1333">
      <w:pPr>
        <w:jc w:val="both"/>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color w:val="000000"/>
          <w:sz w:val="20"/>
        </w:rPr>
        <w:t xml:space="preserve">En febrero de 2014, con el nombramiento del </w:t>
      </w:r>
      <w:r w:rsidRPr="00B101BC">
        <w:rPr>
          <w:sz w:val="20"/>
        </w:rPr>
        <w:t xml:space="preserve">Jefe de Protocolo y Gestión de Eventos, las </w:t>
      </w:r>
      <w:r w:rsidRPr="00B101BC">
        <w:rPr>
          <w:color w:val="000000"/>
          <w:sz w:val="20"/>
        </w:rPr>
        <w:t xml:space="preserve">actividades y los eventos se fusionaron con el protocolo para mejorar y optimizar la atención a los </w:t>
      </w:r>
      <w:r w:rsidRPr="00B101BC">
        <w:rPr>
          <w:sz w:val="20"/>
        </w:rPr>
        <w:t>Estados miembros y otras partes interesadas</w:t>
      </w:r>
      <w:r w:rsidRPr="00B101BC">
        <w:rPr>
          <w:color w:val="000000"/>
          <w:sz w:val="20"/>
        </w:rPr>
        <w:t xml:space="preserve">. En las series de reuniones de las Asambleas de la OMPI que se celebraron en 2014 y 2015 se registró un aumento considerable del número de eventos y actos paralelos solicitados y organizados, incluida la inauguración de </w:t>
      </w:r>
      <w:r w:rsidRPr="00B101BC">
        <w:rPr>
          <w:sz w:val="20"/>
        </w:rPr>
        <w:t xml:space="preserve">la nueva sala de conferencias de la OMPI en 2014.  </w:t>
      </w:r>
      <w:r w:rsidRPr="00B101BC">
        <w:rPr>
          <w:color w:val="000000"/>
          <w:sz w:val="20"/>
        </w:rPr>
        <w:t>Estos eventos recibieron una respuesta favorable</w:t>
      </w:r>
      <w:r>
        <w:rPr>
          <w:color w:val="000000"/>
          <w:sz w:val="20"/>
        </w:rPr>
        <w:t>,</w:t>
      </w:r>
      <w:r w:rsidRPr="00B101BC">
        <w:rPr>
          <w:color w:val="000000"/>
          <w:sz w:val="20"/>
        </w:rPr>
        <w:t xml:space="preserve"> como quedó reflejado en el nivel de satisfacción de los delegados.  En 2015 aumentó el número de eventos celebrados en la OMPI, incluidos los días nacionales, cumpliendo así el recinto de la OMPI una función importante de lugar de reunión de los Estados miembros y otras partes interesadas.</w:t>
      </w:r>
    </w:p>
    <w:p w:rsidR="00221F0B" w:rsidRPr="00B101BC" w:rsidRDefault="00221F0B" w:rsidP="00DC1333">
      <w:pPr>
        <w:jc w:val="both"/>
        <w:rPr>
          <w:sz w:val="20"/>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El programa, incluida la labor de la Oficina del Director General, siguió desempeñando un papel fundamental al proporcionar la orientación estratégica y la supervisión global necesaria</w:t>
      </w:r>
      <w:r>
        <w:rPr>
          <w:sz w:val="20"/>
        </w:rPr>
        <w:t>s</w:t>
      </w:r>
      <w:r w:rsidRPr="00B101BC">
        <w:rPr>
          <w:sz w:val="20"/>
        </w:rPr>
        <w:t xml:space="preserve"> para facilitar la integración y la aplicación de la Agenda de la OMPI para el Desarrollo por parte de todos los sectores pertinentes de la Organización.</w:t>
      </w:r>
    </w:p>
    <w:p w:rsidR="00221F0B" w:rsidRPr="00B101BC" w:rsidRDefault="00221F0B" w:rsidP="00DC1333">
      <w:pPr>
        <w:jc w:val="both"/>
        <w:rPr>
          <w:sz w:val="20"/>
        </w:rPr>
      </w:pPr>
    </w:p>
    <w:p w:rsidR="00221F0B" w:rsidRPr="00B101BC" w:rsidRDefault="00221F0B" w:rsidP="00DC1333">
      <w:pPr>
        <w:jc w:val="both"/>
        <w:rPr>
          <w:sz w:val="20"/>
        </w:rPr>
      </w:pPr>
    </w:p>
    <w:p w:rsidR="00221F0B" w:rsidRPr="00B101BC" w:rsidRDefault="008F7CBE" w:rsidP="00DC1333">
      <w:pPr>
        <w:rPr>
          <w:iCs/>
        </w:rPr>
      </w:pPr>
      <w:r w:rsidRPr="008F7CBE">
        <w:rPr>
          <w:iCs/>
          <w:sz w:val="20"/>
        </w:rPr>
        <w:t>DATOS SOBRE EL RENDIMIENTO</w:t>
      </w:r>
    </w:p>
    <w:p w:rsidR="00221F0B" w:rsidRPr="00B101BC" w:rsidRDefault="00221F0B" w:rsidP="00DC1333"/>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10"/>
        <w:gridCol w:w="1417"/>
        <w:gridCol w:w="1986"/>
        <w:gridCol w:w="142"/>
        <w:gridCol w:w="140"/>
        <w:gridCol w:w="994"/>
      </w:tblGrid>
      <w:tr w:rsidR="00221F0B" w:rsidRPr="00B101BC" w:rsidTr="00DC1333">
        <w:trPr>
          <w:trHeight w:val="488"/>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DC1333">
            <w:pPr>
              <w:keepNext/>
              <w:keepLines/>
              <w:ind w:left="2019" w:hanging="2019"/>
              <w:rPr>
                <w:b/>
                <w:bCs/>
                <w:sz w:val="16"/>
                <w:szCs w:val="16"/>
              </w:rPr>
            </w:pPr>
            <w:r w:rsidRPr="00B101BC">
              <w:rPr>
                <w:b/>
                <w:bCs/>
                <w:sz w:val="16"/>
                <w:szCs w:val="16"/>
              </w:rPr>
              <w:t>Resultado previsto:</w:t>
            </w:r>
            <w:r w:rsidRPr="00B101BC">
              <w:rPr>
                <w:b/>
                <w:bCs/>
                <w:sz w:val="16"/>
                <w:szCs w:val="16"/>
              </w:rPr>
              <w:tab/>
            </w:r>
            <w:r w:rsidRPr="00B101BC">
              <w:rPr>
                <w:bCs/>
                <w:sz w:val="16"/>
                <w:szCs w:val="16"/>
              </w:rPr>
              <w:t>IV.2 Mejora del acceso y uso de información de P.I. por parte de instituciones de P.I. y el público para fomentar la innovación y la creatividad</w:t>
            </w:r>
          </w:p>
        </w:tc>
      </w:tr>
      <w:tr w:rsidR="00221F0B" w:rsidRPr="00B101BC" w:rsidTr="00DC1333">
        <w:tc>
          <w:tcPr>
            <w:tcW w:w="1212" w:type="pct"/>
            <w:tcBorders>
              <w:top w:val="single" w:sz="4" w:space="0" w:color="auto"/>
            </w:tcBorders>
            <w:shd w:val="clear" w:color="auto" w:fill="auto"/>
            <w:vAlign w:val="center"/>
          </w:tcPr>
          <w:p w:rsidR="00221F0B" w:rsidRPr="00B101BC" w:rsidRDefault="00221F0B" w:rsidP="00DC1333">
            <w:pPr>
              <w:rPr>
                <w:sz w:val="16"/>
                <w:szCs w:val="16"/>
              </w:rPr>
            </w:pPr>
            <w:r w:rsidRPr="00B101BC">
              <w:rPr>
                <w:b/>
                <w:sz w:val="16"/>
                <w:szCs w:val="16"/>
              </w:rPr>
              <w:t>Indicadores de rendimiento</w:t>
            </w:r>
          </w:p>
        </w:tc>
        <w:tc>
          <w:tcPr>
            <w:tcW w:w="1288" w:type="pct"/>
            <w:tcBorders>
              <w:top w:val="single" w:sz="4" w:space="0" w:color="auto"/>
            </w:tcBorders>
            <w:shd w:val="clear" w:color="auto" w:fill="auto"/>
            <w:vAlign w:val="center"/>
          </w:tcPr>
          <w:p w:rsidR="00221F0B" w:rsidRPr="00B101BC" w:rsidRDefault="00221F0B" w:rsidP="00DC1333">
            <w:pPr>
              <w:rPr>
                <w:b/>
                <w:bCs/>
                <w:sz w:val="16"/>
                <w:szCs w:val="16"/>
              </w:rPr>
            </w:pPr>
            <w:r w:rsidRPr="00B101BC">
              <w:rPr>
                <w:b/>
                <w:bCs/>
                <w:sz w:val="16"/>
                <w:szCs w:val="16"/>
              </w:rPr>
              <w:t>Referencia</w:t>
            </w:r>
          </w:p>
        </w:tc>
        <w:tc>
          <w:tcPr>
            <w:tcW w:w="757" w:type="pct"/>
            <w:tcBorders>
              <w:top w:val="single" w:sz="4" w:space="0" w:color="auto"/>
            </w:tcBorders>
            <w:shd w:val="clear" w:color="auto" w:fill="auto"/>
            <w:tcMar>
              <w:top w:w="110" w:type="dxa"/>
            </w:tcMar>
            <w:vAlign w:val="center"/>
          </w:tcPr>
          <w:p w:rsidR="00221F0B" w:rsidRPr="00B101BC" w:rsidRDefault="00221F0B" w:rsidP="00DC1333">
            <w:pPr>
              <w:rPr>
                <w:b/>
                <w:sz w:val="16"/>
                <w:szCs w:val="16"/>
              </w:rPr>
            </w:pPr>
            <w:r w:rsidRPr="00B101BC">
              <w:rPr>
                <w:b/>
                <w:sz w:val="16"/>
                <w:szCs w:val="16"/>
              </w:rPr>
              <w:t>Objetivos</w:t>
            </w:r>
          </w:p>
        </w:tc>
        <w:tc>
          <w:tcPr>
            <w:tcW w:w="1212" w:type="pct"/>
            <w:gridSpan w:val="3"/>
            <w:tcBorders>
              <w:top w:val="single" w:sz="4" w:space="0" w:color="auto"/>
            </w:tcBorders>
            <w:shd w:val="clear" w:color="auto" w:fill="FFFFFF"/>
            <w:tcMar>
              <w:top w:w="110" w:type="dxa"/>
            </w:tcMar>
            <w:vAlign w:val="center"/>
          </w:tcPr>
          <w:p w:rsidR="00221F0B" w:rsidRPr="00B101BC" w:rsidRDefault="00221F0B" w:rsidP="00DC1333">
            <w:pPr>
              <w:rPr>
                <w:sz w:val="16"/>
                <w:szCs w:val="16"/>
              </w:rPr>
            </w:pPr>
            <w:r w:rsidRPr="00B101BC">
              <w:rPr>
                <w:b/>
                <w:sz w:val="16"/>
                <w:szCs w:val="16"/>
              </w:rPr>
              <w:t>Datos sobre el rendimiento</w:t>
            </w:r>
          </w:p>
        </w:tc>
        <w:tc>
          <w:tcPr>
            <w:tcW w:w="531" w:type="pct"/>
            <w:tcBorders>
              <w:top w:val="single" w:sz="4" w:space="0" w:color="auto"/>
            </w:tcBorders>
            <w:shd w:val="clear" w:color="auto" w:fill="auto"/>
            <w:tcMar>
              <w:top w:w="110" w:type="dxa"/>
            </w:tcMar>
            <w:vAlign w:val="center"/>
          </w:tcPr>
          <w:p w:rsidR="00221F0B" w:rsidRPr="00B101BC" w:rsidRDefault="00221F0B" w:rsidP="00DC1333">
            <w:pPr>
              <w:keepNext/>
              <w:keepLines/>
              <w:jc w:val="center"/>
              <w:rPr>
                <w:b/>
                <w:bCs/>
                <w:sz w:val="16"/>
                <w:szCs w:val="16"/>
              </w:rPr>
            </w:pPr>
            <w:r w:rsidRPr="00B101BC">
              <w:rPr>
                <w:b/>
                <w:bCs/>
                <w:sz w:val="16"/>
                <w:szCs w:val="16"/>
              </w:rPr>
              <w:t>Clave de colores</w:t>
            </w:r>
          </w:p>
        </w:tc>
      </w:tr>
      <w:tr w:rsidR="00221F0B" w:rsidRPr="00B101BC" w:rsidTr="00DC1333">
        <w:tc>
          <w:tcPr>
            <w:tcW w:w="1212" w:type="pct"/>
            <w:tcBorders>
              <w:bottom w:val="single" w:sz="4" w:space="0" w:color="auto"/>
            </w:tcBorders>
            <w:shd w:val="clear" w:color="auto" w:fill="auto"/>
          </w:tcPr>
          <w:p w:rsidR="00221F0B" w:rsidRPr="00B101BC" w:rsidRDefault="00221F0B" w:rsidP="00DC1333">
            <w:pPr>
              <w:rPr>
                <w:color w:val="000000"/>
                <w:sz w:val="16"/>
                <w:szCs w:val="16"/>
              </w:rPr>
            </w:pPr>
            <w:r w:rsidRPr="00B101BC">
              <w:rPr>
                <w:sz w:val="16"/>
                <w:szCs w:val="16"/>
              </w:rPr>
              <w:t>Aumento del número de usuarios de WIPO Lex</w:t>
            </w:r>
          </w:p>
        </w:tc>
        <w:tc>
          <w:tcPr>
            <w:tcW w:w="1288" w:type="pct"/>
            <w:tcBorders>
              <w:bottom w:val="single" w:sz="4" w:space="0" w:color="auto"/>
            </w:tcBorders>
            <w:shd w:val="clear" w:color="auto" w:fill="auto"/>
          </w:tcPr>
          <w:p w:rsidR="00221F0B" w:rsidRPr="00B101BC" w:rsidRDefault="00221F0B" w:rsidP="00DC1333">
            <w:pPr>
              <w:rPr>
                <w:rFonts w:eastAsiaTheme="minorHAnsi"/>
                <w:i/>
                <w:color w:val="002060"/>
                <w:sz w:val="16"/>
                <w:szCs w:val="16"/>
              </w:rPr>
            </w:pPr>
            <w:r w:rsidRPr="00B101BC">
              <w:rPr>
                <w:rFonts w:eastAsiaTheme="minorHAnsi"/>
                <w:i/>
                <w:color w:val="002060"/>
                <w:sz w:val="16"/>
                <w:szCs w:val="16"/>
              </w:rPr>
              <w:t>Referencia actualizada a fines de 2013</w:t>
            </w:r>
            <w:r w:rsidRPr="00B101BC">
              <w:rPr>
                <w:rFonts w:eastAsiaTheme="minorHAnsi"/>
                <w:color w:val="002060"/>
                <w:sz w:val="16"/>
                <w:szCs w:val="16"/>
              </w:rPr>
              <w:t xml:space="preserve">: </w:t>
            </w:r>
            <w:r>
              <w:rPr>
                <w:rFonts w:eastAsiaTheme="minorHAnsi"/>
                <w:color w:val="002060"/>
                <w:sz w:val="16"/>
                <w:szCs w:val="16"/>
              </w:rPr>
              <w:t xml:space="preserve"> </w:t>
            </w:r>
            <w:r w:rsidRPr="00B101BC">
              <w:rPr>
                <w:rFonts w:eastAsiaTheme="minorHAnsi"/>
                <w:color w:val="002060"/>
                <w:sz w:val="16"/>
                <w:szCs w:val="16"/>
              </w:rPr>
              <w:t xml:space="preserve">2.236.486 usuarios (1.461.841 en 2013; </w:t>
            </w:r>
            <w:r>
              <w:rPr>
                <w:rFonts w:eastAsiaTheme="minorHAnsi"/>
                <w:color w:val="002060"/>
                <w:sz w:val="16"/>
                <w:szCs w:val="16"/>
              </w:rPr>
              <w:t xml:space="preserve"> </w:t>
            </w:r>
            <w:r w:rsidRPr="00B101BC">
              <w:rPr>
                <w:rFonts w:eastAsiaTheme="minorHAnsi"/>
                <w:color w:val="002060"/>
                <w:sz w:val="16"/>
                <w:szCs w:val="16"/>
              </w:rPr>
              <w:t>774.645 en 2012)</w:t>
            </w:r>
          </w:p>
          <w:p w:rsidR="00221F0B" w:rsidRPr="00B101BC" w:rsidRDefault="00221F0B" w:rsidP="00DC1333">
            <w:pPr>
              <w:rPr>
                <w:i/>
                <w:color w:val="002060"/>
                <w:sz w:val="8"/>
                <w:szCs w:val="8"/>
              </w:rPr>
            </w:pPr>
          </w:p>
          <w:p w:rsidR="00221F0B" w:rsidRDefault="00221F0B" w:rsidP="00DC1333">
            <w:pPr>
              <w:rPr>
                <w:color w:val="000000"/>
                <w:sz w:val="16"/>
                <w:szCs w:val="16"/>
              </w:rPr>
            </w:pPr>
            <w:r w:rsidRPr="00B101BC">
              <w:rPr>
                <w:i/>
                <w:color w:val="000000"/>
                <w:sz w:val="16"/>
                <w:szCs w:val="16"/>
              </w:rPr>
              <w:t xml:space="preserve">Referencia original en el presupuesto de 2014/15: </w:t>
            </w:r>
            <w:r>
              <w:rPr>
                <w:i/>
                <w:color w:val="000000"/>
                <w:sz w:val="16"/>
                <w:szCs w:val="16"/>
              </w:rPr>
              <w:t xml:space="preserve"> </w:t>
            </w:r>
            <w:r w:rsidRPr="00B101BC">
              <w:rPr>
                <w:color w:val="000000"/>
                <w:sz w:val="16"/>
                <w:szCs w:val="16"/>
              </w:rPr>
              <w:t>1.123.930</w:t>
            </w:r>
            <w:r w:rsidRPr="00B101BC">
              <w:rPr>
                <w:rStyle w:val="FootnoteReference"/>
                <w:color w:val="000000"/>
                <w:sz w:val="16"/>
                <w:szCs w:val="16"/>
              </w:rPr>
              <w:footnoteReference w:id="122"/>
            </w:r>
          </w:p>
          <w:p w:rsidR="00221F0B" w:rsidRPr="00B101BC" w:rsidRDefault="00221F0B" w:rsidP="00DC1333">
            <w:pPr>
              <w:rPr>
                <w:color w:val="000000"/>
                <w:sz w:val="16"/>
                <w:szCs w:val="16"/>
              </w:rPr>
            </w:pPr>
          </w:p>
        </w:tc>
        <w:tc>
          <w:tcPr>
            <w:tcW w:w="757" w:type="pct"/>
            <w:tcBorders>
              <w:bottom w:val="single" w:sz="4" w:space="0" w:color="auto"/>
            </w:tcBorders>
            <w:shd w:val="clear" w:color="auto" w:fill="auto"/>
            <w:tcMar>
              <w:top w:w="110" w:type="dxa"/>
            </w:tcMar>
          </w:tcPr>
          <w:p w:rsidR="00221F0B" w:rsidRPr="00B101BC" w:rsidRDefault="00221F0B" w:rsidP="00DC1333">
            <w:pPr>
              <w:rPr>
                <w:sz w:val="16"/>
                <w:szCs w:val="16"/>
              </w:rPr>
            </w:pPr>
            <w:r w:rsidRPr="00B101BC">
              <w:rPr>
                <w:sz w:val="16"/>
                <w:szCs w:val="16"/>
              </w:rPr>
              <w:t>20%</w:t>
            </w:r>
          </w:p>
          <w:p w:rsidR="00221F0B" w:rsidRPr="00B101BC" w:rsidRDefault="00221F0B" w:rsidP="00DC1333">
            <w:pPr>
              <w:rPr>
                <w:sz w:val="16"/>
                <w:szCs w:val="16"/>
                <w:lang w:bidi="th-TH"/>
              </w:rPr>
            </w:pPr>
          </w:p>
        </w:tc>
        <w:tc>
          <w:tcPr>
            <w:tcW w:w="1137" w:type="pct"/>
            <w:gridSpan w:val="2"/>
            <w:tcBorders>
              <w:bottom w:val="single" w:sz="4" w:space="0" w:color="auto"/>
            </w:tcBorders>
            <w:shd w:val="clear" w:color="auto" w:fill="FFFFFF"/>
            <w:tcMar>
              <w:top w:w="110" w:type="dxa"/>
            </w:tcMar>
          </w:tcPr>
          <w:p w:rsidR="00221F0B" w:rsidRPr="00B101BC" w:rsidRDefault="00221F0B" w:rsidP="00DC1333">
            <w:pPr>
              <w:rPr>
                <w:sz w:val="16"/>
                <w:szCs w:val="16"/>
                <w:lang w:bidi="th-TH"/>
              </w:rPr>
            </w:pPr>
            <w:r w:rsidRPr="00B101BC">
              <w:rPr>
                <w:sz w:val="16"/>
                <w:szCs w:val="16"/>
                <w:lang w:bidi="th-TH"/>
              </w:rPr>
              <w:t>Total de 3.350.643 usuarios en 2014/15 (49,8% más que en 2012/13)</w:t>
            </w:r>
          </w:p>
          <w:p w:rsidR="00221F0B" w:rsidRPr="00B101BC" w:rsidRDefault="00221F0B" w:rsidP="00221F0B">
            <w:pPr>
              <w:pStyle w:val="ListParagraph"/>
              <w:numPr>
                <w:ilvl w:val="0"/>
                <w:numId w:val="99"/>
              </w:numPr>
              <w:contextualSpacing/>
              <w:rPr>
                <w:sz w:val="16"/>
                <w:szCs w:val="16"/>
              </w:rPr>
            </w:pPr>
            <w:r w:rsidRPr="00B101BC">
              <w:rPr>
                <w:sz w:val="16"/>
                <w:szCs w:val="16"/>
              </w:rPr>
              <w:t>1.506.508 (2014)</w:t>
            </w:r>
          </w:p>
          <w:p w:rsidR="00221F0B" w:rsidRPr="00B101BC" w:rsidRDefault="00221F0B" w:rsidP="00221F0B">
            <w:pPr>
              <w:pStyle w:val="ListParagraph"/>
              <w:numPr>
                <w:ilvl w:val="0"/>
                <w:numId w:val="99"/>
              </w:numPr>
              <w:contextualSpacing/>
              <w:rPr>
                <w:sz w:val="16"/>
                <w:szCs w:val="16"/>
              </w:rPr>
            </w:pPr>
            <w:r w:rsidRPr="00B101BC">
              <w:rPr>
                <w:sz w:val="16"/>
                <w:szCs w:val="16"/>
              </w:rPr>
              <w:t>1.844.135 (2015)</w:t>
            </w:r>
          </w:p>
          <w:p w:rsidR="00221F0B" w:rsidRPr="00B101BC" w:rsidRDefault="00221F0B" w:rsidP="00DC1333">
            <w:pPr>
              <w:rPr>
                <w:sz w:val="16"/>
                <w:szCs w:val="16"/>
              </w:rPr>
            </w:pPr>
          </w:p>
        </w:tc>
        <w:tc>
          <w:tcPr>
            <w:tcW w:w="606" w:type="pct"/>
            <w:gridSpan w:val="2"/>
            <w:tcBorders>
              <w:bottom w:val="single" w:sz="4" w:space="0" w:color="auto"/>
            </w:tcBorders>
            <w:shd w:val="clear" w:color="auto" w:fill="auto"/>
            <w:tcMar>
              <w:top w:w="110" w:type="dxa"/>
            </w:tcMar>
          </w:tcPr>
          <w:p w:rsidR="00221F0B" w:rsidRPr="00B101BC" w:rsidRDefault="00221F0B" w:rsidP="00DC1333">
            <w:pPr>
              <w:keepNext/>
              <w:keepLines/>
              <w:ind w:left="-108" w:right="-107"/>
              <w:jc w:val="center"/>
              <w:rPr>
                <w:b/>
                <w:bCs/>
                <w:color w:val="00B050"/>
                <w:sz w:val="16"/>
                <w:szCs w:val="16"/>
              </w:rPr>
            </w:pPr>
            <w:r w:rsidRPr="00B101BC">
              <w:rPr>
                <w:b/>
                <w:color w:val="00B050"/>
                <w:sz w:val="16"/>
                <w:szCs w:val="16"/>
              </w:rPr>
              <w:t>Plenamente logrado</w:t>
            </w:r>
          </w:p>
        </w:tc>
      </w:tr>
      <w:tr w:rsidR="00221F0B" w:rsidRPr="00B101BC" w:rsidTr="00DC1333">
        <w:trPr>
          <w:trHeight w:val="396"/>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DC1333">
            <w:pPr>
              <w:keepNext/>
              <w:keepLines/>
              <w:ind w:left="2019" w:hanging="2019"/>
              <w:rPr>
                <w:b/>
                <w:bCs/>
                <w:sz w:val="16"/>
                <w:szCs w:val="16"/>
              </w:rPr>
            </w:pPr>
            <w:r w:rsidRPr="00B101BC">
              <w:rPr>
                <w:b/>
                <w:bCs/>
                <w:color w:val="000000"/>
                <w:sz w:val="16"/>
                <w:szCs w:val="16"/>
              </w:rPr>
              <w:t xml:space="preserve">Resultado previsto: </w:t>
            </w:r>
            <w:r w:rsidRPr="00B101BC">
              <w:rPr>
                <w:b/>
                <w:bCs/>
                <w:color w:val="000000"/>
                <w:sz w:val="16"/>
                <w:szCs w:val="16"/>
              </w:rPr>
              <w:tab/>
            </w:r>
            <w:r w:rsidRPr="00B101BC">
              <w:rPr>
                <w:bCs/>
                <w:color w:val="000000"/>
                <w:sz w:val="16"/>
                <w:szCs w:val="16"/>
              </w:rPr>
              <w:t>VIII.3 Atención eficaz a los Estados miembros</w:t>
            </w:r>
            <w:r w:rsidRPr="00B101BC">
              <w:rPr>
                <w:b/>
                <w:bCs/>
                <w:color w:val="000000"/>
                <w:sz w:val="16"/>
                <w:szCs w:val="16"/>
              </w:rPr>
              <w:t xml:space="preserve"> </w:t>
            </w:r>
          </w:p>
        </w:tc>
      </w:tr>
      <w:tr w:rsidR="00221F0B" w:rsidRPr="00B101BC" w:rsidTr="00DC1333">
        <w:tc>
          <w:tcPr>
            <w:tcW w:w="1212" w:type="pct"/>
            <w:tcBorders>
              <w:top w:val="single" w:sz="4" w:space="0" w:color="auto"/>
              <w:left w:val="single" w:sz="4" w:space="0" w:color="auto"/>
              <w:bottom w:val="nil"/>
            </w:tcBorders>
            <w:shd w:val="clear" w:color="auto" w:fill="auto"/>
            <w:vAlign w:val="center"/>
          </w:tcPr>
          <w:p w:rsidR="00221F0B" w:rsidRPr="00B101BC" w:rsidRDefault="00221F0B" w:rsidP="00DC1333">
            <w:pPr>
              <w:keepNext/>
              <w:keepLines/>
              <w:rPr>
                <w:sz w:val="16"/>
                <w:szCs w:val="16"/>
              </w:rPr>
            </w:pPr>
            <w:r w:rsidRPr="00B101BC">
              <w:rPr>
                <w:b/>
                <w:sz w:val="16"/>
                <w:szCs w:val="16"/>
              </w:rPr>
              <w:t>Indicadores de rendimiento</w:t>
            </w:r>
          </w:p>
        </w:tc>
        <w:tc>
          <w:tcPr>
            <w:tcW w:w="1288" w:type="pct"/>
            <w:tcBorders>
              <w:top w:val="single" w:sz="4" w:space="0" w:color="auto"/>
              <w:bottom w:val="nil"/>
            </w:tcBorders>
            <w:shd w:val="clear" w:color="auto" w:fill="auto"/>
            <w:vAlign w:val="center"/>
          </w:tcPr>
          <w:p w:rsidR="00221F0B" w:rsidRPr="00B101BC" w:rsidRDefault="00221F0B" w:rsidP="00DC1333">
            <w:pPr>
              <w:keepNext/>
              <w:keepLines/>
              <w:rPr>
                <w:b/>
                <w:bCs/>
                <w:sz w:val="16"/>
                <w:szCs w:val="16"/>
              </w:rPr>
            </w:pPr>
            <w:r w:rsidRPr="00B101BC">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221F0B" w:rsidRPr="00B101BC" w:rsidRDefault="00221F0B" w:rsidP="00DC1333">
            <w:pPr>
              <w:keepNext/>
              <w:keepLines/>
              <w:rPr>
                <w:b/>
                <w:sz w:val="16"/>
                <w:szCs w:val="16"/>
              </w:rPr>
            </w:pPr>
            <w:r w:rsidRPr="00B101BC">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221F0B" w:rsidRPr="00B101BC" w:rsidRDefault="00221F0B" w:rsidP="00DC1333">
            <w:pPr>
              <w:rPr>
                <w:sz w:val="16"/>
                <w:szCs w:val="16"/>
              </w:rPr>
            </w:pPr>
            <w:r w:rsidRPr="00B101BC">
              <w:rPr>
                <w:b/>
                <w:sz w:val="16"/>
                <w:szCs w:val="16"/>
              </w:rPr>
              <w:t>Datos sobre el rendimiento</w:t>
            </w:r>
          </w:p>
        </w:tc>
        <w:tc>
          <w:tcPr>
            <w:tcW w:w="606" w:type="pct"/>
            <w:gridSpan w:val="2"/>
            <w:tcBorders>
              <w:top w:val="single" w:sz="4" w:space="0" w:color="auto"/>
              <w:bottom w:val="nil"/>
              <w:right w:val="single" w:sz="4" w:space="0" w:color="auto"/>
            </w:tcBorders>
            <w:shd w:val="clear" w:color="auto" w:fill="auto"/>
            <w:tcMar>
              <w:top w:w="110" w:type="dxa"/>
            </w:tcMar>
            <w:vAlign w:val="center"/>
          </w:tcPr>
          <w:p w:rsidR="00221F0B" w:rsidRPr="00B101BC" w:rsidRDefault="00221F0B" w:rsidP="00DC1333">
            <w:pPr>
              <w:keepNext/>
              <w:keepLines/>
              <w:jc w:val="center"/>
              <w:rPr>
                <w:b/>
                <w:bCs/>
                <w:sz w:val="16"/>
                <w:szCs w:val="16"/>
              </w:rPr>
            </w:pPr>
            <w:r w:rsidRPr="00B101BC">
              <w:rPr>
                <w:b/>
                <w:bCs/>
                <w:sz w:val="16"/>
                <w:szCs w:val="16"/>
              </w:rPr>
              <w:t>Clave de colores</w:t>
            </w:r>
          </w:p>
        </w:tc>
      </w:tr>
      <w:tr w:rsidR="00221F0B" w:rsidRPr="00B101BC" w:rsidTr="00DC1333">
        <w:tc>
          <w:tcPr>
            <w:tcW w:w="1212" w:type="pct"/>
            <w:tcBorders>
              <w:top w:val="nil"/>
              <w:left w:val="single" w:sz="4" w:space="0" w:color="auto"/>
              <w:bottom w:val="nil"/>
            </w:tcBorders>
            <w:shd w:val="clear" w:color="auto" w:fill="auto"/>
          </w:tcPr>
          <w:p w:rsidR="00221F0B" w:rsidRPr="00B101BC" w:rsidRDefault="00221F0B" w:rsidP="00DC1333">
            <w:pPr>
              <w:keepNext/>
              <w:keepLines/>
              <w:rPr>
                <w:sz w:val="16"/>
                <w:szCs w:val="16"/>
              </w:rPr>
            </w:pPr>
            <w:r w:rsidRPr="00B101BC">
              <w:rPr>
                <w:sz w:val="16"/>
                <w:szCs w:val="16"/>
              </w:rPr>
              <w:t>Porcentaje de sesiones de Comités precedidas de reuniones informativas para los Estados miembros</w:t>
            </w:r>
          </w:p>
        </w:tc>
        <w:tc>
          <w:tcPr>
            <w:tcW w:w="1288" w:type="pct"/>
            <w:tcBorders>
              <w:top w:val="nil"/>
              <w:bottom w:val="nil"/>
            </w:tcBorders>
            <w:shd w:val="clear" w:color="auto" w:fill="auto"/>
          </w:tcPr>
          <w:p w:rsidR="00221F0B" w:rsidRPr="00B101BC" w:rsidRDefault="00221F0B" w:rsidP="00DC1333">
            <w:pPr>
              <w:rPr>
                <w:rFonts w:eastAsiaTheme="minorHAnsi"/>
                <w:i/>
                <w:color w:val="002060"/>
                <w:sz w:val="16"/>
                <w:szCs w:val="16"/>
              </w:rPr>
            </w:pPr>
            <w:r w:rsidRPr="00B101BC">
              <w:rPr>
                <w:rFonts w:eastAsiaTheme="minorHAnsi"/>
                <w:i/>
                <w:color w:val="002060"/>
                <w:sz w:val="16"/>
                <w:szCs w:val="16"/>
              </w:rPr>
              <w:t xml:space="preserve">Referencia actualizada a fines de 2013: </w:t>
            </w:r>
            <w:r>
              <w:rPr>
                <w:rFonts w:eastAsiaTheme="minorHAnsi"/>
                <w:i/>
                <w:color w:val="002060"/>
                <w:sz w:val="16"/>
                <w:szCs w:val="16"/>
              </w:rPr>
              <w:t xml:space="preserve"> </w:t>
            </w:r>
            <w:r w:rsidRPr="00B101BC">
              <w:rPr>
                <w:rFonts w:eastAsiaTheme="minorHAnsi"/>
                <w:color w:val="002060"/>
                <w:sz w:val="16"/>
                <w:szCs w:val="16"/>
              </w:rPr>
              <w:t>81% según una encuesta de los secretarios de los comités</w:t>
            </w:r>
          </w:p>
          <w:p w:rsidR="00221F0B" w:rsidRPr="00B101BC" w:rsidRDefault="00221F0B" w:rsidP="00DC1333">
            <w:pPr>
              <w:rPr>
                <w:i/>
                <w:sz w:val="8"/>
                <w:szCs w:val="8"/>
              </w:rPr>
            </w:pPr>
          </w:p>
          <w:p w:rsidR="00221F0B" w:rsidRPr="00B101BC" w:rsidRDefault="00221F0B" w:rsidP="00DC1333">
            <w:pPr>
              <w:keepNext/>
              <w:keepLines/>
              <w:rPr>
                <w:sz w:val="16"/>
                <w:szCs w:val="16"/>
              </w:rPr>
            </w:pPr>
            <w:r w:rsidRPr="00B101BC">
              <w:rPr>
                <w:i/>
                <w:sz w:val="16"/>
                <w:szCs w:val="16"/>
              </w:rPr>
              <w:t xml:space="preserve">Referencia original en el presupuesto de 2014/15:  </w:t>
            </w:r>
            <w:r w:rsidRPr="00B101BC">
              <w:rPr>
                <w:sz w:val="16"/>
                <w:szCs w:val="16"/>
              </w:rPr>
              <w:t>80%</w:t>
            </w:r>
          </w:p>
        </w:tc>
        <w:tc>
          <w:tcPr>
            <w:tcW w:w="757" w:type="pct"/>
            <w:tcBorders>
              <w:top w:val="nil"/>
              <w:bottom w:val="nil"/>
            </w:tcBorders>
            <w:shd w:val="clear" w:color="auto" w:fill="auto"/>
            <w:tcMar>
              <w:top w:w="110" w:type="dxa"/>
            </w:tcMar>
          </w:tcPr>
          <w:p w:rsidR="00221F0B" w:rsidRPr="00B101BC" w:rsidRDefault="00221F0B" w:rsidP="00DC1333">
            <w:pPr>
              <w:keepNext/>
              <w:keepLines/>
              <w:rPr>
                <w:sz w:val="16"/>
                <w:szCs w:val="16"/>
              </w:rPr>
            </w:pPr>
            <w:r w:rsidRPr="00B101BC">
              <w:rPr>
                <w:sz w:val="16"/>
                <w:szCs w:val="16"/>
              </w:rPr>
              <w:t>90%</w:t>
            </w:r>
          </w:p>
        </w:tc>
        <w:tc>
          <w:tcPr>
            <w:tcW w:w="1137" w:type="pct"/>
            <w:gridSpan w:val="2"/>
            <w:tcBorders>
              <w:top w:val="nil"/>
              <w:bottom w:val="nil"/>
            </w:tcBorders>
            <w:shd w:val="clear" w:color="auto" w:fill="FFFFFF"/>
            <w:tcMar>
              <w:top w:w="110" w:type="dxa"/>
            </w:tcMar>
          </w:tcPr>
          <w:p w:rsidR="00221F0B" w:rsidRPr="00B101BC" w:rsidRDefault="00221F0B" w:rsidP="00DC1333">
            <w:pPr>
              <w:rPr>
                <w:sz w:val="16"/>
                <w:szCs w:val="16"/>
              </w:rPr>
            </w:pPr>
            <w:r w:rsidRPr="00B101BC">
              <w:rPr>
                <w:sz w:val="16"/>
                <w:szCs w:val="16"/>
              </w:rPr>
              <w:t>97% según una encuesta de los secretarios de los comités</w:t>
            </w:r>
          </w:p>
        </w:tc>
        <w:tc>
          <w:tcPr>
            <w:tcW w:w="606" w:type="pct"/>
            <w:gridSpan w:val="2"/>
            <w:tcBorders>
              <w:top w:val="nil"/>
              <w:bottom w:val="nil"/>
              <w:right w:val="single" w:sz="4" w:space="0" w:color="auto"/>
            </w:tcBorders>
            <w:shd w:val="clear" w:color="auto" w:fill="auto"/>
            <w:tcMar>
              <w:top w:w="110" w:type="dxa"/>
            </w:tcMar>
          </w:tcPr>
          <w:p w:rsidR="00221F0B" w:rsidRPr="00B101BC" w:rsidRDefault="00221F0B" w:rsidP="00DC1333">
            <w:pPr>
              <w:keepNext/>
              <w:keepLines/>
              <w:ind w:left="-108" w:right="-107"/>
              <w:jc w:val="center"/>
              <w:rPr>
                <w:b/>
                <w:color w:val="00B050"/>
                <w:sz w:val="16"/>
                <w:szCs w:val="16"/>
              </w:rPr>
            </w:pPr>
            <w:r w:rsidRPr="00B101BC">
              <w:rPr>
                <w:b/>
                <w:color w:val="00B050"/>
                <w:sz w:val="16"/>
                <w:szCs w:val="16"/>
              </w:rPr>
              <w:t>Plenamente logrado</w:t>
            </w:r>
          </w:p>
        </w:tc>
      </w:tr>
      <w:tr w:rsidR="00221F0B" w:rsidRPr="00B101BC" w:rsidTr="00D1366A">
        <w:tc>
          <w:tcPr>
            <w:tcW w:w="1212" w:type="pct"/>
            <w:tcBorders>
              <w:top w:val="nil"/>
              <w:left w:val="single" w:sz="4" w:space="0" w:color="auto"/>
              <w:bottom w:val="nil"/>
            </w:tcBorders>
            <w:shd w:val="clear" w:color="auto" w:fill="auto"/>
          </w:tcPr>
          <w:p w:rsidR="00221F0B" w:rsidRPr="00B101BC" w:rsidRDefault="00221F0B" w:rsidP="00DC1333">
            <w:pPr>
              <w:autoSpaceDE w:val="0"/>
              <w:autoSpaceDN w:val="0"/>
              <w:adjustRightInd w:val="0"/>
              <w:rPr>
                <w:sz w:val="16"/>
                <w:szCs w:val="16"/>
              </w:rPr>
            </w:pPr>
            <w:r w:rsidRPr="00B101BC">
              <w:rPr>
                <w:sz w:val="16"/>
                <w:szCs w:val="16"/>
              </w:rPr>
              <w:t>Porcentaje de cartas dirigidas al Director General por los Estados miembros a las que se da respuesta en un plazo de dos semanas</w:t>
            </w:r>
          </w:p>
        </w:tc>
        <w:tc>
          <w:tcPr>
            <w:tcW w:w="1288" w:type="pct"/>
            <w:tcBorders>
              <w:top w:val="nil"/>
              <w:bottom w:val="nil"/>
            </w:tcBorders>
            <w:shd w:val="clear" w:color="auto" w:fill="auto"/>
          </w:tcPr>
          <w:p w:rsidR="00221F0B" w:rsidRPr="00B101BC" w:rsidRDefault="00221F0B" w:rsidP="00DC1333">
            <w:pPr>
              <w:rPr>
                <w:rFonts w:eastAsiaTheme="minorHAnsi"/>
                <w:i/>
                <w:color w:val="002060"/>
                <w:sz w:val="16"/>
                <w:szCs w:val="16"/>
              </w:rPr>
            </w:pPr>
            <w:r w:rsidRPr="00B101BC">
              <w:rPr>
                <w:i/>
                <w:color w:val="002060"/>
                <w:sz w:val="16"/>
                <w:szCs w:val="16"/>
              </w:rPr>
              <w:t>Referencia actualizada a fines de 2013:</w:t>
            </w:r>
            <w:r>
              <w:rPr>
                <w:i/>
                <w:color w:val="002060"/>
                <w:sz w:val="16"/>
                <w:szCs w:val="16"/>
              </w:rPr>
              <w:t xml:space="preserve"> </w:t>
            </w:r>
            <w:r w:rsidRPr="00B101BC">
              <w:rPr>
                <w:i/>
                <w:color w:val="002060"/>
                <w:sz w:val="16"/>
                <w:szCs w:val="16"/>
              </w:rPr>
              <w:t xml:space="preserve"> </w:t>
            </w:r>
            <w:r w:rsidRPr="00B101BC">
              <w:rPr>
                <w:color w:val="002060"/>
                <w:sz w:val="16"/>
                <w:szCs w:val="16"/>
              </w:rPr>
              <w:t>81% según una evaluación de la correspondencia recibida y enviada</w:t>
            </w:r>
          </w:p>
          <w:p w:rsidR="00221F0B" w:rsidRPr="00B101BC" w:rsidRDefault="00221F0B" w:rsidP="00DC1333">
            <w:pPr>
              <w:rPr>
                <w:i/>
                <w:sz w:val="8"/>
                <w:szCs w:val="8"/>
              </w:rPr>
            </w:pPr>
          </w:p>
          <w:p w:rsidR="00221F0B" w:rsidRPr="00B101BC" w:rsidRDefault="00221F0B" w:rsidP="00DC1333">
            <w:pPr>
              <w:rPr>
                <w:i/>
                <w:sz w:val="16"/>
                <w:szCs w:val="16"/>
              </w:rPr>
            </w:pPr>
            <w:r w:rsidRPr="00B101BC">
              <w:rPr>
                <w:i/>
                <w:sz w:val="16"/>
                <w:szCs w:val="16"/>
              </w:rPr>
              <w:t xml:space="preserve">Referencia original en el presupuesto de 2014/15: </w:t>
            </w:r>
            <w:r>
              <w:rPr>
                <w:i/>
                <w:sz w:val="16"/>
                <w:szCs w:val="16"/>
              </w:rPr>
              <w:t xml:space="preserve"> </w:t>
            </w:r>
            <w:r w:rsidRPr="00B101BC">
              <w:rPr>
                <w:sz w:val="16"/>
                <w:szCs w:val="16"/>
              </w:rPr>
              <w:t>80%</w:t>
            </w:r>
          </w:p>
        </w:tc>
        <w:tc>
          <w:tcPr>
            <w:tcW w:w="757" w:type="pct"/>
            <w:tcBorders>
              <w:top w:val="nil"/>
              <w:bottom w:val="nil"/>
            </w:tcBorders>
            <w:shd w:val="clear" w:color="auto" w:fill="auto"/>
            <w:tcMar>
              <w:top w:w="110" w:type="dxa"/>
            </w:tcMar>
          </w:tcPr>
          <w:p w:rsidR="00221F0B" w:rsidRPr="00B101BC" w:rsidRDefault="00221F0B" w:rsidP="00DC1333">
            <w:pPr>
              <w:rPr>
                <w:sz w:val="16"/>
                <w:szCs w:val="16"/>
              </w:rPr>
            </w:pPr>
            <w:r w:rsidRPr="00B101BC">
              <w:rPr>
                <w:sz w:val="16"/>
                <w:szCs w:val="16"/>
              </w:rPr>
              <w:t>80%</w:t>
            </w:r>
          </w:p>
        </w:tc>
        <w:tc>
          <w:tcPr>
            <w:tcW w:w="1137" w:type="pct"/>
            <w:gridSpan w:val="2"/>
            <w:tcBorders>
              <w:top w:val="nil"/>
              <w:bottom w:val="nil"/>
            </w:tcBorders>
            <w:shd w:val="clear" w:color="auto" w:fill="FFFFFF"/>
            <w:tcMar>
              <w:top w:w="110" w:type="dxa"/>
            </w:tcMar>
          </w:tcPr>
          <w:p w:rsidR="00221F0B" w:rsidRPr="00B101BC" w:rsidRDefault="00221F0B" w:rsidP="00DC1333">
            <w:pPr>
              <w:rPr>
                <w:sz w:val="16"/>
                <w:szCs w:val="16"/>
              </w:rPr>
            </w:pPr>
            <w:r w:rsidRPr="00B101BC">
              <w:rPr>
                <w:sz w:val="16"/>
                <w:szCs w:val="16"/>
              </w:rPr>
              <w:t>80% según una evaluación de la correspondencia recibida y enviada</w:t>
            </w:r>
          </w:p>
        </w:tc>
        <w:tc>
          <w:tcPr>
            <w:tcW w:w="606" w:type="pct"/>
            <w:gridSpan w:val="2"/>
            <w:tcBorders>
              <w:top w:val="nil"/>
              <w:bottom w:val="nil"/>
              <w:right w:val="single" w:sz="4" w:space="0" w:color="auto"/>
            </w:tcBorders>
            <w:shd w:val="clear" w:color="auto" w:fill="auto"/>
            <w:tcMar>
              <w:top w:w="110" w:type="dxa"/>
            </w:tcMar>
          </w:tcPr>
          <w:p w:rsidR="00221F0B" w:rsidRPr="00B101BC" w:rsidRDefault="00221F0B" w:rsidP="00DC1333">
            <w:pPr>
              <w:keepNext/>
              <w:keepLines/>
              <w:ind w:left="-108" w:right="-107"/>
              <w:jc w:val="center"/>
              <w:rPr>
                <w:b/>
                <w:color w:val="00B050"/>
                <w:sz w:val="16"/>
                <w:szCs w:val="16"/>
              </w:rPr>
            </w:pPr>
            <w:r w:rsidRPr="00B101BC">
              <w:rPr>
                <w:b/>
                <w:color w:val="00B050"/>
                <w:sz w:val="16"/>
                <w:szCs w:val="16"/>
              </w:rPr>
              <w:t>Plenamente logrado</w:t>
            </w:r>
          </w:p>
        </w:tc>
      </w:tr>
      <w:tr w:rsidR="00221F0B" w:rsidRPr="00B101BC" w:rsidTr="00876FDE">
        <w:tc>
          <w:tcPr>
            <w:tcW w:w="1212" w:type="pct"/>
            <w:tcBorders>
              <w:top w:val="nil"/>
              <w:left w:val="single" w:sz="4" w:space="0" w:color="auto"/>
              <w:bottom w:val="single" w:sz="4" w:space="0" w:color="auto"/>
            </w:tcBorders>
            <w:shd w:val="clear" w:color="auto" w:fill="auto"/>
          </w:tcPr>
          <w:p w:rsidR="00221F0B" w:rsidRPr="00B101BC" w:rsidRDefault="00221F0B" w:rsidP="00DC1333">
            <w:pPr>
              <w:rPr>
                <w:sz w:val="16"/>
                <w:szCs w:val="16"/>
              </w:rPr>
            </w:pPr>
            <w:r w:rsidRPr="00B101BC">
              <w:rPr>
                <w:sz w:val="16"/>
                <w:szCs w:val="16"/>
              </w:rPr>
              <w:t>Porcentaje de notificaciones de adhesión y otras medidas relacionadas con los tratados tramitadas de manera puntual</w:t>
            </w:r>
          </w:p>
        </w:tc>
        <w:tc>
          <w:tcPr>
            <w:tcW w:w="1288" w:type="pct"/>
            <w:tcBorders>
              <w:top w:val="nil"/>
              <w:bottom w:val="single" w:sz="4" w:space="0" w:color="auto"/>
            </w:tcBorders>
            <w:shd w:val="clear" w:color="auto" w:fill="auto"/>
          </w:tcPr>
          <w:p w:rsidR="00221F0B" w:rsidRPr="00B101BC" w:rsidRDefault="00221F0B" w:rsidP="00DC1333">
            <w:pPr>
              <w:rPr>
                <w:rFonts w:eastAsiaTheme="minorHAnsi"/>
                <w:sz w:val="16"/>
                <w:szCs w:val="16"/>
              </w:rPr>
            </w:pPr>
            <w:r w:rsidRPr="00B101BC">
              <w:rPr>
                <w:i/>
                <w:color w:val="002060"/>
                <w:sz w:val="16"/>
                <w:szCs w:val="16"/>
              </w:rPr>
              <w:t xml:space="preserve">Referencia actualizada a fines de 2013: </w:t>
            </w:r>
            <w:r>
              <w:rPr>
                <w:i/>
                <w:color w:val="002060"/>
                <w:sz w:val="16"/>
                <w:szCs w:val="16"/>
              </w:rPr>
              <w:t xml:space="preserve"> </w:t>
            </w:r>
            <w:r w:rsidRPr="00B101BC">
              <w:rPr>
                <w:color w:val="002060"/>
                <w:sz w:val="16"/>
                <w:szCs w:val="16"/>
              </w:rPr>
              <w:t>98%</w:t>
            </w:r>
            <w:r w:rsidRPr="00B101BC">
              <w:rPr>
                <w:sz w:val="16"/>
                <w:szCs w:val="16"/>
              </w:rPr>
              <w:t xml:space="preserve"> de las notificaciones de adhesión y otras medidas relacionadas con los tratados tramitadas en un plazo de tres días</w:t>
            </w:r>
          </w:p>
          <w:p w:rsidR="00221F0B" w:rsidRPr="00B101BC" w:rsidRDefault="00221F0B" w:rsidP="00DC1333">
            <w:pPr>
              <w:rPr>
                <w:i/>
                <w:sz w:val="8"/>
                <w:szCs w:val="8"/>
              </w:rPr>
            </w:pPr>
          </w:p>
          <w:p w:rsidR="00221F0B" w:rsidRPr="00B101BC" w:rsidRDefault="00221F0B" w:rsidP="00DC1333">
            <w:pPr>
              <w:rPr>
                <w:sz w:val="16"/>
                <w:szCs w:val="16"/>
              </w:rPr>
            </w:pPr>
            <w:r w:rsidRPr="00B101BC">
              <w:rPr>
                <w:i/>
                <w:sz w:val="16"/>
                <w:szCs w:val="16"/>
              </w:rPr>
              <w:t>Referencia original en el presupuesto de 2014/15</w:t>
            </w:r>
            <w:r w:rsidRPr="00B101BC">
              <w:rPr>
                <w:sz w:val="16"/>
                <w:szCs w:val="16"/>
              </w:rPr>
              <w:t xml:space="preserve">: </w:t>
            </w:r>
            <w:r>
              <w:rPr>
                <w:sz w:val="16"/>
                <w:szCs w:val="16"/>
              </w:rPr>
              <w:t xml:space="preserve"> </w:t>
            </w:r>
            <w:r w:rsidRPr="00B101BC">
              <w:rPr>
                <w:sz w:val="16"/>
                <w:szCs w:val="16"/>
              </w:rPr>
              <w:t>95% tramitadas en un plazo de tres días (fines de 2012)</w:t>
            </w:r>
          </w:p>
        </w:tc>
        <w:tc>
          <w:tcPr>
            <w:tcW w:w="757" w:type="pct"/>
            <w:tcBorders>
              <w:top w:val="nil"/>
              <w:bottom w:val="single" w:sz="4" w:space="0" w:color="auto"/>
            </w:tcBorders>
            <w:shd w:val="clear" w:color="auto" w:fill="auto"/>
            <w:tcMar>
              <w:top w:w="110" w:type="dxa"/>
            </w:tcMar>
          </w:tcPr>
          <w:p w:rsidR="00221F0B" w:rsidRPr="00B101BC" w:rsidRDefault="00221F0B" w:rsidP="00DC1333">
            <w:pPr>
              <w:rPr>
                <w:sz w:val="16"/>
                <w:szCs w:val="16"/>
              </w:rPr>
            </w:pPr>
            <w:r w:rsidRPr="00B101BC">
              <w:rPr>
                <w:sz w:val="16"/>
                <w:szCs w:val="16"/>
              </w:rPr>
              <w:t>90% tramitadas en un plazo de tres días</w:t>
            </w:r>
          </w:p>
        </w:tc>
        <w:tc>
          <w:tcPr>
            <w:tcW w:w="1137" w:type="pct"/>
            <w:gridSpan w:val="2"/>
            <w:tcBorders>
              <w:top w:val="nil"/>
              <w:bottom w:val="single" w:sz="4" w:space="0" w:color="auto"/>
            </w:tcBorders>
            <w:shd w:val="clear" w:color="auto" w:fill="FFFFFF"/>
            <w:tcMar>
              <w:top w:w="110" w:type="dxa"/>
            </w:tcMar>
          </w:tcPr>
          <w:p w:rsidR="00221F0B" w:rsidRPr="00B101BC" w:rsidRDefault="00221F0B" w:rsidP="00DC1333">
            <w:pPr>
              <w:rPr>
                <w:rFonts w:eastAsiaTheme="minorHAnsi"/>
                <w:sz w:val="16"/>
                <w:szCs w:val="16"/>
              </w:rPr>
            </w:pPr>
            <w:r w:rsidRPr="00B101BC">
              <w:rPr>
                <w:rFonts w:eastAsiaTheme="minorHAnsi"/>
                <w:sz w:val="16"/>
                <w:szCs w:val="16"/>
              </w:rPr>
              <w:t>El 90% de las notificaciones de adhesión y otras medidas relacionadas con los tratados se tramitaron en un plazo de tres días</w:t>
            </w:r>
          </w:p>
          <w:p w:rsidR="00221F0B" w:rsidRPr="00B101BC" w:rsidRDefault="00221F0B" w:rsidP="00DC1333">
            <w:pPr>
              <w:rPr>
                <w:sz w:val="16"/>
                <w:szCs w:val="16"/>
              </w:rPr>
            </w:pPr>
          </w:p>
        </w:tc>
        <w:tc>
          <w:tcPr>
            <w:tcW w:w="606" w:type="pct"/>
            <w:gridSpan w:val="2"/>
            <w:tcBorders>
              <w:top w:val="nil"/>
              <w:bottom w:val="single" w:sz="4" w:space="0" w:color="auto"/>
              <w:right w:val="single" w:sz="4" w:space="0" w:color="auto"/>
            </w:tcBorders>
            <w:shd w:val="clear" w:color="auto" w:fill="auto"/>
            <w:tcMar>
              <w:top w:w="110" w:type="dxa"/>
            </w:tcMar>
          </w:tcPr>
          <w:p w:rsidR="00221F0B" w:rsidRPr="00B101BC" w:rsidRDefault="00221F0B" w:rsidP="00DC1333">
            <w:pPr>
              <w:keepNext/>
              <w:keepLines/>
              <w:ind w:left="-108" w:right="-107"/>
              <w:jc w:val="center"/>
              <w:rPr>
                <w:b/>
                <w:color w:val="00B050"/>
                <w:sz w:val="16"/>
                <w:szCs w:val="16"/>
              </w:rPr>
            </w:pPr>
            <w:r w:rsidRPr="00B101BC">
              <w:rPr>
                <w:b/>
                <w:color w:val="00B050"/>
                <w:sz w:val="16"/>
                <w:szCs w:val="16"/>
              </w:rPr>
              <w:t>Plenamente logrado</w:t>
            </w:r>
          </w:p>
        </w:tc>
      </w:tr>
      <w:tr w:rsidR="00221F0B" w:rsidRPr="00B101BC" w:rsidTr="00876FDE">
        <w:tc>
          <w:tcPr>
            <w:tcW w:w="1212" w:type="pct"/>
            <w:tcBorders>
              <w:top w:val="single" w:sz="4" w:space="0" w:color="auto"/>
              <w:left w:val="single" w:sz="4" w:space="0" w:color="auto"/>
              <w:bottom w:val="nil"/>
            </w:tcBorders>
            <w:shd w:val="clear" w:color="auto" w:fill="auto"/>
          </w:tcPr>
          <w:p w:rsidR="00221F0B" w:rsidRPr="00B101BC" w:rsidRDefault="00221F0B" w:rsidP="005A3C0D">
            <w:pPr>
              <w:keepNext/>
              <w:rPr>
                <w:color w:val="000000"/>
                <w:sz w:val="16"/>
                <w:szCs w:val="16"/>
              </w:rPr>
            </w:pPr>
            <w:r w:rsidRPr="00B101BC">
              <w:rPr>
                <w:sz w:val="16"/>
                <w:szCs w:val="16"/>
              </w:rPr>
              <w:lastRenderedPageBreak/>
              <w:t>Índice de satisfacción de los Estados miembros respecto de la preparación y funcionamiento de las Asambleas</w:t>
            </w:r>
          </w:p>
        </w:tc>
        <w:tc>
          <w:tcPr>
            <w:tcW w:w="1288" w:type="pct"/>
            <w:tcBorders>
              <w:top w:val="single" w:sz="4" w:space="0" w:color="auto"/>
              <w:bottom w:val="nil"/>
            </w:tcBorders>
            <w:shd w:val="clear" w:color="auto" w:fill="auto"/>
          </w:tcPr>
          <w:p w:rsidR="00221F0B" w:rsidRPr="00B101BC" w:rsidRDefault="00221F0B" w:rsidP="005A3C0D">
            <w:pPr>
              <w:keepNext/>
              <w:rPr>
                <w:i/>
                <w:sz w:val="16"/>
                <w:szCs w:val="16"/>
              </w:rPr>
            </w:pPr>
            <w:r w:rsidRPr="00B101BC">
              <w:rPr>
                <w:i/>
                <w:color w:val="002060"/>
                <w:sz w:val="16"/>
                <w:szCs w:val="16"/>
              </w:rPr>
              <w:t>Referencia actualizada a fines de 2013:</w:t>
            </w:r>
            <w:r w:rsidRPr="00B101BC">
              <w:rPr>
                <w:i/>
                <w:sz w:val="16"/>
                <w:szCs w:val="16"/>
              </w:rPr>
              <w:t xml:space="preserve">  </w:t>
            </w:r>
            <w:r w:rsidRPr="00B101BC">
              <w:rPr>
                <w:sz w:val="16"/>
                <w:szCs w:val="16"/>
              </w:rPr>
              <w:t>88% según la encuesta de las Asambleas de la OMPI de 2012 (en 2013 no pudo llevarse a cabo una encuesta por circunstancias excepcionales;  volverá a realizarse en 2014)</w:t>
            </w:r>
          </w:p>
          <w:p w:rsidR="00221F0B" w:rsidRPr="00B101BC" w:rsidRDefault="00221F0B" w:rsidP="005A3C0D">
            <w:pPr>
              <w:keepNext/>
              <w:rPr>
                <w:i/>
                <w:sz w:val="16"/>
                <w:szCs w:val="16"/>
              </w:rPr>
            </w:pPr>
          </w:p>
        </w:tc>
        <w:tc>
          <w:tcPr>
            <w:tcW w:w="757" w:type="pct"/>
            <w:tcBorders>
              <w:top w:val="single" w:sz="4" w:space="0" w:color="auto"/>
              <w:bottom w:val="nil"/>
            </w:tcBorders>
            <w:shd w:val="clear" w:color="auto" w:fill="auto"/>
            <w:tcMar>
              <w:top w:w="110" w:type="dxa"/>
            </w:tcMar>
          </w:tcPr>
          <w:p w:rsidR="00221F0B" w:rsidRPr="00B101BC" w:rsidRDefault="00221F0B" w:rsidP="005A3C0D">
            <w:pPr>
              <w:keepNext/>
              <w:rPr>
                <w:sz w:val="16"/>
                <w:szCs w:val="16"/>
              </w:rPr>
            </w:pPr>
            <w:r w:rsidRPr="00B101BC">
              <w:rPr>
                <w:sz w:val="16"/>
                <w:szCs w:val="16"/>
              </w:rPr>
              <w:t>85% satisfecho con las disposiciones adoptadas</w:t>
            </w:r>
          </w:p>
        </w:tc>
        <w:tc>
          <w:tcPr>
            <w:tcW w:w="1137" w:type="pct"/>
            <w:gridSpan w:val="2"/>
            <w:tcBorders>
              <w:top w:val="single" w:sz="4" w:space="0" w:color="auto"/>
              <w:bottom w:val="nil"/>
            </w:tcBorders>
            <w:shd w:val="clear" w:color="auto" w:fill="FFFFFF"/>
            <w:tcMar>
              <w:top w:w="110" w:type="dxa"/>
            </w:tcMar>
          </w:tcPr>
          <w:p w:rsidR="00221F0B" w:rsidRPr="00B101BC" w:rsidRDefault="00221F0B" w:rsidP="005A3C0D">
            <w:pPr>
              <w:keepNext/>
              <w:rPr>
                <w:sz w:val="16"/>
                <w:szCs w:val="16"/>
              </w:rPr>
            </w:pPr>
            <w:r w:rsidRPr="00B101BC">
              <w:rPr>
                <w:sz w:val="16"/>
                <w:szCs w:val="16"/>
              </w:rPr>
              <w:t>87% (según la encuesta de las Asambleas de la OMPI de 2014</w:t>
            </w:r>
            <w:r w:rsidRPr="00B101BC">
              <w:rPr>
                <w:rStyle w:val="FootnoteReference"/>
                <w:sz w:val="16"/>
                <w:szCs w:val="16"/>
              </w:rPr>
              <w:footnoteReference w:id="123"/>
            </w:r>
            <w:r w:rsidRPr="00B101BC">
              <w:rPr>
                <w:sz w:val="16"/>
                <w:szCs w:val="16"/>
              </w:rPr>
              <w:t>)</w:t>
            </w:r>
          </w:p>
          <w:p w:rsidR="00221F0B" w:rsidRPr="00B101BC" w:rsidRDefault="00221F0B" w:rsidP="005A3C0D">
            <w:pPr>
              <w:keepNext/>
              <w:rPr>
                <w:sz w:val="16"/>
                <w:szCs w:val="16"/>
              </w:rPr>
            </w:pPr>
          </w:p>
          <w:p w:rsidR="00221F0B" w:rsidRPr="00B101BC" w:rsidRDefault="00221F0B" w:rsidP="005A3C0D">
            <w:pPr>
              <w:keepNext/>
              <w:rPr>
                <w:sz w:val="16"/>
                <w:szCs w:val="16"/>
              </w:rPr>
            </w:pPr>
            <w:r w:rsidRPr="00B101BC">
              <w:rPr>
                <w:sz w:val="16"/>
                <w:szCs w:val="16"/>
              </w:rPr>
              <w:t>90% (según la encuesta de las Asambleas de la OMPI de 2015)</w:t>
            </w:r>
          </w:p>
        </w:tc>
        <w:tc>
          <w:tcPr>
            <w:tcW w:w="606" w:type="pct"/>
            <w:gridSpan w:val="2"/>
            <w:tcBorders>
              <w:top w:val="single" w:sz="4" w:space="0" w:color="auto"/>
              <w:bottom w:val="nil"/>
              <w:right w:val="single" w:sz="4" w:space="0" w:color="auto"/>
            </w:tcBorders>
            <w:shd w:val="clear" w:color="auto" w:fill="auto"/>
            <w:tcMar>
              <w:top w:w="110" w:type="dxa"/>
            </w:tcMar>
          </w:tcPr>
          <w:p w:rsidR="00221F0B" w:rsidRPr="00B101BC" w:rsidRDefault="00221F0B" w:rsidP="005A3C0D">
            <w:pPr>
              <w:keepNext/>
              <w:keepLines/>
              <w:ind w:left="-108" w:right="-107"/>
              <w:jc w:val="center"/>
              <w:rPr>
                <w:b/>
                <w:color w:val="00B050"/>
                <w:sz w:val="16"/>
                <w:szCs w:val="16"/>
              </w:rPr>
            </w:pPr>
            <w:r w:rsidRPr="00B101BC">
              <w:rPr>
                <w:b/>
                <w:color w:val="00B050"/>
                <w:sz w:val="16"/>
                <w:szCs w:val="16"/>
              </w:rPr>
              <w:t>Plenamente logrado</w:t>
            </w:r>
          </w:p>
        </w:tc>
      </w:tr>
      <w:tr w:rsidR="00221F0B" w:rsidRPr="00B101BC" w:rsidTr="00876FDE">
        <w:tc>
          <w:tcPr>
            <w:tcW w:w="1212" w:type="pct"/>
            <w:tcBorders>
              <w:top w:val="nil"/>
              <w:left w:val="single" w:sz="4" w:space="0" w:color="auto"/>
              <w:bottom w:val="nil"/>
            </w:tcBorders>
            <w:shd w:val="clear" w:color="auto" w:fill="auto"/>
            <w:vAlign w:val="center"/>
          </w:tcPr>
          <w:p w:rsidR="00221F0B" w:rsidRPr="00B101BC" w:rsidRDefault="00221F0B" w:rsidP="005A3C0D">
            <w:pPr>
              <w:keepNext/>
              <w:rPr>
                <w:sz w:val="16"/>
                <w:szCs w:val="16"/>
              </w:rPr>
            </w:pPr>
          </w:p>
        </w:tc>
        <w:tc>
          <w:tcPr>
            <w:tcW w:w="1288" w:type="pct"/>
            <w:tcBorders>
              <w:top w:val="nil"/>
              <w:bottom w:val="nil"/>
            </w:tcBorders>
            <w:shd w:val="clear" w:color="auto" w:fill="auto"/>
            <w:vAlign w:val="center"/>
          </w:tcPr>
          <w:p w:rsidR="00221F0B" w:rsidRPr="00B101BC" w:rsidRDefault="00221F0B" w:rsidP="005A3C0D">
            <w:pPr>
              <w:keepNext/>
              <w:rPr>
                <w:b/>
                <w:bCs/>
                <w:sz w:val="16"/>
                <w:szCs w:val="16"/>
              </w:rPr>
            </w:pPr>
            <w:r w:rsidRPr="00B101BC">
              <w:rPr>
                <w:i/>
                <w:sz w:val="16"/>
                <w:szCs w:val="16"/>
              </w:rPr>
              <w:t xml:space="preserve">Referencia original en el presupuesto de 2014/15: </w:t>
            </w:r>
            <w:r>
              <w:rPr>
                <w:i/>
                <w:sz w:val="16"/>
                <w:szCs w:val="16"/>
              </w:rPr>
              <w:t xml:space="preserve"> </w:t>
            </w:r>
            <w:r w:rsidRPr="00B101BC">
              <w:rPr>
                <w:sz w:val="16"/>
                <w:szCs w:val="16"/>
              </w:rPr>
              <w:t>88% satisfecho con las disposiciones adoptadas</w:t>
            </w:r>
          </w:p>
        </w:tc>
        <w:tc>
          <w:tcPr>
            <w:tcW w:w="757" w:type="pct"/>
            <w:tcBorders>
              <w:top w:val="nil"/>
              <w:bottom w:val="nil"/>
            </w:tcBorders>
            <w:shd w:val="clear" w:color="auto" w:fill="auto"/>
            <w:tcMar>
              <w:top w:w="110" w:type="dxa"/>
            </w:tcMar>
            <w:vAlign w:val="center"/>
          </w:tcPr>
          <w:p w:rsidR="00221F0B" w:rsidRPr="00B101BC" w:rsidRDefault="00221F0B" w:rsidP="005A3C0D">
            <w:pPr>
              <w:keepNext/>
              <w:rPr>
                <w:b/>
                <w:sz w:val="16"/>
                <w:szCs w:val="16"/>
              </w:rPr>
            </w:pPr>
          </w:p>
        </w:tc>
        <w:tc>
          <w:tcPr>
            <w:tcW w:w="1137" w:type="pct"/>
            <w:gridSpan w:val="2"/>
            <w:tcBorders>
              <w:top w:val="nil"/>
              <w:bottom w:val="nil"/>
            </w:tcBorders>
            <w:shd w:val="clear" w:color="auto" w:fill="FFFFFF"/>
            <w:tcMar>
              <w:top w:w="110" w:type="dxa"/>
            </w:tcMar>
            <w:vAlign w:val="center"/>
          </w:tcPr>
          <w:p w:rsidR="00221F0B" w:rsidRPr="00B101BC" w:rsidRDefault="00221F0B" w:rsidP="005A3C0D">
            <w:pPr>
              <w:keepNext/>
              <w:rPr>
                <w:sz w:val="16"/>
                <w:szCs w:val="16"/>
              </w:rPr>
            </w:pPr>
          </w:p>
        </w:tc>
        <w:tc>
          <w:tcPr>
            <w:tcW w:w="606" w:type="pct"/>
            <w:gridSpan w:val="2"/>
            <w:tcBorders>
              <w:top w:val="nil"/>
              <w:bottom w:val="nil"/>
              <w:right w:val="single" w:sz="4" w:space="0" w:color="auto"/>
            </w:tcBorders>
            <w:shd w:val="clear" w:color="auto" w:fill="auto"/>
            <w:tcMar>
              <w:top w:w="110" w:type="dxa"/>
            </w:tcMar>
            <w:vAlign w:val="center"/>
          </w:tcPr>
          <w:p w:rsidR="00221F0B" w:rsidRPr="00B101BC" w:rsidRDefault="00221F0B" w:rsidP="005A3C0D">
            <w:pPr>
              <w:keepNext/>
              <w:jc w:val="center"/>
              <w:rPr>
                <w:b/>
                <w:bCs/>
                <w:sz w:val="16"/>
                <w:szCs w:val="16"/>
              </w:rPr>
            </w:pPr>
          </w:p>
        </w:tc>
      </w:tr>
      <w:tr w:rsidR="00221F0B" w:rsidRPr="00B101BC" w:rsidTr="00DC1333">
        <w:tc>
          <w:tcPr>
            <w:tcW w:w="1212" w:type="pct"/>
            <w:tcBorders>
              <w:top w:val="nil"/>
              <w:left w:val="single" w:sz="4" w:space="0" w:color="auto"/>
              <w:bottom w:val="single" w:sz="4" w:space="0" w:color="auto"/>
            </w:tcBorders>
            <w:shd w:val="clear" w:color="auto" w:fill="auto"/>
          </w:tcPr>
          <w:p w:rsidR="00221F0B" w:rsidRPr="00B101BC" w:rsidRDefault="00221F0B" w:rsidP="003C545F">
            <w:pPr>
              <w:rPr>
                <w:color w:val="000000"/>
                <w:sz w:val="16"/>
                <w:szCs w:val="16"/>
              </w:rPr>
            </w:pPr>
            <w:r w:rsidRPr="00B101BC">
              <w:rPr>
                <w:sz w:val="16"/>
                <w:szCs w:val="16"/>
              </w:rPr>
              <w:t>Publicación puntual de los documentos de las Asambleas</w:t>
            </w:r>
          </w:p>
        </w:tc>
        <w:tc>
          <w:tcPr>
            <w:tcW w:w="1288" w:type="pct"/>
            <w:tcBorders>
              <w:top w:val="nil"/>
              <w:bottom w:val="single" w:sz="4" w:space="0" w:color="auto"/>
            </w:tcBorders>
            <w:shd w:val="clear" w:color="auto" w:fill="auto"/>
          </w:tcPr>
          <w:p w:rsidR="00221F0B" w:rsidRPr="00B101BC" w:rsidRDefault="00221F0B" w:rsidP="003C545F">
            <w:pPr>
              <w:rPr>
                <w:sz w:val="16"/>
                <w:szCs w:val="16"/>
              </w:rPr>
            </w:pPr>
            <w:r w:rsidRPr="00B101BC">
              <w:rPr>
                <w:i/>
                <w:color w:val="002060"/>
                <w:sz w:val="16"/>
                <w:szCs w:val="16"/>
              </w:rPr>
              <w:t>Referencia actualizada a fines de 2013</w:t>
            </w:r>
            <w:r w:rsidRPr="00B101BC">
              <w:rPr>
                <w:i/>
                <w:sz w:val="16"/>
                <w:szCs w:val="16"/>
              </w:rPr>
              <w:t xml:space="preserve">:  </w:t>
            </w:r>
            <w:r w:rsidRPr="00B101BC">
              <w:rPr>
                <w:sz w:val="16"/>
                <w:szCs w:val="16"/>
              </w:rPr>
              <w:t>Para los períodos ordinarios de las Asambleas, el 95% de los documentos se publicaron por lo menos dos</w:t>
            </w:r>
            <w:r>
              <w:rPr>
                <w:sz w:val="16"/>
                <w:szCs w:val="16"/>
              </w:rPr>
              <w:t xml:space="preserve"> meses antes de su celebración</w:t>
            </w:r>
          </w:p>
          <w:p w:rsidR="00221F0B" w:rsidRPr="00B101BC" w:rsidRDefault="00221F0B" w:rsidP="003C545F">
            <w:pPr>
              <w:rPr>
                <w:i/>
                <w:sz w:val="16"/>
                <w:szCs w:val="16"/>
              </w:rPr>
            </w:pPr>
          </w:p>
          <w:p w:rsidR="00221F0B" w:rsidRPr="00B101BC" w:rsidRDefault="00221F0B" w:rsidP="003C545F">
            <w:pPr>
              <w:rPr>
                <w:sz w:val="16"/>
                <w:szCs w:val="16"/>
              </w:rPr>
            </w:pPr>
            <w:r w:rsidRPr="00B101BC">
              <w:rPr>
                <w:i/>
                <w:sz w:val="16"/>
                <w:szCs w:val="16"/>
              </w:rPr>
              <w:t>Referencia original en el presupuesto de 2014/15</w:t>
            </w:r>
            <w:r w:rsidRPr="00B101BC">
              <w:rPr>
                <w:sz w:val="16"/>
                <w:szCs w:val="16"/>
              </w:rPr>
              <w:t xml:space="preserve">: </w:t>
            </w:r>
            <w:r>
              <w:rPr>
                <w:sz w:val="16"/>
                <w:szCs w:val="16"/>
              </w:rPr>
              <w:t xml:space="preserve"> </w:t>
            </w:r>
            <w:r w:rsidRPr="00B101BC">
              <w:rPr>
                <w:sz w:val="16"/>
                <w:szCs w:val="16"/>
              </w:rPr>
              <w:t xml:space="preserve">100% de los documentos pertinentes publicados al menos dos meses antes de las </w:t>
            </w:r>
            <w:r w:rsidRPr="00B101BC">
              <w:rPr>
                <w:color w:val="000000"/>
                <w:sz w:val="16"/>
                <w:szCs w:val="16"/>
              </w:rPr>
              <w:t>Asambleas</w:t>
            </w:r>
            <w:r w:rsidRPr="00B101BC">
              <w:rPr>
                <w:color w:val="000000"/>
                <w:sz w:val="16"/>
                <w:szCs w:val="16"/>
              </w:rPr>
              <w:br/>
            </w:r>
          </w:p>
        </w:tc>
        <w:tc>
          <w:tcPr>
            <w:tcW w:w="757" w:type="pct"/>
            <w:tcBorders>
              <w:top w:val="nil"/>
              <w:bottom w:val="single" w:sz="4" w:space="0" w:color="auto"/>
            </w:tcBorders>
            <w:shd w:val="clear" w:color="auto" w:fill="auto"/>
            <w:tcMar>
              <w:top w:w="110" w:type="dxa"/>
            </w:tcMar>
          </w:tcPr>
          <w:p w:rsidR="00221F0B" w:rsidRPr="00B101BC" w:rsidRDefault="00221F0B" w:rsidP="003C545F">
            <w:pPr>
              <w:rPr>
                <w:color w:val="000000"/>
                <w:sz w:val="16"/>
                <w:szCs w:val="16"/>
              </w:rPr>
            </w:pPr>
            <w:r w:rsidRPr="00B101BC">
              <w:rPr>
                <w:color w:val="000000"/>
                <w:sz w:val="16"/>
                <w:szCs w:val="16"/>
              </w:rPr>
              <w:t>100% de los documentos pertinentes publicados al menos dos meses antes de las Asambleas</w:t>
            </w:r>
          </w:p>
        </w:tc>
        <w:tc>
          <w:tcPr>
            <w:tcW w:w="1137" w:type="pct"/>
            <w:gridSpan w:val="2"/>
            <w:tcBorders>
              <w:top w:val="nil"/>
              <w:bottom w:val="single" w:sz="4" w:space="0" w:color="auto"/>
            </w:tcBorders>
            <w:shd w:val="clear" w:color="auto" w:fill="FFFFFF"/>
            <w:tcMar>
              <w:top w:w="110" w:type="dxa"/>
            </w:tcMar>
          </w:tcPr>
          <w:p w:rsidR="00221F0B" w:rsidRPr="00B101BC" w:rsidRDefault="00221F0B" w:rsidP="003C545F">
            <w:pPr>
              <w:rPr>
                <w:color w:val="000000"/>
                <w:sz w:val="16"/>
                <w:szCs w:val="16"/>
              </w:rPr>
            </w:pPr>
            <w:r w:rsidRPr="00B101BC">
              <w:rPr>
                <w:color w:val="000000"/>
                <w:sz w:val="16"/>
                <w:szCs w:val="16"/>
              </w:rPr>
              <w:t>En 2014/15 el 97% de los documentos pertinentes publicados dos meses antes de las Asambleas:</w:t>
            </w:r>
            <w:r>
              <w:rPr>
                <w:color w:val="000000"/>
                <w:sz w:val="16"/>
                <w:szCs w:val="16"/>
              </w:rPr>
              <w:t xml:space="preserve">  </w:t>
            </w:r>
          </w:p>
          <w:p w:rsidR="00221F0B" w:rsidRPr="00B101BC" w:rsidRDefault="00221F0B" w:rsidP="003C545F">
            <w:pPr>
              <w:pStyle w:val="ListParagraph"/>
              <w:numPr>
                <w:ilvl w:val="0"/>
                <w:numId w:val="100"/>
              </w:numPr>
              <w:contextualSpacing/>
              <w:rPr>
                <w:sz w:val="16"/>
                <w:szCs w:val="16"/>
              </w:rPr>
            </w:pPr>
            <w:r w:rsidRPr="00B101BC">
              <w:rPr>
                <w:sz w:val="16"/>
                <w:szCs w:val="16"/>
              </w:rPr>
              <w:t>95% en las Asambleas de 2014</w:t>
            </w:r>
          </w:p>
          <w:p w:rsidR="00221F0B" w:rsidRPr="00B101BC" w:rsidRDefault="00221F0B" w:rsidP="003C545F">
            <w:pPr>
              <w:pStyle w:val="ListParagraph"/>
              <w:numPr>
                <w:ilvl w:val="0"/>
                <w:numId w:val="100"/>
              </w:numPr>
              <w:contextualSpacing/>
              <w:rPr>
                <w:sz w:val="16"/>
                <w:szCs w:val="16"/>
              </w:rPr>
            </w:pPr>
            <w:r w:rsidRPr="00B101BC">
              <w:rPr>
                <w:sz w:val="16"/>
                <w:szCs w:val="16"/>
              </w:rPr>
              <w:t>99,5% en las Asambleas de 2015</w:t>
            </w:r>
          </w:p>
        </w:tc>
        <w:tc>
          <w:tcPr>
            <w:tcW w:w="606" w:type="pct"/>
            <w:gridSpan w:val="2"/>
            <w:tcBorders>
              <w:top w:val="nil"/>
              <w:bottom w:val="single" w:sz="4" w:space="0" w:color="auto"/>
              <w:right w:val="single" w:sz="4" w:space="0" w:color="auto"/>
            </w:tcBorders>
            <w:shd w:val="clear" w:color="auto" w:fill="auto"/>
            <w:tcMar>
              <w:top w:w="110" w:type="dxa"/>
            </w:tcMar>
          </w:tcPr>
          <w:p w:rsidR="00221F0B" w:rsidRPr="00B101BC" w:rsidRDefault="00221F0B" w:rsidP="003C545F">
            <w:pPr>
              <w:ind w:left="-108" w:right="-107"/>
              <w:jc w:val="center"/>
              <w:rPr>
                <w:b/>
                <w:sz w:val="16"/>
                <w:szCs w:val="16"/>
              </w:rPr>
            </w:pPr>
            <w:r w:rsidRPr="00B101BC">
              <w:rPr>
                <w:b/>
                <w:color w:val="00B050"/>
                <w:sz w:val="16"/>
                <w:szCs w:val="16"/>
              </w:rPr>
              <w:t>Plenamente logrado</w:t>
            </w:r>
          </w:p>
        </w:tc>
      </w:tr>
      <w:tr w:rsidR="00221F0B" w:rsidRPr="00B101BC" w:rsidTr="00DC1333">
        <w:trPr>
          <w:trHeight w:val="619"/>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3C545F">
            <w:pPr>
              <w:ind w:left="2019" w:hanging="2019"/>
              <w:rPr>
                <w:b/>
                <w:bCs/>
                <w:sz w:val="16"/>
                <w:szCs w:val="16"/>
              </w:rPr>
            </w:pPr>
            <w:r w:rsidRPr="00B101BC">
              <w:rPr>
                <w:b/>
                <w:bCs/>
                <w:sz w:val="16"/>
                <w:szCs w:val="16"/>
              </w:rPr>
              <w:t>Resultado previsto:</w:t>
            </w:r>
            <w:r w:rsidRPr="00B101BC">
              <w:rPr>
                <w:b/>
                <w:bCs/>
                <w:color w:val="808080"/>
                <w:sz w:val="16"/>
                <w:szCs w:val="16"/>
              </w:rPr>
              <w:tab/>
            </w:r>
            <w:r w:rsidRPr="00B101BC">
              <w:rPr>
                <w:bCs/>
                <w:sz w:val="16"/>
                <w:szCs w:val="16"/>
              </w:rPr>
              <w:t xml:space="preserve">VIII.5 La OMPI participa y colabora eficazmente en los procesos y negociaciones de las </w:t>
            </w:r>
            <w:r>
              <w:rPr>
                <w:bCs/>
                <w:sz w:val="16"/>
                <w:szCs w:val="16"/>
              </w:rPr>
              <w:t>NN.UU.</w:t>
            </w:r>
            <w:r w:rsidRPr="00B101BC">
              <w:rPr>
                <w:bCs/>
                <w:sz w:val="16"/>
                <w:szCs w:val="16"/>
              </w:rPr>
              <w:t xml:space="preserve"> y otras OIG</w:t>
            </w:r>
          </w:p>
        </w:tc>
      </w:tr>
      <w:tr w:rsidR="00221F0B" w:rsidRPr="00B101BC" w:rsidTr="00DC1333">
        <w:tc>
          <w:tcPr>
            <w:tcW w:w="1212" w:type="pct"/>
            <w:tcBorders>
              <w:top w:val="single" w:sz="4" w:space="0" w:color="auto"/>
            </w:tcBorders>
            <w:shd w:val="clear" w:color="auto" w:fill="auto"/>
            <w:vAlign w:val="center"/>
          </w:tcPr>
          <w:p w:rsidR="00221F0B" w:rsidRPr="00B101BC" w:rsidRDefault="00221F0B" w:rsidP="003C545F">
            <w:pPr>
              <w:rPr>
                <w:sz w:val="16"/>
                <w:szCs w:val="16"/>
              </w:rPr>
            </w:pPr>
            <w:r w:rsidRPr="00B101BC">
              <w:rPr>
                <w:b/>
                <w:sz w:val="16"/>
                <w:szCs w:val="16"/>
              </w:rPr>
              <w:t>Indicadores de rendimiento</w:t>
            </w:r>
          </w:p>
        </w:tc>
        <w:tc>
          <w:tcPr>
            <w:tcW w:w="1288" w:type="pct"/>
            <w:tcBorders>
              <w:top w:val="single" w:sz="4" w:space="0" w:color="auto"/>
            </w:tcBorders>
            <w:shd w:val="clear" w:color="auto" w:fill="auto"/>
            <w:vAlign w:val="center"/>
          </w:tcPr>
          <w:p w:rsidR="00221F0B" w:rsidRPr="00B101BC" w:rsidRDefault="00221F0B" w:rsidP="003C545F">
            <w:pPr>
              <w:rPr>
                <w:b/>
                <w:bCs/>
                <w:sz w:val="16"/>
                <w:szCs w:val="16"/>
              </w:rPr>
            </w:pPr>
            <w:r w:rsidRPr="00B101BC">
              <w:rPr>
                <w:b/>
                <w:bCs/>
                <w:sz w:val="16"/>
                <w:szCs w:val="16"/>
              </w:rPr>
              <w:t>Referencia</w:t>
            </w:r>
          </w:p>
        </w:tc>
        <w:tc>
          <w:tcPr>
            <w:tcW w:w="757" w:type="pct"/>
            <w:tcBorders>
              <w:top w:val="single" w:sz="4" w:space="0" w:color="auto"/>
            </w:tcBorders>
            <w:shd w:val="clear" w:color="auto" w:fill="auto"/>
            <w:tcMar>
              <w:top w:w="110" w:type="dxa"/>
            </w:tcMar>
            <w:vAlign w:val="center"/>
          </w:tcPr>
          <w:p w:rsidR="00221F0B" w:rsidRPr="00B101BC" w:rsidRDefault="00221F0B" w:rsidP="003C545F">
            <w:pPr>
              <w:rPr>
                <w:b/>
                <w:sz w:val="16"/>
                <w:szCs w:val="16"/>
              </w:rPr>
            </w:pPr>
            <w:r w:rsidRPr="00B101BC">
              <w:rPr>
                <w:b/>
                <w:sz w:val="16"/>
                <w:szCs w:val="16"/>
              </w:rPr>
              <w:t>Objetivos</w:t>
            </w:r>
          </w:p>
        </w:tc>
        <w:tc>
          <w:tcPr>
            <w:tcW w:w="1137" w:type="pct"/>
            <w:gridSpan w:val="2"/>
            <w:tcBorders>
              <w:top w:val="single" w:sz="4" w:space="0" w:color="auto"/>
            </w:tcBorders>
            <w:shd w:val="clear" w:color="auto" w:fill="FFFFFF"/>
            <w:tcMar>
              <w:top w:w="110" w:type="dxa"/>
            </w:tcMar>
            <w:vAlign w:val="center"/>
          </w:tcPr>
          <w:p w:rsidR="00221F0B" w:rsidRPr="00B101BC" w:rsidRDefault="00221F0B" w:rsidP="003C545F">
            <w:pPr>
              <w:rPr>
                <w:sz w:val="16"/>
                <w:szCs w:val="16"/>
              </w:rPr>
            </w:pPr>
            <w:r w:rsidRPr="00B101BC">
              <w:rPr>
                <w:b/>
                <w:sz w:val="16"/>
                <w:szCs w:val="16"/>
              </w:rPr>
              <w:t>Datos sobre el rendimiento</w:t>
            </w:r>
          </w:p>
        </w:tc>
        <w:tc>
          <w:tcPr>
            <w:tcW w:w="606" w:type="pct"/>
            <w:gridSpan w:val="2"/>
            <w:tcBorders>
              <w:top w:val="single" w:sz="4" w:space="0" w:color="auto"/>
            </w:tcBorders>
            <w:shd w:val="clear" w:color="auto" w:fill="auto"/>
            <w:tcMar>
              <w:top w:w="110" w:type="dxa"/>
            </w:tcMar>
            <w:vAlign w:val="center"/>
          </w:tcPr>
          <w:p w:rsidR="00221F0B" w:rsidRPr="00B101BC" w:rsidRDefault="00221F0B" w:rsidP="003C545F">
            <w:pPr>
              <w:jc w:val="center"/>
              <w:rPr>
                <w:b/>
                <w:bCs/>
                <w:sz w:val="16"/>
                <w:szCs w:val="16"/>
              </w:rPr>
            </w:pPr>
            <w:r w:rsidRPr="00B101BC">
              <w:rPr>
                <w:b/>
                <w:bCs/>
                <w:sz w:val="16"/>
                <w:szCs w:val="16"/>
              </w:rPr>
              <w:t>Clave de colores</w:t>
            </w:r>
          </w:p>
        </w:tc>
      </w:tr>
      <w:tr w:rsidR="00221F0B" w:rsidRPr="00B101BC" w:rsidTr="00DC1333">
        <w:tc>
          <w:tcPr>
            <w:tcW w:w="1212" w:type="pct"/>
            <w:shd w:val="clear" w:color="auto" w:fill="auto"/>
          </w:tcPr>
          <w:p w:rsidR="00221F0B" w:rsidRPr="00B101BC" w:rsidRDefault="00221F0B" w:rsidP="003C545F">
            <w:pPr>
              <w:rPr>
                <w:color w:val="000000"/>
                <w:sz w:val="16"/>
                <w:szCs w:val="16"/>
              </w:rPr>
            </w:pPr>
            <w:r w:rsidRPr="00B101BC">
              <w:rPr>
                <w:sz w:val="16"/>
                <w:szCs w:val="16"/>
              </w:rPr>
              <w:t xml:space="preserve">Nuevas iniciativas conjuntas con otros organismos de las Naciones Unidas </w:t>
            </w:r>
          </w:p>
        </w:tc>
        <w:tc>
          <w:tcPr>
            <w:tcW w:w="1288" w:type="pct"/>
            <w:shd w:val="clear" w:color="auto" w:fill="auto"/>
          </w:tcPr>
          <w:p w:rsidR="00221F0B" w:rsidRPr="00B101BC" w:rsidRDefault="00221F0B" w:rsidP="003C545F">
            <w:pPr>
              <w:rPr>
                <w:rFonts w:eastAsiaTheme="minorHAnsi"/>
                <w:i/>
                <w:sz w:val="16"/>
                <w:szCs w:val="16"/>
              </w:rPr>
            </w:pPr>
            <w:r w:rsidRPr="00B101BC">
              <w:rPr>
                <w:rFonts w:eastAsiaTheme="minorHAnsi"/>
                <w:i/>
                <w:color w:val="002060"/>
                <w:sz w:val="16"/>
                <w:szCs w:val="16"/>
              </w:rPr>
              <w:t>Referencia actualizada a fines de 2013</w:t>
            </w:r>
            <w:r w:rsidRPr="00B101BC">
              <w:rPr>
                <w:rFonts w:eastAsiaTheme="minorHAnsi"/>
                <w:color w:val="002060"/>
                <w:sz w:val="16"/>
                <w:szCs w:val="16"/>
              </w:rPr>
              <w:t>:</w:t>
            </w:r>
            <w:r>
              <w:rPr>
                <w:rFonts w:eastAsiaTheme="minorHAnsi"/>
                <w:sz w:val="16"/>
                <w:szCs w:val="16"/>
              </w:rPr>
              <w:t xml:space="preserve">  2</w:t>
            </w:r>
            <w:r w:rsidRPr="00B101BC">
              <w:rPr>
                <w:rFonts w:eastAsiaTheme="minorHAnsi"/>
                <w:sz w:val="16"/>
                <w:szCs w:val="16"/>
              </w:rPr>
              <w:t xml:space="preserve"> nuevas iniciativas a cargo del Director General (presidió el HLCP en 2012 y asistió al lanzamiento en 2013 del Índice Mundial de Innovación en el ECOSOC en Ginebra)</w:t>
            </w:r>
          </w:p>
          <w:p w:rsidR="00221F0B" w:rsidRPr="00B101BC" w:rsidRDefault="00221F0B" w:rsidP="003C545F">
            <w:pPr>
              <w:rPr>
                <w:i/>
                <w:sz w:val="8"/>
                <w:szCs w:val="8"/>
              </w:rPr>
            </w:pPr>
          </w:p>
          <w:p w:rsidR="00221F0B" w:rsidRPr="00B101BC" w:rsidRDefault="00221F0B" w:rsidP="003C545F">
            <w:pPr>
              <w:rPr>
                <w:sz w:val="16"/>
                <w:szCs w:val="16"/>
              </w:rPr>
            </w:pPr>
            <w:r w:rsidRPr="00B101BC">
              <w:rPr>
                <w:i/>
                <w:sz w:val="16"/>
                <w:szCs w:val="16"/>
              </w:rPr>
              <w:t>Referencia original en el presupuesto de 2014/15</w:t>
            </w:r>
            <w:r w:rsidRPr="00B101BC">
              <w:rPr>
                <w:sz w:val="16"/>
                <w:szCs w:val="16"/>
              </w:rPr>
              <w:t xml:space="preserve">: </w:t>
            </w:r>
            <w:r>
              <w:rPr>
                <w:sz w:val="16"/>
                <w:szCs w:val="16"/>
              </w:rPr>
              <w:t xml:space="preserve"> 2</w:t>
            </w:r>
          </w:p>
          <w:p w:rsidR="00221F0B" w:rsidRPr="00B101BC" w:rsidRDefault="00221F0B" w:rsidP="003C545F">
            <w:pPr>
              <w:rPr>
                <w:color w:val="000000"/>
                <w:sz w:val="16"/>
                <w:szCs w:val="16"/>
              </w:rPr>
            </w:pPr>
          </w:p>
        </w:tc>
        <w:tc>
          <w:tcPr>
            <w:tcW w:w="757" w:type="pct"/>
            <w:shd w:val="clear" w:color="auto" w:fill="auto"/>
            <w:tcMar>
              <w:top w:w="110" w:type="dxa"/>
            </w:tcMar>
          </w:tcPr>
          <w:p w:rsidR="00221F0B" w:rsidRPr="00B101BC" w:rsidRDefault="00221F0B" w:rsidP="003C545F">
            <w:pPr>
              <w:rPr>
                <w:color w:val="808080"/>
                <w:sz w:val="16"/>
                <w:szCs w:val="16"/>
              </w:rPr>
            </w:pPr>
            <w:r>
              <w:rPr>
                <w:sz w:val="16"/>
                <w:szCs w:val="16"/>
              </w:rPr>
              <w:t>2</w:t>
            </w:r>
          </w:p>
        </w:tc>
        <w:tc>
          <w:tcPr>
            <w:tcW w:w="1137" w:type="pct"/>
            <w:gridSpan w:val="2"/>
            <w:shd w:val="clear" w:color="auto" w:fill="FFFFFF"/>
            <w:tcMar>
              <w:top w:w="110" w:type="dxa"/>
            </w:tcMar>
          </w:tcPr>
          <w:p w:rsidR="00221F0B" w:rsidRPr="00B101BC" w:rsidRDefault="00221F0B" w:rsidP="003C545F">
            <w:pPr>
              <w:rPr>
                <w:color w:val="000000"/>
                <w:sz w:val="16"/>
                <w:szCs w:val="16"/>
              </w:rPr>
            </w:pPr>
            <w:r w:rsidRPr="00B101BC">
              <w:rPr>
                <w:color w:val="000000"/>
                <w:sz w:val="16"/>
                <w:szCs w:val="16"/>
              </w:rPr>
              <w:t>El Director General ha</w:t>
            </w:r>
            <w:r>
              <w:rPr>
                <w:color w:val="000000"/>
                <w:sz w:val="16"/>
                <w:szCs w:val="16"/>
              </w:rPr>
              <w:t xml:space="preserve"> emprendido 2</w:t>
            </w:r>
            <w:r w:rsidRPr="00B101BC">
              <w:rPr>
                <w:color w:val="000000"/>
                <w:sz w:val="16"/>
                <w:szCs w:val="16"/>
              </w:rPr>
              <w:t xml:space="preserve"> nuevas iniciativas:</w:t>
            </w:r>
            <w:r w:rsidRPr="00B101BC">
              <w:rPr>
                <w:sz w:val="16"/>
                <w:szCs w:val="16"/>
                <w:lang w:bidi="th-TH"/>
              </w:rPr>
              <w:t xml:space="preserve">  </w:t>
            </w:r>
          </w:p>
          <w:p w:rsidR="00221F0B" w:rsidRPr="00221F0B" w:rsidRDefault="00221F0B" w:rsidP="003C545F">
            <w:pPr>
              <w:pStyle w:val="ListParagraph"/>
              <w:numPr>
                <w:ilvl w:val="0"/>
                <w:numId w:val="101"/>
              </w:numPr>
              <w:contextualSpacing/>
              <w:rPr>
                <w:sz w:val="16"/>
                <w:szCs w:val="16"/>
                <w:lang w:val="es-ES"/>
              </w:rPr>
            </w:pPr>
            <w:r w:rsidRPr="00221F0B">
              <w:rPr>
                <w:sz w:val="16"/>
                <w:szCs w:val="16"/>
                <w:lang w:val="es-ES"/>
              </w:rPr>
              <w:t xml:space="preserve">Solicitud de condición de observador ante la Organización Internacional para las Migraciones (OIM) en 2014;  </w:t>
            </w:r>
          </w:p>
          <w:p w:rsidR="00221F0B" w:rsidRPr="00221F0B" w:rsidRDefault="00221F0B" w:rsidP="003C545F">
            <w:pPr>
              <w:pStyle w:val="ListParagraph"/>
              <w:numPr>
                <w:ilvl w:val="0"/>
                <w:numId w:val="101"/>
              </w:numPr>
              <w:contextualSpacing/>
              <w:rPr>
                <w:color w:val="000000"/>
                <w:sz w:val="16"/>
                <w:szCs w:val="16"/>
                <w:lang w:val="es-ES"/>
              </w:rPr>
            </w:pPr>
            <w:r w:rsidRPr="00221F0B">
              <w:rPr>
                <w:sz w:val="16"/>
                <w:szCs w:val="16"/>
                <w:lang w:val="es-ES"/>
              </w:rPr>
              <w:t xml:space="preserve">Incorporación en 2015 al Grupo de Trabajo Interinstitucional de las Naciones Unidas sobre un Mecanismo de Facilitación de la Tecnología </w:t>
            </w:r>
            <w:r w:rsidRPr="00221F0B">
              <w:rPr>
                <w:bCs/>
                <w:sz w:val="16"/>
                <w:szCs w:val="16"/>
                <w:lang w:val="es-ES"/>
              </w:rPr>
              <w:t xml:space="preserve">(establecido en el marco de la </w:t>
            </w:r>
            <w:r w:rsidRPr="00221F0B">
              <w:rPr>
                <w:iCs/>
                <w:sz w:val="16"/>
                <w:szCs w:val="16"/>
                <w:lang w:val="es-ES"/>
              </w:rPr>
              <w:t>Agenda</w:t>
            </w:r>
            <w:r w:rsidRPr="00221F0B">
              <w:rPr>
                <w:sz w:val="16"/>
                <w:szCs w:val="16"/>
                <w:lang w:val="es-ES"/>
              </w:rPr>
              <w:t xml:space="preserve"> de Acción de </w:t>
            </w:r>
            <w:r w:rsidRPr="00221F0B">
              <w:rPr>
                <w:iCs/>
                <w:sz w:val="16"/>
                <w:szCs w:val="16"/>
                <w:lang w:val="es-ES"/>
              </w:rPr>
              <w:t>Addis</w:t>
            </w:r>
            <w:r w:rsidRPr="00221F0B">
              <w:rPr>
                <w:sz w:val="16"/>
                <w:szCs w:val="16"/>
                <w:lang w:val="es-ES"/>
              </w:rPr>
              <w:t xml:space="preserve"> Abeba)</w:t>
            </w:r>
          </w:p>
          <w:p w:rsidR="00221F0B" w:rsidRPr="00221F0B" w:rsidRDefault="00221F0B" w:rsidP="003C545F">
            <w:pPr>
              <w:pStyle w:val="ListParagraph"/>
              <w:ind w:left="360"/>
              <w:rPr>
                <w:color w:val="000000"/>
                <w:sz w:val="16"/>
                <w:szCs w:val="16"/>
                <w:lang w:val="es-ES"/>
              </w:rPr>
            </w:pPr>
          </w:p>
        </w:tc>
        <w:tc>
          <w:tcPr>
            <w:tcW w:w="606" w:type="pct"/>
            <w:gridSpan w:val="2"/>
            <w:shd w:val="clear" w:color="auto" w:fill="auto"/>
            <w:tcMar>
              <w:top w:w="110" w:type="dxa"/>
            </w:tcMar>
          </w:tcPr>
          <w:p w:rsidR="00221F0B" w:rsidRPr="00B101BC" w:rsidRDefault="00221F0B" w:rsidP="003C545F">
            <w:pPr>
              <w:ind w:left="-108" w:right="-107"/>
              <w:jc w:val="center"/>
              <w:rPr>
                <w:bCs/>
                <w:color w:val="00B050"/>
                <w:sz w:val="16"/>
                <w:szCs w:val="16"/>
              </w:rPr>
            </w:pPr>
            <w:r w:rsidRPr="00B101BC">
              <w:rPr>
                <w:b/>
                <w:bCs/>
                <w:color w:val="00B050"/>
                <w:sz w:val="16"/>
                <w:szCs w:val="16"/>
              </w:rPr>
              <w:t>Plenamente logrado</w:t>
            </w:r>
          </w:p>
        </w:tc>
      </w:tr>
      <w:tr w:rsidR="00221F0B" w:rsidRPr="00B101BC" w:rsidTr="00DC1333">
        <w:trPr>
          <w:trHeight w:val="607"/>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3C545F">
            <w:pPr>
              <w:keepNext/>
              <w:keepLines/>
              <w:ind w:left="2019" w:hanging="2019"/>
              <w:rPr>
                <w:b/>
                <w:bCs/>
                <w:sz w:val="16"/>
                <w:szCs w:val="16"/>
              </w:rPr>
            </w:pPr>
            <w:r w:rsidRPr="00B101BC">
              <w:rPr>
                <w:b/>
                <w:bCs/>
                <w:color w:val="000000"/>
                <w:sz w:val="16"/>
                <w:szCs w:val="16"/>
              </w:rPr>
              <w:lastRenderedPageBreak/>
              <w:t>Resultado previsto</w:t>
            </w:r>
            <w:r w:rsidRPr="00B101BC">
              <w:rPr>
                <w:bCs/>
                <w:sz w:val="16"/>
                <w:szCs w:val="16"/>
              </w:rPr>
              <w:t>:</w:t>
            </w:r>
            <w:r w:rsidRPr="00B101BC">
              <w:rPr>
                <w:b/>
                <w:bCs/>
                <w:color w:val="808080"/>
                <w:sz w:val="16"/>
                <w:szCs w:val="16"/>
              </w:rPr>
              <w:tab/>
            </w:r>
            <w:r w:rsidRPr="00B101BC">
              <w:rPr>
                <w:bCs/>
                <w:sz w:val="16"/>
                <w:szCs w:val="16"/>
              </w:rPr>
              <w:t>IX.2 Funcionamiento sin contratiempos de la Secretaría, provista de un personal bien dirigido, dotado de las competencias adecuadas y capaz de conseguir resultados</w:t>
            </w:r>
          </w:p>
        </w:tc>
      </w:tr>
      <w:tr w:rsidR="00221F0B" w:rsidRPr="00B101BC" w:rsidTr="00DC1333">
        <w:tc>
          <w:tcPr>
            <w:tcW w:w="1212" w:type="pct"/>
            <w:tcBorders>
              <w:top w:val="single" w:sz="4" w:space="0" w:color="auto"/>
              <w:bottom w:val="nil"/>
            </w:tcBorders>
            <w:shd w:val="clear" w:color="auto" w:fill="auto"/>
            <w:vAlign w:val="center"/>
          </w:tcPr>
          <w:p w:rsidR="00221F0B" w:rsidRPr="00B101BC" w:rsidRDefault="00221F0B" w:rsidP="003C545F">
            <w:pPr>
              <w:keepNext/>
              <w:keepLines/>
              <w:rPr>
                <w:sz w:val="16"/>
                <w:szCs w:val="16"/>
              </w:rPr>
            </w:pPr>
            <w:r w:rsidRPr="00B101BC">
              <w:rPr>
                <w:b/>
                <w:sz w:val="16"/>
                <w:szCs w:val="16"/>
              </w:rPr>
              <w:t>Indicadores de rendimiento</w:t>
            </w:r>
          </w:p>
        </w:tc>
        <w:tc>
          <w:tcPr>
            <w:tcW w:w="1288" w:type="pct"/>
            <w:tcBorders>
              <w:top w:val="single" w:sz="4" w:space="0" w:color="auto"/>
              <w:bottom w:val="nil"/>
            </w:tcBorders>
            <w:shd w:val="clear" w:color="auto" w:fill="auto"/>
            <w:vAlign w:val="center"/>
          </w:tcPr>
          <w:p w:rsidR="00221F0B" w:rsidRPr="00B101BC" w:rsidRDefault="00221F0B" w:rsidP="003C545F">
            <w:pPr>
              <w:keepNext/>
              <w:keepLines/>
              <w:rPr>
                <w:b/>
                <w:bCs/>
                <w:sz w:val="16"/>
                <w:szCs w:val="16"/>
              </w:rPr>
            </w:pPr>
            <w:r w:rsidRPr="00B101BC">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221F0B" w:rsidRPr="00B101BC" w:rsidRDefault="00221F0B" w:rsidP="003C545F">
            <w:pPr>
              <w:keepNext/>
              <w:keepLines/>
              <w:rPr>
                <w:b/>
                <w:sz w:val="16"/>
                <w:szCs w:val="16"/>
              </w:rPr>
            </w:pPr>
            <w:r w:rsidRPr="00B101BC">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221F0B" w:rsidRPr="00B101BC" w:rsidRDefault="00221F0B" w:rsidP="003C545F">
            <w:pPr>
              <w:keepNext/>
              <w:rPr>
                <w:sz w:val="16"/>
                <w:szCs w:val="16"/>
              </w:rPr>
            </w:pPr>
            <w:r w:rsidRPr="00B101BC">
              <w:rPr>
                <w:b/>
                <w:sz w:val="16"/>
                <w:szCs w:val="16"/>
              </w:rPr>
              <w:t>Datos sobre el rendimiento</w:t>
            </w:r>
          </w:p>
        </w:tc>
        <w:tc>
          <w:tcPr>
            <w:tcW w:w="606" w:type="pct"/>
            <w:gridSpan w:val="2"/>
            <w:tcBorders>
              <w:top w:val="single" w:sz="4" w:space="0" w:color="auto"/>
              <w:bottom w:val="nil"/>
            </w:tcBorders>
            <w:shd w:val="clear" w:color="auto" w:fill="auto"/>
            <w:tcMar>
              <w:top w:w="110" w:type="dxa"/>
            </w:tcMar>
            <w:vAlign w:val="center"/>
          </w:tcPr>
          <w:p w:rsidR="00221F0B" w:rsidRPr="00B101BC" w:rsidRDefault="00221F0B" w:rsidP="003C545F">
            <w:pPr>
              <w:keepNext/>
              <w:keepLines/>
              <w:jc w:val="center"/>
              <w:rPr>
                <w:b/>
                <w:bCs/>
                <w:sz w:val="16"/>
                <w:szCs w:val="16"/>
              </w:rPr>
            </w:pPr>
            <w:r w:rsidRPr="00B101BC">
              <w:rPr>
                <w:b/>
                <w:bCs/>
                <w:sz w:val="16"/>
                <w:szCs w:val="16"/>
              </w:rPr>
              <w:t>Clave de colores</w:t>
            </w:r>
          </w:p>
        </w:tc>
      </w:tr>
      <w:tr w:rsidR="00221F0B" w:rsidRPr="00B101BC" w:rsidTr="00DC1333">
        <w:tc>
          <w:tcPr>
            <w:tcW w:w="1212" w:type="pct"/>
            <w:tcBorders>
              <w:top w:val="nil"/>
              <w:bottom w:val="single" w:sz="4" w:space="0" w:color="auto"/>
            </w:tcBorders>
            <w:shd w:val="clear" w:color="auto" w:fill="auto"/>
          </w:tcPr>
          <w:p w:rsidR="00221F0B" w:rsidRPr="00B101BC" w:rsidRDefault="00221F0B" w:rsidP="003C545F">
            <w:pPr>
              <w:keepNext/>
              <w:rPr>
                <w:color w:val="000000"/>
                <w:sz w:val="16"/>
                <w:szCs w:val="16"/>
              </w:rPr>
            </w:pPr>
            <w:r w:rsidRPr="00B101BC">
              <w:rPr>
                <w:color w:val="000000"/>
                <w:sz w:val="16"/>
                <w:szCs w:val="16"/>
              </w:rPr>
              <w:t>Porcentaje de peticiones de asesoramiento y servicios jurídicos que reciben respuestas rápidas, independientes y fiables de la Oficina del Consejero Jurídico</w:t>
            </w:r>
          </w:p>
        </w:tc>
        <w:tc>
          <w:tcPr>
            <w:tcW w:w="1288" w:type="pct"/>
            <w:tcBorders>
              <w:top w:val="nil"/>
              <w:bottom w:val="single" w:sz="4" w:space="0" w:color="auto"/>
            </w:tcBorders>
            <w:shd w:val="clear" w:color="auto" w:fill="auto"/>
          </w:tcPr>
          <w:p w:rsidR="00221F0B" w:rsidRPr="00B101BC" w:rsidRDefault="00221F0B" w:rsidP="003C545F">
            <w:pPr>
              <w:keepNext/>
              <w:rPr>
                <w:rFonts w:eastAsiaTheme="minorHAnsi"/>
                <w:i/>
                <w:color w:val="002060"/>
                <w:sz w:val="16"/>
                <w:szCs w:val="16"/>
              </w:rPr>
            </w:pPr>
            <w:r w:rsidRPr="00B101BC">
              <w:rPr>
                <w:rFonts w:eastAsiaTheme="minorHAnsi"/>
                <w:i/>
                <w:color w:val="002060"/>
                <w:sz w:val="16"/>
                <w:szCs w:val="16"/>
              </w:rPr>
              <w:t>Referencia actualizada a fines de 2013</w:t>
            </w:r>
            <w:r w:rsidRPr="00B101BC">
              <w:rPr>
                <w:rFonts w:eastAsiaTheme="minorHAnsi"/>
                <w:color w:val="002060"/>
                <w:sz w:val="16"/>
                <w:szCs w:val="16"/>
              </w:rPr>
              <w:t>:  A pesar de un aumento del número de peticiones de asesoramiento, así como de las materias tratadas, el 98% de esas peticiones recibió respuestas rápidas y fiables de la Oficina del Consejero Jurídico</w:t>
            </w:r>
          </w:p>
          <w:p w:rsidR="00221F0B" w:rsidRPr="00B101BC" w:rsidRDefault="00221F0B" w:rsidP="003C545F">
            <w:pPr>
              <w:keepNext/>
              <w:rPr>
                <w:i/>
                <w:sz w:val="16"/>
                <w:szCs w:val="16"/>
              </w:rPr>
            </w:pPr>
          </w:p>
          <w:p w:rsidR="00221F0B" w:rsidRPr="00B101BC" w:rsidRDefault="00221F0B" w:rsidP="003C545F">
            <w:pPr>
              <w:keepNext/>
              <w:rPr>
                <w:sz w:val="16"/>
                <w:szCs w:val="16"/>
              </w:rPr>
            </w:pPr>
            <w:r w:rsidRPr="00B101BC">
              <w:rPr>
                <w:i/>
                <w:sz w:val="16"/>
                <w:szCs w:val="16"/>
              </w:rPr>
              <w:t>Referencia original en el presupuesto de 2014/15</w:t>
            </w:r>
            <w:r w:rsidRPr="00B101BC">
              <w:rPr>
                <w:sz w:val="16"/>
                <w:szCs w:val="16"/>
              </w:rPr>
              <w:t>:</w:t>
            </w:r>
            <w:r>
              <w:rPr>
                <w:sz w:val="16"/>
                <w:szCs w:val="16"/>
              </w:rPr>
              <w:t xml:space="preserve">  </w:t>
            </w:r>
            <w:r w:rsidRPr="00B101BC">
              <w:rPr>
                <w:sz w:val="16"/>
                <w:szCs w:val="16"/>
              </w:rPr>
              <w:t>100%</w:t>
            </w:r>
            <w:r w:rsidRPr="00B101BC">
              <w:rPr>
                <w:sz w:val="16"/>
                <w:szCs w:val="16"/>
              </w:rPr>
              <w:br/>
            </w:r>
          </w:p>
        </w:tc>
        <w:tc>
          <w:tcPr>
            <w:tcW w:w="757" w:type="pct"/>
            <w:tcBorders>
              <w:top w:val="nil"/>
              <w:bottom w:val="single" w:sz="4" w:space="0" w:color="auto"/>
            </w:tcBorders>
            <w:shd w:val="clear" w:color="auto" w:fill="auto"/>
            <w:tcMar>
              <w:top w:w="110" w:type="dxa"/>
            </w:tcMar>
          </w:tcPr>
          <w:p w:rsidR="00221F0B" w:rsidRPr="00B101BC" w:rsidRDefault="00221F0B" w:rsidP="003C545F">
            <w:pPr>
              <w:keepNext/>
              <w:rPr>
                <w:sz w:val="16"/>
                <w:szCs w:val="16"/>
              </w:rPr>
            </w:pPr>
            <w:r w:rsidRPr="00B101BC">
              <w:rPr>
                <w:sz w:val="16"/>
                <w:szCs w:val="16"/>
              </w:rPr>
              <w:t>90%</w:t>
            </w:r>
          </w:p>
        </w:tc>
        <w:tc>
          <w:tcPr>
            <w:tcW w:w="1137" w:type="pct"/>
            <w:gridSpan w:val="2"/>
            <w:tcBorders>
              <w:top w:val="nil"/>
              <w:bottom w:val="single" w:sz="4" w:space="0" w:color="auto"/>
            </w:tcBorders>
            <w:shd w:val="clear" w:color="auto" w:fill="FFFFFF"/>
            <w:tcMar>
              <w:top w:w="110" w:type="dxa"/>
            </w:tcMar>
          </w:tcPr>
          <w:p w:rsidR="00221F0B" w:rsidRPr="00B101BC" w:rsidRDefault="00221F0B" w:rsidP="003C545F">
            <w:pPr>
              <w:keepNext/>
              <w:rPr>
                <w:sz w:val="16"/>
                <w:szCs w:val="16"/>
              </w:rPr>
            </w:pPr>
            <w:r w:rsidRPr="00B101BC">
              <w:rPr>
                <w:sz w:val="16"/>
                <w:szCs w:val="16"/>
              </w:rPr>
              <w:t>En el contexto de una gran demanda de sus servicios, que va en aumento, la Oficina del Consejero Jurídico continuó proporcionando respuestas rápidas, independientes y fiables al 95% de las peticiones de asesoramiento recibidas en 2014/15</w:t>
            </w:r>
          </w:p>
        </w:tc>
        <w:tc>
          <w:tcPr>
            <w:tcW w:w="606" w:type="pct"/>
            <w:gridSpan w:val="2"/>
            <w:tcBorders>
              <w:top w:val="nil"/>
              <w:bottom w:val="single" w:sz="4" w:space="0" w:color="auto"/>
            </w:tcBorders>
            <w:shd w:val="clear" w:color="auto" w:fill="auto"/>
            <w:tcMar>
              <w:top w:w="110" w:type="dxa"/>
            </w:tcMar>
          </w:tcPr>
          <w:p w:rsidR="00221F0B" w:rsidRPr="00B101BC" w:rsidRDefault="00221F0B" w:rsidP="003C545F">
            <w:pPr>
              <w:keepNext/>
              <w:keepLines/>
              <w:ind w:left="-108"/>
              <w:jc w:val="center"/>
              <w:rPr>
                <w:b/>
                <w:color w:val="00B050"/>
                <w:sz w:val="16"/>
                <w:szCs w:val="16"/>
              </w:rPr>
            </w:pPr>
            <w:r w:rsidRPr="00B101BC">
              <w:rPr>
                <w:b/>
                <w:color w:val="00B050"/>
                <w:sz w:val="16"/>
                <w:szCs w:val="16"/>
              </w:rPr>
              <w:t>Plenamente logrado</w:t>
            </w:r>
          </w:p>
        </w:tc>
      </w:tr>
      <w:tr w:rsidR="00221F0B" w:rsidRPr="00B101BC" w:rsidTr="00DC1333">
        <w:trPr>
          <w:trHeight w:val="550"/>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B101BC" w:rsidRDefault="00221F0B" w:rsidP="003C545F">
            <w:pPr>
              <w:keepNext/>
              <w:keepLines/>
              <w:ind w:left="2019" w:hanging="2019"/>
              <w:jc w:val="both"/>
              <w:rPr>
                <w:b/>
                <w:bCs/>
                <w:sz w:val="16"/>
                <w:szCs w:val="16"/>
              </w:rPr>
            </w:pPr>
            <w:r w:rsidRPr="00B101BC">
              <w:rPr>
                <w:b/>
                <w:bCs/>
                <w:color w:val="000000"/>
                <w:sz w:val="16"/>
                <w:szCs w:val="16"/>
              </w:rPr>
              <w:t>Resultado previsto</w:t>
            </w:r>
            <w:r w:rsidRPr="00B101BC">
              <w:rPr>
                <w:bCs/>
                <w:color w:val="000000"/>
                <w:sz w:val="16"/>
                <w:szCs w:val="16"/>
              </w:rPr>
              <w:t>:</w:t>
            </w:r>
            <w:r w:rsidRPr="00B101BC">
              <w:rPr>
                <w:b/>
                <w:bCs/>
                <w:color w:val="808080"/>
                <w:sz w:val="16"/>
                <w:szCs w:val="16"/>
              </w:rPr>
              <w:tab/>
            </w:r>
            <w:r w:rsidRPr="00B101BC">
              <w:rPr>
                <w:bCs/>
                <w:sz w:val="16"/>
                <w:szCs w:val="16"/>
              </w:rPr>
              <w:t>IX.3 Entorno de trabajo propicio basado en un marco regulador eficaz y medios adecuados para atender los temas de interés del personal</w:t>
            </w:r>
          </w:p>
        </w:tc>
      </w:tr>
      <w:tr w:rsidR="00221F0B" w:rsidRPr="00B101BC" w:rsidTr="00DC1333">
        <w:tc>
          <w:tcPr>
            <w:tcW w:w="1212" w:type="pct"/>
            <w:tcBorders>
              <w:top w:val="single" w:sz="4" w:space="0" w:color="auto"/>
              <w:bottom w:val="nil"/>
            </w:tcBorders>
            <w:shd w:val="clear" w:color="auto" w:fill="auto"/>
            <w:vAlign w:val="center"/>
          </w:tcPr>
          <w:p w:rsidR="00221F0B" w:rsidRPr="00B101BC" w:rsidRDefault="00221F0B" w:rsidP="003C545F">
            <w:pPr>
              <w:keepNext/>
              <w:keepLines/>
              <w:rPr>
                <w:sz w:val="16"/>
                <w:szCs w:val="16"/>
              </w:rPr>
            </w:pPr>
            <w:r w:rsidRPr="00B101BC">
              <w:rPr>
                <w:b/>
                <w:sz w:val="16"/>
                <w:szCs w:val="16"/>
              </w:rPr>
              <w:t>Indicadores de rendimiento</w:t>
            </w:r>
          </w:p>
        </w:tc>
        <w:tc>
          <w:tcPr>
            <w:tcW w:w="1288" w:type="pct"/>
            <w:tcBorders>
              <w:top w:val="single" w:sz="4" w:space="0" w:color="auto"/>
              <w:bottom w:val="nil"/>
            </w:tcBorders>
            <w:shd w:val="clear" w:color="auto" w:fill="auto"/>
            <w:vAlign w:val="center"/>
          </w:tcPr>
          <w:p w:rsidR="00221F0B" w:rsidRPr="00B101BC" w:rsidRDefault="00221F0B" w:rsidP="003C545F">
            <w:pPr>
              <w:keepNext/>
              <w:keepLines/>
              <w:rPr>
                <w:b/>
                <w:bCs/>
                <w:sz w:val="16"/>
                <w:szCs w:val="16"/>
              </w:rPr>
            </w:pPr>
            <w:r w:rsidRPr="00B101BC">
              <w:rPr>
                <w:b/>
                <w:bCs/>
                <w:sz w:val="16"/>
                <w:szCs w:val="16"/>
              </w:rPr>
              <w:t>Referencia</w:t>
            </w:r>
          </w:p>
        </w:tc>
        <w:tc>
          <w:tcPr>
            <w:tcW w:w="757" w:type="pct"/>
            <w:tcBorders>
              <w:top w:val="single" w:sz="4" w:space="0" w:color="auto"/>
              <w:bottom w:val="nil"/>
            </w:tcBorders>
            <w:shd w:val="clear" w:color="auto" w:fill="auto"/>
            <w:tcMar>
              <w:top w:w="110" w:type="dxa"/>
            </w:tcMar>
            <w:vAlign w:val="center"/>
          </w:tcPr>
          <w:p w:rsidR="00221F0B" w:rsidRPr="00B101BC" w:rsidRDefault="00221F0B" w:rsidP="003C545F">
            <w:pPr>
              <w:keepNext/>
              <w:keepLines/>
              <w:rPr>
                <w:b/>
                <w:sz w:val="16"/>
                <w:szCs w:val="16"/>
              </w:rPr>
            </w:pPr>
            <w:r w:rsidRPr="00B101BC">
              <w:rPr>
                <w:b/>
                <w:sz w:val="16"/>
                <w:szCs w:val="16"/>
              </w:rPr>
              <w:t>Objetivos</w:t>
            </w:r>
          </w:p>
        </w:tc>
        <w:tc>
          <w:tcPr>
            <w:tcW w:w="1137" w:type="pct"/>
            <w:gridSpan w:val="2"/>
            <w:tcBorders>
              <w:top w:val="single" w:sz="4" w:space="0" w:color="auto"/>
              <w:bottom w:val="nil"/>
            </w:tcBorders>
            <w:shd w:val="clear" w:color="auto" w:fill="FFFFFF"/>
            <w:tcMar>
              <w:top w:w="110" w:type="dxa"/>
            </w:tcMar>
            <w:vAlign w:val="center"/>
          </w:tcPr>
          <w:p w:rsidR="00221F0B" w:rsidRPr="00B101BC" w:rsidRDefault="00221F0B" w:rsidP="003C545F">
            <w:pPr>
              <w:keepNext/>
              <w:rPr>
                <w:sz w:val="16"/>
                <w:szCs w:val="16"/>
              </w:rPr>
            </w:pPr>
            <w:r w:rsidRPr="00B101BC">
              <w:rPr>
                <w:b/>
                <w:sz w:val="16"/>
                <w:szCs w:val="16"/>
              </w:rPr>
              <w:t>Datos sobre el rendimiento</w:t>
            </w:r>
          </w:p>
        </w:tc>
        <w:tc>
          <w:tcPr>
            <w:tcW w:w="606" w:type="pct"/>
            <w:gridSpan w:val="2"/>
            <w:tcBorders>
              <w:top w:val="single" w:sz="4" w:space="0" w:color="auto"/>
              <w:bottom w:val="nil"/>
            </w:tcBorders>
            <w:shd w:val="clear" w:color="auto" w:fill="auto"/>
            <w:tcMar>
              <w:top w:w="110" w:type="dxa"/>
            </w:tcMar>
            <w:vAlign w:val="center"/>
          </w:tcPr>
          <w:p w:rsidR="00221F0B" w:rsidRPr="00B101BC" w:rsidRDefault="00221F0B" w:rsidP="003C545F">
            <w:pPr>
              <w:keepNext/>
              <w:keepLines/>
              <w:jc w:val="center"/>
              <w:rPr>
                <w:b/>
                <w:bCs/>
                <w:sz w:val="16"/>
                <w:szCs w:val="16"/>
              </w:rPr>
            </w:pPr>
            <w:r w:rsidRPr="00B101BC">
              <w:rPr>
                <w:b/>
                <w:bCs/>
                <w:sz w:val="16"/>
                <w:szCs w:val="16"/>
              </w:rPr>
              <w:t>Clave de colores</w:t>
            </w:r>
          </w:p>
        </w:tc>
      </w:tr>
      <w:tr w:rsidR="00221F0B" w:rsidRPr="00B101BC" w:rsidTr="00DC1333">
        <w:tc>
          <w:tcPr>
            <w:tcW w:w="1212" w:type="pct"/>
            <w:tcBorders>
              <w:top w:val="nil"/>
              <w:bottom w:val="nil"/>
            </w:tcBorders>
            <w:shd w:val="clear" w:color="auto" w:fill="auto"/>
          </w:tcPr>
          <w:p w:rsidR="00221F0B" w:rsidRPr="00B101BC" w:rsidRDefault="00221F0B" w:rsidP="003C545F">
            <w:pPr>
              <w:keepNext/>
              <w:rPr>
                <w:color w:val="000000"/>
                <w:sz w:val="16"/>
                <w:szCs w:val="16"/>
              </w:rPr>
            </w:pPr>
            <w:r w:rsidRPr="00B101BC">
              <w:rPr>
                <w:color w:val="000000"/>
                <w:sz w:val="16"/>
                <w:szCs w:val="16"/>
              </w:rPr>
              <w:t>Porcentaje de miembros del personal de la OMPI conscientes de los servicios disponibles en la Oficina del Mediador y del mecanismo informal de solución de conflictos</w:t>
            </w:r>
          </w:p>
        </w:tc>
        <w:tc>
          <w:tcPr>
            <w:tcW w:w="1288" w:type="pct"/>
            <w:tcBorders>
              <w:top w:val="nil"/>
              <w:bottom w:val="nil"/>
            </w:tcBorders>
            <w:shd w:val="clear" w:color="auto" w:fill="auto"/>
          </w:tcPr>
          <w:p w:rsidR="00221F0B" w:rsidRPr="00B101BC" w:rsidRDefault="00221F0B" w:rsidP="003C545F">
            <w:pPr>
              <w:keepNext/>
              <w:keepLines/>
              <w:rPr>
                <w:color w:val="002060"/>
                <w:sz w:val="16"/>
                <w:szCs w:val="16"/>
              </w:rPr>
            </w:pPr>
            <w:r w:rsidRPr="00B101BC">
              <w:rPr>
                <w:i/>
                <w:color w:val="002060"/>
                <w:sz w:val="16"/>
                <w:szCs w:val="16"/>
              </w:rPr>
              <w:t>Referencia actualizada a fines de 2013</w:t>
            </w:r>
            <w:r w:rsidRPr="00B101BC">
              <w:rPr>
                <w:color w:val="002060"/>
                <w:sz w:val="16"/>
                <w:szCs w:val="16"/>
              </w:rPr>
              <w:t xml:space="preserve">: </w:t>
            </w:r>
            <w:r>
              <w:rPr>
                <w:color w:val="002060"/>
                <w:sz w:val="16"/>
                <w:szCs w:val="16"/>
              </w:rPr>
              <w:t xml:space="preserve"> </w:t>
            </w:r>
            <w:r w:rsidRPr="00B101BC">
              <w:rPr>
                <w:color w:val="002060"/>
                <w:sz w:val="16"/>
                <w:szCs w:val="16"/>
              </w:rPr>
              <w:t>según la encuesta y los comentarios del personal de 2013, el 63% del personal está familiarizado con la función del Mediador y el 32% está más</w:t>
            </w:r>
            <w:r>
              <w:rPr>
                <w:color w:val="002060"/>
                <w:sz w:val="16"/>
                <w:szCs w:val="16"/>
              </w:rPr>
              <w:t xml:space="preserve"> o menos familiarizado con ella</w:t>
            </w:r>
          </w:p>
          <w:p w:rsidR="00221F0B" w:rsidRPr="00B101BC" w:rsidRDefault="00221F0B" w:rsidP="003C545F">
            <w:pPr>
              <w:keepNext/>
              <w:keepLines/>
              <w:rPr>
                <w:color w:val="002060"/>
                <w:sz w:val="16"/>
                <w:szCs w:val="16"/>
              </w:rPr>
            </w:pPr>
          </w:p>
          <w:p w:rsidR="00221F0B" w:rsidRPr="00B101BC" w:rsidRDefault="00221F0B" w:rsidP="003C545F">
            <w:pPr>
              <w:keepNext/>
              <w:keepLines/>
              <w:rPr>
                <w:rFonts w:eastAsiaTheme="minorHAnsi"/>
                <w:sz w:val="16"/>
                <w:szCs w:val="16"/>
              </w:rPr>
            </w:pPr>
            <w:r w:rsidRPr="00B101BC">
              <w:rPr>
                <w:rFonts w:eastAsiaTheme="minorHAnsi"/>
                <w:sz w:val="16"/>
                <w:szCs w:val="16"/>
              </w:rPr>
              <w:t>El 77%, según la encuesta de evaluación de los usuarios de 2012 (realizada en marzo de 2013)</w:t>
            </w:r>
          </w:p>
          <w:p w:rsidR="00221F0B" w:rsidRPr="00B101BC" w:rsidRDefault="00221F0B" w:rsidP="003C545F">
            <w:pPr>
              <w:keepNext/>
              <w:keepLines/>
              <w:rPr>
                <w:i/>
                <w:color w:val="002060"/>
                <w:sz w:val="8"/>
                <w:szCs w:val="8"/>
              </w:rPr>
            </w:pPr>
          </w:p>
          <w:p w:rsidR="00221F0B" w:rsidRPr="00B101BC" w:rsidRDefault="00221F0B" w:rsidP="003C545F">
            <w:pPr>
              <w:keepNext/>
              <w:keepLines/>
              <w:rPr>
                <w:i/>
                <w:color w:val="002060"/>
                <w:sz w:val="16"/>
                <w:szCs w:val="16"/>
              </w:rPr>
            </w:pPr>
            <w:r w:rsidRPr="00B101BC">
              <w:rPr>
                <w:i/>
                <w:sz w:val="16"/>
                <w:szCs w:val="16"/>
              </w:rPr>
              <w:t>Referencia original en el presupuesto de 2014/15</w:t>
            </w:r>
            <w:proofErr w:type="gramStart"/>
            <w:r w:rsidRPr="00B101BC">
              <w:rPr>
                <w:i/>
                <w:sz w:val="16"/>
                <w:szCs w:val="16"/>
              </w:rPr>
              <w:t xml:space="preserve">: </w:t>
            </w:r>
            <w:r>
              <w:rPr>
                <w:i/>
                <w:sz w:val="16"/>
                <w:szCs w:val="16"/>
              </w:rPr>
              <w:t xml:space="preserve"> </w:t>
            </w:r>
            <w:r w:rsidRPr="00B101BC">
              <w:rPr>
                <w:i/>
                <w:sz w:val="16"/>
                <w:szCs w:val="16"/>
              </w:rPr>
              <w:t>Según</w:t>
            </w:r>
            <w:proofErr w:type="gramEnd"/>
            <w:r w:rsidRPr="00B101BC">
              <w:rPr>
                <w:i/>
                <w:sz w:val="16"/>
                <w:szCs w:val="16"/>
              </w:rPr>
              <w:t xml:space="preserve"> la encuesta y los comentarios del personal de 2011, el 44% del personal está familiarizado con la función del Mediador y el 49% está más o menos familiarizado con ella.</w:t>
            </w:r>
            <w:r w:rsidRPr="00B101BC">
              <w:rPr>
                <w:i/>
                <w:sz w:val="16"/>
                <w:szCs w:val="16"/>
              </w:rPr>
              <w:br/>
            </w:r>
          </w:p>
        </w:tc>
        <w:tc>
          <w:tcPr>
            <w:tcW w:w="757" w:type="pct"/>
            <w:tcBorders>
              <w:top w:val="nil"/>
              <w:bottom w:val="nil"/>
            </w:tcBorders>
            <w:shd w:val="clear" w:color="auto" w:fill="auto"/>
            <w:tcMar>
              <w:top w:w="110" w:type="dxa"/>
            </w:tcMar>
          </w:tcPr>
          <w:p w:rsidR="00221F0B" w:rsidRPr="00B101BC" w:rsidRDefault="00221F0B" w:rsidP="003C545F">
            <w:pPr>
              <w:keepNext/>
              <w:keepLines/>
              <w:rPr>
                <w:sz w:val="16"/>
                <w:szCs w:val="16"/>
              </w:rPr>
            </w:pPr>
            <w:r w:rsidRPr="00B101BC">
              <w:rPr>
                <w:sz w:val="16"/>
                <w:szCs w:val="16"/>
              </w:rPr>
              <w:t>Aumento del porcentaje de miembros del personal familiarizados hasta llegar al 60%</w:t>
            </w:r>
          </w:p>
        </w:tc>
        <w:tc>
          <w:tcPr>
            <w:tcW w:w="1061" w:type="pct"/>
            <w:tcBorders>
              <w:top w:val="nil"/>
              <w:bottom w:val="nil"/>
            </w:tcBorders>
            <w:shd w:val="clear" w:color="auto" w:fill="FFFFFF"/>
            <w:tcMar>
              <w:top w:w="110" w:type="dxa"/>
            </w:tcMar>
          </w:tcPr>
          <w:p w:rsidR="00221F0B" w:rsidRPr="00B101BC" w:rsidRDefault="00221F0B" w:rsidP="003C545F">
            <w:pPr>
              <w:keepNext/>
              <w:keepLines/>
              <w:rPr>
                <w:sz w:val="16"/>
                <w:szCs w:val="16"/>
              </w:rPr>
            </w:pPr>
            <w:r w:rsidRPr="00B101BC">
              <w:rPr>
                <w:color w:val="000000"/>
                <w:sz w:val="16"/>
                <w:szCs w:val="16"/>
              </w:rPr>
              <w:t>La encuesta y los comentarios del personal previstos para 2015 no se efectuaron.</w:t>
            </w:r>
          </w:p>
        </w:tc>
        <w:tc>
          <w:tcPr>
            <w:tcW w:w="682" w:type="pct"/>
            <w:gridSpan w:val="3"/>
            <w:tcBorders>
              <w:top w:val="nil"/>
              <w:bottom w:val="nil"/>
            </w:tcBorders>
            <w:shd w:val="clear" w:color="auto" w:fill="auto"/>
            <w:tcMar>
              <w:top w:w="110" w:type="dxa"/>
            </w:tcMar>
          </w:tcPr>
          <w:p w:rsidR="00221F0B" w:rsidRPr="00B101BC" w:rsidRDefault="00221F0B" w:rsidP="003C545F">
            <w:pPr>
              <w:keepNext/>
              <w:keepLines/>
              <w:jc w:val="center"/>
              <w:rPr>
                <w:b/>
                <w:color w:val="0070C0"/>
                <w:sz w:val="16"/>
                <w:szCs w:val="16"/>
              </w:rPr>
            </w:pPr>
            <w:r w:rsidRPr="00B101BC">
              <w:rPr>
                <w:b/>
                <w:color w:val="808080" w:themeColor="background1" w:themeShade="80"/>
                <w:sz w:val="16"/>
                <w:szCs w:val="16"/>
              </w:rPr>
              <w:t>No mensurable</w:t>
            </w:r>
          </w:p>
        </w:tc>
      </w:tr>
      <w:tr w:rsidR="00221F0B" w:rsidRPr="00B101BC" w:rsidTr="00DC1333">
        <w:tc>
          <w:tcPr>
            <w:tcW w:w="1212" w:type="pct"/>
            <w:tcBorders>
              <w:top w:val="nil"/>
              <w:bottom w:val="single" w:sz="4" w:space="0" w:color="auto"/>
            </w:tcBorders>
            <w:shd w:val="clear" w:color="auto" w:fill="auto"/>
          </w:tcPr>
          <w:p w:rsidR="00221F0B" w:rsidRPr="00B101BC" w:rsidRDefault="00221F0B" w:rsidP="00DC1333">
            <w:pPr>
              <w:rPr>
                <w:sz w:val="16"/>
                <w:szCs w:val="16"/>
              </w:rPr>
            </w:pPr>
            <w:r w:rsidRPr="00B101BC">
              <w:rPr>
                <w:sz w:val="16"/>
                <w:szCs w:val="16"/>
              </w:rPr>
              <w:t xml:space="preserve">Porcentaje de encuestados que afirman ser conscientes de los principios y </w:t>
            </w:r>
            <w:r>
              <w:rPr>
                <w:sz w:val="16"/>
                <w:szCs w:val="16"/>
              </w:rPr>
              <w:t>políticas de la OMPI en materia</w:t>
            </w:r>
            <w:r w:rsidRPr="00B101BC">
              <w:rPr>
                <w:sz w:val="16"/>
                <w:szCs w:val="16"/>
              </w:rPr>
              <w:t xml:space="preserve"> de ética profesional</w:t>
            </w:r>
          </w:p>
        </w:tc>
        <w:tc>
          <w:tcPr>
            <w:tcW w:w="1288" w:type="pct"/>
            <w:tcBorders>
              <w:top w:val="nil"/>
              <w:bottom w:val="single" w:sz="4" w:space="0" w:color="auto"/>
            </w:tcBorders>
            <w:shd w:val="clear" w:color="auto" w:fill="auto"/>
          </w:tcPr>
          <w:p w:rsidR="00221F0B" w:rsidRPr="00B101BC" w:rsidRDefault="00221F0B" w:rsidP="00DC1333">
            <w:pPr>
              <w:keepNext/>
              <w:keepLines/>
              <w:rPr>
                <w:rFonts w:eastAsiaTheme="minorHAnsi"/>
                <w:color w:val="002060"/>
                <w:sz w:val="16"/>
                <w:szCs w:val="16"/>
              </w:rPr>
            </w:pPr>
            <w:r w:rsidRPr="00B101BC">
              <w:rPr>
                <w:rFonts w:eastAsiaTheme="minorHAnsi"/>
                <w:color w:val="002060"/>
                <w:sz w:val="16"/>
                <w:szCs w:val="16"/>
              </w:rPr>
              <w:t>Referencia actualizada a fines de 2013:</w:t>
            </w:r>
            <w:r>
              <w:rPr>
                <w:rFonts w:eastAsiaTheme="minorHAnsi"/>
                <w:color w:val="002060"/>
                <w:sz w:val="16"/>
                <w:szCs w:val="16"/>
              </w:rPr>
              <w:t xml:space="preserve"> </w:t>
            </w:r>
            <w:r w:rsidRPr="00B101BC">
              <w:rPr>
                <w:rFonts w:eastAsiaTheme="minorHAnsi"/>
                <w:color w:val="002060"/>
                <w:sz w:val="16"/>
                <w:szCs w:val="16"/>
              </w:rPr>
              <w:t xml:space="preserve"> El 98%, según la encuesta sobre las prioridades centrales del PAE (realizada entre enero y febrero de 2013)</w:t>
            </w:r>
          </w:p>
          <w:p w:rsidR="00221F0B" w:rsidRPr="00B101BC" w:rsidRDefault="00221F0B" w:rsidP="00DC1333">
            <w:pPr>
              <w:keepNext/>
              <w:keepLines/>
              <w:rPr>
                <w:i/>
                <w:color w:val="002060"/>
                <w:sz w:val="8"/>
                <w:szCs w:val="8"/>
              </w:rPr>
            </w:pPr>
          </w:p>
          <w:p w:rsidR="00221F0B" w:rsidRPr="00B101BC" w:rsidRDefault="00221F0B" w:rsidP="00DC1333">
            <w:pPr>
              <w:keepNext/>
              <w:keepLines/>
              <w:rPr>
                <w:sz w:val="16"/>
                <w:szCs w:val="16"/>
              </w:rPr>
            </w:pPr>
            <w:r w:rsidRPr="00B101BC">
              <w:rPr>
                <w:i/>
                <w:sz w:val="16"/>
                <w:szCs w:val="16"/>
              </w:rPr>
              <w:t>Referencia original en el presupuesto de 2014/15:</w:t>
            </w:r>
            <w:r>
              <w:rPr>
                <w:i/>
                <w:sz w:val="16"/>
                <w:szCs w:val="16"/>
              </w:rPr>
              <w:t xml:space="preserve"> </w:t>
            </w:r>
            <w:r w:rsidRPr="00B101BC">
              <w:rPr>
                <w:i/>
                <w:sz w:val="16"/>
                <w:szCs w:val="16"/>
              </w:rPr>
              <w:t xml:space="preserve"> </w:t>
            </w:r>
            <w:r w:rsidRPr="00B101BC">
              <w:rPr>
                <w:sz w:val="16"/>
                <w:szCs w:val="16"/>
              </w:rPr>
              <w:t>70%</w:t>
            </w:r>
          </w:p>
          <w:p w:rsidR="00221F0B" w:rsidRPr="00B101BC" w:rsidRDefault="00221F0B" w:rsidP="00DC1333">
            <w:pPr>
              <w:keepNext/>
              <w:keepLines/>
              <w:rPr>
                <w:i/>
                <w:color w:val="002060"/>
                <w:sz w:val="16"/>
                <w:szCs w:val="16"/>
              </w:rPr>
            </w:pPr>
          </w:p>
        </w:tc>
        <w:tc>
          <w:tcPr>
            <w:tcW w:w="757" w:type="pct"/>
            <w:tcBorders>
              <w:top w:val="nil"/>
              <w:bottom w:val="single" w:sz="4" w:space="0" w:color="auto"/>
            </w:tcBorders>
            <w:shd w:val="clear" w:color="auto" w:fill="auto"/>
            <w:tcMar>
              <w:top w:w="110" w:type="dxa"/>
            </w:tcMar>
          </w:tcPr>
          <w:p w:rsidR="00221F0B" w:rsidRPr="00B101BC" w:rsidRDefault="00221F0B" w:rsidP="00DC1333">
            <w:pPr>
              <w:keepNext/>
              <w:keepLines/>
              <w:rPr>
                <w:sz w:val="16"/>
                <w:szCs w:val="16"/>
              </w:rPr>
            </w:pPr>
            <w:r w:rsidRPr="00B101BC">
              <w:rPr>
                <w:sz w:val="16"/>
                <w:szCs w:val="16"/>
              </w:rPr>
              <w:t>75%</w:t>
            </w:r>
          </w:p>
        </w:tc>
        <w:tc>
          <w:tcPr>
            <w:tcW w:w="1061" w:type="pct"/>
            <w:tcBorders>
              <w:top w:val="nil"/>
              <w:bottom w:val="single" w:sz="4" w:space="0" w:color="auto"/>
            </w:tcBorders>
            <w:shd w:val="clear" w:color="auto" w:fill="FFFFFF"/>
            <w:tcMar>
              <w:top w:w="110" w:type="dxa"/>
            </w:tcMar>
          </w:tcPr>
          <w:p w:rsidR="00221F0B" w:rsidRPr="00B101BC" w:rsidRDefault="00221F0B" w:rsidP="00DC1333">
            <w:pPr>
              <w:keepNext/>
              <w:keepLines/>
              <w:autoSpaceDE w:val="0"/>
              <w:autoSpaceDN w:val="0"/>
              <w:adjustRightInd w:val="0"/>
              <w:rPr>
                <w:sz w:val="16"/>
                <w:szCs w:val="16"/>
              </w:rPr>
            </w:pPr>
            <w:r w:rsidRPr="00B101BC">
              <w:rPr>
                <w:sz w:val="16"/>
                <w:szCs w:val="16"/>
              </w:rPr>
              <w:t>La encuesta del personal prevista para el bienio no se llevó a cabo</w:t>
            </w:r>
          </w:p>
        </w:tc>
        <w:tc>
          <w:tcPr>
            <w:tcW w:w="682" w:type="pct"/>
            <w:gridSpan w:val="3"/>
            <w:tcBorders>
              <w:top w:val="nil"/>
              <w:bottom w:val="single" w:sz="4" w:space="0" w:color="auto"/>
            </w:tcBorders>
            <w:shd w:val="clear" w:color="auto" w:fill="auto"/>
            <w:tcMar>
              <w:top w:w="110" w:type="dxa"/>
            </w:tcMar>
          </w:tcPr>
          <w:p w:rsidR="00221F0B" w:rsidRPr="00B101BC" w:rsidRDefault="00221F0B" w:rsidP="00DC1333">
            <w:pPr>
              <w:keepNext/>
              <w:keepLines/>
              <w:ind w:left="-108"/>
              <w:jc w:val="center"/>
              <w:rPr>
                <w:b/>
                <w:sz w:val="16"/>
                <w:szCs w:val="16"/>
              </w:rPr>
            </w:pPr>
            <w:r w:rsidRPr="00B101BC">
              <w:rPr>
                <w:b/>
                <w:color w:val="808080" w:themeColor="background1" w:themeShade="80"/>
                <w:sz w:val="16"/>
                <w:szCs w:val="16"/>
              </w:rPr>
              <w:t>No mensurable</w:t>
            </w:r>
          </w:p>
        </w:tc>
      </w:tr>
    </w:tbl>
    <w:p w:rsidR="00221F0B" w:rsidRDefault="00221F0B" w:rsidP="00DC1333">
      <w:pPr>
        <w:rPr>
          <w:color w:val="000000"/>
          <w:sz w:val="20"/>
        </w:rPr>
      </w:pPr>
    </w:p>
    <w:p w:rsidR="00221F0B" w:rsidRPr="00B101BC" w:rsidRDefault="00221F0B" w:rsidP="00DC1333">
      <w:pPr>
        <w:rPr>
          <w:color w:val="000000"/>
          <w:sz w:val="20"/>
        </w:rPr>
      </w:pPr>
    </w:p>
    <w:p w:rsidR="00221F0B" w:rsidRPr="00B101BC" w:rsidRDefault="008F7CBE" w:rsidP="00DC1333">
      <w:pPr>
        <w:rPr>
          <w:color w:val="000000"/>
          <w:szCs w:val="22"/>
        </w:rPr>
      </w:pPr>
      <w:r w:rsidRPr="008F7CBE">
        <w:rPr>
          <w:sz w:val="20"/>
        </w:rPr>
        <w:t>INFORMACIÓN SOBRE LOS RIESGOS PLANTEADOS EN EL BIENIO</w:t>
      </w:r>
    </w:p>
    <w:p w:rsidR="00221F0B" w:rsidRPr="00B101BC" w:rsidRDefault="00221F0B" w:rsidP="00DC1333"/>
    <w:tbl>
      <w:tblPr>
        <w:tblW w:w="9639"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52"/>
        <w:gridCol w:w="2268"/>
        <w:gridCol w:w="2268"/>
        <w:gridCol w:w="2551"/>
      </w:tblGrid>
      <w:tr w:rsidR="00221F0B" w:rsidRPr="00B101BC" w:rsidTr="00DC1333">
        <w:trPr>
          <w:trHeight w:val="412"/>
        </w:trPr>
        <w:tc>
          <w:tcPr>
            <w:tcW w:w="2552"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101BC" w:rsidRDefault="00221F0B" w:rsidP="00DC1333">
            <w:pPr>
              <w:jc w:val="center"/>
            </w:pPr>
            <w:r w:rsidRPr="00B101BC">
              <w:rPr>
                <w:b/>
                <w:bCs/>
                <w:iCs/>
                <w:sz w:val="18"/>
                <w:szCs w:val="18"/>
              </w:rPr>
              <w:t>Riesgos en el logro de los resultados del programa</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101BC" w:rsidRDefault="00221F0B" w:rsidP="00DC1333">
            <w:pPr>
              <w:jc w:val="center"/>
            </w:pPr>
            <w:r w:rsidRPr="00B101BC">
              <w:rPr>
                <w:b/>
                <w:bCs/>
                <w:iCs/>
                <w:sz w:val="18"/>
                <w:szCs w:val="18"/>
              </w:rPr>
              <w:t>Planes de mitigación ejecutados o en ejecución</w:t>
            </w:r>
          </w:p>
        </w:tc>
        <w:tc>
          <w:tcPr>
            <w:tcW w:w="2268" w:type="dxa"/>
            <w:tcBorders>
              <w:top w:val="single" w:sz="4" w:space="0" w:color="auto"/>
              <w:bottom w:val="single" w:sz="4" w:space="0" w:color="auto"/>
            </w:tcBorders>
            <w:shd w:val="clear" w:color="auto" w:fill="C6D9F1" w:themeFill="text2" w:themeFillTint="33"/>
          </w:tcPr>
          <w:p w:rsidR="00221F0B" w:rsidRPr="00B101BC" w:rsidRDefault="00221F0B" w:rsidP="00DC1333">
            <w:pPr>
              <w:jc w:val="center"/>
              <w:rPr>
                <w:b/>
                <w:bCs/>
                <w:sz w:val="18"/>
                <w:szCs w:val="18"/>
              </w:rPr>
            </w:pPr>
            <w:r w:rsidRPr="00B101BC">
              <w:rPr>
                <w:b/>
                <w:bCs/>
                <w:iCs/>
                <w:sz w:val="18"/>
                <w:szCs w:val="18"/>
              </w:rPr>
              <w:t>Evolución de los riesgos y estrategias de mitigación durante el bienio</w:t>
            </w:r>
          </w:p>
        </w:tc>
        <w:tc>
          <w:tcPr>
            <w:tcW w:w="2551" w:type="dxa"/>
            <w:tcBorders>
              <w:top w:val="single" w:sz="4" w:space="0" w:color="auto"/>
              <w:bottom w:val="single" w:sz="4" w:space="0" w:color="auto"/>
            </w:tcBorders>
            <w:shd w:val="clear" w:color="auto" w:fill="C6D9F1" w:themeFill="text2" w:themeFillTint="33"/>
          </w:tcPr>
          <w:p w:rsidR="00221F0B" w:rsidRPr="00B101BC" w:rsidRDefault="00221F0B" w:rsidP="00DC1333">
            <w:pPr>
              <w:jc w:val="center"/>
              <w:rPr>
                <w:b/>
                <w:bCs/>
                <w:sz w:val="18"/>
                <w:szCs w:val="18"/>
              </w:rPr>
            </w:pPr>
            <w:r w:rsidRPr="00B101BC">
              <w:rPr>
                <w:b/>
                <w:bCs/>
                <w:sz w:val="18"/>
                <w:szCs w:val="18"/>
              </w:rPr>
              <w:t>Incidencia en el rendimiento del programa</w:t>
            </w:r>
          </w:p>
        </w:tc>
      </w:tr>
      <w:tr w:rsidR="00221F0B" w:rsidRPr="00B101BC" w:rsidTr="00DC1333">
        <w:tc>
          <w:tcPr>
            <w:tcW w:w="2552" w:type="dxa"/>
            <w:tcBorders>
              <w:top w:val="single" w:sz="4" w:space="0" w:color="auto"/>
            </w:tcBorders>
            <w:shd w:val="clear" w:color="auto" w:fill="auto"/>
            <w:tcMar>
              <w:top w:w="113" w:type="dxa"/>
              <w:bottom w:w="85" w:type="dxa"/>
            </w:tcMar>
          </w:tcPr>
          <w:p w:rsidR="00221F0B" w:rsidRPr="00B101BC" w:rsidRDefault="00221F0B" w:rsidP="00DC1333">
            <w:pPr>
              <w:rPr>
                <w:sz w:val="16"/>
                <w:szCs w:val="16"/>
              </w:rPr>
            </w:pPr>
            <w:r w:rsidRPr="00B101BC">
              <w:rPr>
                <w:sz w:val="16"/>
                <w:szCs w:val="16"/>
              </w:rPr>
              <w:t xml:space="preserve">La OMPI ha efectuado importantes inversiones en el Programa de Alineación Estratégica, que concluyó a principios de 2013, y gracias a ello ha obtenido rápidos </w:t>
            </w:r>
            <w:r w:rsidRPr="00B101BC">
              <w:rPr>
                <w:sz w:val="16"/>
                <w:szCs w:val="16"/>
              </w:rPr>
              <w:lastRenderedPageBreak/>
              <w:t>avances y mejoras en la eficiencia.  Si el personal directivo superior, el resto del personal y los Estados miembros no siguen centrados en mejorar los resultados, la Organización corre el riesgo de ver atenuadas las mejoras adquiridas gracias al PAE.  Están en riesgo especialmente las iniciativas que comprenden nuevos procedimientos (por ejemplo, la administración de la continuidad de las operaciones y la gestión de riesgos).</w:t>
            </w:r>
          </w:p>
          <w:p w:rsidR="00221F0B" w:rsidRPr="00B101BC" w:rsidRDefault="00221F0B" w:rsidP="00DC1333">
            <w:pPr>
              <w:rPr>
                <w:sz w:val="16"/>
                <w:szCs w:val="16"/>
              </w:rPr>
            </w:pPr>
          </w:p>
        </w:tc>
        <w:tc>
          <w:tcPr>
            <w:tcW w:w="2268" w:type="dxa"/>
            <w:tcBorders>
              <w:top w:val="single" w:sz="4" w:space="0" w:color="auto"/>
            </w:tcBorders>
            <w:shd w:val="clear" w:color="auto" w:fill="auto"/>
            <w:tcMar>
              <w:top w:w="113" w:type="dxa"/>
              <w:bottom w:w="85" w:type="dxa"/>
            </w:tcMar>
          </w:tcPr>
          <w:p w:rsidR="00221F0B" w:rsidRPr="00B101BC" w:rsidRDefault="00221F0B" w:rsidP="00DC1333">
            <w:pPr>
              <w:rPr>
                <w:sz w:val="16"/>
                <w:szCs w:val="16"/>
              </w:rPr>
            </w:pPr>
            <w:r w:rsidRPr="00B101BC">
              <w:rPr>
                <w:sz w:val="16"/>
                <w:szCs w:val="16"/>
              </w:rPr>
              <w:lastRenderedPageBreak/>
              <w:t xml:space="preserve">Desde el comienzo, la estructura de gobierno del PAE ha incluido la supervisión del personal directivo superior y la presentación de informes </w:t>
            </w:r>
            <w:r w:rsidRPr="00B101BC">
              <w:rPr>
                <w:sz w:val="16"/>
                <w:szCs w:val="16"/>
              </w:rPr>
              <w:lastRenderedPageBreak/>
              <w:t>periódicos de la CCIS que han contribuido a afianzar la responsabilidad de aplicar el PAE a lo largo de la Organización.</w:t>
            </w:r>
          </w:p>
          <w:p w:rsidR="00221F0B" w:rsidRPr="00B101BC" w:rsidRDefault="00221F0B" w:rsidP="00DC1333">
            <w:pPr>
              <w:rPr>
                <w:sz w:val="16"/>
                <w:szCs w:val="16"/>
              </w:rPr>
            </w:pPr>
          </w:p>
          <w:p w:rsidR="00221F0B" w:rsidRPr="00B101BC" w:rsidRDefault="00221F0B" w:rsidP="00DC1333">
            <w:pPr>
              <w:rPr>
                <w:sz w:val="16"/>
                <w:szCs w:val="16"/>
              </w:rPr>
            </w:pPr>
            <w:r w:rsidRPr="00B101BC">
              <w:rPr>
                <w:sz w:val="16"/>
                <w:szCs w:val="16"/>
              </w:rPr>
              <w:t>A medida que la Organización entra en el período posterior a la ejecución del plan de alineación estratégica, la constante atención especial que presta el personal directivo superior garantizará que se mantengan y se consoliden los valores esenciales y los resultados de cada iniciativa en beneficio de la OMPI y sus partes interesadas.</w:t>
            </w:r>
          </w:p>
        </w:tc>
        <w:tc>
          <w:tcPr>
            <w:tcW w:w="2268" w:type="dxa"/>
            <w:tcBorders>
              <w:top w:val="single" w:sz="4" w:space="0" w:color="auto"/>
            </w:tcBorders>
          </w:tcPr>
          <w:p w:rsidR="00221F0B" w:rsidRPr="00B101BC" w:rsidRDefault="00221F0B" w:rsidP="00DC1333">
            <w:pPr>
              <w:rPr>
                <w:sz w:val="16"/>
                <w:szCs w:val="16"/>
              </w:rPr>
            </w:pPr>
            <w:r w:rsidRPr="00B101BC">
              <w:rPr>
                <w:sz w:val="16"/>
                <w:szCs w:val="16"/>
              </w:rPr>
              <w:lastRenderedPageBreak/>
              <w:t xml:space="preserve">Este riesgo se redujo de forma sostenida en el transcurso del bienio, principalmente gracias a las estrategias proactivas de seguimiento empleadas, </w:t>
            </w:r>
            <w:r w:rsidRPr="00B101BC">
              <w:rPr>
                <w:sz w:val="16"/>
                <w:szCs w:val="16"/>
              </w:rPr>
              <w:lastRenderedPageBreak/>
              <w:t>entre las que se incluían integrar la responsabilidad por las funciones nuevas y sólidas destinadas a profundizar en la evolución y el desarrollo de las iniciativas sembradas en el contexto del PAE, incluidas la gestión de riesgos, la continuidad de las operaciones, la ética profesional y la integridad, la comunicación interna, etcétera).</w:t>
            </w:r>
          </w:p>
        </w:tc>
        <w:tc>
          <w:tcPr>
            <w:tcW w:w="2551" w:type="dxa"/>
            <w:tcBorders>
              <w:top w:val="single" w:sz="4" w:space="0" w:color="auto"/>
            </w:tcBorders>
          </w:tcPr>
          <w:p w:rsidR="00221F0B" w:rsidRPr="00B101BC" w:rsidRDefault="00221F0B" w:rsidP="00DC1333">
            <w:pPr>
              <w:rPr>
                <w:sz w:val="16"/>
                <w:szCs w:val="16"/>
              </w:rPr>
            </w:pPr>
            <w:r w:rsidRPr="00B101BC">
              <w:rPr>
                <w:sz w:val="16"/>
                <w:szCs w:val="16"/>
              </w:rPr>
              <w:lastRenderedPageBreak/>
              <w:t xml:space="preserve">La incidencia en el rendimiento del programa no fue sustancial, pero siguió habiendo una incidencia positiva en el rendimiento de los respectivos programas en los que estas </w:t>
            </w:r>
            <w:r w:rsidRPr="00B101BC">
              <w:rPr>
                <w:sz w:val="16"/>
                <w:szCs w:val="16"/>
              </w:rPr>
              <w:lastRenderedPageBreak/>
              <w:t>iniciativas del PAE han encontrado cabida, así como en el rendimiento de</w:t>
            </w:r>
            <w:r>
              <w:rPr>
                <w:sz w:val="16"/>
                <w:szCs w:val="16"/>
              </w:rPr>
              <w:t xml:space="preserve"> </w:t>
            </w:r>
            <w:r w:rsidRPr="00B101BC">
              <w:rPr>
                <w:sz w:val="16"/>
                <w:szCs w:val="16"/>
              </w:rPr>
              <w:t>la Organización en general, contribuyendo notablemente al fortalecimiento continuo de la transparencia y la rendición</w:t>
            </w:r>
            <w:r>
              <w:rPr>
                <w:sz w:val="16"/>
                <w:szCs w:val="16"/>
              </w:rPr>
              <w:t xml:space="preserve"> de cuentas</w:t>
            </w:r>
            <w:r w:rsidRPr="00B101BC">
              <w:rPr>
                <w:sz w:val="16"/>
                <w:szCs w:val="16"/>
              </w:rPr>
              <w:t xml:space="preserve"> y proporcionando a la OMPI una plataforma propicia para prestar servicio a sus clientes y partes interesadas</w:t>
            </w:r>
          </w:p>
        </w:tc>
      </w:tr>
      <w:tr w:rsidR="00221F0B" w:rsidRPr="00B101BC" w:rsidTr="00DC1333">
        <w:trPr>
          <w:trHeight w:val="1349"/>
        </w:trPr>
        <w:tc>
          <w:tcPr>
            <w:tcW w:w="2552" w:type="dxa"/>
            <w:shd w:val="clear" w:color="auto" w:fill="auto"/>
            <w:tcMar>
              <w:top w:w="113" w:type="dxa"/>
              <w:bottom w:w="85" w:type="dxa"/>
            </w:tcMar>
          </w:tcPr>
          <w:p w:rsidR="00221F0B" w:rsidRPr="00B101BC" w:rsidRDefault="00221F0B" w:rsidP="00DC1333">
            <w:pPr>
              <w:keepNext/>
              <w:keepLines/>
              <w:rPr>
                <w:sz w:val="16"/>
                <w:szCs w:val="16"/>
              </w:rPr>
            </w:pPr>
            <w:r w:rsidRPr="00B101BC">
              <w:rPr>
                <w:sz w:val="16"/>
                <w:szCs w:val="16"/>
              </w:rPr>
              <w:lastRenderedPageBreak/>
              <w:t>La colaboración eficaz de la OMPI con los Estados miembros tiene una importancia primordial para lograr resultados puntuales.  Existe el riesgo de que se atenúen los avances en los procesos intergubernamentales de la OMPI, como por ejemplo los debates normativos, y aumenten los costos o se amplíen los calendarios de ejecución de los programas aprobados.  En tanto que organismo internacional dedicado al establecimiento de normas de P.I., esa situación repercutiría negativamente en la credibilidad de la OMPI.</w:t>
            </w:r>
          </w:p>
          <w:p w:rsidR="00221F0B" w:rsidRPr="00B101BC" w:rsidRDefault="00221F0B" w:rsidP="00DC1333">
            <w:pPr>
              <w:keepNext/>
              <w:keepLines/>
              <w:rPr>
                <w:sz w:val="16"/>
                <w:szCs w:val="16"/>
              </w:rPr>
            </w:pPr>
          </w:p>
        </w:tc>
        <w:tc>
          <w:tcPr>
            <w:tcW w:w="2268" w:type="dxa"/>
            <w:shd w:val="clear" w:color="auto" w:fill="auto"/>
            <w:tcMar>
              <w:top w:w="113" w:type="dxa"/>
              <w:bottom w:w="85" w:type="dxa"/>
            </w:tcMar>
          </w:tcPr>
          <w:p w:rsidR="00221F0B" w:rsidRPr="00B101BC" w:rsidRDefault="00221F0B" w:rsidP="00DC1333">
            <w:pPr>
              <w:keepNext/>
              <w:keepLines/>
              <w:rPr>
                <w:sz w:val="16"/>
                <w:szCs w:val="16"/>
              </w:rPr>
            </w:pPr>
            <w:r w:rsidRPr="00B101BC">
              <w:rPr>
                <w:sz w:val="16"/>
                <w:szCs w:val="16"/>
              </w:rPr>
              <w:t>Seguir manteniendo una coordinación estrecha, transparente y basada en la confianza entre la Secretaría y los Estados miembros.</w:t>
            </w:r>
          </w:p>
        </w:tc>
        <w:tc>
          <w:tcPr>
            <w:tcW w:w="2268" w:type="dxa"/>
          </w:tcPr>
          <w:p w:rsidR="00221F0B" w:rsidRPr="00B101BC" w:rsidRDefault="00221F0B" w:rsidP="00DC1333">
            <w:pPr>
              <w:keepNext/>
              <w:keepLines/>
              <w:rPr>
                <w:sz w:val="16"/>
                <w:szCs w:val="16"/>
              </w:rPr>
            </w:pPr>
            <w:r w:rsidRPr="00B101BC">
              <w:rPr>
                <w:sz w:val="16"/>
                <w:szCs w:val="16"/>
              </w:rPr>
              <w:t>El riesgo general descrito para el programa no ha variado de manera sustancial durante el período en cuestión.  Lo mismo puede decirse de los planes de mitigación ejecutados, que seguirán siendo pertinentes durante el bienio 2016/17.</w:t>
            </w:r>
          </w:p>
        </w:tc>
        <w:tc>
          <w:tcPr>
            <w:tcW w:w="2551" w:type="dxa"/>
          </w:tcPr>
          <w:p w:rsidR="00221F0B" w:rsidRPr="00B101BC" w:rsidRDefault="00221F0B" w:rsidP="00DC1333">
            <w:pPr>
              <w:keepNext/>
              <w:keepLines/>
              <w:rPr>
                <w:sz w:val="16"/>
                <w:szCs w:val="16"/>
              </w:rPr>
            </w:pPr>
            <w:r w:rsidRPr="00B101BC">
              <w:rPr>
                <w:sz w:val="16"/>
                <w:szCs w:val="16"/>
              </w:rPr>
              <w:t>Los riesgos que son inherentes a las actividades normativas de la Organización se mitigan constantemente mediante la coordinación continua, estrecha, sincera y transparente entre la Secretaría y los Estados miembros.  No se observó incidencia sustancial alguna en el rendimiento del programa.</w:t>
            </w:r>
          </w:p>
        </w:tc>
      </w:tr>
    </w:tbl>
    <w:p w:rsidR="00221F0B" w:rsidRDefault="00221F0B" w:rsidP="00DC1333">
      <w:pPr>
        <w:rPr>
          <w:sz w:val="20"/>
        </w:rPr>
      </w:pPr>
    </w:p>
    <w:p w:rsidR="00221F0B" w:rsidRPr="00B101BC" w:rsidRDefault="00221F0B" w:rsidP="00DC1333">
      <w:pPr>
        <w:rPr>
          <w:sz w:val="20"/>
        </w:rPr>
      </w:pPr>
    </w:p>
    <w:p w:rsidR="00221F0B" w:rsidRPr="00B101BC" w:rsidRDefault="00403D2C" w:rsidP="00DC1333">
      <w:pPr>
        <w:rPr>
          <w:b/>
          <w:sz w:val="18"/>
          <w:szCs w:val="18"/>
        </w:rPr>
      </w:pPr>
      <w:r w:rsidRPr="00403D2C">
        <w:rPr>
          <w:sz w:val="20"/>
          <w:szCs w:val="22"/>
        </w:rPr>
        <w:t>UTILIZACIÓN DE LOS RECURSOS</w:t>
      </w:r>
    </w:p>
    <w:p w:rsidR="00221F0B" w:rsidRPr="00B101BC" w:rsidRDefault="00221F0B" w:rsidP="00DC1333">
      <w:pPr>
        <w:rPr>
          <w:sz w:val="20"/>
        </w:rPr>
      </w:pPr>
    </w:p>
    <w:p w:rsidR="00221F0B" w:rsidRPr="00B101BC" w:rsidRDefault="00221F0B" w:rsidP="00DC1333">
      <w:pPr>
        <w:pStyle w:val="NormalWeb"/>
        <w:spacing w:before="0" w:beforeAutospacing="0" w:after="0" w:afterAutospacing="0"/>
        <w:jc w:val="center"/>
        <w:rPr>
          <w:sz w:val="20"/>
          <w:szCs w:val="20"/>
          <w:lang w:val="es-ES"/>
        </w:rPr>
      </w:pPr>
      <w:r w:rsidRPr="00B101BC">
        <w:rPr>
          <w:sz w:val="20"/>
          <w:szCs w:val="20"/>
          <w:lang w:val="es-ES"/>
        </w:rPr>
        <w:t xml:space="preserve">Presupuesto y gastos reales (por resultado) </w:t>
      </w:r>
    </w:p>
    <w:p w:rsidR="00221F0B" w:rsidRPr="00B101BC" w:rsidRDefault="00221F0B" w:rsidP="00DC1333">
      <w:pPr>
        <w:pStyle w:val="NormalWeb"/>
        <w:spacing w:before="0" w:beforeAutospacing="0" w:after="0" w:afterAutospacing="0"/>
        <w:jc w:val="center"/>
        <w:rPr>
          <w:i/>
          <w:iCs/>
          <w:sz w:val="20"/>
          <w:szCs w:val="20"/>
          <w:lang w:val="es-ES"/>
        </w:rPr>
      </w:pPr>
      <w:r w:rsidRPr="00B101BC">
        <w:rPr>
          <w:i/>
          <w:iCs/>
          <w:sz w:val="20"/>
          <w:szCs w:val="20"/>
          <w:lang w:val="es-ES"/>
        </w:rPr>
        <w:t>(</w:t>
      </w:r>
      <w:proofErr w:type="gramStart"/>
      <w:r w:rsidRPr="00B101BC">
        <w:rPr>
          <w:i/>
          <w:iCs/>
          <w:sz w:val="20"/>
          <w:szCs w:val="20"/>
          <w:lang w:val="es-ES"/>
        </w:rPr>
        <w:t>en</w:t>
      </w:r>
      <w:proofErr w:type="gramEnd"/>
      <w:r w:rsidRPr="00B101BC">
        <w:rPr>
          <w:i/>
          <w:iCs/>
          <w:sz w:val="20"/>
          <w:szCs w:val="20"/>
          <w:lang w:val="es-ES"/>
        </w:rPr>
        <w:t xml:space="preserve"> miles de francos suizos)</w:t>
      </w:r>
    </w:p>
    <w:p w:rsidR="00221F0B" w:rsidRPr="00B101BC" w:rsidRDefault="00221F0B" w:rsidP="00DC1333">
      <w:pPr>
        <w:pStyle w:val="NormalWeb"/>
        <w:spacing w:before="0" w:beforeAutospacing="0" w:after="0" w:afterAutospacing="0"/>
        <w:jc w:val="center"/>
        <w:rPr>
          <w:sz w:val="20"/>
          <w:szCs w:val="20"/>
          <w:lang w:val="es-ES"/>
        </w:rPr>
      </w:pPr>
    </w:p>
    <w:p w:rsidR="00221F0B" w:rsidRPr="00B101BC" w:rsidRDefault="00221F0B" w:rsidP="00DC1333">
      <w:pPr>
        <w:jc w:val="center"/>
      </w:pPr>
      <w:bookmarkStart w:id="172" w:name="Bm21"/>
      <w:bookmarkStart w:id="173" w:name="Punto21"/>
      <w:r>
        <w:rPr>
          <w:noProof/>
          <w:lang w:val="en-US" w:eastAsia="en-US"/>
        </w:rPr>
        <w:drawing>
          <wp:inline distT="0" distB="0" distL="0" distR="0" wp14:anchorId="72CF5E23" wp14:editId="185B6AEA">
            <wp:extent cx="5676900" cy="32099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76900" cy="3209925"/>
                    </a:xfrm>
                    <a:prstGeom prst="rect">
                      <a:avLst/>
                    </a:prstGeom>
                    <a:noFill/>
                    <a:ln>
                      <a:noFill/>
                    </a:ln>
                  </pic:spPr>
                </pic:pic>
              </a:graphicData>
            </a:graphic>
          </wp:inline>
        </w:drawing>
      </w:r>
      <w:bookmarkEnd w:id="172"/>
      <w:bookmarkEnd w:id="173"/>
    </w:p>
    <w:p w:rsidR="00221F0B" w:rsidRPr="00B101BC" w:rsidRDefault="00221F0B" w:rsidP="00DC1333">
      <w:pPr>
        <w:rPr>
          <w:sz w:val="20"/>
        </w:rPr>
      </w:pPr>
    </w:p>
    <w:p w:rsidR="00221F0B" w:rsidRPr="00B101BC" w:rsidRDefault="00221F0B" w:rsidP="00DC1333">
      <w:pPr>
        <w:rPr>
          <w:sz w:val="20"/>
        </w:rPr>
      </w:pPr>
    </w:p>
    <w:p w:rsidR="00221F0B" w:rsidRPr="00B101BC" w:rsidRDefault="00221F0B" w:rsidP="00DC1333">
      <w:pPr>
        <w:pStyle w:val="NormalWeb"/>
        <w:keepNext/>
        <w:keepLines/>
        <w:spacing w:before="0" w:beforeAutospacing="0" w:after="0" w:afterAutospacing="0"/>
        <w:jc w:val="center"/>
        <w:rPr>
          <w:sz w:val="20"/>
          <w:szCs w:val="20"/>
          <w:lang w:val="es-ES"/>
        </w:rPr>
      </w:pPr>
      <w:r w:rsidRPr="00B101BC">
        <w:rPr>
          <w:sz w:val="20"/>
          <w:szCs w:val="20"/>
          <w:lang w:val="es-ES"/>
        </w:rPr>
        <w:t xml:space="preserve">Presupuesto y gastos reales (de personal y no relativos a personal) </w:t>
      </w:r>
    </w:p>
    <w:p w:rsidR="00221F0B" w:rsidRPr="00B101BC" w:rsidRDefault="00221F0B" w:rsidP="00DC1333">
      <w:pPr>
        <w:pStyle w:val="NormalWeb"/>
        <w:keepNext/>
        <w:keepLines/>
        <w:spacing w:before="0" w:beforeAutospacing="0" w:after="0" w:afterAutospacing="0"/>
        <w:jc w:val="center"/>
        <w:rPr>
          <w:i/>
          <w:iCs/>
          <w:sz w:val="20"/>
          <w:szCs w:val="20"/>
          <w:lang w:val="es-ES"/>
        </w:rPr>
      </w:pPr>
      <w:r w:rsidRPr="00B101BC">
        <w:rPr>
          <w:i/>
          <w:iCs/>
          <w:sz w:val="20"/>
          <w:szCs w:val="20"/>
          <w:lang w:val="es-ES"/>
        </w:rPr>
        <w:t>(</w:t>
      </w:r>
      <w:proofErr w:type="gramStart"/>
      <w:r w:rsidRPr="00B101BC">
        <w:rPr>
          <w:i/>
          <w:iCs/>
          <w:sz w:val="20"/>
          <w:szCs w:val="20"/>
          <w:lang w:val="es-ES"/>
        </w:rPr>
        <w:t>en</w:t>
      </w:r>
      <w:proofErr w:type="gramEnd"/>
      <w:r w:rsidRPr="00B101BC">
        <w:rPr>
          <w:i/>
          <w:iCs/>
          <w:sz w:val="20"/>
          <w:szCs w:val="20"/>
          <w:lang w:val="es-ES"/>
        </w:rPr>
        <w:t xml:space="preserve"> miles de francos suizos)</w:t>
      </w:r>
    </w:p>
    <w:p w:rsidR="00221F0B" w:rsidRPr="00B101BC" w:rsidRDefault="00221F0B" w:rsidP="00DC1333">
      <w:pPr>
        <w:pStyle w:val="NormalWeb"/>
        <w:keepNext/>
        <w:keepLines/>
        <w:spacing w:before="0" w:beforeAutospacing="0" w:after="0" w:afterAutospacing="0"/>
        <w:jc w:val="center"/>
        <w:rPr>
          <w:lang w:val="es-ES"/>
        </w:rPr>
      </w:pPr>
    </w:p>
    <w:p w:rsidR="00221F0B" w:rsidRPr="00B101BC" w:rsidRDefault="00221F0B" w:rsidP="00DC1333">
      <w:pPr>
        <w:jc w:val="center"/>
      </w:pPr>
      <w:bookmarkStart w:id="174" w:name="Point21"/>
      <w:r>
        <w:rPr>
          <w:noProof/>
          <w:lang w:val="en-US" w:eastAsia="en-US"/>
        </w:rPr>
        <w:drawing>
          <wp:inline distT="0" distB="0" distL="0" distR="0" wp14:anchorId="062152C7" wp14:editId="47713F82">
            <wp:extent cx="5940425" cy="1080827"/>
            <wp:effectExtent l="0" t="0" r="3175"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0425" cy="1080827"/>
                    </a:xfrm>
                    <a:prstGeom prst="rect">
                      <a:avLst/>
                    </a:prstGeom>
                    <a:noFill/>
                    <a:ln>
                      <a:noFill/>
                    </a:ln>
                  </pic:spPr>
                </pic:pic>
              </a:graphicData>
            </a:graphic>
          </wp:inline>
        </w:drawing>
      </w:r>
      <w:bookmarkEnd w:id="174"/>
    </w:p>
    <w:p w:rsidR="00221F0B" w:rsidRDefault="00221F0B" w:rsidP="00DC1333">
      <w:pPr>
        <w:widowControl w:val="0"/>
        <w:autoSpaceDE w:val="0"/>
        <w:autoSpaceDN w:val="0"/>
        <w:adjustRightInd w:val="0"/>
        <w:rPr>
          <w:sz w:val="20"/>
        </w:rPr>
      </w:pPr>
    </w:p>
    <w:p w:rsidR="00221F0B" w:rsidRPr="00B101BC" w:rsidRDefault="00221F0B" w:rsidP="00DC1333">
      <w:pPr>
        <w:widowControl w:val="0"/>
        <w:autoSpaceDE w:val="0"/>
        <w:autoSpaceDN w:val="0"/>
        <w:adjustRightInd w:val="0"/>
        <w:rPr>
          <w:sz w:val="20"/>
        </w:rPr>
      </w:pPr>
    </w:p>
    <w:p w:rsidR="00221F0B" w:rsidRPr="00B101BC" w:rsidRDefault="00403D2C" w:rsidP="00DC1333">
      <w:pPr>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B101BC" w:rsidRDefault="00221F0B" w:rsidP="00DC1333">
      <w:pPr>
        <w:rPr>
          <w:sz w:val="20"/>
          <w:u w:val="single"/>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El incremento de los recursos de personal en el presupuesto final tras las transferencias se debió fundamentalmente a:</w:t>
      </w:r>
    </w:p>
    <w:p w:rsidR="00221F0B" w:rsidRPr="00B101BC" w:rsidRDefault="00221F0B" w:rsidP="00DC1333">
      <w:pPr>
        <w:autoSpaceDE w:val="0"/>
        <w:autoSpaceDN w:val="0"/>
        <w:adjustRightInd w:val="0"/>
        <w:jc w:val="both"/>
        <w:rPr>
          <w:sz w:val="20"/>
          <w:lang w:eastAsia="ko-KR"/>
        </w:rPr>
      </w:pPr>
    </w:p>
    <w:p w:rsidR="00221F0B" w:rsidRPr="00221F0B" w:rsidRDefault="00221F0B" w:rsidP="006E741C">
      <w:pPr>
        <w:pStyle w:val="ListParagraph"/>
        <w:autoSpaceDE w:val="0"/>
        <w:autoSpaceDN w:val="0"/>
        <w:spacing w:after="120"/>
        <w:ind w:left="567"/>
        <w:jc w:val="both"/>
        <w:rPr>
          <w:bCs/>
          <w:lang w:val="es-ES" w:eastAsia="ko-KR"/>
        </w:rPr>
      </w:pPr>
      <w:r w:rsidRPr="00221F0B">
        <w:rPr>
          <w:lang w:val="es-ES" w:eastAsia="ko-KR"/>
        </w:rPr>
        <w:t>i)</w:t>
      </w:r>
      <w:r w:rsidRPr="00221F0B">
        <w:rPr>
          <w:lang w:val="es-ES" w:eastAsia="ko-KR"/>
        </w:rPr>
        <w:tab/>
        <w:t>la transferencia de puestos al programa tras la fusión de la función de eventos con la función del protocolo, reflejada en el resultado previsto VIII.3 (</w:t>
      </w:r>
      <w:r w:rsidRPr="00221F0B">
        <w:rPr>
          <w:bCs/>
          <w:lang w:val="es-ES" w:eastAsia="ko-KR"/>
        </w:rPr>
        <w:t>Atención eficaz a los Estados miembros);</w:t>
      </w:r>
    </w:p>
    <w:p w:rsidR="00221F0B" w:rsidRPr="00221F0B" w:rsidRDefault="00221F0B" w:rsidP="006E741C">
      <w:pPr>
        <w:pStyle w:val="ListParagraph"/>
        <w:autoSpaceDE w:val="0"/>
        <w:autoSpaceDN w:val="0"/>
        <w:spacing w:after="120"/>
        <w:ind w:left="567"/>
        <w:jc w:val="both"/>
        <w:rPr>
          <w:lang w:val="es-ES" w:eastAsia="ko-KR"/>
        </w:rPr>
      </w:pPr>
      <w:r w:rsidRPr="00221F0B">
        <w:rPr>
          <w:bCs/>
          <w:lang w:val="es-ES" w:eastAsia="ko-KR"/>
        </w:rPr>
        <w:t>ii)</w:t>
      </w:r>
      <w:r w:rsidRPr="00221F0B">
        <w:rPr>
          <w:bCs/>
          <w:lang w:val="es-ES" w:eastAsia="ko-KR"/>
        </w:rPr>
        <w:tab/>
      </w:r>
      <w:r w:rsidRPr="00221F0B">
        <w:rPr>
          <w:lang w:val="es-ES" w:eastAsia="ko-KR"/>
        </w:rPr>
        <w:t>la creación de la función de coordinador de la continuidad de las operaciones, reflejada en el resultado previsto IV.2 (</w:t>
      </w:r>
      <w:r w:rsidRPr="00221F0B">
        <w:rPr>
          <w:bCs/>
          <w:lang w:val="es-ES" w:eastAsia="ko-KR"/>
        </w:rPr>
        <w:t>Mejora del acceso y uso de información de P.I. por parte de instituciones de P.I. y el público para fomentar la innovación y la creatividad</w:t>
      </w:r>
      <w:r w:rsidRPr="00221F0B">
        <w:rPr>
          <w:lang w:val="es-ES" w:eastAsia="ko-KR"/>
        </w:rPr>
        <w:t>), y</w:t>
      </w:r>
    </w:p>
    <w:p w:rsidR="00221F0B" w:rsidRPr="00221F0B" w:rsidRDefault="00221F0B" w:rsidP="006E741C">
      <w:pPr>
        <w:pStyle w:val="ListParagraph"/>
        <w:autoSpaceDE w:val="0"/>
        <w:autoSpaceDN w:val="0"/>
        <w:spacing w:after="120"/>
        <w:ind w:left="567"/>
        <w:jc w:val="both"/>
        <w:rPr>
          <w:lang w:val="es-ES" w:eastAsia="ko-KR"/>
        </w:rPr>
      </w:pPr>
      <w:r w:rsidRPr="00221F0B">
        <w:rPr>
          <w:lang w:val="es-ES" w:eastAsia="ko-KR"/>
        </w:rPr>
        <w:t>iii)</w:t>
      </w:r>
      <w:r w:rsidRPr="00221F0B">
        <w:rPr>
          <w:lang w:val="es-ES" w:eastAsia="ko-KR"/>
        </w:rPr>
        <w:tab/>
        <w:t>el fortalecimiento de la Oficina del Consejero Jurídico para satisfacer la creciente demanda de servicios jurídicos, reflejado en los resultados previstos VIII.3 (</w:t>
      </w:r>
      <w:r w:rsidRPr="00221F0B">
        <w:rPr>
          <w:bCs/>
          <w:lang w:val="es-ES" w:eastAsia="ko-KR"/>
        </w:rPr>
        <w:t>Atención eficaz a los Estados miembros</w:t>
      </w:r>
      <w:r w:rsidRPr="00221F0B">
        <w:rPr>
          <w:lang w:val="es-ES" w:eastAsia="ko-KR"/>
        </w:rPr>
        <w:t>) y VIII.5 (</w:t>
      </w:r>
      <w:r w:rsidRPr="00221F0B">
        <w:rPr>
          <w:bCs/>
          <w:lang w:val="es-ES" w:eastAsia="ko-KR"/>
        </w:rPr>
        <w:t>La OMPI participa y colabora eficazmente en los procesos y negociaciones de las Naciones Unidas y otras OIG</w:t>
      </w:r>
      <w:r w:rsidRPr="00221F0B">
        <w:rPr>
          <w:lang w:val="es-ES" w:eastAsia="ko-KR"/>
        </w:rPr>
        <w:t>).</w:t>
      </w: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El aumento de los recursos no relativos a personal se debió principalmente a los requisitos adicionales en favor de mejorar la atención eficaz a los Estados miembros (resultado previsto VIII.3).</w:t>
      </w:r>
    </w:p>
    <w:p w:rsidR="00221F0B" w:rsidRPr="00B101BC" w:rsidRDefault="00221F0B" w:rsidP="00DC1333">
      <w:pPr>
        <w:autoSpaceDE w:val="0"/>
        <w:autoSpaceDN w:val="0"/>
        <w:jc w:val="both"/>
        <w:rPr>
          <w:sz w:val="20"/>
          <w:lang w:eastAsia="ko-KR"/>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Además de lo anterior, las variaciones de recursos en los resultados previstos, en particular el resultado previsto IX.2 (</w:t>
      </w:r>
      <w:r w:rsidRPr="005E1D9A">
        <w:rPr>
          <w:sz w:val="20"/>
        </w:rPr>
        <w:t>Funcionamiento sin contratiempos de la Secretaría, provista de un personal bien dirigido, dotado de las competencias adecuadas y capaz de conseguir resultados</w:t>
      </w:r>
      <w:r w:rsidRPr="00B101BC">
        <w:rPr>
          <w:sz w:val="20"/>
        </w:rPr>
        <w:t>) son asimismo un reflejo de la nueva metodología más precisa para la asignación de los recursos de personal</w:t>
      </w:r>
      <w:r>
        <w:rPr>
          <w:sz w:val="20"/>
        </w:rPr>
        <w:t>,</w:t>
      </w:r>
      <w:r w:rsidRPr="00B101BC">
        <w:rPr>
          <w:sz w:val="20"/>
        </w:rPr>
        <w:t xml:space="preserve"> derivada de las mejoras introducidas en el sistema de planificación de gestión del rendimiento institucional para los ejercicios de planificación del trabajo de 2014 y 2015.</w:t>
      </w:r>
    </w:p>
    <w:p w:rsidR="00221F0B" w:rsidRPr="00B101BC" w:rsidRDefault="00221F0B" w:rsidP="00DC1333">
      <w:pPr>
        <w:autoSpaceDE w:val="0"/>
        <w:autoSpaceDN w:val="0"/>
        <w:jc w:val="both"/>
        <w:rPr>
          <w:sz w:val="20"/>
          <w:lang w:eastAsia="ko-KR"/>
        </w:rPr>
      </w:pPr>
    </w:p>
    <w:p w:rsidR="00221F0B" w:rsidRPr="00B101BC"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B101BC" w:rsidRDefault="00221F0B" w:rsidP="00DC1333">
      <w:pPr>
        <w:tabs>
          <w:tab w:val="left" w:pos="709"/>
        </w:tabs>
        <w:jc w:val="both"/>
        <w:rPr>
          <w:sz w:val="20"/>
          <w:u w:val="single"/>
          <w:lang w:eastAsia="ko-KR"/>
        </w:rPr>
      </w:pPr>
    </w:p>
    <w:p w:rsidR="00221F0B" w:rsidRPr="00B101BC" w:rsidRDefault="00221F0B" w:rsidP="00EC2771">
      <w:pPr>
        <w:numPr>
          <w:ilvl w:val="0"/>
          <w:numId w:val="98"/>
        </w:numPr>
        <w:tabs>
          <w:tab w:val="clear" w:pos="680"/>
          <w:tab w:val="num" w:pos="709"/>
        </w:tabs>
        <w:autoSpaceDE w:val="0"/>
        <w:autoSpaceDN w:val="0"/>
        <w:adjustRightInd w:val="0"/>
        <w:jc w:val="both"/>
        <w:rPr>
          <w:sz w:val="20"/>
        </w:rPr>
      </w:pPr>
      <w:r w:rsidRPr="00B101BC">
        <w:rPr>
          <w:sz w:val="20"/>
        </w:rPr>
        <w:t>Los gastos de personal fueron inferiores a los presupuestados debido principalmente a</w:t>
      </w:r>
      <w:proofErr w:type="gramStart"/>
      <w:r w:rsidRPr="00B101BC">
        <w:rPr>
          <w:sz w:val="20"/>
        </w:rPr>
        <w:t>:  i</w:t>
      </w:r>
      <w:proofErr w:type="gramEnd"/>
      <w:r w:rsidRPr="00B101BC">
        <w:rPr>
          <w:sz w:val="20"/>
        </w:rPr>
        <w:t>) la ausencia de un Oficial Jefe de Ética Profesional durante los primeros ocho meses de 2015</w:t>
      </w:r>
      <w:r>
        <w:rPr>
          <w:sz w:val="20"/>
        </w:rPr>
        <w:t>,</w:t>
      </w:r>
      <w:r w:rsidRPr="00B101BC">
        <w:rPr>
          <w:sz w:val="20"/>
        </w:rPr>
        <w:t xml:space="preserve"> y ii) los procesos de contratación en curso, en particular en la Oficina del Consejero Jurídico y la Oficina del Mediador.  Esto se tradujo asimismo en menos gastos en los recursos no relativos a personal conexos.</w:t>
      </w:r>
    </w:p>
    <w:p w:rsidR="00221F0B" w:rsidRDefault="00221F0B"/>
    <w:p w:rsidR="00221F0B" w:rsidRPr="00B101BC" w:rsidRDefault="00221F0B"/>
    <w:p w:rsidR="00577332" w:rsidRDefault="00577332">
      <w:pPr>
        <w:rPr>
          <w:bCs/>
          <w:iCs/>
          <w:caps/>
          <w:szCs w:val="28"/>
        </w:rPr>
      </w:pPr>
      <w:bookmarkStart w:id="175" w:name="_Toc422927436"/>
      <w:r>
        <w:br w:type="page"/>
      </w:r>
    </w:p>
    <w:p w:rsidR="00221F0B" w:rsidRPr="00577332" w:rsidRDefault="00221F0B" w:rsidP="00DC1333">
      <w:pPr>
        <w:pStyle w:val="Heading2"/>
        <w:ind w:left="2410" w:hanging="2410"/>
        <w:rPr>
          <w:b/>
        </w:rPr>
      </w:pPr>
      <w:bookmarkStart w:id="176" w:name="_Toc455159104"/>
      <w:r w:rsidRPr="00577332">
        <w:rPr>
          <w:b/>
        </w:rPr>
        <w:lastRenderedPageBreak/>
        <w:t>PROGRAMA 22</w:t>
      </w:r>
      <w:r w:rsidRPr="00577332">
        <w:rPr>
          <w:b/>
        </w:rPr>
        <w:tab/>
        <w:t>GESTIÓN DE PROGRAMAS Y RECURSOS</w:t>
      </w:r>
      <w:bookmarkEnd w:id="175"/>
      <w:bookmarkEnd w:id="176"/>
    </w:p>
    <w:p w:rsidR="00221F0B" w:rsidRPr="00913D46" w:rsidRDefault="00221F0B" w:rsidP="00DC1333"/>
    <w:p w:rsidR="00221F0B" w:rsidRPr="00013B5C" w:rsidRDefault="00221F0B" w:rsidP="00DC1333">
      <w:pPr>
        <w:tabs>
          <w:tab w:val="left" w:pos="2410"/>
        </w:tabs>
        <w:rPr>
          <w:b/>
          <w:sz w:val="20"/>
        </w:rPr>
      </w:pPr>
      <w:r w:rsidRPr="00013B5C">
        <w:rPr>
          <w:b/>
          <w:sz w:val="20"/>
        </w:rPr>
        <w:t>Director de programa</w:t>
      </w:r>
      <w:r w:rsidRPr="00013B5C">
        <w:rPr>
          <w:b/>
          <w:sz w:val="20"/>
        </w:rPr>
        <w:tab/>
        <w:t>Sr. A. Sundaram</w:t>
      </w:r>
    </w:p>
    <w:p w:rsidR="00221F0B" w:rsidRPr="00492A99" w:rsidRDefault="00221F0B" w:rsidP="00DC1333"/>
    <w:p w:rsidR="00221F0B" w:rsidRPr="00492A99" w:rsidRDefault="00221F0B" w:rsidP="00DC1333"/>
    <w:p w:rsidR="00221F0B" w:rsidRPr="00F03E99" w:rsidRDefault="008F7CBE" w:rsidP="00DC1333">
      <w:pPr>
        <w:rPr>
          <w:bCs/>
          <w:szCs w:val="22"/>
        </w:rPr>
      </w:pPr>
      <w:r w:rsidRPr="008F7CBE">
        <w:rPr>
          <w:bCs/>
          <w:sz w:val="20"/>
          <w:szCs w:val="22"/>
        </w:rPr>
        <w:t>LOGROS ALCANZADOS EN EL BIENIO 2014/15</w:t>
      </w:r>
      <w:r w:rsidR="00221F0B" w:rsidRPr="00F03E99">
        <w:rPr>
          <w:bCs/>
          <w:szCs w:val="22"/>
        </w:rPr>
        <w:t xml:space="preserve"> </w:t>
      </w:r>
    </w:p>
    <w:p w:rsidR="00221F0B" w:rsidRPr="00492A99" w:rsidRDefault="00221F0B" w:rsidP="00DC1333">
      <w:pPr>
        <w:tabs>
          <w:tab w:val="num" w:pos="540"/>
        </w:tabs>
        <w:rPr>
          <w:bCs/>
          <w:szCs w:val="22"/>
        </w:rPr>
      </w:pPr>
    </w:p>
    <w:p w:rsidR="00221F0B" w:rsidRPr="00492A99" w:rsidRDefault="00221F0B" w:rsidP="00221F0B">
      <w:pPr>
        <w:pStyle w:val="ListParagraph"/>
        <w:numPr>
          <w:ilvl w:val="0"/>
          <w:numId w:val="102"/>
        </w:numPr>
        <w:tabs>
          <w:tab w:val="left" w:pos="709"/>
        </w:tabs>
        <w:ind w:left="0" w:firstLine="0"/>
        <w:jc w:val="both"/>
        <w:rPr>
          <w:bCs/>
          <w:lang w:val="es-ES"/>
        </w:rPr>
      </w:pPr>
      <w:r w:rsidRPr="00492A99">
        <w:rPr>
          <w:bCs/>
          <w:lang w:val="es-ES"/>
        </w:rPr>
        <w:t>Tras los avances obtenidos en el bienio 2012/13, en 2014/15 se siguió consolidando la gestión de programas y recursos de la OMPI.  A fin de utilizar los recursos de manera más eficaz, establecer mejores prácticas en lo que respecta a planificar, gestionar el rendimiento, facilitar y apoyar las actividades operacionales de toda la Organización y fortalecer la "segunda línea de defensa",</w:t>
      </w:r>
      <w:r w:rsidRPr="00492A99">
        <w:rPr>
          <w:bCs/>
          <w:vertAlign w:val="superscript"/>
          <w:lang w:val="es-ES"/>
        </w:rPr>
        <w:footnoteReference w:id="124"/>
      </w:r>
      <w:r w:rsidRPr="00492A99">
        <w:rPr>
          <w:bCs/>
          <w:lang w:val="es-ES"/>
        </w:rPr>
        <w:t xml:space="preserve"> en noviembre de 2013 se inició un proceso de restructuración estratégica que se afianzó plenamente en 2014.  Esta labor ha entrañado:  i) la creación de la División de Presupuesto y Rendimiento de los Programas a partir de la fusión de la Sección de Gestión y Rendimiento de los Programas y la Sección del Presupuesto, que </w:t>
      </w:r>
      <w:r>
        <w:rPr>
          <w:bCs/>
          <w:lang w:val="es-ES"/>
        </w:rPr>
        <w:t>ha favorecido</w:t>
      </w:r>
      <w:r w:rsidRPr="00492A99">
        <w:rPr>
          <w:bCs/>
          <w:lang w:val="es-ES"/>
        </w:rPr>
        <w:t xml:space="preserve"> un enfoque más integral de la gestión de programas;  ii) el perfeccionamiento de la función de la Ofi</w:t>
      </w:r>
      <w:r>
        <w:rPr>
          <w:bCs/>
          <w:lang w:val="es-ES"/>
        </w:rPr>
        <w:t>cina del Contralor, que ha permitido</w:t>
      </w:r>
      <w:r w:rsidRPr="00492A99">
        <w:rPr>
          <w:bCs/>
          <w:lang w:val="es-ES"/>
        </w:rPr>
        <w:t xml:space="preserve"> la separación y la asignación clara de responsabilidades relativas a la coordinación de la gestión de riesgos, el cumplimiento y los controles internos, la revisión y el mantenimiento del marco regulador financiero y el seguimiento de las recomendaciones de supervisión;  y iii) la incorporación al programa 22 de las funciones de gestión y apoyo de las aplicaciones administrativas de la Organización, que posibilitan la sinergia y la integración eficaz de los sistemas que se aplican con arreglo a la cartera de proyectos de la PRI.</w:t>
      </w:r>
    </w:p>
    <w:p w:rsidR="00221F0B" w:rsidRPr="00492A99" w:rsidRDefault="00221F0B" w:rsidP="00DC1333">
      <w:pPr>
        <w:tabs>
          <w:tab w:val="left" w:pos="709"/>
        </w:tabs>
        <w:jc w:val="both"/>
        <w:rPr>
          <w:bCs/>
          <w:szCs w:val="22"/>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bCs/>
          <w:szCs w:val="22"/>
          <w:lang w:val="es-ES"/>
        </w:rPr>
        <w:t xml:space="preserve">Durante el bienio, se logró avanzar satisfactoriamente en el arraigo de una cultura basada en los resultados y en el fortalecimiento del ciclo de gestión del rendimiento de la OMPI.  Asimismo, en 2014/15, se siguieron mejorando los procesos de planificación de la labor.  En 2014, se introdujo la planificación basada en los cargos que </w:t>
      </w:r>
      <w:r w:rsidRPr="00492A99">
        <w:rPr>
          <w:bCs/>
          <w:lang w:val="es-ES"/>
        </w:rPr>
        <w:t xml:space="preserve">intensificó los vínculos entre los resultados previstos para cada programa y los objetivos de cada miembro del personal, fomentando la transparencia y la precisión en cuanto a la asignación y utilización de recursos </w:t>
      </w:r>
      <w:r>
        <w:rPr>
          <w:bCs/>
          <w:lang w:val="es-ES"/>
        </w:rPr>
        <w:t>de</w:t>
      </w:r>
      <w:r w:rsidRPr="00492A99">
        <w:rPr>
          <w:bCs/>
          <w:lang w:val="es-ES"/>
        </w:rPr>
        <w:t xml:space="preserve"> personal.</w:t>
      </w:r>
    </w:p>
    <w:p w:rsidR="00221F0B" w:rsidRPr="00492A99" w:rsidRDefault="00221F0B" w:rsidP="00DC1333">
      <w:pPr>
        <w:pStyle w:val="ListParagraph"/>
        <w:rPr>
          <w:bCs/>
          <w:szCs w:val="22"/>
          <w:lang w:val="es-ES"/>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bCs/>
          <w:lang w:val="es-ES"/>
        </w:rPr>
        <w:t xml:space="preserve">La evolución del sistema de PRI y de gestión del rendimiento institucional resultó fundamental para </w:t>
      </w:r>
      <w:r>
        <w:rPr>
          <w:bCs/>
          <w:lang w:val="es-ES"/>
        </w:rPr>
        <w:t xml:space="preserve">los avances </w:t>
      </w:r>
      <w:r w:rsidRPr="00492A99">
        <w:rPr>
          <w:bCs/>
          <w:lang w:val="es-ES"/>
        </w:rPr>
        <w:t>logrado</w:t>
      </w:r>
      <w:r>
        <w:rPr>
          <w:bCs/>
          <w:lang w:val="es-ES"/>
        </w:rPr>
        <w:t>s</w:t>
      </w:r>
      <w:r w:rsidRPr="00492A99">
        <w:rPr>
          <w:bCs/>
          <w:lang w:val="es-ES"/>
        </w:rPr>
        <w:t xml:space="preserve"> en el bienio.  Con tal fin, en el año 2014 se produjo la puesta en marcha de dos nuevos módulos esenciales para el ciclo de rendimiento de la OMPI, a saber, los módulos de “Ejecución y supervisión” y “Evaluación del rendimiento”, que permiten aplicar un enfoque más </w:t>
      </w:r>
      <w:r>
        <w:rPr>
          <w:bCs/>
          <w:lang w:val="es-ES"/>
        </w:rPr>
        <w:t>dinámico</w:t>
      </w:r>
      <w:r w:rsidRPr="00492A99">
        <w:rPr>
          <w:bCs/>
          <w:lang w:val="es-ES"/>
        </w:rPr>
        <w:t xml:space="preserve"> y adecuado </w:t>
      </w:r>
      <w:r>
        <w:rPr>
          <w:bCs/>
          <w:lang w:val="es-ES"/>
        </w:rPr>
        <w:t>par</w:t>
      </w:r>
      <w:r w:rsidRPr="00492A99">
        <w:rPr>
          <w:bCs/>
          <w:lang w:val="es-ES"/>
        </w:rPr>
        <w:t xml:space="preserve">a la gestión y evaluación de los programas.  Además, esas herramientas también permiten mejorar la capacidad de análisis comparativo entre los planes de trabajo aprobados y las modificaciones realizadas a lo largo del año, reforzando así la capacidad de gestión de los programas y sirviendo de base a los futuros ciclos de planificación, incluida la planificación del bienio </w:t>
      </w:r>
      <w:r w:rsidRPr="00492A99">
        <w:rPr>
          <w:bCs/>
          <w:szCs w:val="22"/>
          <w:lang w:val="es-ES"/>
        </w:rPr>
        <w:t xml:space="preserve">2016/17.  </w:t>
      </w:r>
    </w:p>
    <w:p w:rsidR="00221F0B" w:rsidRPr="00492A99" w:rsidRDefault="00221F0B" w:rsidP="00DC1333">
      <w:pPr>
        <w:tabs>
          <w:tab w:val="left" w:pos="709"/>
        </w:tabs>
        <w:jc w:val="both"/>
        <w:rPr>
          <w:bCs/>
          <w:szCs w:val="22"/>
        </w:rPr>
      </w:pPr>
    </w:p>
    <w:p w:rsidR="00221F0B" w:rsidRPr="00492A99" w:rsidRDefault="00221F0B" w:rsidP="00221F0B">
      <w:pPr>
        <w:pStyle w:val="ListParagraph"/>
        <w:numPr>
          <w:ilvl w:val="0"/>
          <w:numId w:val="102"/>
        </w:numPr>
        <w:tabs>
          <w:tab w:val="left" w:pos="709"/>
        </w:tabs>
        <w:ind w:left="0" w:firstLine="0"/>
        <w:jc w:val="both"/>
        <w:rPr>
          <w:bCs/>
          <w:lang w:val="es-ES"/>
        </w:rPr>
      </w:pPr>
      <w:r w:rsidRPr="00492A99">
        <w:rPr>
          <w:bCs/>
          <w:lang w:val="es-ES"/>
        </w:rPr>
        <w:t xml:space="preserve">La </w:t>
      </w:r>
      <w:r>
        <w:rPr>
          <w:bCs/>
          <w:lang w:val="es-ES"/>
        </w:rPr>
        <w:t xml:space="preserve">creciente </w:t>
      </w:r>
      <w:r w:rsidRPr="00492A99">
        <w:rPr>
          <w:bCs/>
          <w:lang w:val="es-ES"/>
        </w:rPr>
        <w:t>integración de los componentes del sistema de PRI en 2014/15 contribuyó a mejorar la presentación de informes y las herramientas analíticas.  Por primera vez en 2014,</w:t>
      </w:r>
      <w:r w:rsidRPr="00492A99">
        <w:rPr>
          <w:szCs w:val="24"/>
          <w:lang w:val="es-ES"/>
        </w:rPr>
        <w:t xml:space="preserve"> </w:t>
      </w:r>
      <w:r w:rsidRPr="00492A99">
        <w:rPr>
          <w:bCs/>
          <w:lang w:val="es-ES"/>
        </w:rPr>
        <w:t>se integraron conjuntamente los sistemas de planificación de la gestión del rendimiento institucional y los componentes financieros del sistema automatizado de gestión de la información (AIMS), lo que facilitó la presentación de informes comparativos entre el presupuesto y los gastos reales.  Además, en enero de 2014, comenzó a funcionar el sistema de g</w:t>
      </w:r>
      <w:r w:rsidRPr="00492A99">
        <w:rPr>
          <w:lang w:val="es-ES"/>
        </w:rPr>
        <w:t>estión de los recursos humanos y de las nóminas</w:t>
      </w:r>
      <w:r w:rsidRPr="00492A99">
        <w:rPr>
          <w:bCs/>
          <w:lang w:val="es-ES"/>
        </w:rPr>
        <w:t xml:space="preserve"> en el marco de la PRI y, en abril de 2014, se completó la integración con el sistema de gestión del rendimiento institucional, mejorando considerablemente la capacidad de gestión de los cargos.  Durante el bienio evolucionó el módulo de inteligencia institucional, con la creación y la puesta en marcha de tableros de control en los principales sectores administrativos (gestión de recursos humanos, adquisiciones y viajes, planificación de programas y finanzas) en 2014 y su integración en toda la Organización en 2015.  También se creó y se puso en marcha en 2015 un tablero de control de gestión de riesgos.</w:t>
      </w:r>
    </w:p>
    <w:p w:rsidR="00221F0B" w:rsidRPr="00492A99" w:rsidRDefault="00221F0B" w:rsidP="00DC1333">
      <w:pPr>
        <w:pStyle w:val="ListParagraph"/>
        <w:tabs>
          <w:tab w:val="left" w:pos="709"/>
        </w:tabs>
        <w:ind w:left="0"/>
        <w:jc w:val="both"/>
        <w:rPr>
          <w:bCs/>
          <w:szCs w:val="22"/>
          <w:lang w:val="es-ES"/>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rFonts w:cs="Arial"/>
          <w:lang w:val="es-ES"/>
        </w:rPr>
        <w:t xml:space="preserve">Entre otras mejoras en la cartera de productos de la PRI durante el bienio, que permitieron fortalecer y fomentar la eficacia de las funciones de gestión, figuran las siguientes:  i) una mejora sustancial del sistema financiero AIMS al pasar a la versión 9.2 que garantizará que los sistemas de la OMPI dispongan de las funciones más recientes con miras a reducir los costos de apoyo;  ii) la puesta en marcha de la primera fase del autoservicio de RR.HH., que permite al personal efectuar cambios en la información personal, reduciendo la circulación de documentos y la introducción manual de datos en las </w:t>
      </w:r>
      <w:r w:rsidRPr="00492A99">
        <w:rPr>
          <w:rFonts w:cs="Arial"/>
          <w:lang w:val="es-ES"/>
        </w:rPr>
        <w:lastRenderedPageBreak/>
        <w:t xml:space="preserve">operaciones de RR.HH.;  ii) los pagos al personal que no está radicado en Ginebra por medio del sistema de nómina PeopleSoft;  iii) la mejora del proceso relativo al subsidio de educación;  iv) la integración plena del sistema de traducción del PCT con el sistema financiero AIMS y la reducción de los flujos de trabajo manuales;  v) la creación de un único portal </w:t>
      </w:r>
      <w:r>
        <w:rPr>
          <w:rFonts w:cs="Arial"/>
          <w:lang w:val="es-ES"/>
        </w:rPr>
        <w:t>de formación para la PRI, las T</w:t>
      </w:r>
      <w:r w:rsidRPr="00492A99">
        <w:rPr>
          <w:rFonts w:cs="Arial"/>
          <w:lang w:val="es-ES"/>
        </w:rPr>
        <w:t>I</w:t>
      </w:r>
      <w:r>
        <w:rPr>
          <w:rFonts w:cs="Arial"/>
          <w:lang w:val="es-ES"/>
        </w:rPr>
        <w:t>C</w:t>
      </w:r>
      <w:r w:rsidRPr="00492A99">
        <w:rPr>
          <w:rFonts w:cs="Arial"/>
          <w:lang w:val="es-ES"/>
        </w:rPr>
        <w:t xml:space="preserve"> y el </w:t>
      </w:r>
      <w:r w:rsidRPr="00492A99">
        <w:rPr>
          <w:bCs/>
          <w:szCs w:val="22"/>
          <w:lang w:val="es-ES"/>
        </w:rPr>
        <w:t xml:space="preserve">DGRRHH;  vi) la integración en el sistema de inteligencia institucional de los datos sobre ausencias y horas extraordinarias;  vii) la introducción en el sistema de inteligencia institucional de tableros de control de datos para velar por la coherencia entre las aplicaciones, y subrayar previsoramente las discrepancias  a fin de que sean investigadas / resueltas. </w:t>
      </w:r>
    </w:p>
    <w:p w:rsidR="00221F0B" w:rsidRPr="00492A99" w:rsidRDefault="00221F0B" w:rsidP="00DC1333">
      <w:pPr>
        <w:pStyle w:val="ListParagraph"/>
        <w:tabs>
          <w:tab w:val="left" w:pos="709"/>
        </w:tabs>
        <w:ind w:left="0"/>
        <w:jc w:val="both"/>
        <w:rPr>
          <w:bCs/>
          <w:szCs w:val="22"/>
          <w:lang w:val="es-ES"/>
        </w:rPr>
      </w:pPr>
    </w:p>
    <w:p w:rsidR="00221F0B" w:rsidRPr="0036386D" w:rsidRDefault="00221F0B" w:rsidP="00221F0B">
      <w:pPr>
        <w:pStyle w:val="ListParagraph"/>
        <w:numPr>
          <w:ilvl w:val="0"/>
          <w:numId w:val="102"/>
        </w:numPr>
        <w:tabs>
          <w:tab w:val="left" w:pos="709"/>
        </w:tabs>
        <w:ind w:left="0" w:firstLine="0"/>
        <w:jc w:val="both"/>
        <w:rPr>
          <w:bCs/>
          <w:iCs/>
          <w:lang w:val="es-ES"/>
        </w:rPr>
      </w:pPr>
      <w:r w:rsidRPr="0036386D">
        <w:rPr>
          <w:bCs/>
          <w:iCs/>
          <w:lang w:val="es-ES"/>
        </w:rPr>
        <w:t xml:space="preserve">En consonancia con la hoja de ruta de gestión de riesgos, se elaboró un marco formal y coherente de gestión de riesgos y control interno para la Organización, </w:t>
      </w:r>
      <w:r w:rsidRPr="00492A99">
        <w:rPr>
          <w:bCs/>
          <w:iCs/>
          <w:lang w:val="es-ES"/>
        </w:rPr>
        <w:t>del que forman parte</w:t>
      </w:r>
      <w:r w:rsidRPr="0036386D">
        <w:rPr>
          <w:bCs/>
          <w:iCs/>
          <w:lang w:val="es-ES"/>
        </w:rPr>
        <w:t xml:space="preserve"> el marco para la rendición de cuentas, la declaración de apetito de riesgo, el establecimiento del Grupo de Gestión de Riesgos, la </w:t>
      </w:r>
      <w:r w:rsidRPr="00492A99">
        <w:rPr>
          <w:bCs/>
          <w:iCs/>
          <w:lang w:val="es-ES"/>
        </w:rPr>
        <w:t>publicación de la P</w:t>
      </w:r>
      <w:r w:rsidRPr="0036386D">
        <w:rPr>
          <w:bCs/>
          <w:iCs/>
          <w:lang w:val="es-ES"/>
        </w:rPr>
        <w:t xml:space="preserve">olítica de gestión de riesgos, y el manual de gestión de riesgos y control interno.  </w:t>
      </w:r>
    </w:p>
    <w:p w:rsidR="00221F0B" w:rsidRPr="00492A99" w:rsidRDefault="00221F0B" w:rsidP="00DC1333">
      <w:pPr>
        <w:pStyle w:val="ListParagraph"/>
        <w:tabs>
          <w:tab w:val="left" w:pos="709"/>
        </w:tabs>
        <w:ind w:left="0"/>
        <w:jc w:val="both"/>
        <w:rPr>
          <w:bCs/>
          <w:szCs w:val="22"/>
          <w:lang w:val="es-ES"/>
        </w:rPr>
      </w:pPr>
    </w:p>
    <w:p w:rsidR="00221F0B" w:rsidRPr="00492A99" w:rsidRDefault="00221F0B" w:rsidP="00221F0B">
      <w:pPr>
        <w:pStyle w:val="ListParagraph"/>
        <w:numPr>
          <w:ilvl w:val="0"/>
          <w:numId w:val="102"/>
        </w:numPr>
        <w:tabs>
          <w:tab w:val="left" w:pos="709"/>
        </w:tabs>
        <w:ind w:left="0" w:firstLine="0"/>
        <w:jc w:val="both"/>
        <w:rPr>
          <w:bCs/>
          <w:iCs/>
          <w:lang w:val="es-ES"/>
        </w:rPr>
      </w:pPr>
      <w:r w:rsidRPr="00492A99">
        <w:rPr>
          <w:bCs/>
          <w:iCs/>
          <w:lang w:val="es-ES"/>
        </w:rPr>
        <w:t xml:space="preserve">A fin de facilitar el acceso en tiempo real a información sobre riesgos y control, prestar apoyo en materia de gestión </w:t>
      </w:r>
      <w:r>
        <w:rPr>
          <w:bCs/>
          <w:iCs/>
          <w:lang w:val="es-ES"/>
        </w:rPr>
        <w:t>dinámica</w:t>
      </w:r>
      <w:r w:rsidRPr="00492A99">
        <w:rPr>
          <w:bCs/>
          <w:iCs/>
          <w:lang w:val="es-ES"/>
        </w:rPr>
        <w:t xml:space="preserve"> de riesgos y control, y ofrecer respuestas eficaces a los órganos de auditoría, en el segundo semestre de 2014 se creó una herramienta de gestión del riesgo institucional que se utilizó para apoyar el ejercicio de planificación anual de 2015, así como el proceso de elaboración del presupuesto por programas de 2016/17.  También se fortalecieron los procesos de supervisión y presentación de informes en materia de riesgos y los controles internos mediante i) la introducción de exámenes e informes de riesgo</w:t>
      </w:r>
      <w:r>
        <w:rPr>
          <w:bCs/>
          <w:iCs/>
          <w:lang w:val="es-ES"/>
        </w:rPr>
        <w:t>s</w:t>
      </w:r>
      <w:r w:rsidRPr="00492A99">
        <w:rPr>
          <w:bCs/>
          <w:iCs/>
          <w:lang w:val="es-ES"/>
        </w:rPr>
        <w:t xml:space="preserve"> semestrales, ii) la constante integración de la gestión de riesgos en los procesos de gestión del rendimiento de los programas y iii) </w:t>
      </w:r>
      <w:r>
        <w:rPr>
          <w:bCs/>
          <w:iCs/>
          <w:lang w:val="es-ES"/>
        </w:rPr>
        <w:t>el establecimiento</w:t>
      </w:r>
      <w:r w:rsidRPr="00492A99">
        <w:rPr>
          <w:bCs/>
          <w:iCs/>
          <w:lang w:val="es-ES"/>
        </w:rPr>
        <w:t xml:space="preserve"> de un marco de control interno, utilizando la gestión del riesgo institu</w:t>
      </w:r>
      <w:r>
        <w:rPr>
          <w:bCs/>
          <w:iCs/>
          <w:lang w:val="es-ES"/>
        </w:rPr>
        <w:t xml:space="preserve">cional para dejar constancia del reconocimiento y la evaluación de </w:t>
      </w:r>
      <w:r w:rsidRPr="00492A99">
        <w:rPr>
          <w:bCs/>
          <w:iCs/>
          <w:lang w:val="es-ES"/>
        </w:rPr>
        <w:t>los controles de la OMPI.</w:t>
      </w:r>
    </w:p>
    <w:p w:rsidR="00221F0B" w:rsidRPr="00492A99" w:rsidRDefault="00221F0B" w:rsidP="00DC1333">
      <w:pPr>
        <w:pStyle w:val="ListParagraph"/>
        <w:tabs>
          <w:tab w:val="left" w:pos="709"/>
        </w:tabs>
        <w:ind w:left="0"/>
        <w:jc w:val="both"/>
        <w:rPr>
          <w:bCs/>
          <w:szCs w:val="22"/>
          <w:lang w:val="es-ES"/>
        </w:rPr>
      </w:pPr>
    </w:p>
    <w:p w:rsidR="00221F0B" w:rsidRPr="00492A99" w:rsidRDefault="00221F0B" w:rsidP="00221F0B">
      <w:pPr>
        <w:pStyle w:val="ListParagraph"/>
        <w:numPr>
          <w:ilvl w:val="0"/>
          <w:numId w:val="102"/>
        </w:numPr>
        <w:tabs>
          <w:tab w:val="left" w:pos="709"/>
        </w:tabs>
        <w:ind w:left="0" w:firstLine="0"/>
        <w:jc w:val="both"/>
        <w:rPr>
          <w:bCs/>
          <w:lang w:val="es-ES"/>
        </w:rPr>
      </w:pPr>
      <w:r w:rsidRPr="00492A99">
        <w:rPr>
          <w:bCs/>
          <w:lang w:val="es-ES"/>
        </w:rPr>
        <w:t>Se siguió actualizando el marco regulador con la revisión o publicación de órdenes de servicio (en materia de adquisiciones, atenciones sociales oficiales, viajes, vacaciones en el país de origen, anticipos de sueldo, directrices relacionadas con el efectivo para</w:t>
      </w:r>
      <w:r>
        <w:rPr>
          <w:bCs/>
          <w:lang w:val="es-ES"/>
        </w:rPr>
        <w:t xml:space="preserve"> las O</w:t>
      </w:r>
      <w:r w:rsidRPr="00492A99">
        <w:rPr>
          <w:bCs/>
          <w:lang w:val="es-ES"/>
        </w:rPr>
        <w:t>ficinas en el exterior, reservas, gestión de las propiedades, contribuciones voluntarias, política sobre el uso de dispositivos de telecomunicación móviles, establecimiento del Grupo de Gestión de Riesgos, Política de gestión de riesgos).  Se examinó y se revisó el Reglamento Financiero y Reglamentación Financiera de la OMPI (RR.FF.), según lo acordado por los Estados miembros, y se creó una nueva herramienta para apoyar la gestión de la delegación de autoridad programática.</w:t>
      </w:r>
    </w:p>
    <w:p w:rsidR="00221F0B" w:rsidRPr="00492A99" w:rsidRDefault="00221F0B" w:rsidP="00DC1333">
      <w:pPr>
        <w:tabs>
          <w:tab w:val="left" w:pos="709"/>
        </w:tabs>
        <w:jc w:val="both"/>
        <w:rPr>
          <w:bCs/>
          <w:szCs w:val="22"/>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bCs/>
          <w:szCs w:val="22"/>
          <w:lang w:val="es-ES"/>
        </w:rPr>
        <w:t>En la primavera de 2014 se completó el exhaustivo estudio sobre prácticas y riesgos de tesorería de la OMPI iniciado en 2013, del que se desprendieron una serie de recomendaciones, entre las que figuraba el empleo de instrumentos de cobertura como medio de reducir la exposición a las fluctuaciones de los tipos de cambio en el PCT.  En 2015 se llevó a cabo un examen exhaustivo de la propuesta de estrategia de cobertura y se adoptó la decisión definitiva de elaborar un modelo de cobertura, que simule los efectos del empleo de instrumentos de cobertura en los resultados del bienio 2014/15 y en los del año 2016.  Tras efectuar una amplia investigación entre varios bancos e instituciones financieras y un estudio de las numerosas políticas de inversión que se halla</w:t>
      </w:r>
      <w:r>
        <w:rPr>
          <w:bCs/>
          <w:szCs w:val="22"/>
          <w:lang w:val="es-ES"/>
        </w:rPr>
        <w:t>ba</w:t>
      </w:r>
      <w:r w:rsidRPr="00492A99">
        <w:rPr>
          <w:bCs/>
          <w:szCs w:val="22"/>
          <w:lang w:val="es-ES"/>
        </w:rPr>
        <w:t>n en funcionamiento a lo largo del sistema de NN.UU., se preparó una nueva política de inversiones, que fue aprobada por los Estados miembros en 2015.  La política se comenzó a aplicar en 2015 con la preparación de expresiones de interés para la gestión de los fondos de inversión.  Entre otras iniciativas de tesorería que se han aplicado figuran las siguientes:  i) la mejora de la gestión del efectivo para minimizar la repercusión de los tipos de interés negativos que prevalecen actualmente en Suiza, con inclusión de la labor destinada al establecimiento de dos nuevas relaciones bancarias;  ii) las iniciativas destinadas a aumentar el número de receptores de pagos de la OMPI por medios electrónicos;  iii) la introducción de otras dos tarjetas de crédito para los pagos de la Organización;  y iv) la introducción de un conversor de divisas que permite a los usuarios de tarjetas de crédito efectuar los pagos en la moneda local con el fin de reducir las comisiones que se cobran a la Organización por el uso de tarjetas de crédito.</w:t>
      </w:r>
    </w:p>
    <w:p w:rsidR="00221F0B" w:rsidRPr="00492A99" w:rsidRDefault="00221F0B" w:rsidP="00DC1333">
      <w:pPr>
        <w:pStyle w:val="ListParagraph"/>
        <w:tabs>
          <w:tab w:val="left" w:pos="709"/>
        </w:tabs>
        <w:ind w:left="0"/>
        <w:jc w:val="both"/>
        <w:rPr>
          <w:bCs/>
          <w:szCs w:val="22"/>
          <w:lang w:val="es-ES"/>
        </w:rPr>
      </w:pPr>
    </w:p>
    <w:p w:rsidR="00221F0B" w:rsidRPr="00492A99" w:rsidRDefault="00221F0B" w:rsidP="00221F0B">
      <w:pPr>
        <w:pStyle w:val="ListParagraph"/>
        <w:numPr>
          <w:ilvl w:val="0"/>
          <w:numId w:val="102"/>
        </w:numPr>
        <w:tabs>
          <w:tab w:val="left" w:pos="709"/>
        </w:tabs>
        <w:ind w:left="0" w:firstLine="0"/>
        <w:jc w:val="both"/>
        <w:rPr>
          <w:bCs/>
          <w:szCs w:val="22"/>
          <w:lang w:val="es-ES"/>
        </w:rPr>
      </w:pPr>
      <w:r w:rsidRPr="00492A99">
        <w:rPr>
          <w:bCs/>
          <w:lang w:val="es-ES"/>
        </w:rPr>
        <w:t xml:space="preserve">Respecto del PCT, en 2014 se designaron dos nuevas Administraciones encargadas de la búsqueda internacional (ISA), lo cual exigió la introducción de modificaciones en los pagos y sistemas.  </w:t>
      </w:r>
      <w:r w:rsidRPr="00492A99">
        <w:rPr>
          <w:bCs/>
          <w:szCs w:val="22"/>
          <w:lang w:val="es-ES"/>
        </w:rPr>
        <w:t>Se han adherido nuevos miembros a los sistemas de Madrid y de La Haya (ocho en total), lo cual ha conllevado la adaptación de los sistemas a la vez que se han introducido nuevas distribuciones tras la adhesión del Benelux y, posteriormente, de Australia al servicio E-Filing del Sistema de Madrid (IRPI).</w:t>
      </w:r>
    </w:p>
    <w:p w:rsidR="00221F0B" w:rsidRPr="00492A99" w:rsidRDefault="00221F0B" w:rsidP="00DC1333">
      <w:pPr>
        <w:pStyle w:val="ListParagraph"/>
        <w:ind w:left="0"/>
        <w:rPr>
          <w:bCs/>
          <w:szCs w:val="22"/>
          <w:highlight w:val="yellow"/>
          <w:lang w:val="es-ES"/>
        </w:rPr>
      </w:pPr>
    </w:p>
    <w:p w:rsidR="00221F0B" w:rsidRPr="002E611B" w:rsidRDefault="00221F0B" w:rsidP="00221F0B">
      <w:pPr>
        <w:pStyle w:val="ListParagraph"/>
        <w:numPr>
          <w:ilvl w:val="0"/>
          <w:numId w:val="102"/>
        </w:numPr>
        <w:tabs>
          <w:tab w:val="left" w:pos="709"/>
        </w:tabs>
        <w:ind w:left="0" w:firstLine="0"/>
        <w:jc w:val="both"/>
        <w:rPr>
          <w:bCs/>
          <w:lang w:val="es-ES"/>
        </w:rPr>
      </w:pPr>
      <w:r w:rsidRPr="002E611B">
        <w:rPr>
          <w:bCs/>
          <w:lang w:val="es-ES"/>
        </w:rPr>
        <w:t xml:space="preserve">En el marco de un memorando de entendimiento firmado por la USPTO, la OEP y la Oficina Internacional, se inició un proyecto piloto destinado a determinar si la gestión de los riesgos cambiarios </w:t>
      </w:r>
      <w:r w:rsidRPr="002E611B">
        <w:rPr>
          <w:bCs/>
          <w:lang w:val="es-ES"/>
        </w:rPr>
        <w:lastRenderedPageBreak/>
        <w:t>asociados al pago de tasas de búsqueda era susceptible de mejora</w:t>
      </w:r>
      <w:r w:rsidRPr="00492A99">
        <w:rPr>
          <w:bCs/>
          <w:lang w:val="es-ES"/>
        </w:rPr>
        <w:t xml:space="preserve"> y, más r</w:t>
      </w:r>
      <w:r w:rsidRPr="002E611B">
        <w:rPr>
          <w:bCs/>
          <w:lang w:val="es-ES"/>
        </w:rPr>
        <w:t>ecientemente</w:t>
      </w:r>
      <w:r w:rsidRPr="00492A99">
        <w:rPr>
          <w:bCs/>
          <w:lang w:val="es-ES"/>
        </w:rPr>
        <w:t>,</w:t>
      </w:r>
      <w:r w:rsidRPr="002E611B">
        <w:rPr>
          <w:bCs/>
          <w:lang w:val="es-ES"/>
        </w:rPr>
        <w:t xml:space="preserve"> se </w:t>
      </w:r>
      <w:r w:rsidRPr="00492A99">
        <w:rPr>
          <w:bCs/>
          <w:lang w:val="es-ES"/>
        </w:rPr>
        <w:t>prorrogó durante</w:t>
      </w:r>
      <w:r w:rsidRPr="002E611B">
        <w:rPr>
          <w:bCs/>
          <w:lang w:val="es-ES"/>
        </w:rPr>
        <w:t xml:space="preserve"> </w:t>
      </w:r>
      <w:r w:rsidRPr="00492A99">
        <w:rPr>
          <w:bCs/>
          <w:lang w:val="es-ES"/>
        </w:rPr>
        <w:t xml:space="preserve">dos </w:t>
      </w:r>
      <w:r w:rsidRPr="002E611B">
        <w:rPr>
          <w:bCs/>
          <w:lang w:val="es-ES"/>
        </w:rPr>
        <w:t>año</w:t>
      </w:r>
      <w:r w:rsidRPr="00492A99">
        <w:rPr>
          <w:bCs/>
          <w:lang w:val="es-ES"/>
        </w:rPr>
        <w:t>s</w:t>
      </w:r>
      <w:r w:rsidRPr="002E611B">
        <w:rPr>
          <w:bCs/>
          <w:lang w:val="es-ES"/>
        </w:rPr>
        <w:t xml:space="preserve">.  </w:t>
      </w:r>
      <w:r w:rsidRPr="00492A99">
        <w:rPr>
          <w:bCs/>
          <w:lang w:val="es-ES"/>
        </w:rPr>
        <w:t>En 2016</w:t>
      </w:r>
      <w:r w:rsidRPr="002E611B">
        <w:rPr>
          <w:bCs/>
          <w:lang w:val="es-ES"/>
        </w:rPr>
        <w:t>, se prevé una evaluación del proyecto</w:t>
      </w:r>
      <w:r w:rsidRPr="00492A99">
        <w:rPr>
          <w:bCs/>
          <w:lang w:val="es-ES"/>
        </w:rPr>
        <w:t xml:space="preserve"> como parte del análisis de la propuesta de introducir una estructura de compensación por saldos netos, que era una de las recomendaciones del estudio de tesorería.</w:t>
      </w:r>
    </w:p>
    <w:p w:rsidR="00221F0B" w:rsidRPr="00492A99" w:rsidRDefault="00221F0B" w:rsidP="00DC1333">
      <w:pPr>
        <w:rPr>
          <w:szCs w:val="22"/>
        </w:rPr>
      </w:pPr>
    </w:p>
    <w:p w:rsidR="00221F0B" w:rsidRPr="00492A99" w:rsidRDefault="00221F0B" w:rsidP="00DC1333">
      <w:pPr>
        <w:rPr>
          <w:szCs w:val="22"/>
        </w:rPr>
      </w:pPr>
    </w:p>
    <w:p w:rsidR="00221F0B" w:rsidRPr="00666560" w:rsidRDefault="008F7CBE" w:rsidP="00DC1333">
      <w:pPr>
        <w:rPr>
          <w:szCs w:val="22"/>
        </w:rPr>
      </w:pPr>
      <w:r w:rsidRPr="008F7CBE">
        <w:rPr>
          <w:sz w:val="20"/>
          <w:szCs w:val="22"/>
        </w:rPr>
        <w:t>DATOS SOBRE EL RENDIMIENTO</w:t>
      </w:r>
    </w:p>
    <w:p w:rsidR="00221F0B" w:rsidRPr="00492A99" w:rsidRDefault="00221F0B" w:rsidP="00DC1333">
      <w:pPr>
        <w:keepNext/>
        <w:keepLines/>
        <w:rPr>
          <w:color w:val="000000"/>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41"/>
        <w:gridCol w:w="1782"/>
        <w:gridCol w:w="1473"/>
        <w:gridCol w:w="2762"/>
        <w:gridCol w:w="1299"/>
      </w:tblGrid>
      <w:tr w:rsidR="00221F0B" w:rsidRPr="00F03E99"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hideMark/>
          </w:tcPr>
          <w:p w:rsidR="00221F0B" w:rsidRPr="00492A99" w:rsidRDefault="00221F0B" w:rsidP="00DC1333">
            <w:pPr>
              <w:keepNext/>
              <w:keepLines/>
              <w:spacing w:before="120" w:after="120"/>
              <w:ind w:left="2019" w:hanging="2019"/>
              <w:rPr>
                <w:b/>
                <w:bCs/>
                <w:sz w:val="16"/>
                <w:szCs w:val="16"/>
              </w:rPr>
            </w:pPr>
            <w:r w:rsidRPr="00492A99">
              <w:rPr>
                <w:b/>
                <w:bCs/>
                <w:sz w:val="16"/>
                <w:szCs w:val="16"/>
              </w:rPr>
              <w:t>Resultado previsto:</w:t>
            </w:r>
            <w:r w:rsidRPr="00492A99">
              <w:rPr>
                <w:b/>
                <w:bCs/>
                <w:sz w:val="16"/>
                <w:szCs w:val="16"/>
              </w:rPr>
              <w:tab/>
            </w:r>
            <w:r w:rsidRPr="00492A99">
              <w:rPr>
                <w:bCs/>
                <w:sz w:val="16"/>
                <w:szCs w:val="16"/>
              </w:rPr>
              <w:t>IX.1 Servicios de apoyo eficaces, eficientes, de calidad y orientados al cliente, tanto a los clientes internos como a las partes interesadas externas</w:t>
            </w:r>
          </w:p>
        </w:tc>
      </w:tr>
      <w:tr w:rsidR="00221F0B" w:rsidRPr="00492A99" w:rsidTr="00DC1333">
        <w:trPr>
          <w:cantSplit/>
        </w:trPr>
        <w:tc>
          <w:tcPr>
            <w:tcW w:w="1091" w:type="pct"/>
            <w:tcBorders>
              <w:top w:val="single" w:sz="4" w:space="0" w:color="auto"/>
            </w:tcBorders>
            <w:vAlign w:val="center"/>
            <w:hideMark/>
          </w:tcPr>
          <w:p w:rsidR="00221F0B" w:rsidRPr="00492A99" w:rsidRDefault="00221F0B" w:rsidP="00DC1333">
            <w:pPr>
              <w:rPr>
                <w:sz w:val="16"/>
                <w:szCs w:val="16"/>
              </w:rPr>
            </w:pPr>
            <w:r w:rsidRPr="00492A99">
              <w:rPr>
                <w:b/>
                <w:sz w:val="16"/>
                <w:szCs w:val="16"/>
              </w:rPr>
              <w:t>Indicadores de rendimiento</w:t>
            </w:r>
          </w:p>
        </w:tc>
        <w:tc>
          <w:tcPr>
            <w:tcW w:w="952" w:type="pct"/>
            <w:tcBorders>
              <w:top w:val="single" w:sz="4" w:space="0" w:color="auto"/>
            </w:tcBorders>
            <w:vAlign w:val="center"/>
            <w:hideMark/>
          </w:tcPr>
          <w:p w:rsidR="00221F0B" w:rsidRPr="00492A99" w:rsidRDefault="00221F0B" w:rsidP="00DC1333">
            <w:pPr>
              <w:rPr>
                <w:b/>
                <w:bCs/>
                <w:sz w:val="16"/>
                <w:szCs w:val="16"/>
              </w:rPr>
            </w:pPr>
            <w:r w:rsidRPr="00492A99">
              <w:rPr>
                <w:b/>
                <w:bCs/>
                <w:sz w:val="16"/>
                <w:szCs w:val="16"/>
              </w:rPr>
              <w:t>Referencia</w:t>
            </w:r>
          </w:p>
        </w:tc>
        <w:tc>
          <w:tcPr>
            <w:tcW w:w="787" w:type="pct"/>
            <w:tcBorders>
              <w:top w:val="single" w:sz="4" w:space="0" w:color="auto"/>
            </w:tcBorders>
            <w:tcMar>
              <w:top w:w="110" w:type="dxa"/>
              <w:left w:w="108" w:type="dxa"/>
              <w:bottom w:w="0" w:type="dxa"/>
              <w:right w:w="108" w:type="dxa"/>
            </w:tcMar>
            <w:vAlign w:val="center"/>
            <w:hideMark/>
          </w:tcPr>
          <w:p w:rsidR="00221F0B" w:rsidRPr="00492A99" w:rsidRDefault="00221F0B" w:rsidP="00DC1333">
            <w:pPr>
              <w:rPr>
                <w:b/>
                <w:sz w:val="16"/>
                <w:szCs w:val="16"/>
              </w:rPr>
            </w:pPr>
            <w:r w:rsidRPr="00492A99">
              <w:rPr>
                <w:b/>
                <w:sz w:val="16"/>
                <w:szCs w:val="16"/>
              </w:rPr>
              <w:t>Objetivos</w:t>
            </w:r>
          </w:p>
        </w:tc>
        <w:tc>
          <w:tcPr>
            <w:tcW w:w="1476" w:type="pct"/>
            <w:tcBorders>
              <w:top w:val="single" w:sz="4" w:space="0" w:color="auto"/>
            </w:tcBorders>
            <w:shd w:val="clear" w:color="auto" w:fill="FFFFFF"/>
            <w:tcMar>
              <w:top w:w="110" w:type="dxa"/>
              <w:left w:w="108" w:type="dxa"/>
              <w:bottom w:w="0" w:type="dxa"/>
              <w:right w:w="108" w:type="dxa"/>
            </w:tcMar>
            <w:vAlign w:val="center"/>
            <w:hideMark/>
          </w:tcPr>
          <w:p w:rsidR="00221F0B" w:rsidRPr="00492A99" w:rsidRDefault="00221F0B" w:rsidP="00DC1333">
            <w:pPr>
              <w:rPr>
                <w:sz w:val="16"/>
                <w:szCs w:val="16"/>
              </w:rPr>
            </w:pPr>
            <w:r w:rsidRPr="00492A99">
              <w:rPr>
                <w:b/>
                <w:sz w:val="16"/>
                <w:szCs w:val="16"/>
              </w:rPr>
              <w:t>Datos sobre el rendimiento</w:t>
            </w:r>
          </w:p>
        </w:tc>
        <w:tc>
          <w:tcPr>
            <w:tcW w:w="694" w:type="pct"/>
            <w:tcBorders>
              <w:top w:val="single" w:sz="4" w:space="0" w:color="auto"/>
            </w:tcBorders>
            <w:tcMar>
              <w:top w:w="110" w:type="dxa"/>
              <w:left w:w="108" w:type="dxa"/>
              <w:bottom w:w="0" w:type="dxa"/>
              <w:right w:w="108" w:type="dxa"/>
            </w:tcMar>
            <w:vAlign w:val="center"/>
            <w:hideMark/>
          </w:tcPr>
          <w:p w:rsidR="00221F0B" w:rsidRPr="00492A99" w:rsidRDefault="00221F0B" w:rsidP="00DC1333">
            <w:pPr>
              <w:keepNext/>
              <w:keepLines/>
              <w:jc w:val="center"/>
              <w:rPr>
                <w:b/>
                <w:bCs/>
                <w:sz w:val="16"/>
                <w:szCs w:val="16"/>
              </w:rPr>
            </w:pPr>
            <w:r w:rsidRPr="00492A99">
              <w:rPr>
                <w:b/>
                <w:bCs/>
                <w:sz w:val="16"/>
                <w:szCs w:val="16"/>
              </w:rPr>
              <w:t>Clave de colores</w:t>
            </w:r>
          </w:p>
        </w:tc>
      </w:tr>
      <w:tr w:rsidR="00221F0B" w:rsidRPr="00492A99" w:rsidTr="00DC1333">
        <w:trPr>
          <w:cantSplit/>
        </w:trPr>
        <w:tc>
          <w:tcPr>
            <w:tcW w:w="1091" w:type="pct"/>
            <w:hideMark/>
          </w:tcPr>
          <w:p w:rsidR="00221F0B" w:rsidRPr="00492A99" w:rsidRDefault="00221F0B" w:rsidP="00DC1333">
            <w:pPr>
              <w:rPr>
                <w:sz w:val="16"/>
                <w:szCs w:val="16"/>
                <w:lang w:bidi="th-TH"/>
              </w:rPr>
            </w:pPr>
            <w:r w:rsidRPr="00492A99">
              <w:rPr>
                <w:sz w:val="16"/>
                <w:szCs w:val="16"/>
                <w:lang w:bidi="th-TH"/>
              </w:rPr>
              <w:t>Suministro de informes y análisis financieros y de gestión solicitados por el personal directivo superior, los directores de programa y los Estados miembros con arreglo a los plazos acordados</w:t>
            </w:r>
          </w:p>
        </w:tc>
        <w:tc>
          <w:tcPr>
            <w:tcW w:w="952" w:type="pct"/>
            <w:hideMark/>
          </w:tcPr>
          <w:p w:rsidR="00221F0B" w:rsidRPr="00492A99" w:rsidRDefault="00221F0B" w:rsidP="00DC1333">
            <w:pPr>
              <w:rPr>
                <w:sz w:val="16"/>
                <w:szCs w:val="16"/>
              </w:rPr>
            </w:pPr>
            <w:r w:rsidRPr="00492A99">
              <w:rPr>
                <w:sz w:val="16"/>
                <w:szCs w:val="16"/>
              </w:rPr>
              <w:t>El cierre mensual finaliza 10 días laborables después del final de mes (salvo en enero, cuando el cierre se determina por los avances en el cierre anual)</w:t>
            </w:r>
          </w:p>
          <w:p w:rsidR="00221F0B" w:rsidRPr="00492A99" w:rsidRDefault="00221F0B" w:rsidP="00DC1333">
            <w:pPr>
              <w:rPr>
                <w:sz w:val="16"/>
                <w:szCs w:val="16"/>
              </w:rPr>
            </w:pPr>
          </w:p>
          <w:p w:rsidR="00221F0B" w:rsidRPr="00492A99" w:rsidRDefault="00221F0B" w:rsidP="00DC1333">
            <w:pPr>
              <w:rPr>
                <w:sz w:val="16"/>
                <w:szCs w:val="16"/>
                <w:lang w:bidi="th-TH"/>
              </w:rPr>
            </w:pPr>
            <w:r w:rsidRPr="00492A99">
              <w:rPr>
                <w:sz w:val="16"/>
                <w:szCs w:val="16"/>
                <w:lang w:bidi="th-TH"/>
              </w:rPr>
              <w:t>Los informes estáticos que se publican en Internet están disponibles de un día para otro; los informes del Observatorio Financiero, en un plazo de dos semanas a partir del cierre;  los informes oficiales mensuales, en un plazo de una semana después del cierre.</w:t>
            </w:r>
          </w:p>
        </w:tc>
        <w:tc>
          <w:tcPr>
            <w:tcW w:w="787" w:type="pct"/>
            <w:tcMar>
              <w:top w:w="110" w:type="dxa"/>
              <w:left w:w="108" w:type="dxa"/>
              <w:bottom w:w="0" w:type="dxa"/>
              <w:right w:w="108" w:type="dxa"/>
            </w:tcMar>
            <w:hideMark/>
          </w:tcPr>
          <w:p w:rsidR="00221F0B" w:rsidRPr="00492A99" w:rsidRDefault="00221F0B" w:rsidP="00DC1333">
            <w:pPr>
              <w:ind w:left="-103" w:right="-69"/>
              <w:rPr>
                <w:sz w:val="16"/>
                <w:szCs w:val="16"/>
              </w:rPr>
            </w:pPr>
            <w:r w:rsidRPr="00492A99">
              <w:rPr>
                <w:sz w:val="16"/>
                <w:szCs w:val="16"/>
              </w:rPr>
              <w:t>Idénticos a la referencia</w:t>
            </w:r>
          </w:p>
          <w:p w:rsidR="00221F0B" w:rsidRPr="00492A99" w:rsidRDefault="00221F0B" w:rsidP="00DC1333">
            <w:pPr>
              <w:ind w:left="-103" w:right="-69"/>
              <w:rPr>
                <w:sz w:val="16"/>
                <w:szCs w:val="16"/>
              </w:rPr>
            </w:pPr>
          </w:p>
          <w:p w:rsidR="00221F0B" w:rsidRPr="00492A99" w:rsidRDefault="00221F0B" w:rsidP="00DC1333">
            <w:pPr>
              <w:ind w:left="-103" w:right="-69"/>
              <w:rPr>
                <w:sz w:val="16"/>
                <w:szCs w:val="16"/>
                <w:lang w:bidi="th-TH"/>
              </w:rPr>
            </w:pPr>
            <w:r w:rsidRPr="00492A99">
              <w:rPr>
                <w:sz w:val="16"/>
                <w:szCs w:val="16"/>
              </w:rPr>
              <w:t>Se dispone de informes parametrizados interactivos en Internet como consecuencia de la labor en materia de inteligencia institucional en el marco de la PRI a lo largo de 2014/15;  los informes trimestrales del Observatorio Financiero están disponibles en un plazo de dos semanas después del cierre; los informes oficiales mensuales, en un plazo de una semana después del cierre</w:t>
            </w:r>
          </w:p>
        </w:tc>
        <w:tc>
          <w:tcPr>
            <w:tcW w:w="1476" w:type="pct"/>
            <w:shd w:val="clear" w:color="auto" w:fill="FFFFFF"/>
            <w:tcMar>
              <w:top w:w="110" w:type="dxa"/>
              <w:left w:w="108" w:type="dxa"/>
              <w:bottom w:w="0" w:type="dxa"/>
              <w:right w:w="108" w:type="dxa"/>
            </w:tcMar>
          </w:tcPr>
          <w:p w:rsidR="00221F0B" w:rsidRPr="00492A99" w:rsidRDefault="00221F0B" w:rsidP="00DC1333">
            <w:pPr>
              <w:rPr>
                <w:sz w:val="16"/>
                <w:szCs w:val="16"/>
                <w:lang w:bidi="th-TH"/>
              </w:rPr>
            </w:pPr>
            <w:r w:rsidRPr="00492A99">
              <w:rPr>
                <w:sz w:val="16"/>
                <w:szCs w:val="16"/>
                <w:lang w:bidi="th-TH"/>
              </w:rPr>
              <w:t>El cierre mensual se produjo el décimo día laborable o antes, a excepción de enero (según la referencia) y octubre, como consecuencia de la mejora del sistema.</w:t>
            </w:r>
          </w:p>
          <w:p w:rsidR="00221F0B" w:rsidRPr="00492A99" w:rsidRDefault="00221F0B" w:rsidP="00DC1333">
            <w:pPr>
              <w:rPr>
                <w:sz w:val="16"/>
                <w:szCs w:val="16"/>
                <w:lang w:bidi="th-TH"/>
              </w:rPr>
            </w:pPr>
          </w:p>
          <w:p w:rsidR="00221F0B" w:rsidRPr="00492A99" w:rsidRDefault="00221F0B" w:rsidP="00DC1333">
            <w:pPr>
              <w:rPr>
                <w:sz w:val="16"/>
                <w:szCs w:val="16"/>
                <w:lang w:bidi="th-TH"/>
              </w:rPr>
            </w:pPr>
            <w:r w:rsidRPr="00492A99">
              <w:rPr>
                <w:bCs/>
                <w:sz w:val="16"/>
                <w:szCs w:val="16"/>
              </w:rPr>
              <w:t>En 2014 se crearon y pusieron en funcionamiento tableros de control en los principales sectores administrativos (gestión de recursos humanos, adquisiciones y viajes, planificación de programas y finanzas) y en 2015 se hicieron extensivos a toda la Organización</w:t>
            </w:r>
            <w:r w:rsidRPr="00492A99">
              <w:rPr>
                <w:sz w:val="16"/>
                <w:szCs w:val="16"/>
                <w:lang w:bidi="th-TH"/>
              </w:rPr>
              <w:t>.  En 2015 también se elaboró y se puso en marcha un tablero de control de riesgos.</w:t>
            </w:r>
          </w:p>
          <w:p w:rsidR="00221F0B" w:rsidRPr="00492A99" w:rsidRDefault="00221F0B" w:rsidP="00DC1333">
            <w:pPr>
              <w:rPr>
                <w:sz w:val="16"/>
                <w:szCs w:val="16"/>
                <w:lang w:bidi="th-TH"/>
              </w:rPr>
            </w:pPr>
          </w:p>
          <w:p w:rsidR="00221F0B" w:rsidRPr="00492A99" w:rsidRDefault="00221F0B" w:rsidP="00DC1333">
            <w:pPr>
              <w:rPr>
                <w:sz w:val="16"/>
                <w:szCs w:val="16"/>
                <w:lang w:bidi="th-TH"/>
              </w:rPr>
            </w:pPr>
          </w:p>
          <w:p w:rsidR="00221F0B" w:rsidRPr="00492A99" w:rsidRDefault="00221F0B" w:rsidP="00DC1333">
            <w:pPr>
              <w:rPr>
                <w:sz w:val="16"/>
                <w:szCs w:val="16"/>
                <w:lang w:bidi="th-TH"/>
              </w:rPr>
            </w:pPr>
            <w:r>
              <w:rPr>
                <w:sz w:val="16"/>
                <w:szCs w:val="16"/>
                <w:lang w:bidi="th-TH"/>
              </w:rPr>
              <w:t>Por lo general, l</w:t>
            </w:r>
            <w:r w:rsidRPr="00492A99">
              <w:rPr>
                <w:sz w:val="16"/>
                <w:szCs w:val="16"/>
                <w:lang w:bidi="th-TH"/>
              </w:rPr>
              <w:t xml:space="preserve">os informes oficiales mensuales y trimestrales están disponibles en un plazo de </w:t>
            </w:r>
            <w:r>
              <w:rPr>
                <w:sz w:val="16"/>
                <w:szCs w:val="16"/>
                <w:lang w:bidi="th-TH"/>
              </w:rPr>
              <w:t xml:space="preserve">6 </w:t>
            </w:r>
            <w:r w:rsidRPr="00492A99">
              <w:rPr>
                <w:sz w:val="16"/>
                <w:szCs w:val="16"/>
                <w:lang w:bidi="th-TH"/>
              </w:rPr>
              <w:t>días laborales después del cierre.</w:t>
            </w:r>
          </w:p>
          <w:p w:rsidR="00221F0B" w:rsidRPr="00492A99" w:rsidRDefault="00221F0B" w:rsidP="00DC1333">
            <w:pPr>
              <w:rPr>
                <w:sz w:val="16"/>
                <w:szCs w:val="16"/>
                <w:lang w:bidi="th-TH"/>
              </w:rPr>
            </w:pPr>
          </w:p>
          <w:p w:rsidR="00221F0B" w:rsidRPr="00492A99" w:rsidRDefault="00221F0B" w:rsidP="00DC1333">
            <w:pPr>
              <w:rPr>
                <w:sz w:val="16"/>
                <w:szCs w:val="16"/>
                <w:lang w:bidi="th-TH"/>
              </w:rPr>
            </w:pPr>
            <w:r>
              <w:rPr>
                <w:sz w:val="16"/>
                <w:szCs w:val="16"/>
                <w:lang w:bidi="th-TH"/>
              </w:rPr>
              <w:t>Por lo general, l</w:t>
            </w:r>
            <w:r w:rsidRPr="00492A99">
              <w:rPr>
                <w:sz w:val="16"/>
                <w:szCs w:val="16"/>
                <w:lang w:bidi="th-TH"/>
              </w:rPr>
              <w:t>os informes</w:t>
            </w:r>
            <w:r>
              <w:rPr>
                <w:sz w:val="16"/>
                <w:szCs w:val="16"/>
                <w:lang w:bidi="th-TH"/>
              </w:rPr>
              <w:t xml:space="preserve"> trimestrales</w:t>
            </w:r>
            <w:r w:rsidRPr="00492A99">
              <w:rPr>
                <w:sz w:val="16"/>
                <w:szCs w:val="16"/>
                <w:lang w:bidi="th-TH"/>
              </w:rPr>
              <w:t xml:space="preserve"> del Observatorio Financiero están disponibles en un plazo de un mes después del cierre.</w:t>
            </w:r>
          </w:p>
        </w:tc>
        <w:tc>
          <w:tcPr>
            <w:tcW w:w="694" w:type="pct"/>
            <w:tcMar>
              <w:top w:w="110" w:type="dxa"/>
              <w:left w:w="108" w:type="dxa"/>
              <w:bottom w:w="0" w:type="dxa"/>
              <w:right w:w="108" w:type="dxa"/>
            </w:tcMar>
          </w:tcPr>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Cs/>
                <w:color w:val="808080"/>
                <w:sz w:val="16"/>
                <w:szCs w:val="16"/>
              </w:rPr>
            </w:pPr>
          </w:p>
          <w:p w:rsidR="00221F0B" w:rsidRPr="00492A99" w:rsidRDefault="00221F0B" w:rsidP="00DC1333">
            <w:pPr>
              <w:keepNext/>
              <w:keepLines/>
              <w:jc w:val="center"/>
              <w:rPr>
                <w:bCs/>
                <w:color w:val="808080"/>
                <w:sz w:val="16"/>
                <w:szCs w:val="16"/>
              </w:rPr>
            </w:pPr>
          </w:p>
          <w:p w:rsidR="00221F0B" w:rsidRPr="00492A99" w:rsidRDefault="00221F0B" w:rsidP="00DC1333">
            <w:pPr>
              <w:keepNext/>
              <w:keepLines/>
              <w:jc w:val="center"/>
              <w:rPr>
                <w:b/>
                <w:bCs/>
                <w:color w:val="FF0000"/>
                <w:sz w:val="16"/>
                <w:szCs w:val="16"/>
              </w:rPr>
            </w:pPr>
            <w:r w:rsidRPr="00492A99">
              <w:rPr>
                <w:b/>
                <w:bCs/>
                <w:color w:val="FF0000"/>
                <w:sz w:val="16"/>
                <w:szCs w:val="16"/>
              </w:rPr>
              <w:t>No logrado</w:t>
            </w:r>
          </w:p>
        </w:tc>
      </w:tr>
      <w:tr w:rsidR="00221F0B" w:rsidRPr="00492A99" w:rsidTr="00DC1333">
        <w:trPr>
          <w:cantSplit/>
          <w:trHeight w:val="2653"/>
        </w:trPr>
        <w:tc>
          <w:tcPr>
            <w:tcW w:w="1091" w:type="pct"/>
            <w:tcBorders>
              <w:bottom w:val="single" w:sz="4" w:space="0" w:color="auto"/>
            </w:tcBorders>
            <w:hideMark/>
          </w:tcPr>
          <w:p w:rsidR="00221F0B" w:rsidRPr="00492A99" w:rsidRDefault="00221F0B" w:rsidP="00DC1333">
            <w:pPr>
              <w:rPr>
                <w:sz w:val="16"/>
                <w:szCs w:val="16"/>
                <w:lang w:bidi="th-TH"/>
              </w:rPr>
            </w:pPr>
            <w:r w:rsidRPr="00492A99">
              <w:rPr>
                <w:sz w:val="16"/>
                <w:szCs w:val="16"/>
                <w:lang w:bidi="th-TH"/>
              </w:rPr>
              <w:t>Atención de consultas recibidas a nivel interno y externo con arreglo a los plazos establecidos</w:t>
            </w:r>
          </w:p>
        </w:tc>
        <w:tc>
          <w:tcPr>
            <w:tcW w:w="952" w:type="pct"/>
            <w:tcBorders>
              <w:bottom w:val="single" w:sz="4" w:space="0" w:color="auto"/>
            </w:tcBorders>
            <w:hideMark/>
          </w:tcPr>
          <w:p w:rsidR="00221F0B" w:rsidRPr="00492A99" w:rsidRDefault="00221F0B" w:rsidP="00DC1333">
            <w:pPr>
              <w:rPr>
                <w:sz w:val="16"/>
                <w:szCs w:val="16"/>
                <w:lang w:bidi="th-TH"/>
              </w:rPr>
            </w:pPr>
            <w:r w:rsidRPr="00492A99">
              <w:rPr>
                <w:sz w:val="16"/>
                <w:szCs w:val="16"/>
                <w:lang w:bidi="th-TH"/>
              </w:rPr>
              <w:t>El 75% de las consultas han de ser resueltas en un plazo de tres días a partir de la recepción</w:t>
            </w:r>
          </w:p>
          <w:p w:rsidR="00221F0B" w:rsidRPr="00492A99" w:rsidRDefault="00221F0B" w:rsidP="00DC1333">
            <w:pPr>
              <w:rPr>
                <w:sz w:val="16"/>
                <w:szCs w:val="16"/>
                <w:lang w:bidi="th-TH"/>
              </w:rPr>
            </w:pPr>
          </w:p>
          <w:p w:rsidR="00221F0B" w:rsidRPr="00492A99" w:rsidRDefault="00221F0B" w:rsidP="00DC1333">
            <w:pPr>
              <w:rPr>
                <w:sz w:val="16"/>
                <w:szCs w:val="16"/>
                <w:lang w:bidi="th-TH"/>
              </w:rPr>
            </w:pPr>
            <w:r w:rsidRPr="00492A99">
              <w:rPr>
                <w:sz w:val="16"/>
                <w:szCs w:val="16"/>
                <w:lang w:bidi="th-TH"/>
              </w:rPr>
              <w:t>Proporcionar asesoramiento o responder a consultas en relación con expedientes presupuestarios en un plazo de 72 horas</w:t>
            </w:r>
          </w:p>
        </w:tc>
        <w:tc>
          <w:tcPr>
            <w:tcW w:w="787" w:type="pct"/>
            <w:tcBorders>
              <w:bottom w:val="single" w:sz="4" w:space="0" w:color="auto"/>
            </w:tcBorders>
            <w:tcMar>
              <w:top w:w="110" w:type="dxa"/>
              <w:left w:w="108" w:type="dxa"/>
              <w:bottom w:w="0" w:type="dxa"/>
              <w:right w:w="108" w:type="dxa"/>
            </w:tcMar>
            <w:hideMark/>
          </w:tcPr>
          <w:p w:rsidR="00221F0B" w:rsidRPr="00492A99" w:rsidRDefault="00221F0B" w:rsidP="00DC1333">
            <w:pPr>
              <w:ind w:left="-103" w:right="-69"/>
              <w:rPr>
                <w:sz w:val="16"/>
                <w:szCs w:val="16"/>
              </w:rPr>
            </w:pPr>
            <w:r w:rsidRPr="00492A99">
              <w:rPr>
                <w:sz w:val="16"/>
                <w:szCs w:val="16"/>
              </w:rPr>
              <w:t>Idénticos a la referencia</w:t>
            </w:r>
          </w:p>
          <w:p w:rsidR="00221F0B" w:rsidRPr="00492A99" w:rsidRDefault="00221F0B" w:rsidP="00DC1333">
            <w:pPr>
              <w:rPr>
                <w:sz w:val="16"/>
                <w:szCs w:val="16"/>
              </w:rPr>
            </w:pPr>
          </w:p>
          <w:p w:rsidR="00221F0B" w:rsidRPr="00492A99" w:rsidRDefault="00221F0B" w:rsidP="00DC1333">
            <w:pPr>
              <w:ind w:left="-103" w:right="-69"/>
              <w:rPr>
                <w:sz w:val="16"/>
                <w:szCs w:val="16"/>
                <w:lang w:bidi="th-TH"/>
              </w:rPr>
            </w:pPr>
            <w:r w:rsidRPr="00492A99">
              <w:rPr>
                <w:sz w:val="16"/>
                <w:szCs w:val="16"/>
                <w:lang w:bidi="th-TH"/>
              </w:rPr>
              <w:t xml:space="preserve">Proporcionar asesoramiento o </w:t>
            </w:r>
            <w:r w:rsidRPr="00492A99">
              <w:rPr>
                <w:sz w:val="16"/>
                <w:szCs w:val="16"/>
              </w:rPr>
              <w:t>responder</w:t>
            </w:r>
            <w:r w:rsidRPr="00492A99">
              <w:rPr>
                <w:sz w:val="16"/>
                <w:szCs w:val="16"/>
                <w:lang w:bidi="th-TH"/>
              </w:rPr>
              <w:t xml:space="preserve"> a consultas en relación con expedientes presupuestarios en un plazo de 48 horas</w:t>
            </w:r>
          </w:p>
        </w:tc>
        <w:tc>
          <w:tcPr>
            <w:tcW w:w="1476" w:type="pct"/>
            <w:tcBorders>
              <w:bottom w:val="single" w:sz="4" w:space="0" w:color="auto"/>
            </w:tcBorders>
            <w:shd w:val="clear" w:color="auto" w:fill="FFFFFF"/>
            <w:tcMar>
              <w:top w:w="110" w:type="dxa"/>
              <w:left w:w="108" w:type="dxa"/>
              <w:bottom w:w="0" w:type="dxa"/>
              <w:right w:w="108" w:type="dxa"/>
            </w:tcMar>
          </w:tcPr>
          <w:p w:rsidR="00221F0B" w:rsidRDefault="00221F0B" w:rsidP="00DC1333">
            <w:pPr>
              <w:rPr>
                <w:sz w:val="16"/>
                <w:szCs w:val="16"/>
              </w:rPr>
            </w:pPr>
            <w:r>
              <w:rPr>
                <w:sz w:val="16"/>
                <w:szCs w:val="16"/>
              </w:rPr>
              <w:t>E</w:t>
            </w:r>
            <w:r w:rsidRPr="00492A99">
              <w:rPr>
                <w:sz w:val="16"/>
                <w:szCs w:val="16"/>
              </w:rPr>
              <w:t xml:space="preserve">n 2014/15, </w:t>
            </w:r>
            <w:r>
              <w:rPr>
                <w:sz w:val="16"/>
                <w:szCs w:val="16"/>
              </w:rPr>
              <w:t>por lo general, el 84,</w:t>
            </w:r>
            <w:r w:rsidRPr="00492A99">
              <w:rPr>
                <w:sz w:val="16"/>
                <w:szCs w:val="16"/>
              </w:rPr>
              <w:t xml:space="preserve">5% </w:t>
            </w:r>
            <w:r>
              <w:rPr>
                <w:sz w:val="16"/>
                <w:szCs w:val="16"/>
              </w:rPr>
              <w:t>de las consultas registradas en el sistema WINS fueron tramitadas en un plazo de tres días:</w:t>
            </w:r>
          </w:p>
          <w:p w:rsidR="00221F0B" w:rsidRPr="00492A99" w:rsidRDefault="00221F0B" w:rsidP="00DC1333">
            <w:pPr>
              <w:rPr>
                <w:sz w:val="6"/>
                <w:szCs w:val="6"/>
              </w:rPr>
            </w:pPr>
          </w:p>
          <w:p w:rsidR="00221F0B" w:rsidRPr="00492A99" w:rsidRDefault="00221F0B" w:rsidP="00221F0B">
            <w:pPr>
              <w:pStyle w:val="ListParagraph"/>
              <w:numPr>
                <w:ilvl w:val="0"/>
                <w:numId w:val="105"/>
              </w:numPr>
              <w:spacing w:after="60"/>
              <w:rPr>
                <w:rFonts w:cs="Arial"/>
                <w:sz w:val="16"/>
                <w:szCs w:val="16"/>
                <w:lang w:val="es-ES"/>
              </w:rPr>
            </w:pPr>
            <w:r>
              <w:rPr>
                <w:rFonts w:cs="Arial"/>
                <w:sz w:val="16"/>
                <w:szCs w:val="16"/>
                <w:lang w:val="es-ES"/>
              </w:rPr>
              <w:t>E</w:t>
            </w:r>
            <w:r w:rsidRPr="00492A99">
              <w:rPr>
                <w:rFonts w:cs="Arial"/>
                <w:sz w:val="16"/>
                <w:szCs w:val="16"/>
                <w:lang w:val="es-ES"/>
              </w:rPr>
              <w:t xml:space="preserve">n 2014, </w:t>
            </w:r>
            <w:r>
              <w:rPr>
                <w:rFonts w:cs="Arial"/>
                <w:sz w:val="16"/>
                <w:szCs w:val="16"/>
                <w:lang w:val="es-ES"/>
              </w:rPr>
              <w:t xml:space="preserve">el </w:t>
            </w:r>
            <w:r w:rsidRPr="00492A99">
              <w:rPr>
                <w:rFonts w:cs="Arial"/>
                <w:sz w:val="16"/>
                <w:szCs w:val="16"/>
                <w:lang w:val="es-ES"/>
              </w:rPr>
              <w:t xml:space="preserve">86% </w:t>
            </w:r>
            <w:r>
              <w:rPr>
                <w:rFonts w:cs="Arial"/>
                <w:sz w:val="16"/>
                <w:szCs w:val="16"/>
                <w:lang w:val="es-ES"/>
              </w:rPr>
              <w:t xml:space="preserve">fueron tramitadas en un plazo de tres días, el </w:t>
            </w:r>
            <w:r w:rsidRPr="00492A99">
              <w:rPr>
                <w:rFonts w:cs="Arial"/>
                <w:sz w:val="16"/>
                <w:szCs w:val="16"/>
                <w:lang w:val="es-ES"/>
              </w:rPr>
              <w:t xml:space="preserve">71% </w:t>
            </w:r>
            <w:r>
              <w:rPr>
                <w:rFonts w:cs="Arial"/>
                <w:sz w:val="16"/>
                <w:szCs w:val="16"/>
                <w:lang w:val="es-ES"/>
              </w:rPr>
              <w:t xml:space="preserve">de ellas el mismo día, el </w:t>
            </w:r>
            <w:r w:rsidRPr="00492A99">
              <w:rPr>
                <w:rFonts w:cs="Arial"/>
                <w:sz w:val="16"/>
                <w:szCs w:val="16"/>
                <w:lang w:val="es-ES"/>
              </w:rPr>
              <w:t xml:space="preserve">6% </w:t>
            </w:r>
            <w:r>
              <w:rPr>
                <w:rFonts w:cs="Arial"/>
                <w:sz w:val="16"/>
                <w:szCs w:val="16"/>
                <w:lang w:val="es-ES"/>
              </w:rPr>
              <w:t xml:space="preserve">en dos días y el </w:t>
            </w:r>
            <w:r w:rsidRPr="00492A99">
              <w:rPr>
                <w:rFonts w:cs="Arial"/>
                <w:sz w:val="16"/>
                <w:szCs w:val="16"/>
                <w:lang w:val="es-ES"/>
              </w:rPr>
              <w:t>9%</w:t>
            </w:r>
            <w:r>
              <w:rPr>
                <w:rFonts w:cs="Arial"/>
                <w:sz w:val="16"/>
                <w:szCs w:val="16"/>
                <w:lang w:val="es-ES"/>
              </w:rPr>
              <w:t xml:space="preserve"> en tres días</w:t>
            </w:r>
            <w:r w:rsidRPr="00492A99">
              <w:rPr>
                <w:rFonts w:cs="Arial"/>
                <w:sz w:val="16"/>
                <w:szCs w:val="16"/>
                <w:lang w:val="es-ES"/>
              </w:rPr>
              <w:t xml:space="preserve">.  </w:t>
            </w:r>
          </w:p>
          <w:p w:rsidR="00221F0B" w:rsidRPr="00492A99" w:rsidRDefault="00221F0B" w:rsidP="00221F0B">
            <w:pPr>
              <w:pStyle w:val="ListParagraph"/>
              <w:numPr>
                <w:ilvl w:val="0"/>
                <w:numId w:val="105"/>
              </w:numPr>
              <w:rPr>
                <w:rFonts w:cs="Arial"/>
                <w:sz w:val="16"/>
                <w:szCs w:val="16"/>
                <w:lang w:val="es-ES"/>
              </w:rPr>
            </w:pPr>
            <w:r>
              <w:rPr>
                <w:rFonts w:cs="Arial"/>
                <w:sz w:val="16"/>
                <w:szCs w:val="16"/>
                <w:lang w:val="es-ES"/>
              </w:rPr>
              <w:t>E</w:t>
            </w:r>
            <w:r w:rsidRPr="00492A99">
              <w:rPr>
                <w:rFonts w:cs="Arial"/>
                <w:sz w:val="16"/>
                <w:szCs w:val="16"/>
                <w:lang w:val="es-ES"/>
              </w:rPr>
              <w:t xml:space="preserve">n 2015, </w:t>
            </w:r>
            <w:r>
              <w:rPr>
                <w:rFonts w:cs="Arial"/>
                <w:sz w:val="16"/>
                <w:szCs w:val="16"/>
                <w:lang w:val="es-ES"/>
              </w:rPr>
              <w:t xml:space="preserve">el </w:t>
            </w:r>
            <w:r w:rsidRPr="00492A99">
              <w:rPr>
                <w:rFonts w:cs="Arial"/>
                <w:sz w:val="16"/>
                <w:szCs w:val="16"/>
                <w:lang w:val="es-ES"/>
              </w:rPr>
              <w:t xml:space="preserve">85% </w:t>
            </w:r>
            <w:r>
              <w:rPr>
                <w:rFonts w:cs="Arial"/>
                <w:sz w:val="16"/>
                <w:szCs w:val="16"/>
                <w:lang w:val="es-ES"/>
              </w:rPr>
              <w:t xml:space="preserve">fueron tramitadas en tres días, el </w:t>
            </w:r>
            <w:r w:rsidRPr="00492A99">
              <w:rPr>
                <w:rFonts w:cs="Arial"/>
                <w:sz w:val="16"/>
                <w:szCs w:val="16"/>
                <w:lang w:val="es-ES"/>
              </w:rPr>
              <w:t xml:space="preserve">67% </w:t>
            </w:r>
            <w:r>
              <w:rPr>
                <w:rFonts w:cs="Arial"/>
                <w:sz w:val="16"/>
                <w:szCs w:val="16"/>
                <w:lang w:val="es-ES"/>
              </w:rPr>
              <w:t xml:space="preserve"> de ellas el mismo día, el </w:t>
            </w:r>
            <w:r w:rsidRPr="00492A99">
              <w:rPr>
                <w:rFonts w:cs="Arial"/>
                <w:sz w:val="16"/>
                <w:szCs w:val="16"/>
                <w:lang w:val="es-ES"/>
              </w:rPr>
              <w:t xml:space="preserve">12% </w:t>
            </w:r>
            <w:r>
              <w:rPr>
                <w:rFonts w:cs="Arial"/>
                <w:sz w:val="16"/>
                <w:szCs w:val="16"/>
                <w:lang w:val="es-ES"/>
              </w:rPr>
              <w:t xml:space="preserve">en dos días y el </w:t>
            </w:r>
            <w:r w:rsidRPr="00492A99">
              <w:rPr>
                <w:rFonts w:cs="Arial"/>
                <w:sz w:val="16"/>
                <w:szCs w:val="16"/>
                <w:lang w:val="es-ES"/>
              </w:rPr>
              <w:t>6%</w:t>
            </w:r>
            <w:r>
              <w:rPr>
                <w:rFonts w:cs="Arial"/>
                <w:sz w:val="16"/>
                <w:szCs w:val="16"/>
                <w:lang w:val="es-ES"/>
              </w:rPr>
              <w:t xml:space="preserve"> en tres días</w:t>
            </w:r>
            <w:r w:rsidRPr="00492A99">
              <w:rPr>
                <w:rFonts w:cs="Arial"/>
                <w:sz w:val="16"/>
                <w:szCs w:val="16"/>
                <w:lang w:val="es-ES"/>
              </w:rPr>
              <w:t>.</w:t>
            </w:r>
          </w:p>
          <w:p w:rsidR="00221F0B" w:rsidRPr="00492A99" w:rsidRDefault="00221F0B" w:rsidP="00DC1333">
            <w:pPr>
              <w:rPr>
                <w:sz w:val="16"/>
                <w:szCs w:val="16"/>
              </w:rPr>
            </w:pPr>
          </w:p>
          <w:p w:rsidR="00221F0B" w:rsidRPr="00492A99" w:rsidRDefault="00221F0B" w:rsidP="00DC1333">
            <w:pPr>
              <w:rPr>
                <w:sz w:val="16"/>
                <w:szCs w:val="16"/>
              </w:rPr>
            </w:pPr>
          </w:p>
          <w:p w:rsidR="00221F0B" w:rsidRPr="00492A99" w:rsidRDefault="00221F0B" w:rsidP="00DC1333">
            <w:pPr>
              <w:rPr>
                <w:sz w:val="16"/>
                <w:szCs w:val="16"/>
              </w:rPr>
            </w:pPr>
            <w:r w:rsidRPr="00492A99">
              <w:rPr>
                <w:sz w:val="16"/>
                <w:szCs w:val="16"/>
              </w:rPr>
              <w:t>En 2014/15, la División de Presupuesto y Rendimiento de los Programas recibió unos 2.200 archivos que necesitaban validación programática o presupuestaria.  El tiempo de respuesta promedio fue de 1,9 días</w:t>
            </w:r>
            <w:r w:rsidR="0036610D">
              <w:rPr>
                <w:sz w:val="16"/>
                <w:szCs w:val="16"/>
              </w:rPr>
              <w:t>.</w:t>
            </w:r>
          </w:p>
        </w:tc>
        <w:tc>
          <w:tcPr>
            <w:tcW w:w="694" w:type="pct"/>
            <w:tcBorders>
              <w:bottom w:val="single" w:sz="4" w:space="0" w:color="auto"/>
            </w:tcBorders>
            <w:tcMar>
              <w:top w:w="110" w:type="dxa"/>
              <w:left w:w="108" w:type="dxa"/>
              <w:bottom w:w="0" w:type="dxa"/>
              <w:right w:w="108" w:type="dxa"/>
            </w:tcMar>
          </w:tcPr>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p>
          <w:p w:rsidR="00221F0B" w:rsidRPr="00492A99" w:rsidRDefault="0036610D" w:rsidP="00DC1333">
            <w:pPr>
              <w:keepNext/>
              <w:keepLines/>
              <w:jc w:val="center"/>
              <w:rPr>
                <w:b/>
                <w:bCs/>
                <w:color w:val="008000"/>
                <w:sz w:val="16"/>
                <w:szCs w:val="16"/>
              </w:rPr>
            </w:pPr>
            <w:r>
              <w:rPr>
                <w:b/>
                <w:bCs/>
                <w:color w:val="008000"/>
                <w:sz w:val="16"/>
                <w:szCs w:val="16"/>
              </w:rPr>
              <w:br/>
            </w:r>
            <w:r>
              <w:rPr>
                <w:b/>
                <w:bCs/>
                <w:color w:val="008000"/>
                <w:sz w:val="16"/>
                <w:szCs w:val="16"/>
              </w:rPr>
              <w:br/>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tc>
      </w:tr>
      <w:tr w:rsidR="00221F0B" w:rsidRPr="00F03E99" w:rsidTr="00DC1333">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221F0B" w:rsidRPr="00492A99" w:rsidRDefault="00221F0B" w:rsidP="00DC1333">
            <w:pPr>
              <w:keepNext/>
              <w:keepLines/>
              <w:spacing w:before="120" w:after="120"/>
              <w:ind w:left="2019" w:hanging="2019"/>
              <w:rPr>
                <w:bCs/>
                <w:sz w:val="16"/>
                <w:szCs w:val="16"/>
              </w:rPr>
            </w:pPr>
            <w:r w:rsidRPr="00492A99">
              <w:rPr>
                <w:b/>
                <w:bCs/>
                <w:sz w:val="16"/>
                <w:szCs w:val="16"/>
              </w:rPr>
              <w:lastRenderedPageBreak/>
              <w:t>Resultado previsto:</w:t>
            </w:r>
            <w:r w:rsidRPr="00492A99">
              <w:rPr>
                <w:b/>
                <w:bCs/>
                <w:sz w:val="16"/>
                <w:szCs w:val="16"/>
              </w:rPr>
              <w:tab/>
            </w:r>
            <w:r w:rsidRPr="00A54228">
              <w:rPr>
                <w:bCs/>
                <w:sz w:val="16"/>
                <w:szCs w:val="16"/>
              </w:rPr>
              <w:t>IX.2</w:t>
            </w:r>
            <w:r>
              <w:rPr>
                <w:b/>
                <w:bCs/>
                <w:sz w:val="16"/>
                <w:szCs w:val="16"/>
              </w:rPr>
              <w:t xml:space="preserve"> </w:t>
            </w:r>
            <w:r w:rsidRPr="00492A99">
              <w:rPr>
                <w:bCs/>
                <w:sz w:val="16"/>
                <w:szCs w:val="16"/>
              </w:rPr>
              <w:t>Funcionamiento sin contratiempos de la Secretaría, provista de un personal bien dirigido, dotado de las competencias adecuadas y capaz de conseguir resultados</w:t>
            </w:r>
          </w:p>
        </w:tc>
      </w:tr>
      <w:tr w:rsidR="00221F0B" w:rsidRPr="00A54228" w:rsidTr="00DC1333">
        <w:trPr>
          <w:cantSplit/>
        </w:trPr>
        <w:tc>
          <w:tcPr>
            <w:tcW w:w="1091" w:type="pct"/>
            <w:tcBorders>
              <w:top w:val="single" w:sz="4" w:space="0" w:color="auto"/>
              <w:left w:val="single" w:sz="4" w:space="0" w:color="auto"/>
            </w:tcBorders>
          </w:tcPr>
          <w:p w:rsidR="00221F0B" w:rsidRPr="00492A99" w:rsidRDefault="00221F0B" w:rsidP="00DC1333">
            <w:pPr>
              <w:keepNext/>
              <w:rPr>
                <w:b/>
                <w:bCs/>
                <w:sz w:val="16"/>
                <w:szCs w:val="16"/>
              </w:rPr>
            </w:pPr>
            <w:r w:rsidRPr="00492A99">
              <w:rPr>
                <w:b/>
                <w:bCs/>
                <w:sz w:val="16"/>
                <w:szCs w:val="16"/>
              </w:rPr>
              <w:t>Indicadores de rendimiento</w:t>
            </w:r>
          </w:p>
        </w:tc>
        <w:tc>
          <w:tcPr>
            <w:tcW w:w="952" w:type="pct"/>
            <w:tcBorders>
              <w:top w:val="single" w:sz="4" w:space="0" w:color="auto"/>
            </w:tcBorders>
            <w:hideMark/>
          </w:tcPr>
          <w:p w:rsidR="00221F0B" w:rsidRPr="00492A99" w:rsidRDefault="00221F0B" w:rsidP="00DC1333">
            <w:pPr>
              <w:keepNext/>
              <w:rPr>
                <w:b/>
                <w:bCs/>
                <w:sz w:val="16"/>
                <w:szCs w:val="16"/>
              </w:rPr>
            </w:pPr>
            <w:r w:rsidRPr="00492A99">
              <w:rPr>
                <w:b/>
                <w:bCs/>
                <w:sz w:val="16"/>
                <w:szCs w:val="16"/>
              </w:rPr>
              <w:t>Referencia</w:t>
            </w:r>
          </w:p>
        </w:tc>
        <w:tc>
          <w:tcPr>
            <w:tcW w:w="787" w:type="pct"/>
            <w:tcBorders>
              <w:top w:val="single" w:sz="4" w:space="0" w:color="auto"/>
            </w:tcBorders>
            <w:tcMar>
              <w:top w:w="110" w:type="dxa"/>
              <w:left w:w="108" w:type="dxa"/>
              <w:bottom w:w="0" w:type="dxa"/>
              <w:right w:w="108" w:type="dxa"/>
            </w:tcMar>
            <w:hideMark/>
          </w:tcPr>
          <w:p w:rsidR="00221F0B" w:rsidRPr="00492A99" w:rsidRDefault="00221F0B" w:rsidP="00DC1333">
            <w:pPr>
              <w:keepNext/>
              <w:autoSpaceDE w:val="0"/>
              <w:autoSpaceDN w:val="0"/>
              <w:adjustRightInd w:val="0"/>
              <w:rPr>
                <w:b/>
                <w:bCs/>
                <w:sz w:val="16"/>
                <w:szCs w:val="16"/>
              </w:rPr>
            </w:pPr>
            <w:r w:rsidRPr="00492A99">
              <w:rPr>
                <w:b/>
                <w:bCs/>
                <w:sz w:val="16"/>
                <w:szCs w:val="16"/>
              </w:rPr>
              <w:t>Objetivos</w:t>
            </w:r>
          </w:p>
        </w:tc>
        <w:tc>
          <w:tcPr>
            <w:tcW w:w="1476" w:type="pct"/>
            <w:tcBorders>
              <w:top w:val="single" w:sz="4" w:space="0" w:color="auto"/>
            </w:tcBorders>
            <w:shd w:val="clear" w:color="auto" w:fill="FFFFFF"/>
            <w:tcMar>
              <w:top w:w="110" w:type="dxa"/>
              <w:left w:w="108" w:type="dxa"/>
              <w:bottom w:w="0" w:type="dxa"/>
              <w:right w:w="108" w:type="dxa"/>
            </w:tcMar>
            <w:hideMark/>
          </w:tcPr>
          <w:p w:rsidR="00221F0B" w:rsidRPr="00492A99" w:rsidRDefault="00221F0B" w:rsidP="00DC1333">
            <w:pPr>
              <w:keepNext/>
              <w:rPr>
                <w:b/>
                <w:bCs/>
                <w:sz w:val="16"/>
                <w:szCs w:val="16"/>
              </w:rPr>
            </w:pPr>
            <w:r w:rsidRPr="00492A99">
              <w:rPr>
                <w:b/>
                <w:bCs/>
                <w:sz w:val="16"/>
                <w:szCs w:val="16"/>
              </w:rPr>
              <w:t>Datos sobre el rendimiento</w:t>
            </w:r>
          </w:p>
        </w:tc>
        <w:tc>
          <w:tcPr>
            <w:tcW w:w="694" w:type="pct"/>
            <w:tcBorders>
              <w:top w:val="single" w:sz="4" w:space="0" w:color="auto"/>
              <w:right w:val="single" w:sz="4" w:space="0" w:color="auto"/>
            </w:tcBorders>
            <w:tcMar>
              <w:top w:w="110" w:type="dxa"/>
              <w:left w:w="108" w:type="dxa"/>
              <w:bottom w:w="0" w:type="dxa"/>
              <w:right w:w="108" w:type="dxa"/>
            </w:tcMar>
            <w:hideMark/>
          </w:tcPr>
          <w:p w:rsidR="00221F0B" w:rsidRPr="00492A99" w:rsidRDefault="00221F0B" w:rsidP="00DC1333">
            <w:pPr>
              <w:keepNext/>
              <w:keepLines/>
              <w:jc w:val="center"/>
              <w:rPr>
                <w:b/>
                <w:bCs/>
                <w:sz w:val="16"/>
                <w:szCs w:val="16"/>
              </w:rPr>
            </w:pPr>
            <w:r w:rsidRPr="00492A99">
              <w:rPr>
                <w:b/>
                <w:bCs/>
                <w:sz w:val="16"/>
                <w:szCs w:val="16"/>
              </w:rPr>
              <w:t>Clave de colores</w:t>
            </w:r>
          </w:p>
        </w:tc>
      </w:tr>
      <w:tr w:rsidR="00221F0B" w:rsidRPr="00492A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952" w:type="pct"/>
          </w:tcPr>
          <w:p w:rsidR="00221F0B" w:rsidRPr="00492A99" w:rsidRDefault="00221F0B" w:rsidP="00DC1333">
            <w:pPr>
              <w:rPr>
                <w:sz w:val="16"/>
                <w:szCs w:val="16"/>
              </w:rPr>
            </w:pPr>
            <w:r w:rsidRPr="00492A99">
              <w:rPr>
                <w:sz w:val="16"/>
                <w:szCs w:val="16"/>
              </w:rPr>
              <w:t>Informe de auditoría satisfactorio en 2012 y 2013 y respuestas proporcionadas en relación con todas las recomendaciones de auditoría</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rPr>
              <w:t>Informes de auditoría satisfactorios respecto de los dos años del bienio</w:t>
            </w:r>
          </w:p>
        </w:tc>
        <w:tc>
          <w:tcPr>
            <w:tcW w:w="1476" w:type="pct"/>
            <w:shd w:val="clear" w:color="auto" w:fill="FFFFFF"/>
            <w:tcMar>
              <w:top w:w="110" w:type="dxa"/>
              <w:left w:w="108" w:type="dxa"/>
              <w:bottom w:w="0" w:type="dxa"/>
              <w:right w:w="108" w:type="dxa"/>
            </w:tcMar>
          </w:tcPr>
          <w:p w:rsidR="00221F0B" w:rsidRPr="00492A99" w:rsidRDefault="00221F0B" w:rsidP="00DC1333">
            <w:pPr>
              <w:rPr>
                <w:sz w:val="16"/>
                <w:szCs w:val="16"/>
              </w:rPr>
            </w:pPr>
            <w:r>
              <w:rPr>
                <w:sz w:val="16"/>
                <w:szCs w:val="16"/>
              </w:rPr>
              <w:t xml:space="preserve">Informe de auditoría satisfactorio recibido en </w:t>
            </w:r>
            <w:r w:rsidRPr="00492A99">
              <w:rPr>
                <w:sz w:val="16"/>
                <w:szCs w:val="16"/>
              </w:rPr>
              <w:t xml:space="preserve">2014. </w:t>
            </w:r>
          </w:p>
          <w:p w:rsidR="00221F0B" w:rsidRPr="00492A99" w:rsidRDefault="00221F0B" w:rsidP="00DC1333">
            <w:pPr>
              <w:rPr>
                <w:sz w:val="16"/>
                <w:szCs w:val="16"/>
              </w:rPr>
            </w:pPr>
          </w:p>
          <w:p w:rsidR="00221F0B" w:rsidRPr="00492A99" w:rsidRDefault="00221F0B" w:rsidP="00DC1333">
            <w:pPr>
              <w:rPr>
                <w:sz w:val="16"/>
                <w:szCs w:val="16"/>
              </w:rPr>
            </w:pPr>
            <w:r>
              <w:rPr>
                <w:sz w:val="16"/>
                <w:szCs w:val="16"/>
              </w:rPr>
              <w:t>En el momento de la publicación, todavía no se han publicado los resultados de la auditoría de</w:t>
            </w:r>
            <w:r w:rsidRPr="00492A99">
              <w:rPr>
                <w:sz w:val="16"/>
                <w:szCs w:val="16"/>
              </w:rPr>
              <w:t xml:space="preserve"> 2015.</w:t>
            </w:r>
          </w:p>
          <w:p w:rsidR="00221F0B" w:rsidRPr="00492A99" w:rsidRDefault="00221F0B" w:rsidP="00DC1333">
            <w:pPr>
              <w:rPr>
                <w:sz w:val="16"/>
                <w:szCs w:val="16"/>
              </w:rPr>
            </w:pPr>
          </w:p>
          <w:p w:rsidR="00221F0B" w:rsidRPr="00492A99" w:rsidRDefault="00221F0B" w:rsidP="00DC1333">
            <w:pPr>
              <w:rPr>
                <w:sz w:val="16"/>
                <w:szCs w:val="16"/>
              </w:rPr>
            </w:pPr>
            <w:r>
              <w:rPr>
                <w:sz w:val="16"/>
                <w:szCs w:val="16"/>
              </w:rPr>
              <w:t xml:space="preserve">Se ha respondido a todas las recomendaciones de auditoría recibidas durante </w:t>
            </w:r>
            <w:r w:rsidRPr="00492A99">
              <w:rPr>
                <w:sz w:val="16"/>
                <w:szCs w:val="16"/>
              </w:rPr>
              <w:t xml:space="preserve">2014 </w:t>
            </w:r>
            <w:r>
              <w:rPr>
                <w:sz w:val="16"/>
                <w:szCs w:val="16"/>
              </w:rPr>
              <w:t xml:space="preserve">y </w:t>
            </w:r>
            <w:r w:rsidRPr="00492A99">
              <w:rPr>
                <w:sz w:val="16"/>
                <w:szCs w:val="16"/>
              </w:rPr>
              <w:t xml:space="preserve">2015.   </w:t>
            </w:r>
          </w:p>
          <w:p w:rsidR="00221F0B" w:rsidRPr="00492A99" w:rsidRDefault="00221F0B" w:rsidP="00DC1333">
            <w:pPr>
              <w:rPr>
                <w:sz w:val="16"/>
                <w:szCs w:val="16"/>
              </w:rPr>
            </w:pP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
                <w:bCs/>
                <w:color w:val="008000"/>
                <w:sz w:val="16"/>
                <w:szCs w:val="16"/>
              </w:rPr>
            </w:pPr>
            <w:r w:rsidRPr="00492A99">
              <w:rPr>
                <w:b/>
                <w:bCs/>
                <w:color w:val="008000"/>
                <w:sz w:val="16"/>
                <w:szCs w:val="16"/>
              </w:rPr>
              <w:t>Plenamente logrado</w:t>
            </w:r>
          </w:p>
          <w:p w:rsidR="00221F0B" w:rsidRPr="00492A99" w:rsidRDefault="00221F0B" w:rsidP="00DC1333">
            <w:pPr>
              <w:keepNext/>
              <w:keepLines/>
              <w:jc w:val="center"/>
              <w:rPr>
                <w:b/>
                <w:bCs/>
                <w:color w:val="008000"/>
                <w:sz w:val="16"/>
                <w:szCs w:val="16"/>
              </w:rPr>
            </w:pPr>
          </w:p>
          <w:p w:rsidR="00221F0B" w:rsidRPr="00492A99" w:rsidRDefault="00221F0B" w:rsidP="00DC1333">
            <w:pPr>
              <w:keepNext/>
              <w:keepLines/>
              <w:jc w:val="center"/>
              <w:rPr>
                <w:bCs/>
                <w:color w:val="404040" w:themeColor="text1" w:themeTint="BF"/>
                <w:sz w:val="16"/>
                <w:szCs w:val="16"/>
              </w:rPr>
            </w:pPr>
            <w:r w:rsidRPr="00492A99">
              <w:rPr>
                <w:b/>
                <w:bCs/>
                <w:color w:val="A6A6A6" w:themeColor="background1" w:themeShade="A6"/>
                <w:sz w:val="16"/>
                <w:szCs w:val="16"/>
              </w:rPr>
              <w:t>No mensurable</w:t>
            </w:r>
          </w:p>
        </w:tc>
      </w:tr>
      <w:tr w:rsidR="00221F0B" w:rsidRPr="00492A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Rendimiento del capital invertido en concordancia con los parámetros establecidos por el Comité Asesor en materia de Inversiones</w:t>
            </w:r>
          </w:p>
        </w:tc>
        <w:tc>
          <w:tcPr>
            <w:tcW w:w="952" w:type="pct"/>
          </w:tcPr>
          <w:p w:rsidR="00221F0B" w:rsidRPr="00492A99" w:rsidRDefault="00221F0B" w:rsidP="00DC1333">
            <w:pPr>
              <w:rPr>
                <w:sz w:val="16"/>
                <w:szCs w:val="16"/>
                <w:lang w:bidi="th-TH"/>
              </w:rPr>
            </w:pPr>
            <w:r w:rsidRPr="00492A99">
              <w:rPr>
                <w:sz w:val="16"/>
                <w:szCs w:val="16"/>
                <w:lang w:bidi="th-TH"/>
              </w:rPr>
              <w:t>Rendimiento del capital invertido en concordancia con los parámetros establecidos por el Comité Asesor en materia de Inversiones en 2012/13</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lang w:bidi="th-TH"/>
              </w:rPr>
              <w:t>Rendimiento del capital invertido en concordancia con los parámetros establecidos por el Comité Asesor en m</w:t>
            </w:r>
            <w:r>
              <w:rPr>
                <w:sz w:val="16"/>
                <w:szCs w:val="16"/>
                <w:lang w:bidi="th-TH"/>
              </w:rPr>
              <w:t>ateria de Inversiones en 2014/15</w:t>
            </w:r>
          </w:p>
        </w:tc>
        <w:tc>
          <w:tcPr>
            <w:tcW w:w="1476" w:type="pct"/>
            <w:shd w:val="clear" w:color="auto" w:fill="FFFFFF"/>
            <w:tcMar>
              <w:top w:w="110" w:type="dxa"/>
              <w:left w:w="108" w:type="dxa"/>
              <w:bottom w:w="0" w:type="dxa"/>
              <w:right w:w="108" w:type="dxa"/>
            </w:tcMar>
          </w:tcPr>
          <w:p w:rsidR="00221F0B" w:rsidRPr="00492A99" w:rsidRDefault="00221F0B" w:rsidP="00DC1333">
            <w:pPr>
              <w:rPr>
                <w:sz w:val="16"/>
                <w:szCs w:val="16"/>
              </w:rPr>
            </w:pPr>
            <w:r>
              <w:rPr>
                <w:sz w:val="16"/>
                <w:szCs w:val="16"/>
              </w:rPr>
              <w:t xml:space="preserve">Objetivo logrado durante el bienio. Prosiguieron las inversiones con las autoridades suizas, en concordancia con los parámetros establecidos en </w:t>
            </w:r>
            <w:r w:rsidRPr="00492A99">
              <w:rPr>
                <w:sz w:val="16"/>
                <w:szCs w:val="16"/>
              </w:rPr>
              <w:t>2014/15.</w:t>
            </w:r>
          </w:p>
          <w:p w:rsidR="00221F0B" w:rsidRPr="00492A99" w:rsidRDefault="00221F0B" w:rsidP="00DC1333">
            <w:pPr>
              <w:rPr>
                <w:sz w:val="16"/>
                <w:szCs w:val="16"/>
              </w:rPr>
            </w:pPr>
          </w:p>
          <w:p w:rsidR="00221F0B" w:rsidRPr="00492A99" w:rsidRDefault="00221F0B" w:rsidP="00DC1333">
            <w:pPr>
              <w:rPr>
                <w:sz w:val="16"/>
                <w:szCs w:val="16"/>
              </w:rPr>
            </w:pPr>
            <w:r>
              <w:rPr>
                <w:sz w:val="16"/>
                <w:szCs w:val="16"/>
              </w:rPr>
              <w:t xml:space="preserve">El Comité Asesor en materia de Inversiones ha de establecer nuevos parámetros tras la introducción de una nueva política de inversiones en otoño de </w:t>
            </w:r>
            <w:r w:rsidRPr="00492A99">
              <w:rPr>
                <w:sz w:val="16"/>
                <w:szCs w:val="16"/>
              </w:rPr>
              <w:t>2015.</w:t>
            </w: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Cs/>
                <w:color w:val="404040" w:themeColor="text1" w:themeTint="BF"/>
                <w:sz w:val="16"/>
                <w:szCs w:val="16"/>
              </w:rPr>
            </w:pPr>
            <w:r w:rsidRPr="00492A99">
              <w:rPr>
                <w:b/>
                <w:bCs/>
                <w:color w:val="008000"/>
                <w:sz w:val="16"/>
                <w:szCs w:val="16"/>
              </w:rPr>
              <w:t>Plenamente logrado</w:t>
            </w:r>
          </w:p>
        </w:tc>
      </w:tr>
      <w:tr w:rsidR="00221F0B" w:rsidRPr="00492A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Los pagos (incluidas las tasas correspondientes a los Sistemas de Madrid y de La Haya) se efectúan en el plazo estipulado</w:t>
            </w:r>
          </w:p>
        </w:tc>
        <w:tc>
          <w:tcPr>
            <w:tcW w:w="952" w:type="pct"/>
          </w:tcPr>
          <w:p w:rsidR="00221F0B" w:rsidRPr="00492A99" w:rsidRDefault="00221F0B" w:rsidP="00DC1333">
            <w:pPr>
              <w:rPr>
                <w:i/>
                <w:color w:val="002060"/>
                <w:sz w:val="16"/>
                <w:szCs w:val="16"/>
              </w:rPr>
            </w:pPr>
            <w:r w:rsidRPr="00492A99">
              <w:rPr>
                <w:sz w:val="16"/>
                <w:szCs w:val="16"/>
                <w:lang w:bidi="th-TH"/>
              </w:rPr>
              <w:t>90% de los pagos efectuados en un plazo de siete días con arreglo a las condiciones de pago o la fecha de recepción (en caso de recepción tardía) cuando no haya otros problemas de flujo de trabajo (por ejemplo, la no entrega de la orden de compra</w:t>
            </w:r>
            <w:r w:rsidRPr="00492A99">
              <w:rPr>
                <w:color w:val="FF00FF"/>
                <w:sz w:val="16"/>
                <w:szCs w:val="16"/>
                <w:lang w:bidi="th-TH"/>
              </w:rPr>
              <w:t xml:space="preserve">, </w:t>
            </w:r>
            <w:r w:rsidRPr="00492A99">
              <w:rPr>
                <w:sz w:val="16"/>
                <w:szCs w:val="16"/>
                <w:lang w:bidi="th-TH"/>
              </w:rPr>
              <w:t>etc.)</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lang w:bidi="th-TH"/>
              </w:rPr>
              <w:t>90% de los pagos efectuados en un plazo de</w:t>
            </w:r>
            <w:r>
              <w:rPr>
                <w:sz w:val="16"/>
                <w:szCs w:val="16"/>
                <w:lang w:bidi="th-TH"/>
              </w:rPr>
              <w:t xml:space="preserve"> dos a tres días a partir de la recepción de la factura</w:t>
            </w:r>
          </w:p>
        </w:tc>
        <w:tc>
          <w:tcPr>
            <w:tcW w:w="1476" w:type="pct"/>
            <w:shd w:val="clear" w:color="auto" w:fill="FFFFFF"/>
            <w:tcMar>
              <w:top w:w="110" w:type="dxa"/>
              <w:left w:w="108" w:type="dxa"/>
              <w:bottom w:w="0" w:type="dxa"/>
              <w:right w:w="108" w:type="dxa"/>
            </w:tcMar>
          </w:tcPr>
          <w:p w:rsidR="00221F0B" w:rsidRPr="00492A99" w:rsidRDefault="00221F0B" w:rsidP="00DC1333">
            <w:pPr>
              <w:rPr>
                <w:sz w:val="16"/>
                <w:szCs w:val="16"/>
              </w:rPr>
            </w:pPr>
            <w:r w:rsidRPr="00E15312">
              <w:rPr>
                <w:sz w:val="16"/>
                <w:szCs w:val="16"/>
              </w:rPr>
              <w:t>Los pagos de to</w:t>
            </w:r>
            <w:r>
              <w:rPr>
                <w:sz w:val="16"/>
                <w:szCs w:val="16"/>
              </w:rPr>
              <w:t>das las facturas se efectuaron con arreglo a la referencia</w:t>
            </w:r>
            <w:r w:rsidRPr="00E15312">
              <w:rPr>
                <w:sz w:val="16"/>
                <w:szCs w:val="16"/>
              </w:rPr>
              <w:t>, excepto las</w:t>
            </w:r>
            <w:r>
              <w:rPr>
                <w:sz w:val="16"/>
                <w:szCs w:val="16"/>
              </w:rPr>
              <w:t xml:space="preserve"> facturas </w:t>
            </w:r>
            <w:r w:rsidRPr="00E15312">
              <w:rPr>
                <w:sz w:val="16"/>
                <w:szCs w:val="16"/>
              </w:rPr>
              <w:t xml:space="preserve">ex-post facto, o cuando no </w:t>
            </w:r>
            <w:r>
              <w:rPr>
                <w:sz w:val="16"/>
                <w:szCs w:val="16"/>
              </w:rPr>
              <w:t xml:space="preserve">hubo </w:t>
            </w:r>
            <w:r w:rsidRPr="00E15312">
              <w:rPr>
                <w:sz w:val="16"/>
                <w:szCs w:val="16"/>
              </w:rPr>
              <w:t>pedidos en el sistema</w:t>
            </w:r>
            <w:r>
              <w:rPr>
                <w:sz w:val="16"/>
                <w:szCs w:val="16"/>
              </w:rPr>
              <w:t xml:space="preserve">. </w:t>
            </w:r>
          </w:p>
          <w:p w:rsidR="00221F0B" w:rsidRPr="00492A99" w:rsidRDefault="00221F0B" w:rsidP="00DC1333">
            <w:pPr>
              <w:rPr>
                <w:sz w:val="16"/>
                <w:szCs w:val="16"/>
              </w:rPr>
            </w:pPr>
          </w:p>
          <w:p w:rsidR="00221F0B" w:rsidRPr="00492A99" w:rsidRDefault="00221F0B" w:rsidP="00DC1333">
            <w:pPr>
              <w:rPr>
                <w:sz w:val="16"/>
                <w:szCs w:val="16"/>
              </w:rPr>
            </w:pPr>
            <w:r w:rsidRPr="00E15312">
              <w:rPr>
                <w:sz w:val="16"/>
                <w:szCs w:val="16"/>
              </w:rPr>
              <w:t>La</w:t>
            </w:r>
            <w:r>
              <w:rPr>
                <w:sz w:val="16"/>
                <w:szCs w:val="16"/>
              </w:rPr>
              <w:t>s distribuciones</w:t>
            </w:r>
            <w:r w:rsidRPr="00E15312">
              <w:rPr>
                <w:sz w:val="16"/>
                <w:szCs w:val="16"/>
              </w:rPr>
              <w:t xml:space="preserve"> mensual</w:t>
            </w:r>
            <w:r>
              <w:rPr>
                <w:sz w:val="16"/>
                <w:szCs w:val="16"/>
              </w:rPr>
              <w:t>es se pagaron o se acreditaron</w:t>
            </w:r>
            <w:r w:rsidRPr="00E15312">
              <w:rPr>
                <w:sz w:val="16"/>
                <w:szCs w:val="16"/>
              </w:rPr>
              <w:t xml:space="preserve"> en una cuenta corriente o se aplicó al pago de cuotas del siguiente m</w:t>
            </w:r>
            <w:r>
              <w:rPr>
                <w:sz w:val="16"/>
                <w:szCs w:val="16"/>
              </w:rPr>
              <w:t>es, según lo exige el Reglamento.</w:t>
            </w:r>
          </w:p>
          <w:p w:rsidR="00221F0B" w:rsidRPr="00492A99" w:rsidRDefault="00221F0B" w:rsidP="00DC1333">
            <w:pPr>
              <w:rPr>
                <w:sz w:val="16"/>
                <w:szCs w:val="16"/>
              </w:rPr>
            </w:pP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Cs/>
                <w:color w:val="404040" w:themeColor="text1" w:themeTint="BF"/>
                <w:sz w:val="16"/>
                <w:szCs w:val="16"/>
              </w:rPr>
            </w:pPr>
            <w:r w:rsidRPr="00492A99">
              <w:rPr>
                <w:b/>
                <w:bCs/>
                <w:color w:val="008000"/>
                <w:sz w:val="16"/>
                <w:szCs w:val="16"/>
              </w:rPr>
              <w:t>Plenamente logrado</w:t>
            </w:r>
          </w:p>
        </w:tc>
      </w:tr>
      <w:tr w:rsidR="00221F0B" w:rsidRPr="00492A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Porcentaje de miembros del personal que expresan satisfacción con la formación recibida (cursos de iniciación, formación sobre el sistema de PRI, formación relacionada con la gestión por resultados)</w:t>
            </w:r>
          </w:p>
        </w:tc>
        <w:tc>
          <w:tcPr>
            <w:tcW w:w="952" w:type="pct"/>
          </w:tcPr>
          <w:p w:rsidR="00221F0B" w:rsidRPr="00492A99" w:rsidRDefault="00221F0B" w:rsidP="00DC1333">
            <w:pPr>
              <w:rPr>
                <w:color w:val="002060"/>
                <w:sz w:val="16"/>
                <w:szCs w:val="16"/>
              </w:rPr>
            </w:pPr>
            <w:r w:rsidRPr="00492A99">
              <w:rPr>
                <w:i/>
                <w:color w:val="002060"/>
                <w:sz w:val="16"/>
                <w:szCs w:val="16"/>
              </w:rPr>
              <w:t xml:space="preserve">Referencia actualizada a fines de 2013:  </w:t>
            </w:r>
          </w:p>
          <w:p w:rsidR="00221F0B" w:rsidRPr="00492A99" w:rsidRDefault="00221F0B" w:rsidP="00DC1333">
            <w:pPr>
              <w:rPr>
                <w:color w:val="002060"/>
                <w:sz w:val="16"/>
                <w:szCs w:val="16"/>
              </w:rPr>
            </w:pPr>
            <w:r w:rsidRPr="00492A99">
              <w:rPr>
                <w:color w:val="002060"/>
                <w:sz w:val="16"/>
                <w:szCs w:val="16"/>
              </w:rPr>
              <w:t>Cursos de iniciación:  94%</w:t>
            </w:r>
          </w:p>
          <w:p w:rsidR="00221F0B" w:rsidRPr="00492A99" w:rsidRDefault="00221F0B" w:rsidP="00DC1333">
            <w:pPr>
              <w:autoSpaceDE w:val="0"/>
              <w:autoSpaceDN w:val="0"/>
              <w:adjustRightInd w:val="0"/>
              <w:rPr>
                <w:color w:val="002060"/>
                <w:sz w:val="16"/>
                <w:szCs w:val="16"/>
              </w:rPr>
            </w:pPr>
            <w:r w:rsidRPr="00492A99">
              <w:rPr>
                <w:color w:val="002060"/>
                <w:sz w:val="16"/>
                <w:szCs w:val="16"/>
              </w:rPr>
              <w:t>Formación relacionada con el</w:t>
            </w:r>
          </w:p>
          <w:p w:rsidR="00221F0B" w:rsidRPr="00492A99" w:rsidRDefault="00221F0B" w:rsidP="00DC1333">
            <w:pPr>
              <w:autoSpaceDE w:val="0"/>
              <w:autoSpaceDN w:val="0"/>
              <w:adjustRightInd w:val="0"/>
              <w:rPr>
                <w:color w:val="002060"/>
                <w:sz w:val="16"/>
                <w:szCs w:val="16"/>
              </w:rPr>
            </w:pPr>
            <w:r w:rsidRPr="00492A99">
              <w:rPr>
                <w:color w:val="002060"/>
                <w:sz w:val="16"/>
                <w:szCs w:val="16"/>
              </w:rPr>
              <w:t>sistema de PRI y</w:t>
            </w:r>
          </w:p>
          <w:p w:rsidR="00221F0B" w:rsidRPr="00492A99" w:rsidRDefault="00221F0B" w:rsidP="00DC1333">
            <w:pPr>
              <w:autoSpaceDE w:val="0"/>
              <w:autoSpaceDN w:val="0"/>
              <w:adjustRightInd w:val="0"/>
              <w:rPr>
                <w:color w:val="002060"/>
                <w:sz w:val="16"/>
                <w:szCs w:val="16"/>
              </w:rPr>
            </w:pPr>
            <w:r w:rsidRPr="00492A99">
              <w:rPr>
                <w:color w:val="002060"/>
                <w:sz w:val="16"/>
                <w:szCs w:val="16"/>
              </w:rPr>
              <w:t>con la gestión por</w:t>
            </w:r>
          </w:p>
          <w:p w:rsidR="00221F0B" w:rsidRPr="00492A99" w:rsidRDefault="00221F0B" w:rsidP="00DC1333">
            <w:pPr>
              <w:rPr>
                <w:color w:val="002060"/>
                <w:sz w:val="16"/>
                <w:szCs w:val="16"/>
              </w:rPr>
            </w:pPr>
            <w:r w:rsidRPr="00492A99">
              <w:rPr>
                <w:color w:val="002060"/>
                <w:sz w:val="16"/>
                <w:szCs w:val="16"/>
              </w:rPr>
              <w:t>resultados:  96%</w:t>
            </w:r>
          </w:p>
          <w:p w:rsidR="00221F0B" w:rsidRPr="00492A99" w:rsidRDefault="00221F0B" w:rsidP="00DC1333">
            <w:pPr>
              <w:rPr>
                <w:color w:val="002060"/>
                <w:sz w:val="16"/>
                <w:szCs w:val="16"/>
              </w:rPr>
            </w:pPr>
          </w:p>
          <w:p w:rsidR="00221F0B" w:rsidRPr="00492A99" w:rsidRDefault="00221F0B" w:rsidP="0036610D">
            <w:pPr>
              <w:ind w:right="-135"/>
              <w:rPr>
                <w:i/>
                <w:sz w:val="16"/>
                <w:szCs w:val="16"/>
              </w:rPr>
            </w:pPr>
            <w:r w:rsidRPr="00492A99">
              <w:rPr>
                <w:i/>
                <w:sz w:val="16"/>
                <w:szCs w:val="16"/>
                <w:lang w:bidi="th-TH"/>
              </w:rPr>
              <w:t>Referencia original en el presup</w:t>
            </w:r>
            <w:r w:rsidR="0036610D">
              <w:rPr>
                <w:i/>
                <w:sz w:val="16"/>
                <w:szCs w:val="16"/>
                <w:lang w:bidi="th-TH"/>
              </w:rPr>
              <w:t>.</w:t>
            </w:r>
            <w:r w:rsidRPr="00492A99">
              <w:rPr>
                <w:i/>
                <w:sz w:val="16"/>
                <w:szCs w:val="16"/>
                <w:lang w:bidi="th-TH"/>
              </w:rPr>
              <w:t xml:space="preserve"> de</w:t>
            </w:r>
            <w:r w:rsidR="0036610D">
              <w:rPr>
                <w:i/>
                <w:sz w:val="16"/>
                <w:szCs w:val="16"/>
                <w:lang w:bidi="th-TH"/>
              </w:rPr>
              <w:t xml:space="preserve"> </w:t>
            </w:r>
            <w:r w:rsidRPr="00492A99">
              <w:rPr>
                <w:i/>
                <w:sz w:val="16"/>
                <w:szCs w:val="16"/>
                <w:lang w:bidi="th-TH"/>
              </w:rPr>
              <w:t>2014/15):</w:t>
            </w:r>
            <w:r w:rsidR="0036610D">
              <w:rPr>
                <w:i/>
                <w:sz w:val="16"/>
                <w:szCs w:val="16"/>
                <w:lang w:bidi="th-TH"/>
              </w:rPr>
              <w:t xml:space="preserve"> </w:t>
            </w:r>
            <w:r w:rsidRPr="00492A99">
              <w:rPr>
                <w:sz w:val="16"/>
                <w:szCs w:val="16"/>
                <w:lang w:bidi="th-TH"/>
              </w:rPr>
              <w:t>Por determinar</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rPr>
              <w:t>85%</w:t>
            </w:r>
          </w:p>
        </w:tc>
        <w:tc>
          <w:tcPr>
            <w:tcW w:w="1476" w:type="pct"/>
            <w:shd w:val="clear" w:color="auto" w:fill="FFFFFF"/>
            <w:tcMar>
              <w:top w:w="110" w:type="dxa"/>
              <w:left w:w="108" w:type="dxa"/>
              <w:bottom w:w="0" w:type="dxa"/>
              <w:right w:w="108" w:type="dxa"/>
            </w:tcMar>
          </w:tcPr>
          <w:p w:rsidR="00221F0B" w:rsidRPr="00526311" w:rsidRDefault="00221F0B" w:rsidP="00221F0B">
            <w:pPr>
              <w:pStyle w:val="ListParagraph"/>
              <w:numPr>
                <w:ilvl w:val="0"/>
                <w:numId w:val="103"/>
              </w:numPr>
              <w:rPr>
                <w:rFonts w:cs="Arial"/>
                <w:sz w:val="16"/>
                <w:szCs w:val="16"/>
                <w:lang w:val="es-ES"/>
              </w:rPr>
            </w:pPr>
            <w:r w:rsidRPr="00526311">
              <w:rPr>
                <w:rFonts w:cs="Arial"/>
                <w:sz w:val="16"/>
                <w:szCs w:val="16"/>
                <w:lang w:val="es-ES"/>
              </w:rPr>
              <w:t xml:space="preserve">Cursos de iniciación: 94% </w:t>
            </w:r>
          </w:p>
          <w:p w:rsidR="00221F0B" w:rsidRPr="00526311" w:rsidRDefault="00221F0B" w:rsidP="00221F0B">
            <w:pPr>
              <w:pStyle w:val="ListParagraph"/>
              <w:numPr>
                <w:ilvl w:val="0"/>
                <w:numId w:val="103"/>
              </w:numPr>
              <w:rPr>
                <w:rFonts w:cs="Arial"/>
                <w:sz w:val="16"/>
                <w:szCs w:val="16"/>
                <w:lang w:val="es-ES"/>
              </w:rPr>
            </w:pPr>
            <w:r w:rsidRPr="00526311">
              <w:rPr>
                <w:rFonts w:cs="Arial"/>
                <w:sz w:val="16"/>
                <w:szCs w:val="16"/>
                <w:lang w:val="es-ES"/>
              </w:rPr>
              <w:t>Formación relacionada con el sistema de PRI y con la gestión por</w:t>
            </w:r>
          </w:p>
          <w:p w:rsidR="00221F0B" w:rsidRPr="00526311" w:rsidRDefault="00221F0B" w:rsidP="00DC1333">
            <w:pPr>
              <w:pStyle w:val="ListParagraph"/>
              <w:ind w:left="360"/>
              <w:rPr>
                <w:rFonts w:cs="Arial"/>
                <w:sz w:val="16"/>
                <w:szCs w:val="16"/>
                <w:lang w:val="es-ES"/>
              </w:rPr>
            </w:pPr>
            <w:r w:rsidRPr="00526311">
              <w:rPr>
                <w:rFonts w:cs="Arial"/>
                <w:sz w:val="16"/>
                <w:szCs w:val="16"/>
                <w:lang w:val="es-ES"/>
              </w:rPr>
              <w:t>resultados:  9</w:t>
            </w:r>
            <w:r>
              <w:rPr>
                <w:rFonts w:cs="Arial"/>
                <w:sz w:val="16"/>
                <w:szCs w:val="16"/>
                <w:lang w:val="es-ES"/>
              </w:rPr>
              <w:t>4</w:t>
            </w:r>
            <w:r w:rsidRPr="00526311">
              <w:rPr>
                <w:rFonts w:cs="Arial"/>
                <w:sz w:val="16"/>
                <w:szCs w:val="16"/>
                <w:lang w:val="es-ES"/>
              </w:rPr>
              <w:t>%</w:t>
            </w:r>
          </w:p>
          <w:p w:rsidR="00221F0B" w:rsidRPr="00492A99" w:rsidRDefault="00221F0B" w:rsidP="00221F0B">
            <w:pPr>
              <w:pStyle w:val="ListParagraph"/>
              <w:numPr>
                <w:ilvl w:val="0"/>
                <w:numId w:val="103"/>
              </w:numPr>
              <w:rPr>
                <w:rFonts w:cs="Arial"/>
                <w:sz w:val="16"/>
                <w:szCs w:val="16"/>
                <w:lang w:val="es-ES"/>
              </w:rPr>
            </w:pPr>
            <w:r w:rsidRPr="00526311">
              <w:rPr>
                <w:rFonts w:cs="Arial"/>
                <w:sz w:val="16"/>
                <w:szCs w:val="16"/>
                <w:lang w:val="es-ES"/>
              </w:rPr>
              <w:t>Gestión de proyectos en un entorno</w:t>
            </w:r>
            <w:r>
              <w:rPr>
                <w:rFonts w:cs="Arial"/>
                <w:sz w:val="16"/>
                <w:szCs w:val="16"/>
                <w:lang w:val="es-ES"/>
              </w:rPr>
              <w:t xml:space="preserve"> de gestión por resultados:  97</w:t>
            </w:r>
            <w:r w:rsidRPr="00526311">
              <w:rPr>
                <w:rFonts w:cs="Arial"/>
                <w:sz w:val="16"/>
                <w:szCs w:val="16"/>
                <w:lang w:val="es-ES"/>
              </w:rPr>
              <w:t>% (6</w:t>
            </w:r>
            <w:r>
              <w:rPr>
                <w:rFonts w:cs="Arial"/>
                <w:sz w:val="16"/>
                <w:szCs w:val="16"/>
                <w:lang w:val="es-ES"/>
              </w:rPr>
              <w:t>4%-excelente;  33</w:t>
            </w:r>
            <w:r w:rsidRPr="00526311">
              <w:rPr>
                <w:rFonts w:cs="Arial"/>
                <w:sz w:val="16"/>
                <w:szCs w:val="16"/>
                <w:lang w:val="es-ES"/>
              </w:rPr>
              <w:t>% -satisfactorio)</w:t>
            </w: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Cs/>
                <w:color w:val="404040" w:themeColor="text1" w:themeTint="BF"/>
                <w:sz w:val="16"/>
                <w:szCs w:val="16"/>
              </w:rPr>
            </w:pPr>
            <w:r w:rsidRPr="00492A99">
              <w:rPr>
                <w:b/>
                <w:bCs/>
                <w:color w:val="008000"/>
                <w:sz w:val="16"/>
                <w:szCs w:val="16"/>
              </w:rPr>
              <w:t>Plenamente logrado</w:t>
            </w:r>
          </w:p>
        </w:tc>
      </w:tr>
      <w:tr w:rsidR="00221F0B" w:rsidRPr="00F03E99" w:rsidTr="00DC1333">
        <w:trPr>
          <w:cantSplit/>
        </w:trPr>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Porcentaje de encuestados en la OMPI que estiman que la Organización rinde cuentas sobre sus resultados</w:t>
            </w:r>
          </w:p>
        </w:tc>
        <w:tc>
          <w:tcPr>
            <w:tcW w:w="952" w:type="pct"/>
          </w:tcPr>
          <w:p w:rsidR="00221F0B" w:rsidRPr="00492A99" w:rsidRDefault="00221F0B" w:rsidP="00DC1333">
            <w:pPr>
              <w:rPr>
                <w:i/>
                <w:color w:val="002060"/>
                <w:sz w:val="16"/>
                <w:szCs w:val="16"/>
              </w:rPr>
            </w:pPr>
            <w:r w:rsidRPr="00492A99">
              <w:rPr>
                <w:i/>
                <w:color w:val="002060"/>
                <w:sz w:val="16"/>
                <w:szCs w:val="16"/>
              </w:rPr>
              <w:t>Referencia actualizada a fines de 2013:  80,7%</w:t>
            </w:r>
          </w:p>
          <w:p w:rsidR="00221F0B" w:rsidRPr="00492A99" w:rsidRDefault="00221F0B" w:rsidP="00DC1333">
            <w:pPr>
              <w:rPr>
                <w:i/>
                <w:color w:val="002060"/>
                <w:sz w:val="16"/>
                <w:szCs w:val="16"/>
              </w:rPr>
            </w:pPr>
          </w:p>
          <w:p w:rsidR="00221F0B" w:rsidRPr="00492A99" w:rsidRDefault="00221F0B" w:rsidP="00DC1333">
            <w:pPr>
              <w:rPr>
                <w:sz w:val="16"/>
                <w:szCs w:val="16"/>
                <w:lang w:bidi="th-TH"/>
              </w:rPr>
            </w:pPr>
            <w:r w:rsidRPr="00492A99">
              <w:rPr>
                <w:i/>
                <w:sz w:val="16"/>
                <w:szCs w:val="16"/>
              </w:rPr>
              <w:t>Referencia original en el presupuesto de 2014/15:</w:t>
            </w:r>
            <w:r w:rsidRPr="00492A99">
              <w:rPr>
                <w:sz w:val="16"/>
                <w:szCs w:val="16"/>
                <w:lang w:bidi="th-TH"/>
              </w:rPr>
              <w:t xml:space="preserve">  75%</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rPr>
              <w:t>80%</w:t>
            </w:r>
          </w:p>
        </w:tc>
        <w:tc>
          <w:tcPr>
            <w:tcW w:w="1476" w:type="pct"/>
            <w:shd w:val="clear" w:color="auto" w:fill="FFFFFF"/>
            <w:tcMar>
              <w:top w:w="110" w:type="dxa"/>
              <w:left w:w="108" w:type="dxa"/>
              <w:bottom w:w="0" w:type="dxa"/>
              <w:right w:w="108" w:type="dxa"/>
            </w:tcMar>
          </w:tcPr>
          <w:p w:rsidR="00221F0B" w:rsidRPr="00E92486" w:rsidRDefault="0036610D" w:rsidP="00DC1333">
            <w:pPr>
              <w:rPr>
                <w:sz w:val="16"/>
                <w:szCs w:val="16"/>
              </w:rPr>
            </w:pPr>
            <w:r w:rsidRPr="00E92486">
              <w:rPr>
                <w:sz w:val="16"/>
                <w:szCs w:val="16"/>
              </w:rPr>
              <w:t>94% (30% completamente de acuerdo; 64% de acuerdo) de los encuestados</w:t>
            </w:r>
            <w:r w:rsidR="00A51E37" w:rsidRPr="00E92486">
              <w:rPr>
                <w:rStyle w:val="FootnoteReference"/>
                <w:sz w:val="16"/>
                <w:szCs w:val="16"/>
              </w:rPr>
              <w:footnoteReference w:id="125"/>
            </w:r>
            <w:r w:rsidRPr="00E92486">
              <w:rPr>
                <w:sz w:val="16"/>
                <w:szCs w:val="16"/>
              </w:rPr>
              <w:t xml:space="preserve"> indicaron que los datos sobre el rendimiento son usados</w:t>
            </w:r>
            <w:r w:rsidR="00E92486">
              <w:rPr>
                <w:sz w:val="16"/>
                <w:szCs w:val="16"/>
              </w:rPr>
              <w:t xml:space="preserve"> para rendir cuentas ante los Estados miembros (según el Informe de validación del PPR de 2014/15).</w:t>
            </w: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keepNext/>
              <w:keepLines/>
              <w:jc w:val="center"/>
              <w:rPr>
                <w:b/>
                <w:bCs/>
                <w:color w:val="404040" w:themeColor="text1" w:themeTint="BF"/>
                <w:sz w:val="16"/>
                <w:szCs w:val="16"/>
              </w:rPr>
            </w:pPr>
          </w:p>
        </w:tc>
      </w:tr>
      <w:tr w:rsidR="00221F0B" w:rsidRPr="00F03E99" w:rsidTr="00DC1333">
        <w:trPr>
          <w:cantSplit/>
        </w:trPr>
        <w:tc>
          <w:tcPr>
            <w:tcW w:w="1091" w:type="pct"/>
            <w:tcBorders>
              <w:left w:val="single" w:sz="4" w:space="0" w:color="auto"/>
              <w:bottom w:val="single" w:sz="4" w:space="0" w:color="auto"/>
            </w:tcBorders>
          </w:tcPr>
          <w:p w:rsidR="00221F0B" w:rsidRPr="00492A99" w:rsidRDefault="00221F0B" w:rsidP="00DC1333">
            <w:pPr>
              <w:rPr>
                <w:sz w:val="16"/>
                <w:szCs w:val="16"/>
                <w:lang w:bidi="th-TH"/>
              </w:rPr>
            </w:pPr>
            <w:r w:rsidRPr="00492A99">
              <w:rPr>
                <w:sz w:val="16"/>
                <w:szCs w:val="16"/>
                <w:lang w:bidi="th-TH"/>
              </w:rPr>
              <w:lastRenderedPageBreak/>
              <w:t>Porcentaje de programas de la OMPI que utilizan los datos sobre el rendimiento para gestionar el rendimiento del programa</w:t>
            </w:r>
          </w:p>
        </w:tc>
        <w:tc>
          <w:tcPr>
            <w:tcW w:w="952" w:type="pct"/>
            <w:tcBorders>
              <w:bottom w:val="single" w:sz="4" w:space="0" w:color="auto"/>
            </w:tcBorders>
            <w:hideMark/>
          </w:tcPr>
          <w:p w:rsidR="00221F0B" w:rsidRPr="00492A99" w:rsidRDefault="00221F0B" w:rsidP="00DC1333">
            <w:pPr>
              <w:rPr>
                <w:color w:val="002060"/>
                <w:sz w:val="16"/>
                <w:szCs w:val="16"/>
              </w:rPr>
            </w:pPr>
            <w:r w:rsidRPr="00492A99">
              <w:rPr>
                <w:i/>
                <w:color w:val="002060"/>
                <w:sz w:val="16"/>
                <w:szCs w:val="16"/>
              </w:rPr>
              <w:t xml:space="preserve">Referencia actualizada a fines de 2013: </w:t>
            </w:r>
            <w:r w:rsidRPr="00492A99">
              <w:rPr>
                <w:color w:val="002060"/>
                <w:sz w:val="16"/>
                <w:szCs w:val="16"/>
              </w:rPr>
              <w:t>55%</w:t>
            </w:r>
            <w:r w:rsidRPr="00492A99">
              <w:rPr>
                <w:rStyle w:val="FootnoteReference"/>
                <w:color w:val="002060"/>
                <w:sz w:val="16"/>
                <w:szCs w:val="16"/>
              </w:rPr>
              <w:footnoteReference w:id="126"/>
            </w:r>
            <w:r w:rsidRPr="00492A99">
              <w:rPr>
                <w:color w:val="002060"/>
                <w:sz w:val="16"/>
                <w:szCs w:val="16"/>
              </w:rPr>
              <w:t xml:space="preserve"> (según el informe de validación del documento PPR 2010/11)</w:t>
            </w:r>
          </w:p>
          <w:p w:rsidR="00221F0B" w:rsidRPr="00492A99" w:rsidRDefault="00221F0B" w:rsidP="00DC1333">
            <w:pPr>
              <w:rPr>
                <w:i/>
                <w:sz w:val="16"/>
                <w:szCs w:val="16"/>
              </w:rPr>
            </w:pPr>
          </w:p>
          <w:p w:rsidR="00221F0B" w:rsidRPr="00492A99" w:rsidRDefault="00221F0B" w:rsidP="00DC1333">
            <w:pPr>
              <w:rPr>
                <w:sz w:val="16"/>
                <w:szCs w:val="16"/>
                <w:lang w:bidi="th-TH"/>
              </w:rPr>
            </w:pPr>
            <w:r w:rsidRPr="00492A99">
              <w:rPr>
                <w:i/>
                <w:sz w:val="16"/>
                <w:szCs w:val="16"/>
              </w:rPr>
              <w:t>Referencia original en el presupuesto de 2014/15:</w:t>
            </w:r>
            <w:r w:rsidRPr="00492A99">
              <w:rPr>
                <w:sz w:val="16"/>
                <w:szCs w:val="16"/>
                <w:lang w:bidi="th-TH"/>
              </w:rPr>
              <w:t xml:space="preserve">  50</w:t>
            </w:r>
            <w:r w:rsidRPr="00492A99">
              <w:rPr>
                <w:sz w:val="16"/>
                <w:szCs w:val="16"/>
                <w:lang w:bidi="th-TH"/>
              </w:rPr>
              <w:br/>
            </w:r>
          </w:p>
        </w:tc>
        <w:tc>
          <w:tcPr>
            <w:tcW w:w="787" w:type="pct"/>
            <w:tcBorders>
              <w:bottom w:val="single" w:sz="4" w:space="0" w:color="auto"/>
            </w:tcBorders>
            <w:tcMar>
              <w:top w:w="110" w:type="dxa"/>
              <w:left w:w="108" w:type="dxa"/>
              <w:bottom w:w="0" w:type="dxa"/>
              <w:right w:w="108" w:type="dxa"/>
            </w:tcMar>
            <w:hideMark/>
          </w:tcPr>
          <w:p w:rsidR="00221F0B" w:rsidRPr="00492A99" w:rsidRDefault="00221F0B" w:rsidP="00DC1333">
            <w:pPr>
              <w:autoSpaceDE w:val="0"/>
              <w:autoSpaceDN w:val="0"/>
              <w:adjustRightInd w:val="0"/>
              <w:rPr>
                <w:sz w:val="16"/>
                <w:szCs w:val="16"/>
              </w:rPr>
            </w:pPr>
            <w:r w:rsidRPr="00492A99">
              <w:rPr>
                <w:sz w:val="16"/>
                <w:szCs w:val="16"/>
              </w:rPr>
              <w:t>70</w:t>
            </w:r>
          </w:p>
        </w:tc>
        <w:tc>
          <w:tcPr>
            <w:tcW w:w="1476" w:type="pct"/>
            <w:tcBorders>
              <w:bottom w:val="single" w:sz="4" w:space="0" w:color="auto"/>
            </w:tcBorders>
            <w:shd w:val="clear" w:color="auto" w:fill="FFFFFF"/>
            <w:tcMar>
              <w:top w:w="110" w:type="dxa"/>
              <w:left w:w="108" w:type="dxa"/>
              <w:bottom w:w="0" w:type="dxa"/>
              <w:right w:w="108" w:type="dxa"/>
            </w:tcMar>
          </w:tcPr>
          <w:p w:rsidR="000B7DB0" w:rsidRPr="00457F9E" w:rsidRDefault="000B7DB0" w:rsidP="000B7DB0">
            <w:pPr>
              <w:ind w:left="125" w:hanging="125"/>
              <w:rPr>
                <w:sz w:val="16"/>
                <w:szCs w:val="16"/>
              </w:rPr>
            </w:pPr>
            <w:r w:rsidRPr="00457F9E">
              <w:rPr>
                <w:sz w:val="16"/>
                <w:szCs w:val="16"/>
              </w:rPr>
              <w:t>-  94% (30% completamente de acuerdo; 64% de acuerdo) de los encuestados</w:t>
            </w:r>
            <w:r w:rsidRPr="00457F9E">
              <w:rPr>
                <w:rStyle w:val="FootnoteReference"/>
                <w:sz w:val="16"/>
                <w:szCs w:val="16"/>
              </w:rPr>
              <w:footnoteReference w:id="127"/>
            </w:r>
            <w:r w:rsidRPr="00457F9E">
              <w:rPr>
                <w:sz w:val="16"/>
                <w:szCs w:val="16"/>
              </w:rPr>
              <w:t xml:space="preserve"> indicaron que los datos sobre el rendimiento son usados para supervisar a intervalos regulares la ejecución d elas actividades de los programas</w:t>
            </w:r>
          </w:p>
          <w:p w:rsidR="00221F0B" w:rsidRPr="00457F9E" w:rsidRDefault="000B7DB0" w:rsidP="000B7DB0">
            <w:pPr>
              <w:ind w:left="125" w:hanging="125"/>
              <w:rPr>
                <w:sz w:val="16"/>
                <w:szCs w:val="16"/>
              </w:rPr>
            </w:pPr>
            <w:r w:rsidRPr="00457F9E">
              <w:rPr>
                <w:sz w:val="16"/>
                <w:szCs w:val="16"/>
              </w:rPr>
              <w:t>-  85%</w:t>
            </w:r>
            <w:r w:rsidR="00457F9E" w:rsidRPr="00457F9E">
              <w:rPr>
                <w:sz w:val="16"/>
                <w:szCs w:val="16"/>
              </w:rPr>
              <w:t xml:space="preserve"> (27% completamente de acuerdo; 58% de acuerdo) de los encuestados</w:t>
            </w:r>
            <w:r w:rsidRPr="00457F9E">
              <w:rPr>
                <w:sz w:val="16"/>
                <w:szCs w:val="16"/>
              </w:rPr>
              <w:t xml:space="preserve"> </w:t>
            </w:r>
            <w:r w:rsidR="00A51E37" w:rsidRPr="00457F9E">
              <w:rPr>
                <w:rStyle w:val="FootnoteReference"/>
                <w:sz w:val="16"/>
                <w:szCs w:val="16"/>
              </w:rPr>
              <w:footnoteReference w:id="128"/>
            </w:r>
            <w:r w:rsidR="00457F9E" w:rsidRPr="00457F9E">
              <w:rPr>
                <w:sz w:val="16"/>
                <w:szCs w:val="16"/>
              </w:rPr>
              <w:t xml:space="preserve"> indicaron que los datos sobre el rendimiento son usados en la toma de decisiones. (Los datos proceden del Informe de validación del PPR de 2014/15.)</w:t>
            </w:r>
          </w:p>
        </w:tc>
        <w:tc>
          <w:tcPr>
            <w:tcW w:w="694" w:type="pct"/>
            <w:tcBorders>
              <w:bottom w:val="single" w:sz="4" w:space="0" w:color="auto"/>
              <w:right w:val="single" w:sz="4" w:space="0" w:color="auto"/>
            </w:tcBorders>
            <w:tcMar>
              <w:top w:w="110" w:type="dxa"/>
              <w:left w:w="108" w:type="dxa"/>
              <w:bottom w:w="0" w:type="dxa"/>
              <w:right w:w="108" w:type="dxa"/>
            </w:tcMar>
          </w:tcPr>
          <w:p w:rsidR="00221F0B" w:rsidRPr="00492A99" w:rsidRDefault="00221F0B" w:rsidP="00DC1333">
            <w:pPr>
              <w:keepNext/>
              <w:keepLines/>
              <w:jc w:val="center"/>
              <w:rPr>
                <w:bCs/>
                <w:color w:val="404040" w:themeColor="text1" w:themeTint="BF"/>
                <w:sz w:val="16"/>
                <w:szCs w:val="16"/>
              </w:rPr>
            </w:pPr>
          </w:p>
        </w:tc>
      </w:tr>
      <w:tr w:rsidR="00221F0B" w:rsidRPr="00F03E99" w:rsidTr="00DC1333">
        <w:tc>
          <w:tcPr>
            <w:tcW w:w="5000" w:type="pct"/>
            <w:gridSpan w:val="5"/>
            <w:tcBorders>
              <w:top w:val="single" w:sz="4" w:space="0" w:color="auto"/>
              <w:left w:val="single" w:sz="4" w:space="0" w:color="auto"/>
              <w:bottom w:val="single" w:sz="4" w:space="0" w:color="auto"/>
              <w:right w:val="single" w:sz="4" w:space="0" w:color="auto"/>
            </w:tcBorders>
            <w:shd w:val="clear" w:color="auto" w:fill="C6D9F1" w:themeFill="text2" w:themeFillTint="33"/>
          </w:tcPr>
          <w:p w:rsidR="00221F0B" w:rsidRPr="00492A99" w:rsidRDefault="00221F0B" w:rsidP="00DC1333">
            <w:pPr>
              <w:spacing w:before="120" w:after="120"/>
              <w:ind w:left="2019" w:hanging="2019"/>
              <w:rPr>
                <w:b/>
                <w:bCs/>
                <w:sz w:val="16"/>
                <w:szCs w:val="16"/>
              </w:rPr>
            </w:pPr>
            <w:r w:rsidRPr="00492A99">
              <w:rPr>
                <w:b/>
                <w:bCs/>
                <w:sz w:val="16"/>
                <w:szCs w:val="16"/>
              </w:rPr>
              <w:t>Resultado previsto:</w:t>
            </w:r>
            <w:r w:rsidRPr="00492A99">
              <w:rPr>
                <w:b/>
                <w:bCs/>
                <w:sz w:val="16"/>
                <w:szCs w:val="16"/>
              </w:rPr>
              <w:tab/>
            </w:r>
            <w:r w:rsidRPr="00492A99">
              <w:rPr>
                <w:bCs/>
                <w:sz w:val="16"/>
                <w:szCs w:val="16"/>
              </w:rPr>
              <w:t>IX.3 Entorno de trabajo propicio basado en un marco regulador eficaz y medios adecuados para atender los temas de interés del personal</w:t>
            </w:r>
          </w:p>
        </w:tc>
      </w:tr>
      <w:tr w:rsidR="00221F0B" w:rsidRPr="00492A99" w:rsidTr="00DC1333">
        <w:tc>
          <w:tcPr>
            <w:tcW w:w="1091" w:type="pct"/>
            <w:tcBorders>
              <w:top w:val="single" w:sz="4" w:space="0" w:color="auto"/>
              <w:left w:val="single" w:sz="4" w:space="0" w:color="auto"/>
            </w:tcBorders>
          </w:tcPr>
          <w:p w:rsidR="00221F0B" w:rsidRPr="00492A99" w:rsidRDefault="00221F0B" w:rsidP="00DC1333">
            <w:pPr>
              <w:keepNext/>
              <w:rPr>
                <w:b/>
                <w:bCs/>
                <w:sz w:val="16"/>
                <w:szCs w:val="16"/>
              </w:rPr>
            </w:pPr>
            <w:r w:rsidRPr="00492A99">
              <w:rPr>
                <w:b/>
                <w:bCs/>
                <w:sz w:val="16"/>
                <w:szCs w:val="16"/>
              </w:rPr>
              <w:t>Indicadores de rendimiento</w:t>
            </w:r>
          </w:p>
        </w:tc>
        <w:tc>
          <w:tcPr>
            <w:tcW w:w="952" w:type="pct"/>
            <w:tcBorders>
              <w:top w:val="single" w:sz="4" w:space="0" w:color="auto"/>
            </w:tcBorders>
            <w:hideMark/>
          </w:tcPr>
          <w:p w:rsidR="00221F0B" w:rsidRPr="00492A99" w:rsidRDefault="00221F0B" w:rsidP="00DC1333">
            <w:pPr>
              <w:keepNext/>
              <w:rPr>
                <w:b/>
                <w:bCs/>
                <w:sz w:val="16"/>
                <w:szCs w:val="16"/>
              </w:rPr>
            </w:pPr>
            <w:r w:rsidRPr="00492A99">
              <w:rPr>
                <w:b/>
                <w:bCs/>
                <w:sz w:val="16"/>
                <w:szCs w:val="16"/>
              </w:rPr>
              <w:t>Referencia</w:t>
            </w:r>
          </w:p>
        </w:tc>
        <w:tc>
          <w:tcPr>
            <w:tcW w:w="787" w:type="pct"/>
            <w:tcBorders>
              <w:top w:val="single" w:sz="4" w:space="0" w:color="auto"/>
            </w:tcBorders>
            <w:tcMar>
              <w:top w:w="110" w:type="dxa"/>
              <w:left w:w="108" w:type="dxa"/>
              <w:bottom w:w="0" w:type="dxa"/>
              <w:right w:w="108" w:type="dxa"/>
            </w:tcMar>
            <w:hideMark/>
          </w:tcPr>
          <w:p w:rsidR="00221F0B" w:rsidRPr="00492A99" w:rsidRDefault="00221F0B" w:rsidP="00DC1333">
            <w:pPr>
              <w:keepNext/>
              <w:autoSpaceDE w:val="0"/>
              <w:autoSpaceDN w:val="0"/>
              <w:adjustRightInd w:val="0"/>
              <w:rPr>
                <w:b/>
                <w:bCs/>
                <w:sz w:val="16"/>
                <w:szCs w:val="16"/>
              </w:rPr>
            </w:pPr>
            <w:r w:rsidRPr="00492A99">
              <w:rPr>
                <w:b/>
                <w:bCs/>
                <w:sz w:val="16"/>
                <w:szCs w:val="16"/>
              </w:rPr>
              <w:t>Objetivos</w:t>
            </w:r>
          </w:p>
        </w:tc>
        <w:tc>
          <w:tcPr>
            <w:tcW w:w="1476" w:type="pct"/>
            <w:tcBorders>
              <w:top w:val="single" w:sz="4" w:space="0" w:color="auto"/>
            </w:tcBorders>
            <w:shd w:val="clear" w:color="auto" w:fill="FFFFFF"/>
            <w:tcMar>
              <w:top w:w="110" w:type="dxa"/>
              <w:left w:w="108" w:type="dxa"/>
              <w:bottom w:w="0" w:type="dxa"/>
              <w:right w:w="108" w:type="dxa"/>
            </w:tcMar>
            <w:hideMark/>
          </w:tcPr>
          <w:p w:rsidR="00221F0B" w:rsidRPr="00492A99" w:rsidRDefault="00221F0B" w:rsidP="00DC1333">
            <w:pPr>
              <w:keepNext/>
              <w:rPr>
                <w:b/>
                <w:bCs/>
                <w:sz w:val="16"/>
                <w:szCs w:val="16"/>
              </w:rPr>
            </w:pPr>
            <w:r w:rsidRPr="00492A99">
              <w:rPr>
                <w:b/>
                <w:bCs/>
                <w:sz w:val="16"/>
                <w:szCs w:val="16"/>
              </w:rPr>
              <w:t>Datos sobre el rendimiento</w:t>
            </w:r>
          </w:p>
        </w:tc>
        <w:tc>
          <w:tcPr>
            <w:tcW w:w="694" w:type="pct"/>
            <w:tcBorders>
              <w:top w:val="single" w:sz="4" w:space="0" w:color="auto"/>
              <w:right w:val="single" w:sz="4" w:space="0" w:color="auto"/>
            </w:tcBorders>
            <w:tcMar>
              <w:top w:w="110" w:type="dxa"/>
              <w:left w:w="108" w:type="dxa"/>
              <w:bottom w:w="0" w:type="dxa"/>
              <w:right w:w="108" w:type="dxa"/>
            </w:tcMar>
            <w:hideMark/>
          </w:tcPr>
          <w:p w:rsidR="00221F0B" w:rsidRPr="00492A99" w:rsidRDefault="00221F0B" w:rsidP="00DC1333">
            <w:pPr>
              <w:keepNext/>
              <w:keepLines/>
              <w:jc w:val="center"/>
              <w:rPr>
                <w:b/>
                <w:bCs/>
                <w:sz w:val="16"/>
                <w:szCs w:val="16"/>
              </w:rPr>
            </w:pPr>
            <w:r w:rsidRPr="00492A99">
              <w:rPr>
                <w:b/>
                <w:bCs/>
                <w:sz w:val="16"/>
                <w:szCs w:val="16"/>
              </w:rPr>
              <w:t>Clave de colores</w:t>
            </w:r>
          </w:p>
        </w:tc>
      </w:tr>
      <w:tr w:rsidR="00221F0B" w:rsidRPr="00492A99" w:rsidTr="00DC1333">
        <w:tc>
          <w:tcPr>
            <w:tcW w:w="1091" w:type="pct"/>
            <w:tcBorders>
              <w:left w:val="single" w:sz="4" w:space="0" w:color="auto"/>
            </w:tcBorders>
          </w:tcPr>
          <w:p w:rsidR="00221F0B" w:rsidRPr="00492A99" w:rsidRDefault="00221F0B" w:rsidP="00DC1333">
            <w:pPr>
              <w:rPr>
                <w:sz w:val="16"/>
                <w:szCs w:val="16"/>
                <w:lang w:bidi="th-TH"/>
              </w:rPr>
            </w:pPr>
            <w:r w:rsidRPr="00492A99">
              <w:rPr>
                <w:sz w:val="16"/>
                <w:szCs w:val="16"/>
                <w:lang w:bidi="th-TH"/>
              </w:rPr>
              <w:t>El Reglamento Financiero y la Reglamentación Financiera y las órdenes de servicio pertinentes están actualizados</w:t>
            </w:r>
          </w:p>
        </w:tc>
        <w:tc>
          <w:tcPr>
            <w:tcW w:w="952" w:type="pct"/>
          </w:tcPr>
          <w:p w:rsidR="00221F0B" w:rsidRPr="00492A99" w:rsidRDefault="00221F0B" w:rsidP="00DC1333">
            <w:pPr>
              <w:rPr>
                <w:sz w:val="16"/>
                <w:szCs w:val="16"/>
                <w:lang w:bidi="th-TH"/>
              </w:rPr>
            </w:pPr>
            <w:r w:rsidRPr="00492A99">
              <w:rPr>
                <w:i/>
                <w:color w:val="002060"/>
                <w:sz w:val="16"/>
                <w:szCs w:val="16"/>
              </w:rPr>
              <w:t>Referencia actualizada a fines de 2013</w:t>
            </w:r>
            <w:proofErr w:type="gramStart"/>
            <w:r w:rsidRPr="00492A99">
              <w:rPr>
                <w:i/>
                <w:color w:val="002060"/>
                <w:sz w:val="16"/>
                <w:szCs w:val="16"/>
              </w:rPr>
              <w:t xml:space="preserve">: </w:t>
            </w:r>
            <w:r w:rsidRPr="00492A99">
              <w:rPr>
                <w:sz w:val="16"/>
                <w:szCs w:val="16"/>
                <w:lang w:bidi="th-TH"/>
              </w:rPr>
              <w:t xml:space="preserve"> órdenes</w:t>
            </w:r>
            <w:proofErr w:type="gramEnd"/>
            <w:r w:rsidRPr="00492A99">
              <w:rPr>
                <w:sz w:val="16"/>
                <w:szCs w:val="16"/>
                <w:lang w:bidi="th-TH"/>
              </w:rPr>
              <w:t xml:space="preserve"> de servicio publicadas en 2012 y 2013. Reglamento Financiero y Reglamentación Financiera modificados en 2012 y 2013 según lo estimado necesario</w:t>
            </w:r>
          </w:p>
          <w:p w:rsidR="00221F0B" w:rsidRPr="00492A99" w:rsidRDefault="00221F0B" w:rsidP="00DC1333">
            <w:pPr>
              <w:rPr>
                <w:sz w:val="16"/>
                <w:szCs w:val="16"/>
                <w:lang w:bidi="th-TH"/>
              </w:rPr>
            </w:pPr>
          </w:p>
          <w:p w:rsidR="00221F0B" w:rsidRPr="00492A99" w:rsidRDefault="00221F0B" w:rsidP="00DC1333">
            <w:pPr>
              <w:rPr>
                <w:sz w:val="16"/>
                <w:szCs w:val="16"/>
                <w:lang w:bidi="th-TH"/>
              </w:rPr>
            </w:pPr>
            <w:r w:rsidRPr="00492A99">
              <w:rPr>
                <w:i/>
                <w:sz w:val="16"/>
                <w:szCs w:val="16"/>
              </w:rPr>
              <w:t>Referencia original en el presupuesto de 2014/15</w:t>
            </w:r>
            <w:proofErr w:type="gramStart"/>
            <w:r w:rsidRPr="00492A99">
              <w:rPr>
                <w:i/>
                <w:sz w:val="16"/>
                <w:szCs w:val="16"/>
              </w:rPr>
              <w:t>:</w:t>
            </w:r>
            <w:r w:rsidRPr="00492A99">
              <w:rPr>
                <w:sz w:val="16"/>
                <w:szCs w:val="16"/>
                <w:lang w:bidi="th-TH"/>
              </w:rPr>
              <w:t xml:space="preserve">  órdenes</w:t>
            </w:r>
            <w:proofErr w:type="gramEnd"/>
            <w:r w:rsidRPr="00492A99">
              <w:rPr>
                <w:sz w:val="16"/>
                <w:szCs w:val="16"/>
                <w:lang w:bidi="th-TH"/>
              </w:rPr>
              <w:t xml:space="preserve"> de servicio publicadas en 2012 y 2013. Reglamento Financiero y Reglamentación Financiera modificados en 2012 según lo estimado necesario</w:t>
            </w:r>
          </w:p>
        </w:tc>
        <w:tc>
          <w:tcPr>
            <w:tcW w:w="787" w:type="pct"/>
            <w:tcMar>
              <w:top w:w="110" w:type="dxa"/>
              <w:left w:w="108" w:type="dxa"/>
              <w:bottom w:w="0" w:type="dxa"/>
              <w:right w:w="108" w:type="dxa"/>
            </w:tcMar>
          </w:tcPr>
          <w:p w:rsidR="00221F0B" w:rsidRPr="00492A99" w:rsidRDefault="00221F0B" w:rsidP="00DC1333">
            <w:pPr>
              <w:autoSpaceDE w:val="0"/>
              <w:autoSpaceDN w:val="0"/>
              <w:adjustRightInd w:val="0"/>
              <w:rPr>
                <w:sz w:val="16"/>
                <w:szCs w:val="16"/>
              </w:rPr>
            </w:pPr>
            <w:r w:rsidRPr="00492A99">
              <w:rPr>
                <w:sz w:val="16"/>
                <w:szCs w:val="16"/>
              </w:rPr>
              <w:t>Examen y revisión del marco regulador cuando se considere apropiado</w:t>
            </w:r>
          </w:p>
        </w:tc>
        <w:tc>
          <w:tcPr>
            <w:tcW w:w="1476" w:type="pct"/>
            <w:shd w:val="clear" w:color="auto" w:fill="FFFFFF"/>
            <w:tcMar>
              <w:top w:w="110" w:type="dxa"/>
              <w:left w:w="108" w:type="dxa"/>
              <w:bottom w:w="0" w:type="dxa"/>
              <w:right w:w="108" w:type="dxa"/>
            </w:tcMar>
          </w:tcPr>
          <w:p w:rsidR="00221F0B" w:rsidRPr="00526311" w:rsidRDefault="00221F0B" w:rsidP="00EB45DE">
            <w:pPr>
              <w:pStyle w:val="ListParagraph"/>
              <w:numPr>
                <w:ilvl w:val="0"/>
                <w:numId w:val="106"/>
              </w:numPr>
              <w:spacing w:after="200" w:line="276" w:lineRule="auto"/>
              <w:ind w:left="241" w:hanging="241"/>
              <w:contextualSpacing/>
              <w:rPr>
                <w:rFonts w:cs="Arial"/>
                <w:sz w:val="16"/>
                <w:szCs w:val="16"/>
                <w:lang w:val="es-ES"/>
              </w:rPr>
            </w:pPr>
            <w:r w:rsidRPr="00526311">
              <w:rPr>
                <w:rFonts w:cs="Arial"/>
                <w:sz w:val="16"/>
                <w:szCs w:val="16"/>
                <w:lang w:val="es-ES"/>
              </w:rPr>
              <w:t>Revisión o publicación de órdenes de servicio en materia de:</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Principios generales y reglas básicas en materia de adquisiciones</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Anticipos de sueldo </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color w:val="000000"/>
                <w:sz w:val="16"/>
                <w:szCs w:val="16"/>
                <w:lang w:val="es-ES"/>
              </w:rPr>
              <w:t xml:space="preserve">Política </w:t>
            </w:r>
            <w:r w:rsidRPr="00526311">
              <w:rPr>
                <w:rFonts w:cs="Arial"/>
                <w:sz w:val="16"/>
                <w:szCs w:val="16"/>
                <w:lang w:val="es-ES"/>
              </w:rPr>
              <w:t>sobre</w:t>
            </w:r>
            <w:r w:rsidRPr="00526311">
              <w:rPr>
                <w:rFonts w:cs="Arial"/>
                <w:color w:val="000000"/>
                <w:sz w:val="16"/>
                <w:szCs w:val="16"/>
                <w:lang w:val="es-ES"/>
              </w:rPr>
              <w:t xml:space="preserve"> el uso de dispositivos de telecomunicación </w:t>
            </w:r>
            <w:r>
              <w:rPr>
                <w:rFonts w:cs="Arial"/>
                <w:color w:val="000000"/>
                <w:sz w:val="16"/>
                <w:szCs w:val="16"/>
                <w:lang w:val="es-ES"/>
              </w:rPr>
              <w:t>móviles</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Creación del Grupo de Gestión de Riesgos </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Vacaciones en el país de origen </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Política de gestión de riesgos de la OMPI </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Directrices financieras y de gestión del efectivo para </w:t>
            </w:r>
            <w:r>
              <w:rPr>
                <w:rFonts w:cs="Arial"/>
                <w:sz w:val="16"/>
                <w:szCs w:val="16"/>
                <w:lang w:val="es-ES"/>
              </w:rPr>
              <w:t>las O</w:t>
            </w:r>
            <w:r w:rsidRPr="00526311">
              <w:rPr>
                <w:rFonts w:cs="Arial"/>
                <w:sz w:val="16"/>
                <w:szCs w:val="16"/>
                <w:lang w:val="es-ES"/>
              </w:rPr>
              <w:t>ficinas de la OMPI en el exterior – Alcance y propósito</w:t>
            </w:r>
          </w:p>
          <w:p w:rsidR="00221F0B" w:rsidRPr="00526311" w:rsidRDefault="00221F0B" w:rsidP="00EB45DE">
            <w:pPr>
              <w:pStyle w:val="ListParagraph"/>
              <w:numPr>
                <w:ilvl w:val="1"/>
                <w:numId w:val="106"/>
              </w:numPr>
              <w:spacing w:after="200"/>
              <w:ind w:left="667" w:hanging="334"/>
              <w:contextualSpacing/>
              <w:rPr>
                <w:rFonts w:cs="Arial"/>
                <w:sz w:val="16"/>
                <w:szCs w:val="16"/>
                <w:lang w:val="es-ES"/>
              </w:rPr>
            </w:pPr>
            <w:r w:rsidRPr="00526311">
              <w:rPr>
                <w:rFonts w:cs="Arial"/>
                <w:sz w:val="16"/>
                <w:szCs w:val="16"/>
                <w:lang w:val="es-ES"/>
              </w:rPr>
              <w:t xml:space="preserve">Atenciones sociales oficiales  </w:t>
            </w:r>
          </w:p>
          <w:p w:rsidR="00221F0B" w:rsidRDefault="00221F0B" w:rsidP="00221F0B">
            <w:pPr>
              <w:pStyle w:val="ListParagraph"/>
              <w:numPr>
                <w:ilvl w:val="0"/>
                <w:numId w:val="104"/>
              </w:numPr>
              <w:spacing w:after="200"/>
              <w:ind w:left="598" w:hanging="284"/>
              <w:contextualSpacing/>
              <w:rPr>
                <w:rFonts w:cs="Arial"/>
                <w:sz w:val="16"/>
                <w:szCs w:val="16"/>
                <w:lang w:val="es-ES"/>
              </w:rPr>
            </w:pPr>
            <w:r w:rsidRPr="00F1644A">
              <w:rPr>
                <w:rFonts w:cs="Arial"/>
                <w:sz w:val="16"/>
                <w:szCs w:val="16"/>
                <w:lang w:val="es-ES"/>
              </w:rPr>
              <w:t xml:space="preserve">Viajes oficiales y gastos conexos </w:t>
            </w:r>
          </w:p>
          <w:p w:rsidR="00221F0B" w:rsidRPr="00F1644A" w:rsidRDefault="00221F0B" w:rsidP="00221F0B">
            <w:pPr>
              <w:pStyle w:val="ListParagraph"/>
              <w:numPr>
                <w:ilvl w:val="0"/>
                <w:numId w:val="104"/>
              </w:numPr>
              <w:spacing w:after="200"/>
              <w:ind w:left="598" w:hanging="284"/>
              <w:contextualSpacing/>
              <w:rPr>
                <w:rFonts w:cs="Arial"/>
                <w:sz w:val="16"/>
                <w:szCs w:val="16"/>
                <w:lang w:val="es-ES"/>
              </w:rPr>
            </w:pPr>
            <w:r w:rsidRPr="00F1644A">
              <w:rPr>
                <w:rFonts w:cs="Arial"/>
                <w:sz w:val="16"/>
                <w:szCs w:val="16"/>
                <w:lang w:val="es-ES"/>
              </w:rPr>
              <w:t xml:space="preserve">Política sobre las reservas </w:t>
            </w:r>
          </w:p>
          <w:p w:rsidR="00221F0B" w:rsidRPr="00492A99" w:rsidRDefault="00221F0B" w:rsidP="00221F0B">
            <w:pPr>
              <w:pStyle w:val="ListParagraph"/>
              <w:numPr>
                <w:ilvl w:val="0"/>
                <w:numId w:val="104"/>
              </w:numPr>
              <w:spacing w:after="200"/>
              <w:ind w:left="598" w:hanging="284"/>
              <w:contextualSpacing/>
              <w:rPr>
                <w:rFonts w:cs="Arial"/>
                <w:sz w:val="16"/>
                <w:szCs w:val="16"/>
                <w:lang w:val="es-ES"/>
              </w:rPr>
            </w:pPr>
            <w:r>
              <w:rPr>
                <w:rFonts w:cs="Arial"/>
                <w:sz w:val="16"/>
                <w:szCs w:val="16"/>
                <w:lang w:val="es-ES"/>
              </w:rPr>
              <w:t>Política de la OMPI de gestión de la propiedad</w:t>
            </w:r>
          </w:p>
          <w:p w:rsidR="00221F0B" w:rsidRPr="00492A99" w:rsidRDefault="00221F0B" w:rsidP="00221F0B">
            <w:pPr>
              <w:pStyle w:val="ListParagraph"/>
              <w:numPr>
                <w:ilvl w:val="0"/>
                <w:numId w:val="104"/>
              </w:numPr>
              <w:spacing w:after="120"/>
              <w:ind w:left="596" w:hanging="284"/>
              <w:rPr>
                <w:rFonts w:cs="Arial"/>
                <w:sz w:val="16"/>
                <w:szCs w:val="16"/>
                <w:lang w:val="es-ES"/>
              </w:rPr>
            </w:pPr>
            <w:r>
              <w:rPr>
                <w:rFonts w:cs="Arial"/>
                <w:sz w:val="16"/>
                <w:szCs w:val="16"/>
                <w:lang w:val="es-ES"/>
              </w:rPr>
              <w:t xml:space="preserve">Política de la OMPI sobre la gestión de las contribuciones voluntarias </w:t>
            </w:r>
          </w:p>
          <w:p w:rsidR="00221F0B" w:rsidRPr="00492A99" w:rsidRDefault="00221F0B" w:rsidP="00DC1333">
            <w:pPr>
              <w:spacing w:after="120"/>
              <w:rPr>
                <w:sz w:val="16"/>
                <w:szCs w:val="16"/>
              </w:rPr>
            </w:pPr>
            <w:r w:rsidRPr="0030469B">
              <w:rPr>
                <w:sz w:val="16"/>
                <w:szCs w:val="16"/>
              </w:rPr>
              <w:t>Revisión y modificación del Reglamento Financiero y Reglamentación Financiera en octubre de 2014</w:t>
            </w:r>
            <w:r>
              <w:rPr>
                <w:sz w:val="16"/>
                <w:szCs w:val="16"/>
              </w:rPr>
              <w:t xml:space="preserve"> y octubre de 2015</w:t>
            </w:r>
          </w:p>
          <w:p w:rsidR="00221F0B" w:rsidRPr="00492A99" w:rsidRDefault="00221F0B" w:rsidP="00DC1333">
            <w:pPr>
              <w:spacing w:after="200"/>
              <w:contextualSpacing/>
              <w:rPr>
                <w:sz w:val="16"/>
                <w:szCs w:val="16"/>
              </w:rPr>
            </w:pPr>
            <w:r w:rsidRPr="0030469B">
              <w:rPr>
                <w:sz w:val="16"/>
                <w:szCs w:val="16"/>
              </w:rPr>
              <w:t>Revisión de la delegación de autoridad programática y administrativa,  y de las autorizaciones del PNUD para firmar, e introducción de una aplicación electrónica de gestión de la delegación de autoridad programática</w:t>
            </w:r>
          </w:p>
        </w:tc>
        <w:tc>
          <w:tcPr>
            <w:tcW w:w="694" w:type="pct"/>
            <w:tcBorders>
              <w:right w:val="single" w:sz="4" w:space="0" w:color="auto"/>
            </w:tcBorders>
            <w:tcMar>
              <w:top w:w="110" w:type="dxa"/>
              <w:left w:w="108" w:type="dxa"/>
              <w:bottom w:w="0" w:type="dxa"/>
              <w:right w:w="108" w:type="dxa"/>
            </w:tcMar>
          </w:tcPr>
          <w:p w:rsidR="00221F0B" w:rsidRPr="00492A99" w:rsidRDefault="00221F0B" w:rsidP="00DC1333">
            <w:pPr>
              <w:jc w:val="center"/>
              <w:rPr>
                <w:bCs/>
                <w:color w:val="404040" w:themeColor="text1" w:themeTint="BF"/>
                <w:sz w:val="16"/>
                <w:szCs w:val="16"/>
              </w:rPr>
            </w:pPr>
            <w:r w:rsidRPr="00492A99">
              <w:rPr>
                <w:b/>
                <w:bCs/>
                <w:color w:val="008000"/>
                <w:sz w:val="16"/>
                <w:szCs w:val="16"/>
              </w:rPr>
              <w:t>Plenamente logrado</w:t>
            </w:r>
          </w:p>
        </w:tc>
      </w:tr>
    </w:tbl>
    <w:p w:rsidR="00221F0B" w:rsidRPr="00492A99" w:rsidRDefault="00221F0B" w:rsidP="00DC1333">
      <w:pPr>
        <w:rPr>
          <w:color w:val="000000"/>
          <w:szCs w:val="22"/>
        </w:rPr>
      </w:pPr>
    </w:p>
    <w:p w:rsidR="00221F0B" w:rsidRPr="00492A99" w:rsidRDefault="00221F0B" w:rsidP="00DC1333">
      <w:pPr>
        <w:rPr>
          <w:color w:val="000000"/>
          <w:szCs w:val="22"/>
        </w:rPr>
      </w:pPr>
    </w:p>
    <w:p w:rsidR="00221F0B" w:rsidRPr="009D5AB0" w:rsidRDefault="008F7CBE" w:rsidP="00DC1333">
      <w:pPr>
        <w:keepNext/>
        <w:keepLines/>
        <w:rPr>
          <w:color w:val="000000"/>
          <w:szCs w:val="22"/>
        </w:rPr>
      </w:pPr>
      <w:r w:rsidRPr="008F7CBE">
        <w:rPr>
          <w:color w:val="000000"/>
          <w:sz w:val="20"/>
          <w:szCs w:val="22"/>
        </w:rPr>
        <w:lastRenderedPageBreak/>
        <w:t>INFORMACIÓN SOBRE LOS RIESGOS PLANTEADOS EN EL BIENIO</w:t>
      </w:r>
    </w:p>
    <w:p w:rsidR="00221F0B" w:rsidRPr="009D5AB0" w:rsidRDefault="00221F0B" w:rsidP="00DC1333">
      <w:pPr>
        <w:keepNext/>
        <w:keepLines/>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76"/>
        <w:gridCol w:w="2162"/>
        <w:gridCol w:w="2272"/>
        <w:gridCol w:w="2653"/>
      </w:tblGrid>
      <w:tr w:rsidR="00221F0B" w:rsidRPr="00F03E99" w:rsidTr="00DC1333">
        <w:trPr>
          <w:trHeight w:val="879"/>
        </w:trPr>
        <w:tc>
          <w:tcPr>
            <w:tcW w:w="2420" w:type="dxa"/>
            <w:tcBorders>
              <w:top w:val="single" w:sz="4" w:space="0" w:color="auto"/>
              <w:bottom w:val="single" w:sz="4" w:space="0" w:color="auto"/>
            </w:tcBorders>
            <w:shd w:val="clear" w:color="auto" w:fill="C6D9F1" w:themeFill="text2" w:themeFillTint="33"/>
            <w:vAlign w:val="center"/>
          </w:tcPr>
          <w:p w:rsidR="00221F0B" w:rsidRPr="009D5AB0" w:rsidRDefault="00221F0B" w:rsidP="00DC1333">
            <w:pPr>
              <w:keepNext/>
              <w:keepLines/>
              <w:jc w:val="center"/>
              <w:rPr>
                <w:b/>
                <w:bCs/>
                <w:sz w:val="18"/>
                <w:szCs w:val="18"/>
              </w:rPr>
            </w:pPr>
            <w:r w:rsidRPr="009D5AB0">
              <w:rPr>
                <w:b/>
                <w:bCs/>
                <w:sz w:val="18"/>
                <w:szCs w:val="18"/>
              </w:rPr>
              <w:t>Riesgos en el logro de los resultados del programa</w:t>
            </w:r>
          </w:p>
        </w:tc>
        <w:tc>
          <w:tcPr>
            <w:tcW w:w="2200" w:type="dxa"/>
            <w:tcBorders>
              <w:top w:val="single" w:sz="4" w:space="0" w:color="auto"/>
              <w:bottom w:val="single" w:sz="4" w:space="0" w:color="auto"/>
            </w:tcBorders>
            <w:shd w:val="clear" w:color="auto" w:fill="C6D9F1" w:themeFill="text2" w:themeFillTint="33"/>
            <w:vAlign w:val="center"/>
          </w:tcPr>
          <w:p w:rsidR="00221F0B" w:rsidRPr="009D5AB0" w:rsidRDefault="00221F0B" w:rsidP="00DC1333">
            <w:pPr>
              <w:keepNext/>
              <w:keepLines/>
              <w:jc w:val="center"/>
              <w:rPr>
                <w:b/>
                <w:bCs/>
                <w:sz w:val="18"/>
                <w:szCs w:val="18"/>
              </w:rPr>
            </w:pPr>
            <w:r w:rsidRPr="009D5AB0">
              <w:rPr>
                <w:b/>
                <w:bCs/>
                <w:sz w:val="18"/>
                <w:szCs w:val="18"/>
              </w:rPr>
              <w:t>Planes de mitigación ejecutados o en ejecución</w:t>
            </w:r>
          </w:p>
        </w:tc>
        <w:tc>
          <w:tcPr>
            <w:tcW w:w="2310" w:type="dxa"/>
            <w:tcBorders>
              <w:top w:val="single" w:sz="4" w:space="0" w:color="auto"/>
              <w:bottom w:val="single" w:sz="4" w:space="0" w:color="auto"/>
            </w:tcBorders>
            <w:shd w:val="clear" w:color="auto" w:fill="C6D9F1" w:themeFill="text2" w:themeFillTint="33"/>
            <w:vAlign w:val="center"/>
          </w:tcPr>
          <w:p w:rsidR="00221F0B" w:rsidRPr="009D5AB0" w:rsidRDefault="00221F0B" w:rsidP="00DC1333">
            <w:pPr>
              <w:keepNext/>
              <w:keepLines/>
              <w:jc w:val="center"/>
              <w:rPr>
                <w:b/>
                <w:bCs/>
                <w:sz w:val="18"/>
                <w:szCs w:val="18"/>
              </w:rPr>
            </w:pPr>
            <w:r w:rsidRPr="009D5AB0">
              <w:rPr>
                <w:b/>
                <w:bCs/>
                <w:sz w:val="18"/>
                <w:szCs w:val="18"/>
              </w:rPr>
              <w:t>Evolución de los riesgos y estrategias de mitigación durante el bienio</w:t>
            </w:r>
          </w:p>
        </w:tc>
        <w:tc>
          <w:tcPr>
            <w:tcW w:w="2709" w:type="dxa"/>
            <w:tcBorders>
              <w:top w:val="single" w:sz="4" w:space="0" w:color="auto"/>
              <w:bottom w:val="single" w:sz="4" w:space="0" w:color="auto"/>
            </w:tcBorders>
            <w:shd w:val="clear" w:color="auto" w:fill="C6D9F1" w:themeFill="text2" w:themeFillTint="33"/>
            <w:vAlign w:val="center"/>
          </w:tcPr>
          <w:p w:rsidR="00221F0B" w:rsidRPr="009D5AB0" w:rsidRDefault="00221F0B" w:rsidP="00DC1333">
            <w:pPr>
              <w:keepNext/>
              <w:keepLines/>
              <w:jc w:val="center"/>
              <w:rPr>
                <w:b/>
                <w:bCs/>
                <w:sz w:val="18"/>
                <w:szCs w:val="18"/>
              </w:rPr>
            </w:pPr>
            <w:r w:rsidRPr="009D5AB0">
              <w:rPr>
                <w:b/>
                <w:bCs/>
                <w:sz w:val="18"/>
                <w:szCs w:val="18"/>
              </w:rPr>
              <w:t>Incidencia en el rendimiento del programa</w:t>
            </w:r>
          </w:p>
        </w:tc>
      </w:tr>
      <w:tr w:rsidR="00221F0B" w:rsidRPr="00F03E99" w:rsidTr="00DC1333">
        <w:trPr>
          <w:trHeight w:val="459"/>
        </w:trPr>
        <w:tc>
          <w:tcPr>
            <w:tcW w:w="2420" w:type="dxa"/>
            <w:tcBorders>
              <w:top w:val="single" w:sz="4" w:space="0" w:color="auto"/>
            </w:tcBorders>
            <w:shd w:val="clear" w:color="auto" w:fill="auto"/>
            <w:tcMar>
              <w:top w:w="113" w:type="dxa"/>
              <w:bottom w:w="85" w:type="dxa"/>
            </w:tcMar>
          </w:tcPr>
          <w:p w:rsidR="00221F0B" w:rsidRPr="009D5AB0" w:rsidRDefault="00221F0B" w:rsidP="00DC1333">
            <w:pPr>
              <w:rPr>
                <w:sz w:val="16"/>
                <w:szCs w:val="16"/>
              </w:rPr>
            </w:pPr>
            <w:r w:rsidRPr="009D5AB0">
              <w:rPr>
                <w:sz w:val="16"/>
                <w:szCs w:val="16"/>
              </w:rPr>
              <w:t>La persistencia de la crisis económica y financiera mundial podría dar lugar a que los niveles de ingresos sean bastante inferiores a los previstos.  Esta circunstancia, unida a la incapacidad para reaccionar rápidamente a fin de reducir gastos a un nivel adecuado, podría acarrear un déficit y repercutir negativamente en la ejecución del programa.</w:t>
            </w:r>
          </w:p>
        </w:tc>
        <w:tc>
          <w:tcPr>
            <w:tcW w:w="2200" w:type="dxa"/>
            <w:tcBorders>
              <w:top w:val="single" w:sz="4" w:space="0" w:color="auto"/>
            </w:tcBorders>
            <w:shd w:val="clear" w:color="auto" w:fill="auto"/>
            <w:tcMar>
              <w:top w:w="113" w:type="dxa"/>
              <w:bottom w:w="85" w:type="dxa"/>
            </w:tcMar>
          </w:tcPr>
          <w:p w:rsidR="00221F0B" w:rsidRPr="009D5AB0" w:rsidRDefault="00221F0B" w:rsidP="00DC1333">
            <w:pPr>
              <w:autoSpaceDE w:val="0"/>
              <w:autoSpaceDN w:val="0"/>
              <w:adjustRightInd w:val="0"/>
              <w:ind w:right="-59"/>
              <w:rPr>
                <w:sz w:val="16"/>
                <w:szCs w:val="16"/>
              </w:rPr>
            </w:pPr>
            <w:r w:rsidRPr="009D5AB0">
              <w:rPr>
                <w:sz w:val="16"/>
                <w:szCs w:val="16"/>
              </w:rPr>
              <w:t>La Organización mantiene un nivel de reservas adecuado (alrededor del 18% del importe del presupuesto bienal) para estar en disposición de hacer frente a una posible disminución de los ingresos.</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rFonts w:ascii="Tahoma" w:hAnsi="Tahoma" w:cs="Tahoma"/>
                <w:sz w:val="16"/>
                <w:szCs w:val="16"/>
              </w:rPr>
            </w:pPr>
            <w:r w:rsidRPr="009D5AB0">
              <w:rPr>
                <w:sz w:val="16"/>
                <w:szCs w:val="16"/>
              </w:rPr>
              <w:t>La Secretaría supervisa estrechamente los gastos mediante un procedimiento más sólido de supervisión de ingresos y gastos y por medio del Grupo de Gestión de la Crisis.</w:t>
            </w:r>
          </w:p>
        </w:tc>
        <w:tc>
          <w:tcPr>
            <w:tcW w:w="2310" w:type="dxa"/>
            <w:tcBorders>
              <w:top w:val="single" w:sz="4" w:space="0" w:color="auto"/>
            </w:tcBorders>
          </w:tcPr>
          <w:p w:rsidR="00221F0B" w:rsidRPr="009D5AB0" w:rsidRDefault="00221F0B" w:rsidP="00DC1333">
            <w:pPr>
              <w:autoSpaceDE w:val="0"/>
              <w:autoSpaceDN w:val="0"/>
              <w:adjustRightInd w:val="0"/>
              <w:ind w:right="-59"/>
              <w:rPr>
                <w:sz w:val="16"/>
                <w:szCs w:val="16"/>
              </w:rPr>
            </w:pPr>
            <w:r w:rsidRPr="009D5AB0">
              <w:rPr>
                <w:sz w:val="16"/>
                <w:szCs w:val="16"/>
              </w:rPr>
              <w:t>Los niveles de ingresos fueron superiores a los previstos a lo largo del bienio, y se siguieron adoptando medidas de mitigación adecuadas con respecto a los riesgos detectados.</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r w:rsidRPr="009D5AB0">
              <w:rPr>
                <w:sz w:val="16"/>
                <w:szCs w:val="16"/>
              </w:rPr>
              <w:t>Los Estados miembros examinaron el nivel de reservas previsto como parte del examen de la Política de la OMPI sobre las reservas, y se aumentó ese nivel en un 22% con el fin de mitigar más adecuadamente el riesgo.</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r w:rsidRPr="009D5AB0">
              <w:rPr>
                <w:sz w:val="16"/>
                <w:szCs w:val="16"/>
              </w:rPr>
              <w:t>La Organización, por medio del Grupo de Gestión de Riesgos (RMG) de reciente creación, ha seguido supervisando estrechamente la evolución de los ingresos y los gastos.</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r w:rsidRPr="009D5AB0">
              <w:rPr>
                <w:sz w:val="16"/>
                <w:szCs w:val="16"/>
              </w:rPr>
              <w:t xml:space="preserve">El 15 de enero de 2015, el Banco Nacional Suizo dejó de mantener el tipo de cambio mínimo de 1,20 francos suizos por euro e introdujo tipos de </w:t>
            </w:r>
            <w:r>
              <w:rPr>
                <w:sz w:val="16"/>
                <w:szCs w:val="16"/>
              </w:rPr>
              <w:t>interés</w:t>
            </w:r>
            <w:r w:rsidRPr="009D5AB0">
              <w:rPr>
                <w:sz w:val="16"/>
                <w:szCs w:val="16"/>
              </w:rPr>
              <w:t xml:space="preserve"> negativos para los clientes. Se han introducido procedimientos más eficaces de gestión del efectivo a fin de minimizar la incidencia de los tipos de interés negativos en los saldos de efectivo de la OMPI.</w:t>
            </w:r>
          </w:p>
        </w:tc>
        <w:tc>
          <w:tcPr>
            <w:tcW w:w="2709" w:type="dxa"/>
            <w:tcBorders>
              <w:top w:val="single" w:sz="4" w:space="0" w:color="auto"/>
            </w:tcBorders>
          </w:tcPr>
          <w:p w:rsidR="00221F0B" w:rsidRPr="009D5AB0" w:rsidRDefault="00221F0B" w:rsidP="00DC1333">
            <w:pPr>
              <w:autoSpaceDE w:val="0"/>
              <w:autoSpaceDN w:val="0"/>
              <w:adjustRightInd w:val="0"/>
              <w:ind w:right="-59"/>
              <w:rPr>
                <w:sz w:val="16"/>
                <w:szCs w:val="16"/>
              </w:rPr>
            </w:pPr>
            <w:r w:rsidRPr="009D5AB0">
              <w:rPr>
                <w:sz w:val="16"/>
                <w:szCs w:val="16"/>
              </w:rPr>
              <w:t xml:space="preserve">Este riesgo y su evolución no tuvieron </w:t>
            </w:r>
            <w:r>
              <w:rPr>
                <w:sz w:val="16"/>
                <w:szCs w:val="16"/>
              </w:rPr>
              <w:t>una incidencia sustancial</w:t>
            </w:r>
            <w:r w:rsidRPr="009D5AB0">
              <w:rPr>
                <w:sz w:val="16"/>
                <w:szCs w:val="16"/>
              </w:rPr>
              <w:t xml:space="preserve"> en el rendimiento del programa en 2014/15.</w:t>
            </w: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9D5AB0" w:rsidRDefault="00221F0B" w:rsidP="00DC1333">
            <w:pPr>
              <w:autoSpaceDE w:val="0"/>
              <w:autoSpaceDN w:val="0"/>
              <w:adjustRightInd w:val="0"/>
              <w:ind w:right="-59"/>
              <w:rPr>
                <w:sz w:val="16"/>
                <w:szCs w:val="16"/>
              </w:rPr>
            </w:pPr>
          </w:p>
          <w:p w:rsidR="00221F0B" w:rsidRPr="00E251E7" w:rsidRDefault="00221F0B" w:rsidP="00DC1333">
            <w:pPr>
              <w:autoSpaceDE w:val="0"/>
              <w:autoSpaceDN w:val="0"/>
              <w:adjustRightInd w:val="0"/>
              <w:ind w:right="-59"/>
              <w:rPr>
                <w:sz w:val="16"/>
                <w:szCs w:val="16"/>
              </w:rPr>
            </w:pPr>
            <w:r w:rsidRPr="009D5AB0">
              <w:rPr>
                <w:sz w:val="16"/>
                <w:szCs w:val="16"/>
              </w:rPr>
              <w:t>La supresión del tipo de cambio mínimo tuvo un efecto perjudicial global en el equivalente en francos suizos de los ingresos recibidos inicialmente en euros y ha supuesto asimismo que se haya reducido en gran medida la posibilidad de obtener intereses sobre el superávit de caja.</w:t>
            </w:r>
          </w:p>
        </w:tc>
      </w:tr>
    </w:tbl>
    <w:p w:rsidR="00221F0B" w:rsidRPr="001206E8" w:rsidRDefault="00403D2C" w:rsidP="00DC1333">
      <w:pPr>
        <w:keepNext/>
        <w:rPr>
          <w:b/>
          <w:sz w:val="18"/>
          <w:szCs w:val="18"/>
        </w:rPr>
      </w:pPr>
      <w:r w:rsidRPr="00403D2C">
        <w:rPr>
          <w:sz w:val="20"/>
          <w:szCs w:val="22"/>
        </w:rPr>
        <w:lastRenderedPageBreak/>
        <w:t>UTILIZACIÓN DE LOS RECURSOS</w:t>
      </w:r>
    </w:p>
    <w:p w:rsidR="00221F0B" w:rsidRPr="00FA2249" w:rsidRDefault="00221F0B" w:rsidP="00DC1333">
      <w:pPr>
        <w:keepNext/>
        <w:rPr>
          <w:sz w:val="20"/>
        </w:rPr>
      </w:pPr>
    </w:p>
    <w:p w:rsidR="00221F0B" w:rsidRPr="00FA2249" w:rsidRDefault="00221F0B" w:rsidP="00DC1333">
      <w:pPr>
        <w:keepNext/>
        <w:jc w:val="center"/>
        <w:rPr>
          <w:sz w:val="20"/>
        </w:rPr>
      </w:pPr>
      <w:r w:rsidRPr="00FA2249">
        <w:rPr>
          <w:sz w:val="20"/>
        </w:rPr>
        <w:t xml:space="preserve">Presupuesto y gastos reales (por resultado) </w:t>
      </w:r>
    </w:p>
    <w:p w:rsidR="00221F0B" w:rsidRPr="00FA2249" w:rsidRDefault="00221F0B" w:rsidP="00DC1333">
      <w:pPr>
        <w:keepNext/>
        <w:jc w:val="center"/>
        <w:rPr>
          <w:i/>
          <w:iCs/>
          <w:sz w:val="20"/>
        </w:rPr>
      </w:pPr>
      <w:r w:rsidRPr="00FA2249">
        <w:rPr>
          <w:i/>
          <w:iCs/>
          <w:sz w:val="20"/>
        </w:rPr>
        <w:t>(</w:t>
      </w:r>
      <w:proofErr w:type="gramStart"/>
      <w:r w:rsidRPr="00FA2249">
        <w:rPr>
          <w:i/>
          <w:iCs/>
          <w:sz w:val="20"/>
        </w:rPr>
        <w:t>en</w:t>
      </w:r>
      <w:proofErr w:type="gramEnd"/>
      <w:r w:rsidRPr="00FA2249">
        <w:rPr>
          <w:i/>
          <w:iCs/>
          <w:sz w:val="20"/>
        </w:rPr>
        <w:t xml:space="preserve"> miles de francos suizos)</w:t>
      </w:r>
    </w:p>
    <w:p w:rsidR="00221F0B" w:rsidRPr="00FA2249" w:rsidRDefault="00221F0B" w:rsidP="00DC1333">
      <w:pPr>
        <w:keepNext/>
        <w:keepLines/>
        <w:jc w:val="center"/>
        <w:rPr>
          <w:sz w:val="20"/>
        </w:rPr>
      </w:pPr>
    </w:p>
    <w:p w:rsidR="00221F0B" w:rsidRPr="00FA2249" w:rsidRDefault="00221F0B" w:rsidP="00DC1333">
      <w:pPr>
        <w:keepNext/>
        <w:keepLines/>
        <w:jc w:val="center"/>
        <w:rPr>
          <w:sz w:val="20"/>
        </w:rPr>
      </w:pPr>
      <w:bookmarkStart w:id="177" w:name="Bm22"/>
      <w:bookmarkStart w:id="178" w:name="Punto22"/>
      <w:r w:rsidRPr="00FA2249">
        <w:rPr>
          <w:noProof/>
          <w:sz w:val="20"/>
          <w:lang w:val="en-US" w:eastAsia="en-US"/>
        </w:rPr>
        <w:drawing>
          <wp:inline distT="0" distB="0" distL="0" distR="0" wp14:anchorId="5E9E464D" wp14:editId="78FBDD46">
            <wp:extent cx="5676900" cy="308610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76900" cy="3086100"/>
                    </a:xfrm>
                    <a:prstGeom prst="rect">
                      <a:avLst/>
                    </a:prstGeom>
                    <a:noFill/>
                    <a:ln>
                      <a:noFill/>
                    </a:ln>
                  </pic:spPr>
                </pic:pic>
              </a:graphicData>
            </a:graphic>
          </wp:inline>
        </w:drawing>
      </w:r>
      <w:bookmarkEnd w:id="177"/>
      <w:bookmarkEnd w:id="178"/>
    </w:p>
    <w:p w:rsidR="00221F0B" w:rsidRPr="00FA2249" w:rsidRDefault="00221F0B" w:rsidP="00DC1333">
      <w:pPr>
        <w:rPr>
          <w:sz w:val="20"/>
        </w:rPr>
      </w:pPr>
    </w:p>
    <w:p w:rsidR="00221F0B" w:rsidRPr="00FA2249" w:rsidRDefault="00221F0B" w:rsidP="00DC1333">
      <w:pPr>
        <w:rPr>
          <w:sz w:val="20"/>
        </w:rPr>
      </w:pPr>
    </w:p>
    <w:p w:rsidR="00221F0B" w:rsidRPr="00FA2249" w:rsidRDefault="00221F0B" w:rsidP="00DC1333">
      <w:pPr>
        <w:jc w:val="center"/>
        <w:rPr>
          <w:sz w:val="20"/>
        </w:rPr>
      </w:pPr>
      <w:r w:rsidRPr="00FA2249">
        <w:rPr>
          <w:sz w:val="20"/>
        </w:rPr>
        <w:t xml:space="preserve">Presupuesto y gastos reales (de personal y no relativos a personal) </w:t>
      </w:r>
    </w:p>
    <w:p w:rsidR="00221F0B" w:rsidRPr="00FA2249" w:rsidRDefault="00221F0B" w:rsidP="00DC1333">
      <w:pPr>
        <w:jc w:val="center"/>
        <w:rPr>
          <w:i/>
          <w:iCs/>
          <w:sz w:val="20"/>
        </w:rPr>
      </w:pPr>
      <w:r w:rsidRPr="00FA2249">
        <w:rPr>
          <w:i/>
          <w:iCs/>
          <w:sz w:val="20"/>
        </w:rPr>
        <w:t>(</w:t>
      </w:r>
      <w:proofErr w:type="gramStart"/>
      <w:r w:rsidRPr="00FA2249">
        <w:rPr>
          <w:i/>
          <w:iCs/>
          <w:sz w:val="20"/>
        </w:rPr>
        <w:t>en</w:t>
      </w:r>
      <w:proofErr w:type="gramEnd"/>
      <w:r w:rsidRPr="00FA2249">
        <w:rPr>
          <w:i/>
          <w:iCs/>
          <w:sz w:val="20"/>
        </w:rPr>
        <w:t xml:space="preserve"> miles de francos suizos)</w:t>
      </w:r>
    </w:p>
    <w:p w:rsidR="00221F0B" w:rsidRPr="001206E8" w:rsidRDefault="00221F0B" w:rsidP="00DC1333">
      <w:pPr>
        <w:jc w:val="center"/>
        <w:rPr>
          <w:sz w:val="18"/>
          <w:szCs w:val="18"/>
        </w:rPr>
      </w:pPr>
    </w:p>
    <w:p w:rsidR="00221F0B" w:rsidRPr="001206E8" w:rsidRDefault="00221F0B" w:rsidP="00DC1333">
      <w:bookmarkStart w:id="179" w:name="Point22"/>
      <w:r>
        <w:rPr>
          <w:noProof/>
          <w:lang w:val="en-US" w:eastAsia="en-US"/>
        </w:rPr>
        <w:drawing>
          <wp:inline distT="0" distB="0" distL="0" distR="0" wp14:anchorId="7164B672" wp14:editId="3FB82288">
            <wp:extent cx="5940425" cy="1038940"/>
            <wp:effectExtent l="0" t="0" r="3175" b="889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425" cy="1038940"/>
                    </a:xfrm>
                    <a:prstGeom prst="rect">
                      <a:avLst/>
                    </a:prstGeom>
                    <a:noFill/>
                    <a:ln>
                      <a:noFill/>
                    </a:ln>
                  </pic:spPr>
                </pic:pic>
              </a:graphicData>
            </a:graphic>
          </wp:inline>
        </w:drawing>
      </w:r>
      <w:bookmarkEnd w:id="179"/>
    </w:p>
    <w:p w:rsidR="00221F0B" w:rsidRDefault="00221F0B" w:rsidP="00DC1333">
      <w:pPr>
        <w:widowControl w:val="0"/>
        <w:autoSpaceDE w:val="0"/>
        <w:autoSpaceDN w:val="0"/>
        <w:adjustRightInd w:val="0"/>
      </w:pPr>
    </w:p>
    <w:p w:rsidR="00221F0B" w:rsidRPr="00194A15" w:rsidRDefault="00221F0B" w:rsidP="00DC1333">
      <w:pPr>
        <w:widowControl w:val="0"/>
        <w:autoSpaceDE w:val="0"/>
        <w:autoSpaceDN w:val="0"/>
        <w:adjustRightInd w:val="0"/>
        <w:rPr>
          <w:sz w:val="20"/>
        </w:rPr>
      </w:pPr>
    </w:p>
    <w:p w:rsidR="00221F0B" w:rsidRPr="00194A15" w:rsidRDefault="00403D2C" w:rsidP="00DC1333">
      <w:pPr>
        <w:keepNext/>
        <w:keepLines/>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194A15" w:rsidRDefault="00221F0B" w:rsidP="00DC1333">
      <w:pPr>
        <w:keepNext/>
        <w:keepLines/>
        <w:rPr>
          <w:sz w:val="20"/>
          <w:u w:val="single"/>
        </w:rPr>
      </w:pPr>
    </w:p>
    <w:p w:rsidR="00221F0B" w:rsidRPr="00612B56" w:rsidRDefault="00221F0B" w:rsidP="00612B56">
      <w:pPr>
        <w:pStyle w:val="ListParagraph"/>
        <w:numPr>
          <w:ilvl w:val="0"/>
          <w:numId w:val="102"/>
        </w:numPr>
        <w:tabs>
          <w:tab w:val="left" w:pos="709"/>
        </w:tabs>
        <w:ind w:left="0" w:firstLine="0"/>
        <w:jc w:val="both"/>
        <w:rPr>
          <w:bCs/>
          <w:lang w:val="es-ES"/>
        </w:rPr>
      </w:pPr>
      <w:r w:rsidRPr="00612B56">
        <w:rPr>
          <w:bCs/>
          <w:lang w:val="es-ES"/>
        </w:rPr>
        <w:t>El aumento global de los recursos de personal en el presupuesto final de 2014/15 tras las transferencias es el resultado neto de las regularizaciones en curso de las funciones de carácter continuo y de la redistribución de un cargo temporal (función de gestión de activos) asignado al programa.</w:t>
      </w:r>
    </w:p>
    <w:p w:rsidR="00221F0B" w:rsidRPr="00612B56" w:rsidRDefault="00221F0B" w:rsidP="00612B56">
      <w:pPr>
        <w:pStyle w:val="ListParagraph"/>
        <w:tabs>
          <w:tab w:val="left" w:pos="709"/>
        </w:tabs>
        <w:ind w:left="0"/>
        <w:jc w:val="both"/>
        <w:rPr>
          <w:bCs/>
          <w:lang w:val="es-ES"/>
        </w:rPr>
      </w:pPr>
    </w:p>
    <w:p w:rsidR="00221F0B" w:rsidRPr="00612B56" w:rsidRDefault="00221F0B" w:rsidP="00612B56">
      <w:pPr>
        <w:pStyle w:val="ListParagraph"/>
        <w:numPr>
          <w:ilvl w:val="0"/>
          <w:numId w:val="102"/>
        </w:numPr>
        <w:tabs>
          <w:tab w:val="left" w:pos="709"/>
        </w:tabs>
        <w:ind w:left="0" w:firstLine="0"/>
        <w:jc w:val="both"/>
        <w:rPr>
          <w:bCs/>
          <w:lang w:val="es-ES"/>
        </w:rPr>
      </w:pPr>
      <w:r w:rsidRPr="00612B56">
        <w:rPr>
          <w:bCs/>
          <w:lang w:val="es-ES"/>
        </w:rPr>
        <w:t xml:space="preserve">La redistribución de los recursos entre los resultados previstos se debe principalmente al hecho de que los recursos dedicados a la integración de nuevos módulos y funciones del sistema de PRI estaban relacionados con el resultado previsto IX.2 (Funcionamiento ágil y sin contratiempos de la Secretaría) en el presupuesto aprobado de 2014/15. Sin embargo, como estas actividades estaban más orientadas a los servicios, quedaban reflejadas más precisamente en el resultado previsto IX.1 (Servicios de apoyo eficaces, eficientes, de calidad y orientados al cliente) en el presupuesto final de 2014/15 tras las transferencias.  El aumento en el resultado previsto IX.8 (Mejor rendición de cuentas, control interno y buen gobierno) se debe principalmente al mayor apoyo facilitado por el programa a las labores del Auditor Externo.  </w:t>
      </w:r>
    </w:p>
    <w:p w:rsidR="00221F0B" w:rsidRPr="00194A15" w:rsidRDefault="00221F0B" w:rsidP="00DC1333">
      <w:pPr>
        <w:autoSpaceDE w:val="0"/>
        <w:autoSpaceDN w:val="0"/>
        <w:jc w:val="both"/>
        <w:rPr>
          <w:sz w:val="20"/>
          <w:lang w:eastAsia="ko-KR"/>
        </w:rPr>
      </w:pPr>
    </w:p>
    <w:p w:rsidR="00221F0B" w:rsidRPr="00194A15"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194A15" w:rsidRDefault="00221F0B" w:rsidP="00DC1333">
      <w:pPr>
        <w:tabs>
          <w:tab w:val="left" w:pos="709"/>
        </w:tabs>
        <w:jc w:val="both"/>
        <w:rPr>
          <w:sz w:val="20"/>
          <w:u w:val="single"/>
          <w:lang w:eastAsia="ko-KR"/>
        </w:rPr>
      </w:pPr>
    </w:p>
    <w:p w:rsidR="0041245E" w:rsidRPr="00612B56" w:rsidRDefault="00221F0B" w:rsidP="00612B56">
      <w:pPr>
        <w:pStyle w:val="ListParagraph"/>
        <w:numPr>
          <w:ilvl w:val="0"/>
          <w:numId w:val="102"/>
        </w:numPr>
        <w:tabs>
          <w:tab w:val="left" w:pos="709"/>
        </w:tabs>
        <w:ind w:left="0" w:firstLine="0"/>
        <w:jc w:val="both"/>
        <w:rPr>
          <w:bCs/>
          <w:lang w:val="es-ES"/>
        </w:rPr>
      </w:pPr>
      <w:r w:rsidRPr="00612B56">
        <w:rPr>
          <w:bCs/>
          <w:lang w:val="es-ES"/>
        </w:rPr>
        <w:t>La utilización del presupuesto se ha mantenido dentro de los límites establecidos durante el bienio.</w:t>
      </w:r>
    </w:p>
    <w:p w:rsidR="0041245E" w:rsidRDefault="0041245E">
      <w:pPr>
        <w:rPr>
          <w:rFonts w:eastAsia="Times New Roman"/>
          <w:sz w:val="20"/>
          <w:lang w:eastAsia="en-US"/>
        </w:rPr>
      </w:pPr>
      <w:r>
        <w:br w:type="page"/>
      </w:r>
    </w:p>
    <w:p w:rsidR="00221F0B" w:rsidRPr="00124987" w:rsidRDefault="00221F0B" w:rsidP="00DC1333">
      <w:pPr>
        <w:pStyle w:val="Heading2"/>
        <w:keepNext w:val="0"/>
        <w:tabs>
          <w:tab w:val="left" w:pos="2410"/>
        </w:tabs>
        <w:jc w:val="both"/>
        <w:rPr>
          <w:b/>
          <w:szCs w:val="20"/>
        </w:rPr>
      </w:pPr>
      <w:bookmarkStart w:id="180" w:name="_Toc422927437"/>
      <w:bookmarkStart w:id="181" w:name="_Toc455159105"/>
      <w:r w:rsidRPr="00124987">
        <w:rPr>
          <w:b/>
          <w:szCs w:val="20"/>
        </w:rPr>
        <w:lastRenderedPageBreak/>
        <w:t>PROGRAMA 23</w:t>
      </w:r>
      <w:r w:rsidRPr="00124987">
        <w:rPr>
          <w:b/>
          <w:szCs w:val="20"/>
        </w:rPr>
        <w:tab/>
        <w:t>GESTIÓN Y DESARROLLO DE LOS RECURSOS HUMANOS</w:t>
      </w:r>
      <w:bookmarkEnd w:id="180"/>
      <w:bookmarkEnd w:id="181"/>
    </w:p>
    <w:p w:rsidR="00221F0B" w:rsidRPr="00124987" w:rsidRDefault="00221F0B" w:rsidP="00DC1333">
      <w:pPr>
        <w:tabs>
          <w:tab w:val="left" w:pos="1985"/>
          <w:tab w:val="left" w:pos="2410"/>
        </w:tabs>
        <w:jc w:val="both"/>
        <w:rPr>
          <w:sz w:val="20"/>
        </w:rPr>
      </w:pPr>
    </w:p>
    <w:p w:rsidR="00221F0B" w:rsidRPr="00124987" w:rsidRDefault="00221F0B" w:rsidP="00DC1333">
      <w:pPr>
        <w:tabs>
          <w:tab w:val="left" w:pos="2410"/>
        </w:tabs>
        <w:jc w:val="both"/>
        <w:rPr>
          <w:b/>
          <w:sz w:val="20"/>
        </w:rPr>
      </w:pPr>
      <w:r w:rsidRPr="00124987">
        <w:rPr>
          <w:b/>
          <w:sz w:val="20"/>
        </w:rPr>
        <w:t>Director de programa</w:t>
      </w:r>
      <w:r w:rsidRPr="00124987">
        <w:rPr>
          <w:sz w:val="20"/>
        </w:rPr>
        <w:tab/>
      </w:r>
      <w:r w:rsidRPr="00124987">
        <w:rPr>
          <w:b/>
          <w:sz w:val="20"/>
        </w:rPr>
        <w:t>Director General</w:t>
      </w:r>
    </w:p>
    <w:p w:rsidR="00221F0B" w:rsidRPr="00124987" w:rsidRDefault="00221F0B" w:rsidP="00DC1333">
      <w:pPr>
        <w:tabs>
          <w:tab w:val="left" w:pos="2410"/>
        </w:tabs>
        <w:jc w:val="both"/>
        <w:rPr>
          <w:sz w:val="20"/>
        </w:rPr>
      </w:pPr>
    </w:p>
    <w:p w:rsidR="00221F0B" w:rsidRPr="00124987" w:rsidRDefault="00221F0B" w:rsidP="00DC1333">
      <w:pPr>
        <w:tabs>
          <w:tab w:val="left" w:pos="2410"/>
        </w:tabs>
        <w:jc w:val="both"/>
        <w:rPr>
          <w:sz w:val="20"/>
        </w:rPr>
      </w:pPr>
    </w:p>
    <w:p w:rsidR="00221F0B" w:rsidRPr="00124987" w:rsidRDefault="008F7CBE" w:rsidP="00DC1333">
      <w:pPr>
        <w:jc w:val="both"/>
        <w:rPr>
          <w:bCs/>
          <w:szCs w:val="22"/>
        </w:rPr>
      </w:pPr>
      <w:r w:rsidRPr="008F7CBE">
        <w:rPr>
          <w:bCs/>
          <w:sz w:val="20"/>
          <w:szCs w:val="22"/>
        </w:rPr>
        <w:t>LOGROS ALCANZADOS EN EL BIENIO 2014/15</w:t>
      </w:r>
    </w:p>
    <w:p w:rsidR="00221F0B" w:rsidRPr="00124987" w:rsidRDefault="00221F0B" w:rsidP="00DC1333">
      <w:pPr>
        <w:jc w:val="both"/>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t>El bienio 2014/15 fue el primero en que se aplicó la estrategia de recursos humanos (RR.HH.), aprobada por los Estados miembros en 2013.  Aun cuando la labor sigue siendo fundamentalmente operacional, el programa mantiene su vinculación con el personal y los directivos a fin de garantizar la consecución efectiva y eficaz de los resultados.</w:t>
      </w:r>
    </w:p>
    <w:p w:rsidR="00221F0B" w:rsidRPr="00124987" w:rsidRDefault="00221F0B" w:rsidP="00DC1333">
      <w:pPr>
        <w:tabs>
          <w:tab w:val="left" w:pos="709"/>
        </w:tabs>
        <w:jc w:val="both"/>
      </w:pPr>
    </w:p>
    <w:p w:rsidR="00221F0B" w:rsidRDefault="00221F0B" w:rsidP="00EB45DE">
      <w:pPr>
        <w:pStyle w:val="Default"/>
        <w:numPr>
          <w:ilvl w:val="0"/>
          <w:numId w:val="108"/>
        </w:numPr>
        <w:tabs>
          <w:tab w:val="left" w:pos="709"/>
        </w:tabs>
        <w:ind w:left="0" w:firstLine="0"/>
        <w:jc w:val="both"/>
        <w:rPr>
          <w:sz w:val="20"/>
          <w:szCs w:val="20"/>
          <w:lang w:val="es-ES"/>
        </w:rPr>
      </w:pPr>
      <w:r w:rsidRPr="00124987">
        <w:rPr>
          <w:sz w:val="20"/>
          <w:szCs w:val="20"/>
          <w:lang w:val="es-ES"/>
        </w:rPr>
        <w:t>Durante el bienio 2014/15 se intensificaron los esfuerzos para mejorar la diversidad geográfica y de género entre los miembros del personal.  Se introdujeron modificaciones en el Estatuto y Reglamento del Personal, con vigencia a partir del 1 de noviembre de 2014, en virtud de las cuales se exige que las Juntas de Nombramiento presenten una lista de candidatos recomendados con el fundamento de cada recomendación, en lugar de presentar nombres ordenados por preferencia, lo que permite al Director General tomar decisiones según su criterio sobre las contrataciones para atender los desequilibrios de género y diversidad.  Se procuró lograr la participación de los Estados miembros en relación con la sensibilización pública y se alentó vivamente a las Oficinas de la OMPI en el exterior a promover la función de la OMPI de “empleadora principal”.  A tal fin, durante las Asambleas se facilitó un mostrador de información y una sesión de información.  Se creó una lista de candidatos basada en la diversidad en la que se proponían candidatos preseleccionados y cualificados de Estados miembros sin representación a puestos temporales y de plazo fijo.  Además, la OMPI siguió reforzando sus actividades de divulgación mediante campañas y medios sociales (como Linkedln).  Se llevaron a cabo, entre otras, las iniciativas siguientes:  i) desarrollo de un sitio web de la OMPI dedicado a la carrera profesional;</w:t>
      </w:r>
      <w:r w:rsidRPr="00124987">
        <w:rPr>
          <w:rStyle w:val="FootnoteReference"/>
          <w:sz w:val="20"/>
          <w:szCs w:val="20"/>
          <w:lang w:val="es-ES"/>
        </w:rPr>
        <w:footnoteReference w:id="129"/>
      </w:r>
      <w:r w:rsidRPr="00124987">
        <w:rPr>
          <w:sz w:val="20"/>
          <w:szCs w:val="20"/>
          <w:lang w:val="es-ES"/>
        </w:rPr>
        <w:t xml:space="preserve">  ii) introducción de una herramienta de contratación más fácil de usar;  iii) designación de coordinadores en las oficinas nacionales de P.I. y elección de plataformas estratégicas nacionales a fin de crear anuncios específicos para los puestos vacantes de la OMPI, y iv) establecimiento de listas directas de correo para los solicitantes provenientes de Estados miembros que no están representados o están poco representados.  Gracias a estos esfuerzos acentuados, a finales de 2015 el porcentaje de miembros del personal provenientes de Europa Occidental se había reducido a menos </w:t>
      </w:r>
      <w:r>
        <w:rPr>
          <w:sz w:val="20"/>
          <w:szCs w:val="20"/>
          <w:lang w:val="es-ES"/>
        </w:rPr>
        <w:t>de la mitad del personal de</w:t>
      </w:r>
      <w:r w:rsidRPr="00124987">
        <w:rPr>
          <w:sz w:val="20"/>
          <w:szCs w:val="20"/>
          <w:lang w:val="es-ES"/>
        </w:rPr>
        <w:t xml:space="preserve"> </w:t>
      </w:r>
      <w:r>
        <w:rPr>
          <w:sz w:val="20"/>
          <w:szCs w:val="20"/>
          <w:lang w:val="es-ES"/>
        </w:rPr>
        <w:t>categoría profesional y superior</w:t>
      </w:r>
      <w:r w:rsidRPr="00124987">
        <w:rPr>
          <w:sz w:val="20"/>
          <w:szCs w:val="20"/>
          <w:lang w:val="es-ES"/>
        </w:rPr>
        <w:t>, a la vez que se registraba un aumento del porcentaje de ciudadanos de otras regiones, en especial de Asia y el Pacífico, Europa Central y Oriental y Asia Central, y América del Norte.</w:t>
      </w:r>
    </w:p>
    <w:p w:rsidR="00221F0B" w:rsidRPr="00124987" w:rsidRDefault="00221F0B" w:rsidP="00DC1333">
      <w:pPr>
        <w:pStyle w:val="Default"/>
        <w:tabs>
          <w:tab w:val="left" w:pos="709"/>
        </w:tabs>
        <w:jc w:val="both"/>
        <w:rPr>
          <w:sz w:val="20"/>
          <w:szCs w:val="20"/>
          <w:lang w:val="es-ES"/>
        </w:rPr>
      </w:pPr>
    </w:p>
    <w:p w:rsidR="00221F0B" w:rsidRPr="000756BD" w:rsidRDefault="00221F0B" w:rsidP="00DC1333">
      <w:pPr>
        <w:pStyle w:val="Default"/>
        <w:tabs>
          <w:tab w:val="left" w:pos="709"/>
        </w:tabs>
        <w:jc w:val="center"/>
        <w:rPr>
          <w:i/>
          <w:sz w:val="18"/>
          <w:szCs w:val="18"/>
          <w:lang w:val="es-ES"/>
        </w:rPr>
      </w:pPr>
      <w:r w:rsidRPr="000756BD">
        <w:rPr>
          <w:i/>
          <w:sz w:val="18"/>
          <w:szCs w:val="18"/>
          <w:lang w:val="es-ES"/>
        </w:rPr>
        <w:t>Porcentaje de personal de categoría profesional y superior por región 2012-2015</w:t>
      </w:r>
    </w:p>
    <w:p w:rsidR="00221F0B" w:rsidRDefault="00221F0B" w:rsidP="00DC1333">
      <w:pPr>
        <w:pStyle w:val="Default"/>
        <w:tabs>
          <w:tab w:val="left" w:pos="709"/>
        </w:tabs>
        <w:jc w:val="center"/>
        <w:rPr>
          <w:i/>
          <w:sz w:val="16"/>
          <w:szCs w:val="16"/>
          <w:lang w:val="es-ES"/>
        </w:rPr>
      </w:pPr>
      <w:r w:rsidRPr="0014466C">
        <w:rPr>
          <w:noProof/>
          <w:lang w:eastAsia="en-US"/>
        </w:rPr>
        <w:drawing>
          <wp:inline distT="0" distB="0" distL="0" distR="0" wp14:anchorId="1611A3A2" wp14:editId="3DBF4ABA">
            <wp:extent cx="4549078" cy="2275368"/>
            <wp:effectExtent l="0" t="0" r="444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557350" cy="2279505"/>
                    </a:xfrm>
                    <a:prstGeom prst="rect">
                      <a:avLst/>
                    </a:prstGeom>
                    <a:noFill/>
                    <a:ln>
                      <a:noFill/>
                    </a:ln>
                  </pic:spPr>
                </pic:pic>
              </a:graphicData>
            </a:graphic>
          </wp:inline>
        </w:drawing>
      </w:r>
    </w:p>
    <w:p w:rsidR="00221F0B" w:rsidRPr="00AE32A1" w:rsidRDefault="00221F0B" w:rsidP="00DC1333">
      <w:pPr>
        <w:pStyle w:val="Default"/>
        <w:tabs>
          <w:tab w:val="left" w:pos="709"/>
        </w:tabs>
        <w:jc w:val="center"/>
        <w:rPr>
          <w:i/>
          <w:sz w:val="20"/>
          <w:szCs w:val="20"/>
          <w:lang w:val="es-ES"/>
        </w:rPr>
      </w:pPr>
    </w:p>
    <w:p w:rsidR="00221F0B" w:rsidRPr="00124987" w:rsidRDefault="00221F0B" w:rsidP="00EB45DE">
      <w:pPr>
        <w:pStyle w:val="Default"/>
        <w:numPr>
          <w:ilvl w:val="0"/>
          <w:numId w:val="108"/>
        </w:numPr>
        <w:tabs>
          <w:tab w:val="left" w:pos="709"/>
        </w:tabs>
        <w:ind w:left="0" w:firstLine="0"/>
        <w:jc w:val="both"/>
        <w:rPr>
          <w:sz w:val="20"/>
          <w:szCs w:val="20"/>
          <w:lang w:val="es-ES"/>
        </w:rPr>
      </w:pPr>
      <w:r w:rsidRPr="00124987">
        <w:rPr>
          <w:sz w:val="20"/>
          <w:szCs w:val="20"/>
          <w:lang w:val="es-ES"/>
        </w:rPr>
        <w:t xml:space="preserve">En 2014 la OMPI publicó su primera política de igualdad de género con el doble objetivo de incorporar la perspectiva de género a sus actividades y el objetivo, ajustado a un plazo específico, de lograr el equilibrio de género en toda la dotación de personal.  Por consiguiente, se creó una red de coordinadores en materia de género y la OMPI se unió a la Red Gender Champions de Ginebra en su compromiso colectivo de fomentar la presencia de las mujeres en el lugar de trabajo.  A nivel interno se intensificaron los esfuerzos de contratación encaminados a corregir la brecha entre los géneros en la </w:t>
      </w:r>
      <w:r w:rsidRPr="00124987">
        <w:rPr>
          <w:sz w:val="20"/>
          <w:szCs w:val="20"/>
          <w:lang w:val="es-ES"/>
        </w:rPr>
        <w:lastRenderedPageBreak/>
        <w:t>dotación de personal.  Se pusieron en marcha iniciativas como las conversaciones informales sobre la mujer en el trabajo y un programa piloto para la promoción de las perspectivas de carrera de las mujeres en puestos de personal directivo intermedio, al objeto de fomentar la igualdad de género en el lugar de trabajo.  En este último programa participaron cuatro mujeres miembros del personal de categoría P4 que desempeñaban funciones de supervisión, cuyo rendimiento había sido sobresaliente.  Las reacciones iniciales fueron muy alentadoras y la DSI llevó a cabo una evaluación del programa piloto, cuyo informe deberá presentar en 2016.  El porcentaje de mujeres en pue</w:t>
      </w:r>
      <w:r>
        <w:rPr>
          <w:sz w:val="20"/>
          <w:szCs w:val="20"/>
          <w:lang w:val="es-ES"/>
        </w:rPr>
        <w:t>stos de categoría P4 alcanzó el </w:t>
      </w:r>
      <w:r w:rsidRPr="00124987">
        <w:rPr>
          <w:sz w:val="20"/>
          <w:szCs w:val="20"/>
          <w:lang w:val="es-ES"/>
        </w:rPr>
        <w:t>46,1%, lo que supone un aumento de 2,7 puntos porcentuales en relación con la referencia de 2013, lográndose así plenamente el objetivo;  no obstante, se sigue estando lejos de los objetivos en materia de equilibrio de género al nivel del personal directivo superior.  Las nuevas contrataciones de mujeres en las categorías P5 y D1 permitieron evitar que se ampliara la brecha entre los géneros debido a las jubilaciones de personal femenino en esas categorías, pero se produjo una disminución de 11,1 puntos porcentuales en el número de mujeres en puestos de categoría D2 en comparación con 2013.</w:t>
      </w:r>
    </w:p>
    <w:p w:rsidR="00221F0B" w:rsidRDefault="00221F0B" w:rsidP="00DC1333">
      <w:pPr>
        <w:pStyle w:val="Default"/>
        <w:tabs>
          <w:tab w:val="left" w:pos="709"/>
        </w:tabs>
        <w:jc w:val="both"/>
        <w:rPr>
          <w:sz w:val="20"/>
          <w:szCs w:val="20"/>
          <w:lang w:val="es-ES"/>
        </w:rPr>
      </w:pPr>
    </w:p>
    <w:p w:rsidR="00221F0B" w:rsidRPr="00376CFC" w:rsidRDefault="00221F0B" w:rsidP="00DC1333">
      <w:pPr>
        <w:pStyle w:val="Default"/>
        <w:tabs>
          <w:tab w:val="left" w:pos="709"/>
        </w:tabs>
        <w:jc w:val="center"/>
        <w:rPr>
          <w:i/>
          <w:sz w:val="18"/>
          <w:szCs w:val="18"/>
          <w:lang w:val="es-ES"/>
        </w:rPr>
      </w:pPr>
      <w:r w:rsidRPr="00376CFC">
        <w:rPr>
          <w:i/>
          <w:sz w:val="18"/>
          <w:szCs w:val="18"/>
          <w:lang w:val="es-ES"/>
        </w:rPr>
        <w:t>Porcentaje de personal de categoría profesional y superior por género 2012-2015</w:t>
      </w:r>
    </w:p>
    <w:p w:rsidR="00221F0B" w:rsidRPr="00293F83" w:rsidRDefault="00221F0B" w:rsidP="00DC1333">
      <w:pPr>
        <w:pStyle w:val="Default"/>
        <w:tabs>
          <w:tab w:val="left" w:pos="709"/>
        </w:tabs>
        <w:jc w:val="center"/>
        <w:rPr>
          <w:i/>
          <w:sz w:val="20"/>
          <w:szCs w:val="20"/>
          <w:lang w:val="es-ES"/>
        </w:rPr>
      </w:pPr>
      <w:r w:rsidRPr="00376CFC">
        <w:rPr>
          <w:noProof/>
          <w:lang w:eastAsia="en-US"/>
        </w:rPr>
        <w:drawing>
          <wp:inline distT="0" distB="0" distL="0" distR="0" wp14:anchorId="6EA2A958" wp14:editId="714784C2">
            <wp:extent cx="4431539" cy="2541181"/>
            <wp:effectExtent l="0" t="0" r="762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431761" cy="2541308"/>
                    </a:xfrm>
                    <a:prstGeom prst="rect">
                      <a:avLst/>
                    </a:prstGeom>
                    <a:noFill/>
                    <a:ln>
                      <a:noFill/>
                    </a:ln>
                  </pic:spPr>
                </pic:pic>
              </a:graphicData>
            </a:graphic>
          </wp:inline>
        </w:drawing>
      </w:r>
    </w:p>
    <w:p w:rsidR="00221F0B" w:rsidRPr="00124987" w:rsidRDefault="00221F0B" w:rsidP="00DC1333">
      <w:pPr>
        <w:pStyle w:val="Default"/>
        <w:tabs>
          <w:tab w:val="left" w:pos="709"/>
        </w:tabs>
        <w:jc w:val="both"/>
        <w:rPr>
          <w:sz w:val="20"/>
          <w:szCs w:val="20"/>
          <w:lang w:val="es-ES"/>
        </w:rPr>
      </w:pPr>
    </w:p>
    <w:p w:rsidR="00221F0B" w:rsidRPr="00124987" w:rsidRDefault="00221F0B" w:rsidP="00EB45DE">
      <w:pPr>
        <w:pStyle w:val="Default"/>
        <w:numPr>
          <w:ilvl w:val="0"/>
          <w:numId w:val="108"/>
        </w:numPr>
        <w:tabs>
          <w:tab w:val="left" w:pos="709"/>
        </w:tabs>
        <w:ind w:left="0" w:firstLine="0"/>
        <w:jc w:val="both"/>
        <w:rPr>
          <w:sz w:val="20"/>
          <w:szCs w:val="20"/>
          <w:lang w:val="es-ES"/>
        </w:rPr>
      </w:pPr>
      <w:r w:rsidRPr="00124987">
        <w:rPr>
          <w:sz w:val="20"/>
          <w:szCs w:val="20"/>
          <w:lang w:val="es-ES"/>
        </w:rPr>
        <w:t>También se siguió avanzando en la incorporación del diseño orgánico y la planificación de los recursos humanos a las actividades de la Organización, de suerte que queden plenamente integradas como actividades institucionales clave.  Entre los logros registrados durante el bienio cabe señalar:  i) el mayor compromiso de los directivos en la planificación de los recursos humanos mediante la celebración de talleres introductorios, así como la elaboración de directrices conexas;  ii) la elaboración de los planes de acción de recursos humanos de 2014/15 para cada unidad organizativa a fin de determinar medidas clave de RR.HH. destinadas a satisfacer las necesidades institucionales;  iii) la actualización de las descripciones de los puestos de trabajo en toda la Organización, velando por que reflejen con exactitud las prioridades institucionales, y iv) la armonización más sistemática y mayor entre las descripciones de los puestos y los planes de trabajo anuales.  Asimismo, se publicaron unas directrices nuevas para la gestión de los puestos con la finalidad de garantizar que las hipótesis de planificación se revisen sistemáticamente y que antes de cubrir los puestos vacantes se tengan en cuenta las prioridades futuras de toda la Organización.  Como parte de la planificación de los RR.HH. se alentó a los directivos a examinar la combinación de recursos más adecuada para atender eficazmente sus necesidades institucionales.</w:t>
      </w:r>
    </w:p>
    <w:p w:rsidR="00221F0B" w:rsidRPr="00124987" w:rsidRDefault="00221F0B" w:rsidP="00DC1333">
      <w:pPr>
        <w:pStyle w:val="Default"/>
        <w:tabs>
          <w:tab w:val="left" w:pos="709"/>
        </w:tabs>
        <w:jc w:val="both"/>
        <w:rPr>
          <w:sz w:val="20"/>
          <w:szCs w:val="20"/>
          <w:lang w:val="es-ES"/>
        </w:rPr>
      </w:pPr>
    </w:p>
    <w:p w:rsidR="00221F0B" w:rsidRPr="00124987" w:rsidRDefault="00221F0B" w:rsidP="00EB45DE">
      <w:pPr>
        <w:pStyle w:val="Default"/>
        <w:numPr>
          <w:ilvl w:val="0"/>
          <w:numId w:val="108"/>
        </w:numPr>
        <w:tabs>
          <w:tab w:val="left" w:pos="709"/>
        </w:tabs>
        <w:ind w:left="0" w:firstLine="0"/>
        <w:jc w:val="both"/>
        <w:rPr>
          <w:sz w:val="20"/>
          <w:szCs w:val="20"/>
          <w:lang w:val="es-ES"/>
        </w:rPr>
      </w:pPr>
      <w:r w:rsidRPr="00124987">
        <w:rPr>
          <w:sz w:val="20"/>
          <w:szCs w:val="20"/>
          <w:lang w:val="es-ES"/>
        </w:rPr>
        <w:t xml:space="preserve">En 2014 se llevó a término el proceso de regularización de empleados temporales con muchos años de servicio, en cuyo marco se regularizó mediante un concurso la situación de 31 empleados de este tipo.  Además, durante el bienio se publicaron 40 puestos de plazo fijo con miras a regularizar las funciones de carácter continuo (17 en 2014 y </w:t>
      </w:r>
      <w:r w:rsidR="0007460F">
        <w:rPr>
          <w:sz w:val="20"/>
          <w:szCs w:val="20"/>
          <w:lang w:val="es-ES"/>
        </w:rPr>
        <w:t>2</w:t>
      </w:r>
      <w:r w:rsidRPr="00124987">
        <w:rPr>
          <w:sz w:val="20"/>
          <w:szCs w:val="20"/>
          <w:lang w:val="es-ES"/>
        </w:rPr>
        <w:t xml:space="preserve">3 en 2015), de los que 30 </w:t>
      </w:r>
      <w:r>
        <w:rPr>
          <w:sz w:val="20"/>
          <w:szCs w:val="20"/>
          <w:lang w:val="es-ES"/>
        </w:rPr>
        <w:t>se habían cubierto a finales de </w:t>
      </w:r>
      <w:r w:rsidRPr="00124987">
        <w:rPr>
          <w:sz w:val="20"/>
          <w:szCs w:val="20"/>
          <w:lang w:val="es-ES"/>
        </w:rPr>
        <w:t>2015.</w:t>
      </w:r>
    </w:p>
    <w:p w:rsidR="00221F0B" w:rsidRPr="00124987" w:rsidRDefault="00221F0B" w:rsidP="00DC1333">
      <w:pPr>
        <w:pStyle w:val="Default"/>
        <w:tabs>
          <w:tab w:val="left" w:pos="709"/>
        </w:tabs>
        <w:jc w:val="both"/>
        <w:rPr>
          <w:sz w:val="20"/>
          <w:szCs w:val="20"/>
          <w:lang w:val="es-ES"/>
        </w:rPr>
      </w:pPr>
    </w:p>
    <w:p w:rsidR="00221F0B" w:rsidRPr="00124987" w:rsidRDefault="00221F0B" w:rsidP="00EB45DE">
      <w:pPr>
        <w:pStyle w:val="Default"/>
        <w:numPr>
          <w:ilvl w:val="0"/>
          <w:numId w:val="108"/>
        </w:numPr>
        <w:tabs>
          <w:tab w:val="left" w:pos="709"/>
        </w:tabs>
        <w:ind w:left="0" w:firstLine="0"/>
        <w:jc w:val="both"/>
        <w:rPr>
          <w:sz w:val="20"/>
          <w:szCs w:val="20"/>
          <w:lang w:val="es-ES"/>
        </w:rPr>
      </w:pPr>
      <w:r w:rsidRPr="00124987">
        <w:rPr>
          <w:color w:val="auto"/>
          <w:sz w:val="20"/>
          <w:szCs w:val="20"/>
          <w:lang w:val="es-ES"/>
        </w:rPr>
        <w:t>Durante el bienio la</w:t>
      </w:r>
      <w:r w:rsidRPr="00124987">
        <w:rPr>
          <w:sz w:val="20"/>
          <w:szCs w:val="20"/>
          <w:lang w:val="es-ES"/>
        </w:rPr>
        <w:t xml:space="preserve"> actividad de contratación</w:t>
      </w:r>
      <w:r w:rsidRPr="00124987">
        <w:rPr>
          <w:color w:val="auto"/>
          <w:sz w:val="20"/>
          <w:szCs w:val="20"/>
          <w:lang w:val="es-ES"/>
        </w:rPr>
        <w:t xml:space="preserve"> se mantuvo a un nivel elevado</w:t>
      </w:r>
      <w:r w:rsidRPr="00124987">
        <w:rPr>
          <w:sz w:val="20"/>
          <w:szCs w:val="20"/>
          <w:lang w:val="es-ES"/>
        </w:rPr>
        <w:t>, lo que ha hecho que el período medio de contratación se haya ampliado a 19,77 semanas en comparación con las 16,03 semanas que se necesitaban de media durante el bienio 2012/13.  Se convocaron un total de 255 concursos (183 para puestos de plazo fijo, lo que representa un aumento del 29% con respecto al bienio anterior, y 72 para puestos temporales.  En total se recibieron 30.320 solicitudes.</w:t>
      </w:r>
    </w:p>
    <w:p w:rsidR="00221F0B" w:rsidRPr="00124987" w:rsidRDefault="00221F0B" w:rsidP="00DC1333">
      <w:pPr>
        <w:pStyle w:val="Default"/>
        <w:tabs>
          <w:tab w:val="left" w:pos="709"/>
        </w:tabs>
        <w:jc w:val="both"/>
        <w:rPr>
          <w:sz w:val="20"/>
          <w:szCs w:val="20"/>
          <w:lang w:val="es-ES"/>
        </w:rPr>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lastRenderedPageBreak/>
        <w:t>Durante el bienio se siguió modernizando los sistemas y procesos del Departamento de Gestión de Recursos Humanos.  En 2015 se comenzó a desarrollar una nueva plataforma integrada de contratación (que utiliza el programa Taleo), mediante la cual se espera conseguir mejorar aún más la eficacia en la contratación.  A comienzos de 2014 se completó la primera fase de la PRI, cuyo objetivo era integrar los datos y los procesos en el marco del Departamento de Gestión de Recursos Humanos y con otras funciones administrativas y de gestión de la OMPI.  Durante el bienio se introdujeron otras mejoras, como la creación y puesta en marcha del panel de gestión de RR.HH. de “Inteligencia institucional” y de funciones de autoservicio, por ejemplo actualizar la información personal en línea y solicitar subsidios de educación, con lo que el personal adquiere más conciencia de sus responsabilidades y se reducen al mínimo algunas tareas muy laboriosas en el ámbito de los recursos humanos.</w:t>
      </w:r>
    </w:p>
    <w:p w:rsidR="00221F0B" w:rsidRPr="00124987" w:rsidRDefault="00221F0B" w:rsidP="00DC1333">
      <w:pPr>
        <w:pStyle w:val="ListParagraph"/>
        <w:tabs>
          <w:tab w:val="left" w:pos="709"/>
        </w:tabs>
        <w:ind w:left="0"/>
        <w:jc w:val="both"/>
        <w:rPr>
          <w:rFonts w:cs="Arial"/>
          <w:lang w:val="es-ES"/>
        </w:rPr>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t>Se convocó una licitación para contratar un seguro de salud, accidentes y pérdida de ganancias para los empleados, tras lo cual se ha establecido un nuevo contrato con primas más bajas.  En 2015 se renegoció el contrato del seguro de vida para que en 2016 entre en vigor una prima más baja.  La Unidad Médica y de Bienestar Social también prestó servicios de empleo y relacionados con la salud, a veces en colaboración con el Servicio Médico de la ONUG.</w:t>
      </w:r>
    </w:p>
    <w:p w:rsidR="00221F0B" w:rsidRPr="00124987" w:rsidRDefault="00221F0B" w:rsidP="00DC1333">
      <w:pPr>
        <w:tabs>
          <w:tab w:val="left" w:pos="709"/>
        </w:tabs>
        <w:jc w:val="both"/>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t>La madurez adquirida por la OMPI en relación con los procesos de gestión del rendimiento permitió seguir mejorando el sistema de gestión del desempeño y el perfeccionamiento del personal (PMSDS).  Las directrices de dicho sistema se sustituyeron por una nueva orden de servicio y manuales del sistema PMSDS para distinguir las disposiciones regulatorias de las directrices.  Además, se introdujeron cambios para armonizar el sistema PMSDS con el Reglamento y el Estatuto del Personal y las órdenes de servicio conexas, y para proporcionar más aclaraciones sobre cuestiones relacionadas con el sistema PMSDS a partir de la experiencia adquirida mediante la aplicación del sistema.  El índice de utilización del sistema siguió siendo muy alto;  así, en 2014 y 2015 se evaluaron respectivamente las competencias y objetivos individuales de un 93,1% y un 92,8% de los miembros del personal.</w:t>
      </w:r>
    </w:p>
    <w:p w:rsidR="00221F0B" w:rsidRPr="00124987" w:rsidRDefault="00221F0B" w:rsidP="00DC1333">
      <w:pPr>
        <w:tabs>
          <w:tab w:val="left" w:pos="709"/>
        </w:tabs>
        <w:jc w:val="both"/>
      </w:pPr>
    </w:p>
    <w:p w:rsidR="00221F0B" w:rsidRPr="00124987" w:rsidRDefault="00221F0B" w:rsidP="00EB45DE">
      <w:pPr>
        <w:pStyle w:val="ListParagraph"/>
        <w:numPr>
          <w:ilvl w:val="0"/>
          <w:numId w:val="108"/>
        </w:numPr>
        <w:tabs>
          <w:tab w:val="left" w:pos="709"/>
        </w:tabs>
        <w:ind w:left="0" w:firstLine="0"/>
        <w:jc w:val="both"/>
        <w:rPr>
          <w:rFonts w:cs="Arial"/>
          <w:lang w:val="es-ES"/>
        </w:rPr>
      </w:pPr>
      <w:r w:rsidRPr="00124987">
        <w:rPr>
          <w:rFonts w:cs="Arial"/>
          <w:lang w:val="es-ES"/>
        </w:rPr>
        <w:t xml:space="preserve">El programa de la OMPI de recompensas y reconocimiento siguió adelante y en 2014 se llevó a cabo una segunda prueba que fue evaluada posteriormente por la DSI.  Dos de cada tres encuestados respondieron que el programa había servido para reconocer el buen rendimiento.  Las recomendaciones de la DSI sirvieron de base para la publicación de un manual sobre “mostrar reconocimiento” y la elaboración de una página en Intranet.  </w:t>
      </w:r>
      <w:r w:rsidR="0007460F">
        <w:rPr>
          <w:rFonts w:cs="Arial"/>
          <w:lang w:val="es-ES"/>
        </w:rPr>
        <w:t>Además, s</w:t>
      </w:r>
      <w:r w:rsidRPr="00124987">
        <w:rPr>
          <w:rFonts w:cs="Arial"/>
          <w:lang w:val="es-ES"/>
        </w:rPr>
        <w:t>e creó una nueva categoría de premio en la que el personal participa directamente en la nominación de los candidatos y la selección de los ganadores.  En 2015, después de haberse efectuado las dos pruebas, se aprobó una política oficial de recompensas y reconocimiento.</w:t>
      </w:r>
    </w:p>
    <w:p w:rsidR="00221F0B" w:rsidRPr="00124987" w:rsidRDefault="00221F0B" w:rsidP="00DC1333">
      <w:pPr>
        <w:tabs>
          <w:tab w:val="left" w:pos="709"/>
        </w:tabs>
        <w:jc w:val="both"/>
      </w:pPr>
    </w:p>
    <w:p w:rsidR="00221F0B" w:rsidRPr="00124987" w:rsidRDefault="00221F0B" w:rsidP="00EB45DE">
      <w:pPr>
        <w:pStyle w:val="ListParagraph"/>
        <w:numPr>
          <w:ilvl w:val="0"/>
          <w:numId w:val="108"/>
        </w:numPr>
        <w:tabs>
          <w:tab w:val="left" w:pos="709"/>
        </w:tabs>
        <w:autoSpaceDE w:val="0"/>
        <w:autoSpaceDN w:val="0"/>
        <w:adjustRightInd w:val="0"/>
        <w:ind w:left="0" w:firstLine="0"/>
        <w:jc w:val="both"/>
        <w:rPr>
          <w:rFonts w:cs="Arial"/>
          <w:lang w:val="es-ES"/>
        </w:rPr>
      </w:pPr>
      <w:r w:rsidRPr="00124987">
        <w:rPr>
          <w:rFonts w:cs="Arial"/>
          <w:lang w:val="es-ES"/>
        </w:rPr>
        <w:t xml:space="preserve">En 2014, empezó a aplicarse la nueva política de aprendizaje y perfeccionamiento para impulsar la mejora de las competencias del personal y la disminución de las carencias en materia de competencias.  </w:t>
      </w:r>
      <w:r w:rsidR="0007460F">
        <w:rPr>
          <w:rFonts w:cs="Arial"/>
          <w:lang w:val="es-ES"/>
        </w:rPr>
        <w:t>S</w:t>
      </w:r>
      <w:r w:rsidRPr="00124987">
        <w:rPr>
          <w:rFonts w:cs="Arial"/>
          <w:lang w:val="es-ES"/>
        </w:rPr>
        <w:t>e pusieron en marcha nuevas iniciativas sobre resolución de conflictos, gestión del estrés, gestión de la calidad, gestión de proyectos y reconocimiento del aprendizaje anterior a fin de aumentar la capacidad de gestión</w:t>
      </w:r>
      <w:r w:rsidR="0007460F">
        <w:rPr>
          <w:rFonts w:cs="Arial"/>
          <w:lang w:val="es-ES"/>
        </w:rPr>
        <w:t xml:space="preserve"> y dar apoyo a la progresión profesional</w:t>
      </w:r>
      <w:r w:rsidRPr="00124987">
        <w:rPr>
          <w:rFonts w:cs="Arial"/>
          <w:lang w:val="es-ES"/>
        </w:rPr>
        <w:t>.  En 2015, por primera vez el número medio de días de formación por miembro del personal</w:t>
      </w:r>
      <w:r w:rsidRPr="00124987">
        <w:rPr>
          <w:rStyle w:val="FootnoteReference"/>
          <w:rFonts w:cs="Arial"/>
          <w:lang w:val="es-ES"/>
        </w:rPr>
        <w:footnoteReference w:id="130"/>
      </w:r>
      <w:r w:rsidRPr="00124987">
        <w:rPr>
          <w:rFonts w:cs="Arial"/>
          <w:lang w:val="es-ES"/>
        </w:rPr>
        <w:t xml:space="preserve"> aumentó a seis, en comparación con los cinco registrados en 2014 (un día más que la práctica declarada de las Naciones Unidas, que es de cinco días).  Este aum</w:t>
      </w:r>
      <w:r>
        <w:rPr>
          <w:rFonts w:cs="Arial"/>
          <w:lang w:val="es-ES"/>
        </w:rPr>
        <w:t>ento se debió en parte a que en</w:t>
      </w:r>
      <w:r w:rsidR="0007460F">
        <w:rPr>
          <w:rFonts w:cs="Arial"/>
          <w:lang w:val="es-ES"/>
        </w:rPr>
        <w:t xml:space="preserve"> </w:t>
      </w:r>
      <w:r w:rsidRPr="00124987">
        <w:rPr>
          <w:rFonts w:cs="Arial"/>
          <w:lang w:val="es-ES"/>
        </w:rPr>
        <w:t>2015 se llevó a cabo la formación sobre gestión de conflictos, en la que</w:t>
      </w:r>
      <w:r w:rsidR="0007460F">
        <w:rPr>
          <w:rFonts w:cs="Arial"/>
          <w:lang w:val="es-ES"/>
        </w:rPr>
        <w:t xml:space="preserve"> participaron cerca de la mitad de los</w:t>
      </w:r>
      <w:r w:rsidRPr="00124987">
        <w:rPr>
          <w:rFonts w:cs="Arial"/>
          <w:lang w:val="es-ES"/>
        </w:rPr>
        <w:t xml:space="preserve"> miembros del personal de la OMPI.</w:t>
      </w:r>
    </w:p>
    <w:p w:rsidR="00221F0B" w:rsidRPr="00124987" w:rsidRDefault="00221F0B" w:rsidP="00DC1333">
      <w:pPr>
        <w:tabs>
          <w:tab w:val="left" w:pos="709"/>
        </w:tabs>
        <w:autoSpaceDE w:val="0"/>
        <w:autoSpaceDN w:val="0"/>
        <w:adjustRightInd w:val="0"/>
        <w:jc w:val="both"/>
      </w:pPr>
    </w:p>
    <w:p w:rsidR="00221F0B" w:rsidRPr="00124987" w:rsidRDefault="00221F0B" w:rsidP="00EB45DE">
      <w:pPr>
        <w:pStyle w:val="ListParagraph"/>
        <w:numPr>
          <w:ilvl w:val="0"/>
          <w:numId w:val="108"/>
        </w:numPr>
        <w:tabs>
          <w:tab w:val="left" w:pos="709"/>
        </w:tabs>
        <w:autoSpaceDE w:val="0"/>
        <w:autoSpaceDN w:val="0"/>
        <w:adjustRightInd w:val="0"/>
        <w:ind w:left="0" w:firstLine="0"/>
        <w:jc w:val="both"/>
        <w:rPr>
          <w:rFonts w:cs="Arial"/>
          <w:lang w:val="es-ES"/>
        </w:rPr>
      </w:pPr>
      <w:r w:rsidRPr="00124987">
        <w:rPr>
          <w:rFonts w:cs="Arial"/>
          <w:lang w:val="es-ES"/>
        </w:rPr>
        <w:t>En el contexto de la formulación de políticas de recursos human</w:t>
      </w:r>
      <w:r>
        <w:rPr>
          <w:rFonts w:cs="Arial"/>
          <w:lang w:val="es-ES"/>
        </w:rPr>
        <w:t>os, a raíz de la realización en </w:t>
      </w:r>
      <w:r w:rsidRPr="00124987">
        <w:rPr>
          <w:rFonts w:cs="Arial"/>
          <w:lang w:val="es-ES"/>
        </w:rPr>
        <w:t xml:space="preserve">2012 de la primera reforma del Estatuto y Reglamento del Personal </w:t>
      </w:r>
      <w:r>
        <w:rPr>
          <w:rFonts w:cs="Arial"/>
          <w:lang w:val="es-ES"/>
        </w:rPr>
        <w:t>en más de 40 años, en 2014 y </w:t>
      </w:r>
      <w:r w:rsidRPr="00124987">
        <w:rPr>
          <w:rFonts w:cs="Arial"/>
          <w:lang w:val="es-ES"/>
        </w:rPr>
        <w:t>2015 se llevó a cabo una nueva revisión y se efectuaron más ajustes del Estatuto y Reglamento del Personal, y se estableció el correspondiente marco de políticas de recursos humanos.  Los cambios introducidos durante el bienio permitieron a la OMPI mantener un marco normativo coherente que se ajuste a las mejores prácticas del sistema de las naciones Unidas y se adapte plenamente a fin de responder a las necesidades y prioridades cambiantes de la Organización.  En 2014 se incorporó al Estatuto y Reglamento del Personal la categoría de funcionario nacional profesional al objeto de dar respuesta a las necesidades de las oficinas de la OMPI en el exterior.  En 2015 se produjo el primer nombramiento temporal de un funcionario nacional profesional en la Oficina de la OMPI en el Brasil (OOB).</w:t>
      </w:r>
    </w:p>
    <w:p w:rsidR="00221F0B" w:rsidRPr="00124987" w:rsidRDefault="00221F0B" w:rsidP="00DC1333">
      <w:pPr>
        <w:pStyle w:val="ListParagraph"/>
        <w:tabs>
          <w:tab w:val="left" w:pos="709"/>
        </w:tabs>
        <w:autoSpaceDE w:val="0"/>
        <w:autoSpaceDN w:val="0"/>
        <w:adjustRightInd w:val="0"/>
        <w:ind w:left="0"/>
        <w:jc w:val="both"/>
        <w:rPr>
          <w:rFonts w:cs="Arial"/>
          <w:lang w:val="es-ES"/>
        </w:rPr>
      </w:pPr>
    </w:p>
    <w:p w:rsidR="00221F0B" w:rsidRPr="00124987" w:rsidRDefault="00221F0B" w:rsidP="00EB45DE">
      <w:pPr>
        <w:pStyle w:val="ListParagraph"/>
        <w:numPr>
          <w:ilvl w:val="0"/>
          <w:numId w:val="108"/>
        </w:numPr>
        <w:tabs>
          <w:tab w:val="left" w:pos="709"/>
        </w:tabs>
        <w:autoSpaceDE w:val="0"/>
        <w:autoSpaceDN w:val="0"/>
        <w:adjustRightInd w:val="0"/>
        <w:ind w:left="0" w:firstLine="0"/>
        <w:jc w:val="both"/>
        <w:rPr>
          <w:rFonts w:cs="Arial"/>
          <w:lang w:val="es-ES"/>
        </w:rPr>
      </w:pPr>
      <w:r w:rsidRPr="00124987">
        <w:rPr>
          <w:rFonts w:cs="Arial"/>
          <w:lang w:val="es-ES"/>
        </w:rPr>
        <w:t>El nuevo Grupo Consultivo Mixto, de cuya secretaría se ocupa el Departamento de Gestión de Recursos  Humanos, se creó en junio de 2014 para asesorar al Director General en cuestiones de personal o administrativas.  Los miembros del personal pueden ahora elevar peticiones directamente al Grupo Consultivo Mixto, creándose así un nuevo canal de comunicación entre el personal y la Administración.</w:t>
      </w:r>
    </w:p>
    <w:p w:rsidR="00221F0B" w:rsidRPr="00124987" w:rsidRDefault="00221F0B" w:rsidP="00DC1333">
      <w:pPr>
        <w:tabs>
          <w:tab w:val="left" w:pos="709"/>
        </w:tabs>
        <w:rPr>
          <w:szCs w:val="22"/>
        </w:rPr>
      </w:pPr>
    </w:p>
    <w:p w:rsidR="00221F0B" w:rsidRPr="00124987" w:rsidRDefault="00221F0B" w:rsidP="00DC1333">
      <w:pPr>
        <w:rPr>
          <w:szCs w:val="22"/>
        </w:rPr>
      </w:pPr>
    </w:p>
    <w:p w:rsidR="00221F0B" w:rsidRPr="00124987" w:rsidRDefault="008F7CBE" w:rsidP="00DC1333">
      <w:pPr>
        <w:keepNext/>
        <w:jc w:val="both"/>
        <w:rPr>
          <w:szCs w:val="22"/>
        </w:rPr>
      </w:pPr>
      <w:r w:rsidRPr="008F7CBE">
        <w:rPr>
          <w:sz w:val="20"/>
          <w:szCs w:val="22"/>
        </w:rPr>
        <w:t>DATOS SOBRE EL RENDIMIENTO</w:t>
      </w:r>
    </w:p>
    <w:p w:rsidR="00221F0B" w:rsidRPr="00124987" w:rsidRDefault="00221F0B" w:rsidP="00DC1333">
      <w:pPr>
        <w:keepNext/>
        <w:jc w:val="both"/>
        <w:rPr>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408"/>
        <w:gridCol w:w="1705"/>
        <w:gridCol w:w="1982"/>
        <w:gridCol w:w="1134"/>
      </w:tblGrid>
      <w:tr w:rsidR="00221F0B" w:rsidRPr="00124987" w:rsidTr="003B1330">
        <w:tc>
          <w:tcPr>
            <w:tcW w:w="5000" w:type="pct"/>
            <w:gridSpan w:val="5"/>
            <w:tcBorders>
              <w:top w:val="single" w:sz="4" w:space="0" w:color="auto"/>
              <w:bottom w:val="single" w:sz="4" w:space="0" w:color="auto"/>
            </w:tcBorders>
            <w:shd w:val="clear" w:color="auto" w:fill="C6D9F1" w:themeFill="text2" w:themeFillTint="33"/>
            <w:vAlign w:val="center"/>
          </w:tcPr>
          <w:p w:rsidR="00221F0B" w:rsidRPr="00124987" w:rsidRDefault="00221F0B" w:rsidP="00DC1333">
            <w:pPr>
              <w:keepNext/>
              <w:spacing w:before="120" w:after="120"/>
              <w:ind w:left="2019" w:hanging="2019"/>
              <w:jc w:val="both"/>
              <w:rPr>
                <w:b/>
                <w:bCs/>
                <w:sz w:val="16"/>
                <w:szCs w:val="16"/>
              </w:rPr>
            </w:pPr>
            <w:r w:rsidRPr="00124987">
              <w:rPr>
                <w:b/>
                <w:bCs/>
                <w:sz w:val="16"/>
                <w:szCs w:val="16"/>
              </w:rPr>
              <w:t>Resultado previsto:</w:t>
            </w:r>
            <w:r w:rsidRPr="00124987">
              <w:rPr>
                <w:b/>
                <w:bCs/>
                <w:sz w:val="16"/>
                <w:szCs w:val="16"/>
              </w:rPr>
              <w:tab/>
            </w:r>
            <w:r w:rsidRPr="00124987">
              <w:rPr>
                <w:bCs/>
                <w:sz w:val="16"/>
                <w:szCs w:val="16"/>
              </w:rPr>
              <w:t>IX.1 Servicios de apoyo eficaces, eficientes, de calidad y orientados al cliente, tanto a los clientes internos como a las partes interesadas externas</w:t>
            </w:r>
          </w:p>
        </w:tc>
      </w:tr>
      <w:tr w:rsidR="00221F0B" w:rsidRPr="00124987" w:rsidTr="003B1330">
        <w:tc>
          <w:tcPr>
            <w:tcW w:w="1137" w:type="pct"/>
            <w:tcBorders>
              <w:top w:val="single" w:sz="4" w:space="0" w:color="auto"/>
            </w:tcBorders>
            <w:shd w:val="clear" w:color="auto" w:fill="auto"/>
            <w:vAlign w:val="center"/>
          </w:tcPr>
          <w:p w:rsidR="00221F0B" w:rsidRPr="00124987" w:rsidRDefault="00221F0B" w:rsidP="00DC1333">
            <w:pPr>
              <w:spacing w:after="120"/>
              <w:rPr>
                <w:sz w:val="16"/>
                <w:szCs w:val="16"/>
              </w:rPr>
            </w:pPr>
            <w:r w:rsidRPr="00124987">
              <w:rPr>
                <w:b/>
                <w:sz w:val="16"/>
                <w:szCs w:val="16"/>
              </w:rPr>
              <w:t>Indicadores de rendimiento</w:t>
            </w:r>
          </w:p>
        </w:tc>
        <w:tc>
          <w:tcPr>
            <w:tcW w:w="1287" w:type="pct"/>
            <w:tcBorders>
              <w:top w:val="single" w:sz="4" w:space="0" w:color="auto"/>
            </w:tcBorders>
            <w:shd w:val="clear" w:color="auto" w:fill="auto"/>
            <w:vAlign w:val="center"/>
          </w:tcPr>
          <w:p w:rsidR="00221F0B" w:rsidRPr="00124987" w:rsidRDefault="00221F0B" w:rsidP="00DC1333">
            <w:pPr>
              <w:spacing w:after="120"/>
              <w:rPr>
                <w:b/>
                <w:bCs/>
                <w:sz w:val="16"/>
                <w:szCs w:val="16"/>
              </w:rPr>
            </w:pPr>
            <w:r w:rsidRPr="00124987">
              <w:rPr>
                <w:b/>
                <w:bCs/>
                <w:sz w:val="16"/>
                <w:szCs w:val="16"/>
              </w:rPr>
              <w:t>Referencia</w:t>
            </w:r>
          </w:p>
        </w:tc>
        <w:tc>
          <w:tcPr>
            <w:tcW w:w="911" w:type="pct"/>
            <w:tcBorders>
              <w:top w:val="single" w:sz="4" w:space="0" w:color="auto"/>
            </w:tcBorders>
            <w:shd w:val="clear" w:color="auto" w:fill="auto"/>
            <w:tcMar>
              <w:top w:w="110" w:type="dxa"/>
            </w:tcMar>
            <w:vAlign w:val="center"/>
          </w:tcPr>
          <w:p w:rsidR="00221F0B" w:rsidRPr="00124987" w:rsidRDefault="00221F0B" w:rsidP="00DC1333">
            <w:pPr>
              <w:spacing w:after="120"/>
              <w:rPr>
                <w:b/>
                <w:sz w:val="16"/>
                <w:szCs w:val="16"/>
              </w:rPr>
            </w:pPr>
            <w:r w:rsidRPr="00124987">
              <w:rPr>
                <w:b/>
                <w:sz w:val="16"/>
                <w:szCs w:val="16"/>
              </w:rPr>
              <w:t>Objetivos</w:t>
            </w:r>
          </w:p>
        </w:tc>
        <w:tc>
          <w:tcPr>
            <w:tcW w:w="1059" w:type="pct"/>
            <w:tcBorders>
              <w:top w:val="single" w:sz="4" w:space="0" w:color="auto"/>
            </w:tcBorders>
            <w:shd w:val="clear" w:color="auto" w:fill="FFFFFF"/>
            <w:tcMar>
              <w:top w:w="110" w:type="dxa"/>
            </w:tcMar>
            <w:vAlign w:val="center"/>
          </w:tcPr>
          <w:p w:rsidR="00221F0B" w:rsidRPr="00124987" w:rsidRDefault="00221F0B" w:rsidP="00DC1333">
            <w:pPr>
              <w:spacing w:after="120"/>
              <w:rPr>
                <w:sz w:val="16"/>
                <w:szCs w:val="16"/>
              </w:rPr>
            </w:pPr>
            <w:r w:rsidRPr="00124987">
              <w:rPr>
                <w:b/>
                <w:sz w:val="16"/>
                <w:szCs w:val="16"/>
              </w:rPr>
              <w:t>Datos sobre el rendimiento</w:t>
            </w:r>
          </w:p>
        </w:tc>
        <w:tc>
          <w:tcPr>
            <w:tcW w:w="606" w:type="pct"/>
            <w:tcBorders>
              <w:top w:val="single" w:sz="4" w:space="0" w:color="auto"/>
            </w:tcBorders>
            <w:shd w:val="clear" w:color="auto" w:fill="auto"/>
            <w:tcMar>
              <w:top w:w="110" w:type="dxa"/>
            </w:tcMar>
            <w:vAlign w:val="center"/>
          </w:tcPr>
          <w:p w:rsidR="00221F0B" w:rsidRPr="00124987" w:rsidRDefault="00221F0B" w:rsidP="00DC1333">
            <w:pPr>
              <w:spacing w:after="120"/>
              <w:ind w:left="96"/>
              <w:jc w:val="center"/>
              <w:rPr>
                <w:b/>
                <w:bCs/>
                <w:sz w:val="16"/>
                <w:szCs w:val="16"/>
              </w:rPr>
            </w:pPr>
            <w:r w:rsidRPr="00124987">
              <w:rPr>
                <w:b/>
                <w:bCs/>
                <w:sz w:val="16"/>
                <w:szCs w:val="16"/>
              </w:rPr>
              <w:t>Clave de colores</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Porcentaje de miembros del personal satisfechos de los servicios de recursos humanos</w:t>
            </w:r>
          </w:p>
        </w:tc>
        <w:tc>
          <w:tcPr>
            <w:tcW w:w="1287" w:type="pct"/>
            <w:shd w:val="clear" w:color="auto" w:fill="auto"/>
          </w:tcPr>
          <w:p w:rsidR="00221F0B" w:rsidRPr="00124987" w:rsidRDefault="00221F0B" w:rsidP="00DC1333">
            <w:pPr>
              <w:rPr>
                <w:color w:val="002060"/>
                <w:sz w:val="16"/>
                <w:szCs w:val="16"/>
                <w:lang w:bidi="th-TH"/>
              </w:rPr>
            </w:pPr>
            <w:r w:rsidRPr="00124987">
              <w:rPr>
                <w:i/>
                <w:color w:val="002060"/>
                <w:sz w:val="16"/>
                <w:szCs w:val="16"/>
              </w:rPr>
              <w:t xml:space="preserve">Referencia actualizada a fines de 2013:  </w:t>
            </w:r>
            <w:r w:rsidRPr="00124987">
              <w:rPr>
                <w:color w:val="002060"/>
                <w:sz w:val="16"/>
                <w:szCs w:val="16"/>
                <w:lang w:bidi="th-TH"/>
              </w:rPr>
              <w:t>Muy satisfechos:  31,2%</w:t>
            </w:r>
          </w:p>
          <w:p w:rsidR="00221F0B" w:rsidRPr="00124987" w:rsidRDefault="00221F0B" w:rsidP="00DC1333">
            <w:pPr>
              <w:rPr>
                <w:color w:val="002060"/>
                <w:sz w:val="16"/>
                <w:szCs w:val="16"/>
                <w:lang w:bidi="th-TH"/>
              </w:rPr>
            </w:pPr>
            <w:r w:rsidRPr="00124987">
              <w:rPr>
                <w:color w:val="002060"/>
                <w:sz w:val="16"/>
                <w:szCs w:val="16"/>
                <w:lang w:bidi="th-TH"/>
              </w:rPr>
              <w:t>Satisfechos:  46,2%</w:t>
            </w:r>
          </w:p>
          <w:p w:rsidR="00221F0B" w:rsidRPr="00124987" w:rsidRDefault="00221F0B" w:rsidP="00DC1333">
            <w:pPr>
              <w:rPr>
                <w:color w:val="002060"/>
                <w:sz w:val="16"/>
                <w:szCs w:val="16"/>
                <w:lang w:bidi="th-TH"/>
              </w:rPr>
            </w:pPr>
            <w:r w:rsidRPr="00124987">
              <w:rPr>
                <w:color w:val="002060"/>
                <w:sz w:val="16"/>
                <w:szCs w:val="16"/>
                <w:lang w:bidi="th-TH"/>
              </w:rPr>
              <w:t>Insatisfechos:  18,9%</w:t>
            </w:r>
          </w:p>
          <w:p w:rsidR="00221F0B" w:rsidRPr="00124987" w:rsidRDefault="00221F0B" w:rsidP="00DC1333">
            <w:pPr>
              <w:rPr>
                <w:color w:val="002060"/>
                <w:sz w:val="16"/>
                <w:szCs w:val="16"/>
              </w:rPr>
            </w:pPr>
            <w:r w:rsidRPr="00124987">
              <w:rPr>
                <w:color w:val="002060"/>
                <w:sz w:val="16"/>
                <w:szCs w:val="16"/>
              </w:rPr>
              <w:t>Muy insatisfechos: 3,7%</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w:t>
            </w:r>
          </w:p>
          <w:p w:rsidR="00221F0B" w:rsidRPr="00124987" w:rsidRDefault="00221F0B" w:rsidP="00DC1333">
            <w:pPr>
              <w:rPr>
                <w:sz w:val="16"/>
                <w:szCs w:val="16"/>
              </w:rPr>
            </w:pPr>
            <w:r w:rsidRPr="00124987">
              <w:rPr>
                <w:sz w:val="16"/>
                <w:szCs w:val="16"/>
              </w:rPr>
              <w:t>Muy satisfechos:  31,2%</w:t>
            </w:r>
          </w:p>
          <w:p w:rsidR="00221F0B" w:rsidRPr="00124987" w:rsidRDefault="00221F0B" w:rsidP="00DC1333">
            <w:pPr>
              <w:rPr>
                <w:sz w:val="16"/>
                <w:szCs w:val="16"/>
              </w:rPr>
            </w:pPr>
            <w:r w:rsidRPr="00124987">
              <w:rPr>
                <w:sz w:val="16"/>
                <w:szCs w:val="16"/>
              </w:rPr>
              <w:t>Satisfecho:  48,8%</w:t>
            </w:r>
          </w:p>
          <w:p w:rsidR="00221F0B" w:rsidRPr="00124987" w:rsidRDefault="00221F0B" w:rsidP="00DC1333">
            <w:pPr>
              <w:rPr>
                <w:sz w:val="16"/>
                <w:szCs w:val="16"/>
              </w:rPr>
            </w:pPr>
            <w:r w:rsidRPr="00124987">
              <w:rPr>
                <w:sz w:val="16"/>
                <w:szCs w:val="16"/>
              </w:rPr>
              <w:t>Insatisfecho:  17,1%</w:t>
            </w:r>
          </w:p>
          <w:p w:rsidR="00221F0B" w:rsidRPr="00124987" w:rsidRDefault="00221F0B" w:rsidP="00DC1333">
            <w:pPr>
              <w:rPr>
                <w:sz w:val="16"/>
                <w:szCs w:val="16"/>
              </w:rPr>
            </w:pPr>
            <w:r w:rsidRPr="00124987">
              <w:rPr>
                <w:sz w:val="16"/>
                <w:szCs w:val="16"/>
              </w:rPr>
              <w:t>Muy insatisfechos: 2,9%</w:t>
            </w:r>
          </w:p>
        </w:tc>
        <w:tc>
          <w:tcPr>
            <w:tcW w:w="911" w:type="pct"/>
            <w:shd w:val="clear" w:color="auto" w:fill="auto"/>
            <w:tcMar>
              <w:top w:w="110" w:type="dxa"/>
            </w:tcMar>
          </w:tcPr>
          <w:p w:rsidR="00221F0B" w:rsidRPr="00124987" w:rsidRDefault="00221F0B" w:rsidP="00DC1333">
            <w:pPr>
              <w:rPr>
                <w:sz w:val="16"/>
                <w:szCs w:val="16"/>
                <w:lang w:bidi="th-TH"/>
              </w:rPr>
            </w:pPr>
            <w:r w:rsidRPr="00124987">
              <w:rPr>
                <w:sz w:val="16"/>
                <w:szCs w:val="16"/>
                <w:lang w:bidi="th-TH"/>
              </w:rPr>
              <w:t>85 % muy satisfechos o satisfechos</w:t>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lang w:bidi="th-TH"/>
              </w:rPr>
              <w:t>No se llevó a cabo ninguna encuesta en 2014/15</w:t>
            </w:r>
          </w:p>
        </w:tc>
        <w:tc>
          <w:tcPr>
            <w:tcW w:w="606" w:type="pct"/>
            <w:shd w:val="clear" w:color="auto" w:fill="auto"/>
            <w:tcMar>
              <w:top w:w="110" w:type="dxa"/>
            </w:tcMar>
          </w:tcPr>
          <w:p w:rsidR="00221F0B" w:rsidRPr="00124987" w:rsidRDefault="00221F0B" w:rsidP="00DC1333">
            <w:pPr>
              <w:spacing w:after="120"/>
              <w:ind w:right="-107"/>
              <w:jc w:val="center"/>
              <w:rPr>
                <w:b/>
                <w:bCs/>
                <w:color w:val="00B050"/>
                <w:sz w:val="16"/>
                <w:szCs w:val="16"/>
              </w:rPr>
            </w:pPr>
            <w:r w:rsidRPr="00124987">
              <w:rPr>
                <w:b/>
                <w:bCs/>
                <w:color w:val="808080" w:themeColor="background1" w:themeShade="80"/>
                <w:sz w:val="16"/>
                <w:szCs w:val="16"/>
              </w:rPr>
              <w:t>No mensurable</w:t>
            </w:r>
          </w:p>
        </w:tc>
      </w:tr>
      <w:tr w:rsidR="00221F0B" w:rsidRPr="00124987" w:rsidTr="003B1330">
        <w:tc>
          <w:tcPr>
            <w:tcW w:w="1137" w:type="pct"/>
            <w:tcBorders>
              <w:bottom w:val="single" w:sz="4" w:space="0" w:color="auto"/>
            </w:tcBorders>
            <w:shd w:val="clear" w:color="auto" w:fill="auto"/>
          </w:tcPr>
          <w:p w:rsidR="00221F0B" w:rsidRPr="00124987" w:rsidRDefault="00221F0B" w:rsidP="00DC1333">
            <w:pPr>
              <w:rPr>
                <w:sz w:val="16"/>
                <w:szCs w:val="16"/>
              </w:rPr>
            </w:pPr>
            <w:r w:rsidRPr="00124987">
              <w:rPr>
                <w:sz w:val="16"/>
                <w:szCs w:val="16"/>
              </w:rPr>
              <w:t>Prestación puntual, precisa y eficaz de servicios de operaciones en materia de recursos humanos</w:t>
            </w:r>
          </w:p>
          <w:p w:rsidR="00221F0B" w:rsidRPr="00124987" w:rsidRDefault="00221F0B" w:rsidP="00DC1333">
            <w:pPr>
              <w:rPr>
                <w:sz w:val="16"/>
                <w:szCs w:val="16"/>
              </w:rPr>
            </w:pPr>
          </w:p>
        </w:tc>
        <w:tc>
          <w:tcPr>
            <w:tcW w:w="1287" w:type="pct"/>
            <w:tcBorders>
              <w:bottom w:val="single" w:sz="4" w:space="0" w:color="auto"/>
            </w:tcBorders>
            <w:shd w:val="clear" w:color="auto" w:fill="auto"/>
          </w:tcPr>
          <w:p w:rsidR="00221F0B" w:rsidRPr="00124987" w:rsidRDefault="00221F0B" w:rsidP="00DC1333">
            <w:pPr>
              <w:rPr>
                <w:sz w:val="16"/>
                <w:szCs w:val="16"/>
              </w:rPr>
            </w:pPr>
            <w:r w:rsidRPr="00124987">
              <w:rPr>
                <w:sz w:val="16"/>
                <w:szCs w:val="16"/>
              </w:rPr>
              <w:t>Siete días laborables</w:t>
            </w:r>
          </w:p>
        </w:tc>
        <w:tc>
          <w:tcPr>
            <w:tcW w:w="911" w:type="pct"/>
            <w:tcBorders>
              <w:bottom w:val="single" w:sz="4" w:space="0" w:color="auto"/>
            </w:tcBorders>
            <w:shd w:val="clear" w:color="auto" w:fill="auto"/>
            <w:tcMar>
              <w:top w:w="110" w:type="dxa"/>
            </w:tcMar>
          </w:tcPr>
          <w:p w:rsidR="00221F0B" w:rsidRPr="00124987" w:rsidRDefault="00221F0B" w:rsidP="00DC1333">
            <w:pPr>
              <w:rPr>
                <w:sz w:val="16"/>
                <w:szCs w:val="16"/>
              </w:rPr>
            </w:pPr>
            <w:r w:rsidRPr="00124987">
              <w:rPr>
                <w:sz w:val="16"/>
                <w:szCs w:val="16"/>
              </w:rPr>
              <w:t>Cinco días laborables</w:t>
            </w:r>
          </w:p>
        </w:tc>
        <w:tc>
          <w:tcPr>
            <w:tcW w:w="1059" w:type="pct"/>
            <w:tcBorders>
              <w:bottom w:val="single" w:sz="4" w:space="0" w:color="auto"/>
            </w:tcBorders>
            <w:shd w:val="clear" w:color="auto" w:fill="FFFFFF"/>
            <w:tcMar>
              <w:top w:w="110" w:type="dxa"/>
            </w:tcMar>
          </w:tcPr>
          <w:p w:rsidR="00221F0B" w:rsidRPr="00124987" w:rsidRDefault="00221F0B" w:rsidP="00DC1333">
            <w:pPr>
              <w:rPr>
                <w:sz w:val="16"/>
                <w:szCs w:val="16"/>
              </w:rPr>
            </w:pPr>
            <w:r w:rsidRPr="00124987">
              <w:rPr>
                <w:sz w:val="16"/>
                <w:szCs w:val="16"/>
              </w:rPr>
              <w:t>El 100% de las solicitudes de información registradas en el sistema de control de solicitudes (WINS) de la OMPI fueron atendidas en un plazo de cinco días laborables</w:t>
            </w:r>
          </w:p>
        </w:tc>
        <w:tc>
          <w:tcPr>
            <w:tcW w:w="606" w:type="pct"/>
            <w:tcBorders>
              <w:bottom w:val="single" w:sz="4" w:space="0" w:color="auto"/>
            </w:tcBorders>
            <w:shd w:val="clear" w:color="auto" w:fill="auto"/>
            <w:tcMar>
              <w:top w:w="110" w:type="dxa"/>
            </w:tcMar>
          </w:tcPr>
          <w:p w:rsidR="00221F0B" w:rsidRPr="00124987" w:rsidRDefault="00221F0B" w:rsidP="00DC1333">
            <w:pPr>
              <w:spacing w:after="120"/>
              <w:ind w:right="-107"/>
              <w:jc w:val="center"/>
              <w:rPr>
                <w:bCs/>
                <w:color w:val="00B050"/>
                <w:sz w:val="16"/>
                <w:szCs w:val="16"/>
              </w:rPr>
            </w:pPr>
            <w:r w:rsidRPr="00124987">
              <w:rPr>
                <w:b/>
                <w:color w:val="00B050"/>
                <w:sz w:val="16"/>
                <w:szCs w:val="16"/>
              </w:rPr>
              <w:t>Plenamente logrado</w:t>
            </w:r>
          </w:p>
        </w:tc>
      </w:tr>
      <w:tr w:rsidR="00221F0B" w:rsidRPr="00124987" w:rsidTr="003B1330">
        <w:tc>
          <w:tcPr>
            <w:tcW w:w="5000" w:type="pct"/>
            <w:gridSpan w:val="5"/>
            <w:tcBorders>
              <w:top w:val="single" w:sz="4" w:space="0" w:color="auto"/>
              <w:bottom w:val="single" w:sz="4" w:space="0" w:color="auto"/>
            </w:tcBorders>
            <w:shd w:val="clear" w:color="auto" w:fill="C6D9F1" w:themeFill="text2" w:themeFillTint="33"/>
            <w:vAlign w:val="center"/>
          </w:tcPr>
          <w:p w:rsidR="00221F0B" w:rsidRPr="00124987" w:rsidRDefault="00221F0B" w:rsidP="00DC1333">
            <w:pPr>
              <w:spacing w:before="120" w:after="120"/>
              <w:ind w:left="2019" w:hanging="2019"/>
              <w:rPr>
                <w:b/>
                <w:bCs/>
                <w:sz w:val="16"/>
                <w:szCs w:val="16"/>
              </w:rPr>
            </w:pPr>
            <w:r w:rsidRPr="00124987">
              <w:rPr>
                <w:b/>
                <w:bCs/>
                <w:sz w:val="16"/>
                <w:szCs w:val="16"/>
              </w:rPr>
              <w:t>Resultado previsto:</w:t>
            </w:r>
            <w:r w:rsidRPr="00124987">
              <w:rPr>
                <w:b/>
                <w:bCs/>
                <w:sz w:val="16"/>
                <w:szCs w:val="16"/>
              </w:rPr>
              <w:tab/>
            </w:r>
            <w:r w:rsidRPr="00124987">
              <w:rPr>
                <w:bCs/>
                <w:sz w:val="16"/>
                <w:szCs w:val="16"/>
              </w:rPr>
              <w:t>IX.2 Funcionamiento sin contratiempos de la Secretaría, provista de un personal bien dirigido, dotado de las competencias adecuadas y capaz de conseguir resultados</w:t>
            </w:r>
          </w:p>
        </w:tc>
      </w:tr>
      <w:tr w:rsidR="00221F0B" w:rsidRPr="00124987" w:rsidTr="003B1330">
        <w:trPr>
          <w:trHeight w:val="681"/>
        </w:trPr>
        <w:tc>
          <w:tcPr>
            <w:tcW w:w="1137" w:type="pct"/>
            <w:tcBorders>
              <w:top w:val="single" w:sz="4" w:space="0" w:color="auto"/>
            </w:tcBorders>
            <w:shd w:val="clear" w:color="auto" w:fill="auto"/>
            <w:vAlign w:val="center"/>
          </w:tcPr>
          <w:p w:rsidR="00221F0B" w:rsidRPr="00124987" w:rsidRDefault="00221F0B" w:rsidP="00DC1333">
            <w:pPr>
              <w:rPr>
                <w:sz w:val="16"/>
                <w:szCs w:val="16"/>
              </w:rPr>
            </w:pPr>
            <w:r w:rsidRPr="00124987">
              <w:rPr>
                <w:b/>
                <w:sz w:val="16"/>
                <w:szCs w:val="16"/>
              </w:rPr>
              <w:t>Indicadores de rendimiento</w:t>
            </w:r>
          </w:p>
        </w:tc>
        <w:tc>
          <w:tcPr>
            <w:tcW w:w="1287" w:type="pct"/>
            <w:tcBorders>
              <w:top w:val="single" w:sz="4" w:space="0" w:color="auto"/>
            </w:tcBorders>
            <w:shd w:val="clear" w:color="auto" w:fill="auto"/>
            <w:vAlign w:val="center"/>
          </w:tcPr>
          <w:p w:rsidR="00221F0B" w:rsidRPr="00124987" w:rsidRDefault="00221F0B" w:rsidP="00DC1333">
            <w:pPr>
              <w:rPr>
                <w:b/>
                <w:bCs/>
                <w:sz w:val="16"/>
                <w:szCs w:val="16"/>
              </w:rPr>
            </w:pPr>
            <w:r w:rsidRPr="00124987">
              <w:rPr>
                <w:b/>
                <w:bCs/>
                <w:sz w:val="16"/>
                <w:szCs w:val="16"/>
              </w:rPr>
              <w:t>Referencia</w:t>
            </w:r>
          </w:p>
        </w:tc>
        <w:tc>
          <w:tcPr>
            <w:tcW w:w="911" w:type="pct"/>
            <w:tcBorders>
              <w:top w:val="single" w:sz="4" w:space="0" w:color="auto"/>
            </w:tcBorders>
            <w:shd w:val="clear" w:color="auto" w:fill="auto"/>
            <w:tcMar>
              <w:top w:w="110" w:type="dxa"/>
            </w:tcMar>
            <w:vAlign w:val="center"/>
          </w:tcPr>
          <w:p w:rsidR="00221F0B" w:rsidRPr="00124987" w:rsidRDefault="00221F0B" w:rsidP="00DC1333">
            <w:pPr>
              <w:rPr>
                <w:b/>
                <w:sz w:val="16"/>
                <w:szCs w:val="16"/>
              </w:rPr>
            </w:pPr>
            <w:r w:rsidRPr="00124987">
              <w:rPr>
                <w:b/>
                <w:sz w:val="16"/>
                <w:szCs w:val="16"/>
              </w:rPr>
              <w:t>Objetivos</w:t>
            </w:r>
          </w:p>
        </w:tc>
        <w:tc>
          <w:tcPr>
            <w:tcW w:w="1059" w:type="pct"/>
            <w:tcBorders>
              <w:top w:val="single" w:sz="4" w:space="0" w:color="auto"/>
            </w:tcBorders>
            <w:shd w:val="clear" w:color="auto" w:fill="FFFFFF"/>
            <w:tcMar>
              <w:top w:w="110" w:type="dxa"/>
            </w:tcMar>
            <w:vAlign w:val="center"/>
          </w:tcPr>
          <w:p w:rsidR="00221F0B" w:rsidRPr="00124987" w:rsidRDefault="00221F0B" w:rsidP="00DC1333">
            <w:pPr>
              <w:rPr>
                <w:sz w:val="16"/>
                <w:szCs w:val="16"/>
              </w:rPr>
            </w:pPr>
            <w:r w:rsidRPr="00124987">
              <w:rPr>
                <w:b/>
                <w:sz w:val="16"/>
                <w:szCs w:val="16"/>
              </w:rPr>
              <w:t>Datos sobre el rendimiento</w:t>
            </w:r>
          </w:p>
        </w:tc>
        <w:tc>
          <w:tcPr>
            <w:tcW w:w="606" w:type="pct"/>
            <w:tcBorders>
              <w:top w:val="single" w:sz="4" w:space="0" w:color="auto"/>
            </w:tcBorders>
            <w:shd w:val="clear" w:color="auto" w:fill="auto"/>
            <w:tcMar>
              <w:top w:w="110" w:type="dxa"/>
            </w:tcMar>
            <w:vAlign w:val="center"/>
          </w:tcPr>
          <w:p w:rsidR="00221F0B" w:rsidRPr="00124987" w:rsidRDefault="00221F0B" w:rsidP="00DC1333">
            <w:pPr>
              <w:jc w:val="center"/>
              <w:rPr>
                <w:b/>
                <w:bCs/>
                <w:sz w:val="16"/>
                <w:szCs w:val="16"/>
              </w:rPr>
            </w:pPr>
            <w:r w:rsidRPr="00124987">
              <w:rPr>
                <w:b/>
                <w:bCs/>
                <w:sz w:val="16"/>
                <w:szCs w:val="16"/>
              </w:rPr>
              <w:t>Clave de colores</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Duración del proceso de contratación</w:t>
            </w:r>
          </w:p>
        </w:tc>
        <w:tc>
          <w:tcPr>
            <w:tcW w:w="1287" w:type="pct"/>
            <w:shd w:val="clear" w:color="auto" w:fill="auto"/>
          </w:tcPr>
          <w:p w:rsidR="00221F0B" w:rsidRPr="00124987" w:rsidRDefault="00221F0B" w:rsidP="00DC1333">
            <w:pPr>
              <w:rPr>
                <w:color w:val="002060"/>
                <w:sz w:val="16"/>
                <w:szCs w:val="16"/>
              </w:rPr>
            </w:pPr>
            <w:r w:rsidRPr="00124987">
              <w:rPr>
                <w:i/>
                <w:color w:val="002060"/>
                <w:sz w:val="16"/>
                <w:szCs w:val="16"/>
              </w:rPr>
              <w:t xml:space="preserve">Referencia actualizada a fines de 2013:  </w:t>
            </w:r>
            <w:r w:rsidRPr="00124987">
              <w:rPr>
                <w:color w:val="002060"/>
                <w:sz w:val="16"/>
                <w:szCs w:val="16"/>
              </w:rPr>
              <w:t>Promedio del bienio:  16,03 semanas (al 19 de marzo de 2014)</w:t>
            </w:r>
          </w:p>
          <w:p w:rsidR="00221F0B" w:rsidRPr="00124987" w:rsidRDefault="00221F0B" w:rsidP="00DC1333">
            <w:pPr>
              <w:pStyle w:val="ListParagraph"/>
              <w:ind w:left="0"/>
              <w:rPr>
                <w:rFonts w:cs="Arial"/>
                <w:color w:val="002060"/>
                <w:sz w:val="16"/>
                <w:szCs w:val="16"/>
                <w:lang w:val="es-ES"/>
              </w:rPr>
            </w:pPr>
            <w:r w:rsidRPr="00124987">
              <w:rPr>
                <w:rFonts w:cs="Arial"/>
                <w:color w:val="002060"/>
                <w:sz w:val="16"/>
                <w:szCs w:val="16"/>
                <w:lang w:val="es-ES"/>
              </w:rPr>
              <w:t>2012: 16,5 semanas</w:t>
            </w:r>
          </w:p>
          <w:p w:rsidR="00221F0B" w:rsidRPr="00124987" w:rsidRDefault="00221F0B" w:rsidP="00DC1333">
            <w:pPr>
              <w:pStyle w:val="ListParagraph"/>
              <w:ind w:left="0"/>
              <w:rPr>
                <w:color w:val="002060"/>
                <w:sz w:val="16"/>
                <w:szCs w:val="16"/>
                <w:lang w:val="es-ES"/>
              </w:rPr>
            </w:pPr>
            <w:r w:rsidRPr="00124987">
              <w:rPr>
                <w:color w:val="002060"/>
                <w:sz w:val="16"/>
                <w:szCs w:val="16"/>
                <w:lang w:val="es-ES"/>
              </w:rPr>
              <w:t>2013: 15,56 semanas</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21 semanas</w:t>
            </w: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t>19 semanas</w:t>
            </w:r>
          </w:p>
        </w:tc>
        <w:tc>
          <w:tcPr>
            <w:tcW w:w="1059" w:type="pct"/>
            <w:shd w:val="clear" w:color="auto" w:fill="FFFFFF"/>
            <w:tcMar>
              <w:top w:w="110" w:type="dxa"/>
            </w:tcMar>
          </w:tcPr>
          <w:p w:rsidR="00221F0B" w:rsidRPr="00124987" w:rsidRDefault="00221F0B" w:rsidP="00DC1333">
            <w:pPr>
              <w:ind w:left="-64" w:right="-107"/>
              <w:rPr>
                <w:sz w:val="16"/>
                <w:szCs w:val="16"/>
              </w:rPr>
            </w:pPr>
            <w:r w:rsidRPr="00124987">
              <w:rPr>
                <w:sz w:val="16"/>
                <w:szCs w:val="16"/>
              </w:rPr>
              <w:t>Promedio del bienio:</w:t>
            </w:r>
          </w:p>
          <w:p w:rsidR="00221F0B" w:rsidRPr="00124987" w:rsidRDefault="00221F0B" w:rsidP="00DC1333">
            <w:pPr>
              <w:ind w:left="-64" w:right="-107"/>
              <w:rPr>
                <w:sz w:val="16"/>
                <w:szCs w:val="16"/>
              </w:rPr>
            </w:pPr>
            <w:r w:rsidRPr="00124987">
              <w:rPr>
                <w:sz w:val="16"/>
                <w:szCs w:val="16"/>
              </w:rPr>
              <w:t>19,77</w:t>
            </w:r>
          </w:p>
          <w:p w:rsidR="00221F0B" w:rsidRPr="00124987" w:rsidRDefault="00221F0B" w:rsidP="00DC1333">
            <w:pPr>
              <w:ind w:left="-64" w:right="-107"/>
              <w:rPr>
                <w:sz w:val="16"/>
                <w:szCs w:val="16"/>
              </w:rPr>
            </w:pPr>
            <w:r w:rsidRPr="00124987">
              <w:rPr>
                <w:sz w:val="16"/>
                <w:szCs w:val="16"/>
              </w:rPr>
              <w:t>2014:  17,28 semanas</w:t>
            </w:r>
            <w:r w:rsidRPr="00124987">
              <w:rPr>
                <w:rStyle w:val="FootnoteReference"/>
                <w:sz w:val="16"/>
                <w:szCs w:val="16"/>
              </w:rPr>
              <w:footnoteReference w:id="131"/>
            </w:r>
            <w:r w:rsidRPr="00124987">
              <w:rPr>
                <w:sz w:val="16"/>
                <w:szCs w:val="16"/>
              </w:rPr>
              <w:t xml:space="preserve"> (incluidos 29 empleados temporales con muchos años de servicio)</w:t>
            </w:r>
          </w:p>
          <w:p w:rsidR="00221F0B" w:rsidRPr="00124987" w:rsidRDefault="00221F0B" w:rsidP="00DC1333">
            <w:pPr>
              <w:ind w:left="-64" w:right="-107"/>
              <w:rPr>
                <w:sz w:val="16"/>
                <w:szCs w:val="16"/>
              </w:rPr>
            </w:pPr>
            <w:r w:rsidRPr="00124987">
              <w:rPr>
                <w:sz w:val="16"/>
                <w:szCs w:val="16"/>
              </w:rPr>
              <w:t>2015:  22,29 semanas</w:t>
            </w:r>
            <w:r w:rsidRPr="00124987">
              <w:rPr>
                <w:rStyle w:val="FootnoteReference"/>
                <w:sz w:val="16"/>
                <w:szCs w:val="16"/>
              </w:rPr>
              <w:footnoteReference w:id="132"/>
            </w:r>
            <w:r w:rsidRPr="00124987">
              <w:rPr>
                <w:sz w:val="16"/>
                <w:szCs w:val="16"/>
              </w:rPr>
              <w:t xml:space="preserve"> (sin empleados temporales con muchos años de servicio en 2015)</w:t>
            </w:r>
          </w:p>
        </w:tc>
        <w:tc>
          <w:tcPr>
            <w:tcW w:w="606" w:type="pct"/>
            <w:shd w:val="clear" w:color="auto" w:fill="auto"/>
            <w:tcMar>
              <w:top w:w="110" w:type="dxa"/>
            </w:tcMar>
          </w:tcPr>
          <w:p w:rsidR="00221F0B" w:rsidRPr="00124987" w:rsidRDefault="00221F0B" w:rsidP="00DC1333">
            <w:pPr>
              <w:spacing w:after="120"/>
              <w:ind w:right="-107"/>
              <w:jc w:val="center"/>
              <w:rPr>
                <w:bCs/>
                <w:color w:val="00B050"/>
                <w:sz w:val="16"/>
                <w:szCs w:val="16"/>
              </w:rPr>
            </w:pPr>
            <w:r w:rsidRPr="00124987">
              <w:rPr>
                <w:b/>
                <w:color w:val="00B050"/>
                <w:sz w:val="16"/>
                <w:szCs w:val="16"/>
              </w:rPr>
              <w:t>Plenamente logrado</w:t>
            </w:r>
          </w:p>
        </w:tc>
      </w:tr>
      <w:tr w:rsidR="00221F0B" w:rsidRPr="00124987" w:rsidTr="003B1330">
        <w:trPr>
          <w:trHeight w:val="1078"/>
        </w:trPr>
        <w:tc>
          <w:tcPr>
            <w:tcW w:w="1137" w:type="pct"/>
            <w:shd w:val="clear" w:color="auto" w:fill="auto"/>
          </w:tcPr>
          <w:p w:rsidR="00221F0B" w:rsidRPr="00124987" w:rsidRDefault="00221F0B" w:rsidP="00DC1333">
            <w:pPr>
              <w:rPr>
                <w:sz w:val="16"/>
                <w:szCs w:val="16"/>
              </w:rPr>
            </w:pPr>
            <w:r w:rsidRPr="00124987">
              <w:rPr>
                <w:sz w:val="16"/>
                <w:szCs w:val="16"/>
              </w:rPr>
              <w:t>Porcentaje de dependencias de la Organización cuyos planes de recursos humanos están vinculados a los planes de trabajo anuales</w:t>
            </w:r>
          </w:p>
        </w:tc>
        <w:tc>
          <w:tcPr>
            <w:tcW w:w="1287" w:type="pct"/>
            <w:shd w:val="clear" w:color="auto" w:fill="auto"/>
          </w:tcPr>
          <w:p w:rsidR="00221F0B" w:rsidRPr="00124987" w:rsidRDefault="00221F0B" w:rsidP="00DC1333">
            <w:pPr>
              <w:rPr>
                <w:color w:val="002060"/>
                <w:sz w:val="16"/>
                <w:szCs w:val="16"/>
                <w:lang w:bidi="th-TH"/>
              </w:rPr>
            </w:pPr>
            <w:r w:rsidRPr="00124987">
              <w:rPr>
                <w:i/>
                <w:color w:val="002060"/>
                <w:sz w:val="16"/>
                <w:szCs w:val="16"/>
                <w:lang w:bidi="th-TH"/>
              </w:rPr>
              <w:t xml:space="preserve">Referencia actualizada a fines de 2013:  </w:t>
            </w:r>
            <w:r w:rsidRPr="00124987">
              <w:rPr>
                <w:color w:val="002060"/>
                <w:sz w:val="16"/>
                <w:szCs w:val="16"/>
                <w:lang w:bidi="th-TH"/>
              </w:rPr>
              <w:t>0 (Cero)</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proofErr w:type="gramStart"/>
            <w:r w:rsidRPr="00124987">
              <w:rPr>
                <w:i/>
                <w:sz w:val="16"/>
                <w:szCs w:val="16"/>
              </w:rPr>
              <w:t xml:space="preserve">:  </w:t>
            </w:r>
            <w:r w:rsidRPr="00124987">
              <w:rPr>
                <w:sz w:val="16"/>
                <w:szCs w:val="16"/>
              </w:rPr>
              <w:t>Por</w:t>
            </w:r>
            <w:proofErr w:type="gramEnd"/>
            <w:r w:rsidRPr="00124987">
              <w:rPr>
                <w:sz w:val="16"/>
                <w:szCs w:val="16"/>
              </w:rPr>
              <w:t xml:space="preserve"> determinar.</w:t>
            </w:r>
          </w:p>
        </w:tc>
        <w:tc>
          <w:tcPr>
            <w:tcW w:w="911" w:type="pct"/>
            <w:shd w:val="clear" w:color="auto" w:fill="auto"/>
            <w:tcMar>
              <w:top w:w="110" w:type="dxa"/>
            </w:tcMar>
          </w:tcPr>
          <w:p w:rsidR="00221F0B" w:rsidRPr="00124987" w:rsidRDefault="00221F0B" w:rsidP="00DC1333">
            <w:pPr>
              <w:autoSpaceDE w:val="0"/>
              <w:autoSpaceDN w:val="0"/>
              <w:adjustRightInd w:val="0"/>
              <w:rPr>
                <w:sz w:val="16"/>
                <w:szCs w:val="16"/>
              </w:rPr>
            </w:pPr>
            <w:r w:rsidRPr="00124987">
              <w:rPr>
                <w:sz w:val="16"/>
                <w:szCs w:val="16"/>
              </w:rPr>
              <w:t xml:space="preserve">70% </w:t>
            </w:r>
          </w:p>
          <w:p w:rsidR="00221F0B" w:rsidRPr="00124987" w:rsidRDefault="00221F0B" w:rsidP="00DC1333">
            <w:pPr>
              <w:rPr>
                <w:sz w:val="16"/>
                <w:szCs w:val="16"/>
              </w:rPr>
            </w:pP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90%</w:t>
            </w:r>
          </w:p>
        </w:tc>
        <w:tc>
          <w:tcPr>
            <w:tcW w:w="606" w:type="pct"/>
            <w:shd w:val="clear" w:color="auto" w:fill="auto"/>
            <w:tcMar>
              <w:top w:w="110" w:type="dxa"/>
            </w:tcMar>
          </w:tcPr>
          <w:p w:rsidR="00221F0B" w:rsidRPr="00124987" w:rsidRDefault="00221F0B" w:rsidP="00DC1333">
            <w:pPr>
              <w:spacing w:after="120"/>
              <w:ind w:right="-107"/>
              <w:jc w:val="center"/>
              <w:rPr>
                <w:b/>
                <w:bCs/>
                <w:color w:val="00B050"/>
                <w:sz w:val="16"/>
                <w:szCs w:val="16"/>
              </w:rPr>
            </w:pPr>
            <w:r w:rsidRPr="00124987">
              <w:rPr>
                <w:b/>
                <w:color w:val="00B050"/>
                <w:sz w:val="16"/>
                <w:szCs w:val="16"/>
              </w:rPr>
              <w:t>Plenamente 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 xml:space="preserve">Porcentaje de miembros del personal recién </w:t>
            </w:r>
            <w:r w:rsidRPr="00124987">
              <w:rPr>
                <w:sz w:val="16"/>
                <w:szCs w:val="16"/>
              </w:rPr>
              <w:lastRenderedPageBreak/>
              <w:t>contratados que satisfacen las necesidades de la Organización</w:t>
            </w:r>
          </w:p>
        </w:tc>
        <w:tc>
          <w:tcPr>
            <w:tcW w:w="1287" w:type="pct"/>
            <w:shd w:val="clear" w:color="auto" w:fill="auto"/>
          </w:tcPr>
          <w:p w:rsidR="00221F0B" w:rsidRPr="00124987" w:rsidRDefault="00221F0B" w:rsidP="00DC1333">
            <w:pPr>
              <w:rPr>
                <w:sz w:val="16"/>
                <w:szCs w:val="16"/>
              </w:rPr>
            </w:pPr>
            <w:r w:rsidRPr="00124987">
              <w:rPr>
                <w:sz w:val="16"/>
                <w:szCs w:val="16"/>
              </w:rPr>
              <w:lastRenderedPageBreak/>
              <w:t>Por determinar</w:t>
            </w: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t xml:space="preserve">80% de rendimiento satisfactorio </w:t>
            </w:r>
            <w:r w:rsidRPr="00124987">
              <w:rPr>
                <w:sz w:val="16"/>
                <w:szCs w:val="16"/>
              </w:rPr>
              <w:lastRenderedPageBreak/>
              <w:t>después del período de prueba</w:t>
            </w:r>
          </w:p>
        </w:tc>
        <w:tc>
          <w:tcPr>
            <w:tcW w:w="1059" w:type="pct"/>
            <w:shd w:val="clear" w:color="auto" w:fill="FFFFFF"/>
            <w:tcMar>
              <w:top w:w="110" w:type="dxa"/>
            </w:tcMar>
          </w:tcPr>
          <w:p w:rsidR="00221F0B" w:rsidRPr="00124987" w:rsidRDefault="00221F0B" w:rsidP="00DC1333">
            <w:pPr>
              <w:ind w:left="-64" w:right="-107"/>
              <w:rPr>
                <w:sz w:val="16"/>
                <w:szCs w:val="16"/>
              </w:rPr>
            </w:pPr>
            <w:r w:rsidRPr="00124987">
              <w:rPr>
                <w:sz w:val="16"/>
                <w:szCs w:val="16"/>
              </w:rPr>
              <w:lastRenderedPageBreak/>
              <w:t xml:space="preserve">El 94,4% del personal que se incorporó en 2013 y </w:t>
            </w:r>
            <w:r w:rsidRPr="00124987">
              <w:rPr>
                <w:sz w:val="16"/>
                <w:szCs w:val="16"/>
              </w:rPr>
              <w:lastRenderedPageBreak/>
              <w:t>2014 tuvo un rendimiento satisfactorio según el PMSDS</w:t>
            </w:r>
          </w:p>
          <w:p w:rsidR="00221F0B" w:rsidRPr="00124987" w:rsidRDefault="00221F0B" w:rsidP="00DC1333">
            <w:pPr>
              <w:ind w:left="-64" w:right="-107"/>
              <w:rPr>
                <w:sz w:val="16"/>
                <w:szCs w:val="16"/>
              </w:rPr>
            </w:pPr>
          </w:p>
        </w:tc>
        <w:tc>
          <w:tcPr>
            <w:tcW w:w="606" w:type="pct"/>
            <w:shd w:val="clear" w:color="auto" w:fill="auto"/>
            <w:tcMar>
              <w:top w:w="110" w:type="dxa"/>
            </w:tcMar>
          </w:tcPr>
          <w:p w:rsidR="00221F0B" w:rsidRPr="00124987" w:rsidRDefault="00221F0B" w:rsidP="00DC1333">
            <w:pPr>
              <w:spacing w:after="120"/>
              <w:ind w:right="-107"/>
              <w:jc w:val="center"/>
              <w:rPr>
                <w:b/>
                <w:bCs/>
                <w:color w:val="00B050"/>
                <w:sz w:val="16"/>
                <w:szCs w:val="16"/>
              </w:rPr>
            </w:pPr>
            <w:r w:rsidRPr="00124987">
              <w:rPr>
                <w:b/>
                <w:color w:val="00B050"/>
                <w:sz w:val="16"/>
                <w:szCs w:val="16"/>
              </w:rPr>
              <w:lastRenderedPageBreak/>
              <w:t xml:space="preserve">Plenamente </w:t>
            </w:r>
            <w:r w:rsidRPr="00124987">
              <w:rPr>
                <w:b/>
                <w:color w:val="00B050"/>
                <w:sz w:val="16"/>
                <w:szCs w:val="16"/>
              </w:rPr>
              <w:lastRenderedPageBreak/>
              <w:t>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lastRenderedPageBreak/>
              <w:t>Porcentaje de miembros del personal cuyo desempeño se evalúa en función de objetivos y competencias específicos</w:t>
            </w:r>
          </w:p>
        </w:tc>
        <w:tc>
          <w:tcPr>
            <w:tcW w:w="1287" w:type="pct"/>
            <w:shd w:val="clear" w:color="auto" w:fill="auto"/>
          </w:tcPr>
          <w:p w:rsidR="00221F0B" w:rsidRPr="00124987" w:rsidRDefault="00221F0B" w:rsidP="00DC1333">
            <w:pPr>
              <w:rPr>
                <w:color w:val="002060"/>
                <w:sz w:val="16"/>
                <w:szCs w:val="16"/>
              </w:rPr>
            </w:pPr>
            <w:r w:rsidRPr="00124987">
              <w:rPr>
                <w:i/>
                <w:color w:val="002060"/>
                <w:sz w:val="16"/>
                <w:szCs w:val="16"/>
                <w:lang w:bidi="th-TH"/>
              </w:rPr>
              <w:t xml:space="preserve">Referencia actualizada a fines de 2013:  </w:t>
            </w:r>
            <w:r w:rsidRPr="00124987">
              <w:rPr>
                <w:color w:val="002060"/>
                <w:sz w:val="16"/>
                <w:szCs w:val="16"/>
              </w:rPr>
              <w:t>Bienio:  el 90,75% del personal incluido en el PMSDS fue evaluado en función de objetivos individuales y competencias</w:t>
            </w:r>
          </w:p>
          <w:p w:rsidR="00221F0B" w:rsidRPr="00124987" w:rsidRDefault="00221F0B" w:rsidP="00DC1333">
            <w:pPr>
              <w:rPr>
                <w:color w:val="002060"/>
                <w:sz w:val="16"/>
                <w:szCs w:val="16"/>
              </w:rPr>
            </w:pPr>
          </w:p>
          <w:p w:rsidR="00221F0B" w:rsidRPr="00124987" w:rsidRDefault="00221F0B" w:rsidP="00DC1333">
            <w:pPr>
              <w:rPr>
                <w:color w:val="002060"/>
                <w:sz w:val="16"/>
                <w:szCs w:val="16"/>
              </w:rPr>
            </w:pPr>
            <w:r w:rsidRPr="00124987">
              <w:rPr>
                <w:color w:val="002060"/>
                <w:sz w:val="16"/>
                <w:szCs w:val="16"/>
              </w:rPr>
              <w:t>2012: El 91% del personal incluido en el PMSDS fue evaluado en función de objetivos individuales y competencias (al cierre de abril de 2012)</w:t>
            </w:r>
          </w:p>
          <w:p w:rsidR="00221F0B" w:rsidRPr="00124987" w:rsidRDefault="00221F0B" w:rsidP="00DC1333">
            <w:pPr>
              <w:rPr>
                <w:color w:val="002060"/>
                <w:sz w:val="16"/>
                <w:szCs w:val="16"/>
              </w:rPr>
            </w:pPr>
          </w:p>
          <w:p w:rsidR="00221F0B" w:rsidRPr="00124987" w:rsidRDefault="00221F0B" w:rsidP="00DC1333">
            <w:pPr>
              <w:rPr>
                <w:color w:val="002060"/>
                <w:sz w:val="16"/>
                <w:szCs w:val="16"/>
                <w:lang w:bidi="th-TH"/>
              </w:rPr>
            </w:pPr>
            <w:r w:rsidRPr="00124987">
              <w:rPr>
                <w:color w:val="002060"/>
                <w:sz w:val="16"/>
                <w:szCs w:val="16"/>
                <w:lang w:bidi="th-TH"/>
              </w:rPr>
              <w:t>2013: El 90,5% del personal incluido en el PMSDS fue evaluado en función de objetivos individuales y competencias (al cierre de abril de 2013)</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81% (2012)</w:t>
            </w: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t>90%</w:t>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2014: 93.1%</w:t>
            </w:r>
          </w:p>
          <w:p w:rsidR="00221F0B" w:rsidRPr="00124987" w:rsidRDefault="00221F0B" w:rsidP="00DC1333">
            <w:pPr>
              <w:rPr>
                <w:sz w:val="16"/>
                <w:szCs w:val="16"/>
              </w:rPr>
            </w:pPr>
            <w:r w:rsidRPr="00124987">
              <w:rPr>
                <w:sz w:val="16"/>
                <w:szCs w:val="16"/>
              </w:rPr>
              <w:t>2015: 92.8%</w:t>
            </w:r>
          </w:p>
        </w:tc>
        <w:tc>
          <w:tcPr>
            <w:tcW w:w="606" w:type="pct"/>
            <w:shd w:val="clear" w:color="auto" w:fill="auto"/>
            <w:tcMar>
              <w:top w:w="110" w:type="dxa"/>
            </w:tcMar>
          </w:tcPr>
          <w:p w:rsidR="00221F0B" w:rsidRPr="00124987" w:rsidRDefault="00221F0B" w:rsidP="00DC1333">
            <w:pPr>
              <w:spacing w:after="120"/>
              <w:ind w:right="-107"/>
              <w:jc w:val="center"/>
              <w:rPr>
                <w:bCs/>
                <w:color w:val="00B050"/>
                <w:sz w:val="16"/>
                <w:szCs w:val="16"/>
              </w:rPr>
            </w:pPr>
            <w:r w:rsidRPr="00124987">
              <w:rPr>
                <w:b/>
                <w:color w:val="00B050"/>
                <w:sz w:val="16"/>
                <w:szCs w:val="16"/>
              </w:rPr>
              <w:t>Plenamente 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Porcentaje de necesidades de formación esenciales que se han satisfecho a nivel individual y colectivo</w:t>
            </w:r>
          </w:p>
        </w:tc>
        <w:tc>
          <w:tcPr>
            <w:tcW w:w="1287" w:type="pct"/>
            <w:shd w:val="clear" w:color="auto" w:fill="auto"/>
          </w:tcPr>
          <w:p w:rsidR="00221F0B" w:rsidRPr="00124987" w:rsidRDefault="00221F0B" w:rsidP="00DC1333">
            <w:pPr>
              <w:rPr>
                <w:color w:val="002060"/>
                <w:sz w:val="16"/>
                <w:szCs w:val="16"/>
                <w:lang w:bidi="th-TH"/>
              </w:rPr>
            </w:pPr>
            <w:r w:rsidRPr="00124987">
              <w:rPr>
                <w:i/>
                <w:color w:val="002060"/>
                <w:sz w:val="16"/>
                <w:szCs w:val="16"/>
              </w:rPr>
              <w:t xml:space="preserve">Referencia actualizada a fines de 2013:  </w:t>
            </w:r>
            <w:r w:rsidRPr="00124987">
              <w:rPr>
                <w:color w:val="002060"/>
                <w:sz w:val="16"/>
                <w:szCs w:val="16"/>
              </w:rPr>
              <w:t>no hay ninguna evaluación</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no hay ninguna evaluación (disponible a finales de 2013)</w:t>
            </w:r>
          </w:p>
          <w:p w:rsidR="00221F0B" w:rsidRPr="00124987" w:rsidRDefault="00221F0B" w:rsidP="00DC1333">
            <w:pPr>
              <w:rPr>
                <w:i/>
                <w:color w:val="002060"/>
                <w:sz w:val="16"/>
                <w:szCs w:val="16"/>
              </w:rPr>
            </w:pP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t>Necesidades de formación esenciales a nivel individual:  80 % satisfechas</w:t>
            </w:r>
          </w:p>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Necesidades de formación esenciales a nivel colectivo:  el 80 % de las necesidades se atienden mediante el programa de formación</w:t>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60,94%</w:t>
            </w: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81,04%</w:t>
            </w:r>
          </w:p>
        </w:tc>
        <w:tc>
          <w:tcPr>
            <w:tcW w:w="606" w:type="pct"/>
            <w:shd w:val="clear" w:color="auto" w:fill="auto"/>
            <w:tcMar>
              <w:top w:w="110" w:type="dxa"/>
            </w:tcMar>
          </w:tcPr>
          <w:p w:rsidR="00221F0B" w:rsidRPr="00124987" w:rsidRDefault="00221F0B" w:rsidP="00DC1333">
            <w:pPr>
              <w:spacing w:after="120"/>
              <w:ind w:right="-107"/>
              <w:jc w:val="center"/>
              <w:rPr>
                <w:b/>
                <w:bCs/>
                <w:color w:val="00B050"/>
                <w:sz w:val="16"/>
                <w:szCs w:val="16"/>
              </w:rPr>
            </w:pPr>
            <w:r w:rsidRPr="00124987">
              <w:rPr>
                <w:b/>
                <w:bCs/>
                <w:color w:val="E36C0A" w:themeColor="accent6" w:themeShade="BF"/>
                <w:sz w:val="16"/>
                <w:szCs w:val="16"/>
              </w:rPr>
              <w:t>Parcialmente logrado</w:t>
            </w:r>
            <w:r w:rsidRPr="00124987">
              <w:rPr>
                <w:b/>
                <w:bCs/>
                <w:color w:val="00B050"/>
                <w:sz w:val="16"/>
                <w:szCs w:val="16"/>
              </w:rPr>
              <w:t xml:space="preserve"> </w:t>
            </w:r>
            <w:r w:rsidRPr="00124987">
              <w:rPr>
                <w:b/>
                <w:bCs/>
                <w:color w:val="00B050"/>
                <w:sz w:val="16"/>
                <w:szCs w:val="16"/>
              </w:rPr>
              <w:br/>
            </w:r>
          </w:p>
          <w:p w:rsidR="00221F0B" w:rsidRPr="00124987" w:rsidRDefault="00221F0B" w:rsidP="00DC1333">
            <w:pPr>
              <w:spacing w:after="120"/>
              <w:ind w:right="-107"/>
              <w:jc w:val="center"/>
              <w:rPr>
                <w:b/>
                <w:bCs/>
                <w:color w:val="00B050"/>
                <w:sz w:val="16"/>
                <w:szCs w:val="16"/>
              </w:rPr>
            </w:pPr>
          </w:p>
          <w:p w:rsidR="00221F0B" w:rsidRPr="00124987" w:rsidDel="00AF185F" w:rsidRDefault="00221F0B" w:rsidP="00DC1333">
            <w:pPr>
              <w:spacing w:after="120"/>
              <w:ind w:right="-107"/>
              <w:jc w:val="center"/>
              <w:rPr>
                <w:b/>
                <w:bCs/>
                <w:color w:val="00B050"/>
                <w:sz w:val="16"/>
                <w:szCs w:val="16"/>
              </w:rPr>
            </w:pPr>
            <w:r w:rsidRPr="00124987">
              <w:rPr>
                <w:b/>
                <w:color w:val="00B050"/>
                <w:sz w:val="16"/>
                <w:szCs w:val="16"/>
              </w:rPr>
              <w:t>Plenamente 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Número promedio de días de ausencia por enfermedad por empleado (ausentismo)</w:t>
            </w:r>
          </w:p>
        </w:tc>
        <w:tc>
          <w:tcPr>
            <w:tcW w:w="1287" w:type="pct"/>
            <w:shd w:val="clear" w:color="auto" w:fill="auto"/>
          </w:tcPr>
          <w:p w:rsidR="00221F0B" w:rsidRPr="00124987" w:rsidRDefault="00221F0B" w:rsidP="00DC1333">
            <w:pPr>
              <w:rPr>
                <w:color w:val="002060"/>
                <w:sz w:val="16"/>
                <w:szCs w:val="16"/>
                <w:lang w:bidi="th-TH"/>
              </w:rPr>
            </w:pPr>
            <w:r w:rsidRPr="00124987">
              <w:rPr>
                <w:i/>
                <w:color w:val="002060"/>
                <w:sz w:val="16"/>
                <w:szCs w:val="16"/>
              </w:rPr>
              <w:t xml:space="preserve">Referencia actualizada a fines de 2013:  </w:t>
            </w:r>
            <w:r w:rsidRPr="00124987">
              <w:rPr>
                <w:color w:val="002060"/>
                <w:sz w:val="16"/>
                <w:szCs w:val="16"/>
              </w:rPr>
              <w:t>para el</w:t>
            </w:r>
            <w:r w:rsidRPr="00124987">
              <w:rPr>
                <w:color w:val="002060"/>
                <w:sz w:val="16"/>
                <w:szCs w:val="16"/>
                <w:lang w:bidi="th-TH"/>
              </w:rPr>
              <w:t xml:space="preserve"> bienio: 10,34</w:t>
            </w:r>
          </w:p>
          <w:p w:rsidR="00221F0B" w:rsidRPr="00124987" w:rsidRDefault="00221F0B" w:rsidP="00EB45DE">
            <w:pPr>
              <w:pStyle w:val="ListParagraph"/>
              <w:numPr>
                <w:ilvl w:val="0"/>
                <w:numId w:val="107"/>
              </w:numPr>
              <w:rPr>
                <w:rFonts w:cs="Arial"/>
                <w:color w:val="002060"/>
                <w:sz w:val="16"/>
                <w:szCs w:val="16"/>
                <w:lang w:val="es-ES" w:bidi="th-TH"/>
              </w:rPr>
            </w:pPr>
            <w:r w:rsidRPr="00124987">
              <w:rPr>
                <w:rFonts w:cs="Arial"/>
                <w:color w:val="002060"/>
                <w:sz w:val="16"/>
                <w:szCs w:val="16"/>
                <w:lang w:val="es-ES" w:bidi="th-TH"/>
              </w:rPr>
              <w:t>2012:  9,07</w:t>
            </w:r>
          </w:p>
          <w:p w:rsidR="00221F0B" w:rsidRPr="00124987" w:rsidRDefault="00221F0B" w:rsidP="00EB45DE">
            <w:pPr>
              <w:pStyle w:val="ListParagraph"/>
              <w:numPr>
                <w:ilvl w:val="0"/>
                <w:numId w:val="107"/>
              </w:numPr>
              <w:rPr>
                <w:rFonts w:cs="Arial"/>
                <w:color w:val="002060"/>
                <w:sz w:val="16"/>
                <w:szCs w:val="16"/>
                <w:lang w:val="es-ES" w:bidi="th-TH"/>
              </w:rPr>
            </w:pPr>
            <w:r w:rsidRPr="00124987">
              <w:rPr>
                <w:rFonts w:cs="Arial"/>
                <w:color w:val="002060"/>
                <w:sz w:val="16"/>
                <w:szCs w:val="16"/>
                <w:lang w:val="es-ES" w:bidi="th-TH"/>
              </w:rPr>
              <w:t>2013:  11,6</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 xml:space="preserve">Referencia original en el presupuesto de 2014/15:  </w:t>
            </w:r>
            <w:r w:rsidRPr="00124987">
              <w:rPr>
                <w:sz w:val="16"/>
                <w:szCs w:val="16"/>
              </w:rPr>
              <w:t>9,07% (dic. de 2012)</w:t>
            </w:r>
          </w:p>
        </w:tc>
        <w:tc>
          <w:tcPr>
            <w:tcW w:w="911" w:type="pct"/>
            <w:shd w:val="clear" w:color="auto" w:fill="auto"/>
            <w:tcMar>
              <w:top w:w="110" w:type="dxa"/>
            </w:tcMar>
          </w:tcPr>
          <w:p w:rsidR="00221F0B" w:rsidRPr="00124987" w:rsidRDefault="00221F0B" w:rsidP="00DC1333">
            <w:pPr>
              <w:keepNext/>
              <w:keepLines/>
              <w:rPr>
                <w:sz w:val="16"/>
                <w:szCs w:val="16"/>
              </w:rPr>
            </w:pPr>
            <w:r w:rsidRPr="00124987">
              <w:rPr>
                <w:sz w:val="16"/>
                <w:szCs w:val="16"/>
              </w:rPr>
              <w:t>9</w:t>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2014: 11.2</w:t>
            </w:r>
            <w:r w:rsidRPr="00124987">
              <w:rPr>
                <w:rStyle w:val="FootnoteReference"/>
                <w:sz w:val="16"/>
                <w:szCs w:val="16"/>
              </w:rPr>
              <w:footnoteReference w:id="133"/>
            </w:r>
          </w:p>
          <w:p w:rsidR="00221F0B" w:rsidRPr="00124987" w:rsidRDefault="00221F0B" w:rsidP="00DC1333">
            <w:pPr>
              <w:rPr>
                <w:sz w:val="16"/>
                <w:szCs w:val="16"/>
              </w:rPr>
            </w:pPr>
            <w:r w:rsidRPr="00124987">
              <w:rPr>
                <w:sz w:val="16"/>
                <w:szCs w:val="16"/>
              </w:rPr>
              <w:t>2015: 10.5</w:t>
            </w: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p w:rsidR="00221F0B" w:rsidRPr="00124987" w:rsidRDefault="00221F0B" w:rsidP="00DC1333">
            <w:pPr>
              <w:rPr>
                <w:sz w:val="16"/>
                <w:szCs w:val="16"/>
              </w:rPr>
            </w:pPr>
          </w:p>
          <w:tbl>
            <w:tblPr>
              <w:tblW w:w="2067" w:type="dxa"/>
              <w:tblLayout w:type="fixed"/>
              <w:tblCellMar>
                <w:left w:w="14" w:type="dxa"/>
                <w:right w:w="14" w:type="dxa"/>
              </w:tblCellMar>
              <w:tblLook w:val="04A0" w:firstRow="1" w:lastRow="0" w:firstColumn="1" w:lastColumn="0" w:noHBand="0" w:noVBand="1"/>
            </w:tblPr>
            <w:tblGrid>
              <w:gridCol w:w="667"/>
              <w:gridCol w:w="1400"/>
            </w:tblGrid>
            <w:tr w:rsidR="00221F0B" w:rsidRPr="00124987" w:rsidTr="00DC1333">
              <w:trPr>
                <w:trHeight w:val="255"/>
              </w:trPr>
              <w:tc>
                <w:tcPr>
                  <w:tcW w:w="540" w:type="dxa"/>
                  <w:tcBorders>
                    <w:top w:val="nil"/>
                    <w:left w:val="nil"/>
                    <w:bottom w:val="nil"/>
                    <w:right w:val="nil"/>
                  </w:tcBorders>
                  <w:shd w:val="clear" w:color="auto" w:fill="auto"/>
                  <w:noWrap/>
                  <w:hideMark/>
                </w:tcPr>
                <w:p w:rsidR="00221F0B" w:rsidRPr="00124987" w:rsidRDefault="00221F0B" w:rsidP="00DC1333">
                  <w:pPr>
                    <w:rPr>
                      <w:sz w:val="16"/>
                      <w:szCs w:val="16"/>
                    </w:rPr>
                  </w:pPr>
                  <w:r w:rsidRPr="00124987">
                    <w:rPr>
                      <w:sz w:val="16"/>
                      <w:szCs w:val="16"/>
                    </w:rPr>
                    <w:t>2014:</w:t>
                  </w:r>
                </w:p>
              </w:tc>
              <w:tc>
                <w:tcPr>
                  <w:tcW w:w="1133" w:type="dxa"/>
                  <w:tcBorders>
                    <w:top w:val="nil"/>
                    <w:left w:val="nil"/>
                    <w:bottom w:val="nil"/>
                    <w:right w:val="nil"/>
                  </w:tcBorders>
                  <w:shd w:val="clear" w:color="auto" w:fill="auto"/>
                  <w:noWrap/>
                  <w:hideMark/>
                </w:tcPr>
                <w:p w:rsidR="00221F0B" w:rsidRPr="00124987" w:rsidRDefault="00221F0B" w:rsidP="00DC1333">
                  <w:pPr>
                    <w:rPr>
                      <w:sz w:val="16"/>
                      <w:szCs w:val="16"/>
                    </w:rPr>
                  </w:pPr>
                  <w:r w:rsidRPr="00124987">
                    <w:rPr>
                      <w:sz w:val="16"/>
                      <w:szCs w:val="16"/>
                    </w:rPr>
                    <w:t>2015:</w:t>
                  </w:r>
                </w:p>
              </w:tc>
            </w:tr>
          </w:tbl>
          <w:p w:rsidR="00221F0B" w:rsidRPr="00124987" w:rsidRDefault="00221F0B" w:rsidP="00DC1333">
            <w:pPr>
              <w:rPr>
                <w:sz w:val="16"/>
                <w:szCs w:val="16"/>
              </w:rPr>
            </w:pPr>
          </w:p>
        </w:tc>
        <w:tc>
          <w:tcPr>
            <w:tcW w:w="606" w:type="pct"/>
            <w:shd w:val="clear" w:color="auto" w:fill="auto"/>
            <w:tcMar>
              <w:top w:w="110" w:type="dxa"/>
            </w:tcMar>
          </w:tcPr>
          <w:p w:rsidR="00221F0B" w:rsidRPr="00124987" w:rsidDel="00AF185F" w:rsidRDefault="00221F0B" w:rsidP="00DC1333">
            <w:pPr>
              <w:spacing w:after="120"/>
              <w:ind w:right="-107"/>
              <w:jc w:val="center"/>
              <w:rPr>
                <w:b/>
                <w:bCs/>
                <w:color w:val="00B050"/>
                <w:sz w:val="16"/>
                <w:szCs w:val="16"/>
              </w:rPr>
            </w:pPr>
            <w:r w:rsidRPr="00124987">
              <w:rPr>
                <w:b/>
                <w:bCs/>
                <w:color w:val="E36C0A" w:themeColor="accent6" w:themeShade="BF"/>
                <w:sz w:val="16"/>
                <w:szCs w:val="16"/>
              </w:rPr>
              <w:t>Parcialmente logrado</w:t>
            </w:r>
          </w:p>
        </w:tc>
      </w:tr>
      <w:tr w:rsidR="00221F0B" w:rsidRPr="00124987" w:rsidTr="003B1330">
        <w:tc>
          <w:tcPr>
            <w:tcW w:w="1137" w:type="pct"/>
            <w:shd w:val="clear" w:color="auto" w:fill="auto"/>
          </w:tcPr>
          <w:p w:rsidR="00221F0B" w:rsidRPr="00124987" w:rsidRDefault="00221F0B" w:rsidP="00DC1333">
            <w:pPr>
              <w:rPr>
                <w:sz w:val="16"/>
                <w:szCs w:val="16"/>
              </w:rPr>
            </w:pPr>
            <w:r w:rsidRPr="00124987">
              <w:rPr>
                <w:sz w:val="16"/>
                <w:szCs w:val="16"/>
              </w:rPr>
              <w:t>Porcentaje de mujeres que ocupan puestos profesionales y de categorías superiores</w:t>
            </w:r>
          </w:p>
        </w:tc>
        <w:tc>
          <w:tcPr>
            <w:tcW w:w="1287" w:type="pct"/>
            <w:shd w:val="clear" w:color="auto" w:fill="auto"/>
          </w:tcPr>
          <w:p w:rsidR="00221F0B" w:rsidRPr="00124987" w:rsidDel="00A15D98" w:rsidRDefault="00221F0B" w:rsidP="00DC1333">
            <w:pPr>
              <w:rPr>
                <w:color w:val="002060"/>
                <w:sz w:val="16"/>
                <w:szCs w:val="16"/>
              </w:rPr>
            </w:pPr>
            <w:r w:rsidRPr="00124987">
              <w:rPr>
                <w:i/>
                <w:color w:val="002060"/>
                <w:sz w:val="16"/>
                <w:szCs w:val="16"/>
              </w:rPr>
              <w:t xml:space="preserve">Referencia actualizada a fines de 2013:  </w:t>
            </w:r>
          </w:p>
          <w:tbl>
            <w:tblPr>
              <w:tblW w:w="2383" w:type="dxa"/>
              <w:tblLayout w:type="fixed"/>
              <w:tblLook w:val="04A0" w:firstRow="1" w:lastRow="0" w:firstColumn="1" w:lastColumn="0" w:noHBand="0" w:noVBand="1"/>
            </w:tblPr>
            <w:tblGrid>
              <w:gridCol w:w="580"/>
              <w:gridCol w:w="670"/>
              <w:gridCol w:w="1133"/>
            </w:tblGrid>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2012:</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2013:</w:t>
                  </w:r>
                </w:p>
              </w:tc>
            </w:tr>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 xml:space="preserve">P4 - </w:t>
                  </w: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44,4%</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43,4%</w:t>
                  </w:r>
                </w:p>
              </w:tc>
            </w:tr>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 xml:space="preserve">P5 - </w:t>
                  </w: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30,3%</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34,3%</w:t>
                  </w:r>
                </w:p>
              </w:tc>
            </w:tr>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 xml:space="preserve">D1 - </w:t>
                  </w: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24,4%</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26,8%</w:t>
                  </w:r>
                </w:p>
              </w:tc>
            </w:tr>
            <w:tr w:rsidR="00221F0B" w:rsidRPr="00124987" w:rsidTr="00DC1333">
              <w:trPr>
                <w:trHeight w:val="255"/>
              </w:trPr>
              <w:tc>
                <w:tcPr>
                  <w:tcW w:w="58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 xml:space="preserve">D2 - </w:t>
                  </w:r>
                </w:p>
              </w:tc>
              <w:tc>
                <w:tcPr>
                  <w:tcW w:w="670"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23,1%</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color w:val="002060"/>
                      <w:sz w:val="16"/>
                      <w:szCs w:val="16"/>
                    </w:rPr>
                  </w:pPr>
                  <w:r w:rsidRPr="00124987">
                    <w:rPr>
                      <w:color w:val="002060"/>
                      <w:sz w:val="16"/>
                      <w:szCs w:val="16"/>
                    </w:rPr>
                    <w:t>33,3%</w:t>
                  </w:r>
                </w:p>
              </w:tc>
            </w:tr>
          </w:tbl>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w:t>
            </w:r>
          </w:p>
          <w:p w:rsidR="00221F0B" w:rsidRPr="00124987" w:rsidRDefault="00221F0B" w:rsidP="00DC1333">
            <w:pPr>
              <w:rPr>
                <w:sz w:val="16"/>
                <w:szCs w:val="16"/>
              </w:rPr>
            </w:pPr>
            <w:r w:rsidRPr="00124987">
              <w:rPr>
                <w:sz w:val="16"/>
                <w:szCs w:val="16"/>
              </w:rPr>
              <w:t>P4 – 44,1%</w:t>
            </w:r>
          </w:p>
          <w:p w:rsidR="00221F0B" w:rsidRPr="00124987" w:rsidRDefault="00221F0B" w:rsidP="00DC1333">
            <w:pPr>
              <w:rPr>
                <w:sz w:val="16"/>
                <w:szCs w:val="16"/>
              </w:rPr>
            </w:pPr>
            <w:r w:rsidRPr="00124987">
              <w:rPr>
                <w:sz w:val="16"/>
                <w:szCs w:val="16"/>
              </w:rPr>
              <w:t>P5 – 31,8%</w:t>
            </w:r>
          </w:p>
          <w:p w:rsidR="00221F0B" w:rsidRPr="00124987" w:rsidRDefault="00221F0B" w:rsidP="00DC1333">
            <w:pPr>
              <w:rPr>
                <w:sz w:val="16"/>
                <w:szCs w:val="16"/>
              </w:rPr>
            </w:pPr>
            <w:r w:rsidRPr="00124987">
              <w:rPr>
                <w:sz w:val="16"/>
                <w:szCs w:val="16"/>
              </w:rPr>
              <w:t>D1 – 26,2%</w:t>
            </w:r>
          </w:p>
          <w:p w:rsidR="00221F0B" w:rsidRPr="00124987" w:rsidRDefault="00221F0B" w:rsidP="00DC1333">
            <w:pPr>
              <w:rPr>
                <w:sz w:val="16"/>
                <w:szCs w:val="16"/>
              </w:rPr>
            </w:pPr>
            <w:r w:rsidRPr="00124987">
              <w:rPr>
                <w:sz w:val="16"/>
                <w:szCs w:val="16"/>
              </w:rPr>
              <w:t>D2 – 23,1%</w:t>
            </w:r>
          </w:p>
          <w:p w:rsidR="00221F0B" w:rsidRPr="00124987" w:rsidRDefault="00221F0B" w:rsidP="003B1330">
            <w:pPr>
              <w:rPr>
                <w:sz w:val="16"/>
                <w:szCs w:val="16"/>
              </w:rPr>
            </w:pPr>
            <w:r w:rsidRPr="00124987">
              <w:rPr>
                <w:sz w:val="16"/>
                <w:szCs w:val="16"/>
              </w:rPr>
              <w:t>(dic. de 2012)</w:t>
            </w:r>
          </w:p>
        </w:tc>
        <w:tc>
          <w:tcPr>
            <w:tcW w:w="911" w:type="pct"/>
            <w:shd w:val="clear" w:color="auto" w:fill="auto"/>
            <w:tcMar>
              <w:top w:w="110" w:type="dxa"/>
            </w:tcMar>
          </w:tcPr>
          <w:p w:rsidR="00221F0B" w:rsidRPr="00124987" w:rsidRDefault="00221F0B" w:rsidP="00DC1333">
            <w:pPr>
              <w:keepNext/>
              <w:keepLines/>
              <w:spacing w:after="160"/>
              <w:rPr>
                <w:sz w:val="16"/>
                <w:szCs w:val="16"/>
              </w:rPr>
            </w:pPr>
            <w:r w:rsidRPr="00124987">
              <w:rPr>
                <w:sz w:val="16"/>
                <w:szCs w:val="16"/>
              </w:rPr>
              <w:t>P4 – 46%</w:t>
            </w:r>
          </w:p>
          <w:p w:rsidR="00221F0B" w:rsidRPr="00124987" w:rsidRDefault="00221F0B" w:rsidP="00DC1333">
            <w:pPr>
              <w:keepNext/>
              <w:keepLines/>
              <w:spacing w:after="160"/>
              <w:rPr>
                <w:sz w:val="16"/>
                <w:szCs w:val="16"/>
              </w:rPr>
            </w:pPr>
            <w:r w:rsidRPr="00124987">
              <w:rPr>
                <w:sz w:val="16"/>
                <w:szCs w:val="16"/>
              </w:rPr>
              <w:t>P5 – 35%</w:t>
            </w:r>
          </w:p>
          <w:p w:rsidR="00221F0B" w:rsidRPr="00124987" w:rsidRDefault="00221F0B" w:rsidP="00DC1333">
            <w:pPr>
              <w:keepNext/>
              <w:keepLines/>
              <w:spacing w:after="160"/>
              <w:rPr>
                <w:sz w:val="16"/>
                <w:szCs w:val="16"/>
              </w:rPr>
            </w:pPr>
            <w:r w:rsidRPr="00124987">
              <w:rPr>
                <w:sz w:val="16"/>
                <w:szCs w:val="16"/>
              </w:rPr>
              <w:t>D1 – 30%</w:t>
            </w:r>
          </w:p>
          <w:p w:rsidR="00221F0B" w:rsidRPr="00124987" w:rsidRDefault="00221F0B" w:rsidP="00DC1333">
            <w:pPr>
              <w:keepNext/>
              <w:keepLines/>
              <w:spacing w:after="160"/>
              <w:rPr>
                <w:sz w:val="16"/>
                <w:szCs w:val="16"/>
              </w:rPr>
            </w:pPr>
            <w:r w:rsidRPr="00124987">
              <w:rPr>
                <w:sz w:val="16"/>
                <w:szCs w:val="16"/>
              </w:rPr>
              <w:t>D2 – 30%</w:t>
            </w:r>
          </w:p>
        </w:tc>
        <w:tc>
          <w:tcPr>
            <w:tcW w:w="1059" w:type="pct"/>
            <w:shd w:val="clear" w:color="auto" w:fill="FFFFFF"/>
            <w:tcMar>
              <w:top w:w="110" w:type="dxa"/>
            </w:tcMar>
          </w:tcPr>
          <w:tbl>
            <w:tblPr>
              <w:tblW w:w="2067" w:type="dxa"/>
              <w:tblLayout w:type="fixed"/>
              <w:tblCellMar>
                <w:left w:w="14" w:type="dxa"/>
                <w:right w:w="14" w:type="dxa"/>
              </w:tblCellMar>
              <w:tblLook w:val="04A0" w:firstRow="1" w:lastRow="0" w:firstColumn="1" w:lastColumn="0" w:noHBand="0" w:noVBand="1"/>
            </w:tblPr>
            <w:tblGrid>
              <w:gridCol w:w="394"/>
              <w:gridCol w:w="540"/>
              <w:gridCol w:w="1133"/>
            </w:tblGrid>
            <w:tr w:rsidR="00221F0B" w:rsidRPr="00124987" w:rsidTr="00DC1333">
              <w:trPr>
                <w:trHeight w:val="255"/>
              </w:trPr>
              <w:tc>
                <w:tcPr>
                  <w:tcW w:w="394"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 xml:space="preserve">P4 - </w:t>
                  </w:r>
                </w:p>
              </w:tc>
              <w:tc>
                <w:tcPr>
                  <w:tcW w:w="540"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44,4%</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46,1%</w:t>
                  </w:r>
                </w:p>
              </w:tc>
            </w:tr>
            <w:tr w:rsidR="00221F0B" w:rsidRPr="00124987" w:rsidTr="00DC1333">
              <w:trPr>
                <w:trHeight w:val="255"/>
              </w:trPr>
              <w:tc>
                <w:tcPr>
                  <w:tcW w:w="394"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 xml:space="preserve">P5 - </w:t>
                  </w:r>
                </w:p>
              </w:tc>
              <w:tc>
                <w:tcPr>
                  <w:tcW w:w="540"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34,4%</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34,1%</w:t>
                  </w:r>
                </w:p>
              </w:tc>
            </w:tr>
            <w:tr w:rsidR="00221F0B" w:rsidRPr="00124987" w:rsidTr="00DC1333">
              <w:trPr>
                <w:trHeight w:val="255"/>
              </w:trPr>
              <w:tc>
                <w:tcPr>
                  <w:tcW w:w="394"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 xml:space="preserve">D1 - </w:t>
                  </w:r>
                </w:p>
              </w:tc>
              <w:tc>
                <w:tcPr>
                  <w:tcW w:w="540"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26,7%</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26,5%</w:t>
                  </w:r>
                </w:p>
              </w:tc>
            </w:tr>
            <w:tr w:rsidR="00221F0B" w:rsidRPr="00124987" w:rsidTr="00DC1333">
              <w:trPr>
                <w:trHeight w:val="255"/>
              </w:trPr>
              <w:tc>
                <w:tcPr>
                  <w:tcW w:w="394"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p>
                <w:p w:rsidR="00221F0B" w:rsidRPr="00124987" w:rsidRDefault="00221F0B" w:rsidP="00DC1333">
                  <w:pPr>
                    <w:rPr>
                      <w:sz w:val="16"/>
                      <w:szCs w:val="16"/>
                    </w:rPr>
                  </w:pPr>
                  <w:r w:rsidRPr="00124987">
                    <w:rPr>
                      <w:sz w:val="16"/>
                      <w:szCs w:val="16"/>
                    </w:rPr>
                    <w:t xml:space="preserve">D2 - </w:t>
                  </w:r>
                </w:p>
              </w:tc>
              <w:tc>
                <w:tcPr>
                  <w:tcW w:w="540"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22,2%</w:t>
                  </w:r>
                </w:p>
              </w:tc>
              <w:tc>
                <w:tcPr>
                  <w:tcW w:w="1133" w:type="dxa"/>
                  <w:tcBorders>
                    <w:top w:val="nil"/>
                    <w:left w:val="nil"/>
                    <w:bottom w:val="nil"/>
                    <w:right w:val="nil"/>
                  </w:tcBorders>
                  <w:shd w:val="clear" w:color="auto" w:fill="auto"/>
                  <w:noWrap/>
                  <w:vAlign w:val="bottom"/>
                  <w:hideMark/>
                </w:tcPr>
                <w:p w:rsidR="00221F0B" w:rsidRPr="00124987" w:rsidRDefault="00221F0B" w:rsidP="00DC1333">
                  <w:pPr>
                    <w:rPr>
                      <w:sz w:val="16"/>
                      <w:szCs w:val="16"/>
                    </w:rPr>
                  </w:pPr>
                  <w:r w:rsidRPr="00124987">
                    <w:rPr>
                      <w:sz w:val="16"/>
                      <w:szCs w:val="16"/>
                    </w:rPr>
                    <w:t>22,2%</w:t>
                  </w:r>
                </w:p>
              </w:tc>
            </w:tr>
          </w:tbl>
          <w:p w:rsidR="00221F0B" w:rsidRPr="00124987" w:rsidRDefault="00221F0B" w:rsidP="00DC1333">
            <w:pPr>
              <w:pStyle w:val="PlainText"/>
              <w:keepNext/>
              <w:keepLines/>
              <w:spacing w:after="160"/>
              <w:rPr>
                <w:rFonts w:ascii="Arial" w:hAnsi="Arial" w:cs="Arial"/>
                <w:sz w:val="16"/>
                <w:szCs w:val="16"/>
              </w:rPr>
            </w:pPr>
          </w:p>
        </w:tc>
        <w:tc>
          <w:tcPr>
            <w:tcW w:w="606" w:type="pct"/>
            <w:shd w:val="clear" w:color="auto" w:fill="auto"/>
            <w:tcMar>
              <w:top w:w="110" w:type="dxa"/>
            </w:tcMar>
          </w:tcPr>
          <w:p w:rsidR="00221F0B" w:rsidRPr="00124987" w:rsidRDefault="00221F0B" w:rsidP="00DC1333">
            <w:pPr>
              <w:spacing w:after="120"/>
              <w:ind w:right="-107"/>
              <w:jc w:val="center"/>
              <w:rPr>
                <w:bCs/>
                <w:color w:val="808080"/>
                <w:sz w:val="16"/>
                <w:szCs w:val="16"/>
              </w:rPr>
            </w:pPr>
            <w:r w:rsidRPr="00124987">
              <w:rPr>
                <w:b/>
                <w:color w:val="00B050"/>
                <w:sz w:val="16"/>
                <w:szCs w:val="16"/>
              </w:rPr>
              <w:t>Plenamente logrado</w:t>
            </w:r>
            <w:r w:rsidRPr="00124987">
              <w:rPr>
                <w:b/>
                <w:color w:val="00B050"/>
                <w:sz w:val="16"/>
                <w:szCs w:val="16"/>
              </w:rPr>
              <w:br/>
            </w:r>
            <w:r w:rsidRPr="00124987">
              <w:rPr>
                <w:b/>
                <w:bCs/>
                <w:color w:val="FF0000"/>
                <w:sz w:val="16"/>
                <w:szCs w:val="16"/>
              </w:rPr>
              <w:t>No logrado</w:t>
            </w:r>
            <w:r w:rsidRPr="00124987">
              <w:rPr>
                <w:b/>
                <w:bCs/>
                <w:color w:val="FF0000"/>
                <w:sz w:val="16"/>
                <w:szCs w:val="16"/>
              </w:rPr>
              <w:br/>
              <w:t xml:space="preserve"> </w:t>
            </w:r>
            <w:r w:rsidRPr="00124987">
              <w:rPr>
                <w:b/>
                <w:bCs/>
                <w:color w:val="FF0000"/>
                <w:sz w:val="16"/>
                <w:szCs w:val="16"/>
              </w:rPr>
              <w:br/>
              <w:t>No logrado</w:t>
            </w:r>
            <w:r w:rsidRPr="00124987">
              <w:rPr>
                <w:b/>
                <w:bCs/>
                <w:color w:val="FF0000"/>
                <w:sz w:val="16"/>
                <w:szCs w:val="16"/>
              </w:rPr>
              <w:br/>
            </w:r>
            <w:r w:rsidRPr="00124987">
              <w:rPr>
                <w:b/>
                <w:bCs/>
                <w:color w:val="FF0000"/>
                <w:sz w:val="16"/>
                <w:szCs w:val="16"/>
              </w:rPr>
              <w:br/>
              <w:t>No logrado</w:t>
            </w:r>
          </w:p>
        </w:tc>
      </w:tr>
      <w:tr w:rsidR="00221F0B" w:rsidRPr="00124987" w:rsidTr="00DC1333">
        <w:tc>
          <w:tcPr>
            <w:tcW w:w="1137" w:type="pct"/>
            <w:shd w:val="clear" w:color="auto" w:fill="auto"/>
          </w:tcPr>
          <w:p w:rsidR="00221F0B" w:rsidRPr="00124987" w:rsidRDefault="00221F0B" w:rsidP="00DC1333">
            <w:pPr>
              <w:rPr>
                <w:sz w:val="16"/>
                <w:szCs w:val="16"/>
              </w:rPr>
            </w:pPr>
            <w:r w:rsidRPr="00124987">
              <w:rPr>
                <w:sz w:val="16"/>
                <w:szCs w:val="16"/>
              </w:rPr>
              <w:t xml:space="preserve">Diversidad geográfica:  porcentaje de funcionarios </w:t>
            </w:r>
            <w:r w:rsidRPr="00124987">
              <w:rPr>
                <w:sz w:val="16"/>
                <w:szCs w:val="16"/>
              </w:rPr>
              <w:lastRenderedPageBreak/>
              <w:t>por región</w:t>
            </w:r>
            <w:r w:rsidRPr="00124987">
              <w:rPr>
                <w:rStyle w:val="FootnoteReference"/>
                <w:sz w:val="16"/>
                <w:szCs w:val="16"/>
              </w:rPr>
              <w:footnoteReference w:id="134"/>
            </w:r>
          </w:p>
        </w:tc>
        <w:tc>
          <w:tcPr>
            <w:tcW w:w="1287" w:type="pct"/>
            <w:shd w:val="clear" w:color="auto" w:fill="auto"/>
          </w:tcPr>
          <w:p w:rsidR="00221F0B" w:rsidRPr="00124987" w:rsidRDefault="00221F0B" w:rsidP="00DC1333">
            <w:pPr>
              <w:rPr>
                <w:i/>
                <w:color w:val="002060"/>
                <w:sz w:val="16"/>
                <w:szCs w:val="16"/>
              </w:rPr>
            </w:pPr>
            <w:r w:rsidRPr="00124987">
              <w:rPr>
                <w:i/>
                <w:color w:val="002060"/>
                <w:sz w:val="16"/>
                <w:szCs w:val="16"/>
              </w:rPr>
              <w:lastRenderedPageBreak/>
              <w:t xml:space="preserve">Referencia actualizada a fines de 2013:  </w:t>
            </w:r>
          </w:p>
          <w:p w:rsidR="00221F0B" w:rsidRPr="00124987" w:rsidRDefault="00221F0B" w:rsidP="00DC1333">
            <w:pPr>
              <w:rPr>
                <w:color w:val="002060"/>
                <w:sz w:val="16"/>
                <w:szCs w:val="16"/>
              </w:rPr>
            </w:pPr>
            <w:r w:rsidRPr="00124987">
              <w:rPr>
                <w:color w:val="002060"/>
                <w:sz w:val="16"/>
                <w:szCs w:val="16"/>
              </w:rPr>
              <w:lastRenderedPageBreak/>
              <w:t xml:space="preserve">África 11,4% </w:t>
            </w:r>
          </w:p>
          <w:p w:rsidR="00221F0B" w:rsidRPr="00124987" w:rsidRDefault="00221F0B" w:rsidP="00DC1333">
            <w:pPr>
              <w:rPr>
                <w:color w:val="002060"/>
                <w:sz w:val="16"/>
                <w:szCs w:val="16"/>
              </w:rPr>
            </w:pPr>
            <w:r w:rsidRPr="00124987">
              <w:rPr>
                <w:color w:val="002060"/>
                <w:sz w:val="16"/>
                <w:szCs w:val="16"/>
              </w:rPr>
              <w:t>Asia y el Pacífico 13,7%</w:t>
            </w:r>
          </w:p>
          <w:p w:rsidR="00221F0B" w:rsidRPr="00124987" w:rsidRDefault="00221F0B" w:rsidP="00DC1333">
            <w:pPr>
              <w:rPr>
                <w:color w:val="002060"/>
                <w:sz w:val="16"/>
                <w:szCs w:val="16"/>
              </w:rPr>
            </w:pPr>
            <w:r w:rsidRPr="00124987">
              <w:rPr>
                <w:color w:val="002060"/>
                <w:sz w:val="16"/>
                <w:szCs w:val="16"/>
              </w:rPr>
              <w:t xml:space="preserve">Europa Central y Oriental y Asia Central 5,9% </w:t>
            </w:r>
          </w:p>
          <w:p w:rsidR="00221F0B" w:rsidRPr="00124987" w:rsidRDefault="00221F0B" w:rsidP="00DC1333">
            <w:pPr>
              <w:rPr>
                <w:color w:val="002060"/>
                <w:sz w:val="16"/>
                <w:szCs w:val="16"/>
              </w:rPr>
            </w:pPr>
            <w:r w:rsidRPr="00124987">
              <w:rPr>
                <w:color w:val="002060"/>
                <w:sz w:val="16"/>
                <w:szCs w:val="16"/>
              </w:rPr>
              <w:t xml:space="preserve">América Latina y el Caribe 8,6% </w:t>
            </w:r>
          </w:p>
          <w:p w:rsidR="00221F0B" w:rsidRPr="00124987" w:rsidRDefault="00221F0B" w:rsidP="00DC1333">
            <w:pPr>
              <w:rPr>
                <w:color w:val="002060"/>
                <w:sz w:val="16"/>
                <w:szCs w:val="16"/>
              </w:rPr>
            </w:pPr>
            <w:r w:rsidRPr="00124987">
              <w:rPr>
                <w:color w:val="002060"/>
                <w:sz w:val="16"/>
                <w:szCs w:val="16"/>
              </w:rPr>
              <w:t xml:space="preserve">Oriente Medio 1,2% </w:t>
            </w:r>
          </w:p>
          <w:p w:rsidR="00221F0B" w:rsidRPr="00124987" w:rsidRDefault="00221F0B" w:rsidP="00DC1333">
            <w:pPr>
              <w:rPr>
                <w:color w:val="002060"/>
                <w:sz w:val="16"/>
                <w:szCs w:val="16"/>
              </w:rPr>
            </w:pPr>
            <w:r w:rsidRPr="00124987">
              <w:rPr>
                <w:color w:val="002060"/>
                <w:sz w:val="16"/>
                <w:szCs w:val="16"/>
              </w:rPr>
              <w:t xml:space="preserve">Norteamérica 8,2% </w:t>
            </w:r>
          </w:p>
          <w:p w:rsidR="00221F0B" w:rsidRPr="00124987" w:rsidRDefault="00221F0B" w:rsidP="00DC1333">
            <w:pPr>
              <w:rPr>
                <w:color w:val="002060"/>
                <w:sz w:val="16"/>
                <w:szCs w:val="16"/>
                <w:lang w:bidi="th-TH"/>
              </w:rPr>
            </w:pPr>
            <w:r w:rsidRPr="00124987">
              <w:rPr>
                <w:color w:val="002060"/>
                <w:sz w:val="16"/>
                <w:szCs w:val="16"/>
              </w:rPr>
              <w:t>Europa Occidental 51,0%</w:t>
            </w:r>
          </w:p>
          <w:p w:rsidR="00221F0B" w:rsidRPr="00124987" w:rsidRDefault="00221F0B" w:rsidP="00DC1333">
            <w:pPr>
              <w:rPr>
                <w:i/>
                <w:color w:val="002060"/>
                <w:sz w:val="8"/>
                <w:szCs w:val="8"/>
              </w:rPr>
            </w:pPr>
          </w:p>
          <w:p w:rsidR="00221F0B" w:rsidRPr="00124987" w:rsidRDefault="00221F0B" w:rsidP="00DC1333">
            <w:pPr>
              <w:rPr>
                <w:sz w:val="16"/>
                <w:szCs w:val="16"/>
              </w:rPr>
            </w:pPr>
            <w:r w:rsidRPr="00124987">
              <w:rPr>
                <w:i/>
                <w:sz w:val="16"/>
                <w:szCs w:val="16"/>
              </w:rPr>
              <w:t>Referencia original en el presupuesto de 2014/15:</w:t>
            </w:r>
            <w:r w:rsidRPr="00124987">
              <w:rPr>
                <w:sz w:val="16"/>
                <w:szCs w:val="16"/>
              </w:rPr>
              <w:t xml:space="preserve">  África 11,0% </w:t>
            </w:r>
          </w:p>
          <w:p w:rsidR="00221F0B" w:rsidRPr="00124987" w:rsidRDefault="00221F0B" w:rsidP="00DC1333">
            <w:pPr>
              <w:rPr>
                <w:sz w:val="16"/>
                <w:szCs w:val="16"/>
              </w:rPr>
            </w:pPr>
            <w:r w:rsidRPr="00124987">
              <w:rPr>
                <w:sz w:val="16"/>
                <w:szCs w:val="16"/>
              </w:rPr>
              <w:t xml:space="preserve">Asia y el Pacífico 13,7%. </w:t>
            </w:r>
          </w:p>
          <w:p w:rsidR="00221F0B" w:rsidRPr="00124987" w:rsidRDefault="00221F0B" w:rsidP="00DC1333">
            <w:pPr>
              <w:rPr>
                <w:sz w:val="16"/>
                <w:szCs w:val="16"/>
              </w:rPr>
            </w:pPr>
            <w:r w:rsidRPr="00124987">
              <w:rPr>
                <w:sz w:val="16"/>
                <w:szCs w:val="16"/>
              </w:rPr>
              <w:t xml:space="preserve">Europa Central y Oriental y Asia Central 6,2% </w:t>
            </w:r>
          </w:p>
          <w:p w:rsidR="00221F0B" w:rsidRPr="00124987" w:rsidRDefault="00221F0B" w:rsidP="00DC1333">
            <w:pPr>
              <w:rPr>
                <w:sz w:val="16"/>
                <w:szCs w:val="16"/>
              </w:rPr>
            </w:pPr>
            <w:r w:rsidRPr="00124987">
              <w:rPr>
                <w:sz w:val="16"/>
                <w:szCs w:val="16"/>
              </w:rPr>
              <w:t xml:space="preserve">América Latina y el Caribe 8,6% </w:t>
            </w:r>
          </w:p>
          <w:p w:rsidR="00221F0B" w:rsidRPr="00124987" w:rsidRDefault="00221F0B" w:rsidP="00DC1333">
            <w:pPr>
              <w:rPr>
                <w:sz w:val="16"/>
                <w:szCs w:val="16"/>
              </w:rPr>
            </w:pPr>
            <w:r w:rsidRPr="00124987">
              <w:rPr>
                <w:sz w:val="16"/>
                <w:szCs w:val="16"/>
              </w:rPr>
              <w:t xml:space="preserve">Oriente Medio 1,2% </w:t>
            </w:r>
          </w:p>
          <w:p w:rsidR="00221F0B" w:rsidRPr="00124987" w:rsidRDefault="00221F0B" w:rsidP="00DC1333">
            <w:pPr>
              <w:rPr>
                <w:sz w:val="16"/>
                <w:szCs w:val="16"/>
              </w:rPr>
            </w:pPr>
            <w:r w:rsidRPr="00124987">
              <w:rPr>
                <w:sz w:val="16"/>
                <w:szCs w:val="16"/>
              </w:rPr>
              <w:t xml:space="preserve">Norteamérica 8,0% </w:t>
            </w:r>
          </w:p>
          <w:p w:rsidR="00221F0B" w:rsidRPr="00124987" w:rsidRDefault="00221F0B" w:rsidP="00DC1333">
            <w:pPr>
              <w:rPr>
                <w:sz w:val="16"/>
                <w:szCs w:val="16"/>
              </w:rPr>
            </w:pPr>
            <w:r w:rsidRPr="00124987">
              <w:rPr>
                <w:sz w:val="16"/>
                <w:szCs w:val="16"/>
              </w:rPr>
              <w:t>Europa Occidental 51,2%</w:t>
            </w:r>
          </w:p>
        </w:tc>
        <w:tc>
          <w:tcPr>
            <w:tcW w:w="911" w:type="pct"/>
            <w:shd w:val="clear" w:color="auto" w:fill="auto"/>
            <w:tcMar>
              <w:top w:w="110" w:type="dxa"/>
            </w:tcMar>
          </w:tcPr>
          <w:p w:rsidR="00221F0B" w:rsidRPr="00124987" w:rsidRDefault="00221F0B" w:rsidP="00DC1333">
            <w:pPr>
              <w:rPr>
                <w:sz w:val="16"/>
                <w:szCs w:val="16"/>
              </w:rPr>
            </w:pPr>
            <w:r w:rsidRPr="00124987">
              <w:rPr>
                <w:sz w:val="16"/>
                <w:szCs w:val="16"/>
              </w:rPr>
              <w:lastRenderedPageBreak/>
              <w:t>Por determinar</w:t>
            </w:r>
            <w:r w:rsidRPr="00124987">
              <w:rPr>
                <w:rStyle w:val="FootnoteReference"/>
                <w:sz w:val="16"/>
                <w:szCs w:val="16"/>
              </w:rPr>
              <w:footnoteReference w:id="135"/>
            </w:r>
          </w:p>
        </w:tc>
        <w:tc>
          <w:tcPr>
            <w:tcW w:w="1059" w:type="pct"/>
            <w:shd w:val="clear" w:color="auto" w:fill="FFFFFF"/>
            <w:tcMar>
              <w:top w:w="110" w:type="dxa"/>
            </w:tcMar>
          </w:tcPr>
          <w:p w:rsidR="00221F0B" w:rsidRPr="00124987" w:rsidRDefault="00221F0B" w:rsidP="00DC1333">
            <w:pPr>
              <w:rPr>
                <w:sz w:val="16"/>
                <w:szCs w:val="16"/>
              </w:rPr>
            </w:pPr>
            <w:r w:rsidRPr="00124987">
              <w:rPr>
                <w:sz w:val="16"/>
                <w:szCs w:val="16"/>
              </w:rPr>
              <w:t>África: 10,7%</w:t>
            </w:r>
          </w:p>
          <w:p w:rsidR="00221F0B" w:rsidRPr="00124987" w:rsidRDefault="00221F0B" w:rsidP="00DC1333">
            <w:pPr>
              <w:rPr>
                <w:sz w:val="16"/>
                <w:szCs w:val="16"/>
              </w:rPr>
            </w:pPr>
            <w:r w:rsidRPr="00124987">
              <w:rPr>
                <w:sz w:val="16"/>
                <w:szCs w:val="16"/>
              </w:rPr>
              <w:t xml:space="preserve">América del Norte:  </w:t>
            </w:r>
            <w:r w:rsidRPr="00124987">
              <w:rPr>
                <w:sz w:val="16"/>
                <w:szCs w:val="16"/>
              </w:rPr>
              <w:lastRenderedPageBreak/>
              <w:t>9,0%</w:t>
            </w:r>
          </w:p>
          <w:p w:rsidR="00221F0B" w:rsidRPr="00124987" w:rsidRDefault="00221F0B" w:rsidP="00DC1333">
            <w:pPr>
              <w:rPr>
                <w:sz w:val="16"/>
                <w:szCs w:val="16"/>
              </w:rPr>
            </w:pPr>
            <w:r w:rsidRPr="00124987">
              <w:rPr>
                <w:sz w:val="16"/>
                <w:szCs w:val="16"/>
              </w:rPr>
              <w:t>América Latina y el Caribe:  8,4%</w:t>
            </w:r>
          </w:p>
          <w:p w:rsidR="00221F0B" w:rsidRPr="00124987" w:rsidRDefault="00221F0B" w:rsidP="00DC1333">
            <w:pPr>
              <w:rPr>
                <w:sz w:val="16"/>
                <w:szCs w:val="16"/>
              </w:rPr>
            </w:pPr>
            <w:r w:rsidRPr="00124987">
              <w:rPr>
                <w:sz w:val="16"/>
                <w:szCs w:val="16"/>
              </w:rPr>
              <w:t>Asia y el Pacífico: 14,3%</w:t>
            </w:r>
          </w:p>
          <w:p w:rsidR="00221F0B" w:rsidRPr="00124987" w:rsidRDefault="00221F0B" w:rsidP="00DC1333">
            <w:pPr>
              <w:rPr>
                <w:sz w:val="16"/>
                <w:szCs w:val="16"/>
              </w:rPr>
            </w:pPr>
            <w:r w:rsidRPr="00124987">
              <w:rPr>
                <w:sz w:val="16"/>
                <w:szCs w:val="16"/>
              </w:rPr>
              <w:t>Europa Central y Oriental y Asia Central:  6,9%</w:t>
            </w:r>
          </w:p>
          <w:p w:rsidR="00221F0B" w:rsidRPr="00124987" w:rsidRDefault="00221F0B" w:rsidP="00DC1333">
            <w:pPr>
              <w:rPr>
                <w:sz w:val="16"/>
                <w:szCs w:val="16"/>
              </w:rPr>
            </w:pPr>
            <w:r w:rsidRPr="00124987">
              <w:rPr>
                <w:sz w:val="16"/>
                <w:szCs w:val="16"/>
              </w:rPr>
              <w:t>Europa Occidental:  49,5%</w:t>
            </w:r>
          </w:p>
          <w:p w:rsidR="00221F0B" w:rsidRPr="00124987" w:rsidRDefault="00221F0B" w:rsidP="00DC1333">
            <w:pPr>
              <w:rPr>
                <w:sz w:val="16"/>
                <w:szCs w:val="16"/>
              </w:rPr>
            </w:pPr>
            <w:r w:rsidRPr="00124987">
              <w:rPr>
                <w:sz w:val="16"/>
                <w:szCs w:val="16"/>
              </w:rPr>
              <w:t>Oriente Medio: 1,1%</w:t>
            </w:r>
          </w:p>
          <w:p w:rsidR="00221F0B" w:rsidRPr="00124987" w:rsidRDefault="00221F0B" w:rsidP="00DC1333">
            <w:pPr>
              <w:rPr>
                <w:sz w:val="16"/>
                <w:szCs w:val="16"/>
              </w:rPr>
            </w:pPr>
            <w:r w:rsidRPr="00124987">
              <w:rPr>
                <w:sz w:val="16"/>
                <w:szCs w:val="16"/>
              </w:rPr>
              <w:t>(Dic. 2015)</w:t>
            </w:r>
          </w:p>
          <w:p w:rsidR="00221F0B" w:rsidRPr="00124987" w:rsidRDefault="00221F0B" w:rsidP="00DC1333">
            <w:pPr>
              <w:ind w:right="-107"/>
              <w:rPr>
                <w:sz w:val="16"/>
                <w:szCs w:val="16"/>
              </w:rPr>
            </w:pPr>
          </w:p>
        </w:tc>
        <w:tc>
          <w:tcPr>
            <w:tcW w:w="606" w:type="pct"/>
            <w:shd w:val="clear" w:color="auto" w:fill="auto"/>
            <w:tcMar>
              <w:top w:w="110" w:type="dxa"/>
            </w:tcMar>
          </w:tcPr>
          <w:p w:rsidR="00221F0B" w:rsidRPr="00124987" w:rsidRDefault="00221F0B" w:rsidP="00DC1333">
            <w:pPr>
              <w:jc w:val="center"/>
              <w:rPr>
                <w:bCs/>
                <w:color w:val="BFBFBF" w:themeColor="background1" w:themeShade="BF"/>
                <w:sz w:val="16"/>
                <w:szCs w:val="16"/>
              </w:rPr>
            </w:pPr>
            <w:r w:rsidRPr="00124987">
              <w:rPr>
                <w:bCs/>
                <w:color w:val="808080"/>
                <w:sz w:val="16"/>
                <w:szCs w:val="16"/>
              </w:rPr>
              <w:lastRenderedPageBreak/>
              <w:t>No mensurable</w:t>
            </w:r>
          </w:p>
        </w:tc>
      </w:tr>
    </w:tbl>
    <w:p w:rsidR="00221F0B" w:rsidRDefault="00221F0B" w:rsidP="00DC1333">
      <w:pPr>
        <w:rPr>
          <w:szCs w:val="22"/>
        </w:rPr>
      </w:pPr>
    </w:p>
    <w:p w:rsidR="00221F0B" w:rsidRPr="00124987" w:rsidRDefault="00221F0B" w:rsidP="00DC1333">
      <w:pPr>
        <w:rPr>
          <w:szCs w:val="22"/>
        </w:rPr>
      </w:pPr>
    </w:p>
    <w:p w:rsidR="00221F0B" w:rsidRPr="00124987" w:rsidRDefault="008F7CBE" w:rsidP="00DC1333">
      <w:pPr>
        <w:keepNext/>
        <w:keepLines/>
        <w:rPr>
          <w:color w:val="000000"/>
          <w:szCs w:val="22"/>
        </w:rPr>
      </w:pPr>
      <w:r w:rsidRPr="008F7CBE">
        <w:rPr>
          <w:sz w:val="20"/>
        </w:rPr>
        <w:t>INFORMACIÓN SOBRE LOS RIESGOS PLANTEADOS EN EL BIENIO</w:t>
      </w:r>
    </w:p>
    <w:p w:rsidR="00221F0B" w:rsidRPr="00124987" w:rsidRDefault="00221F0B" w:rsidP="00DC1333">
      <w:pPr>
        <w:keepNext/>
        <w:keepLines/>
      </w:pPr>
    </w:p>
    <w:tbl>
      <w:tblPr>
        <w:tblW w:w="0" w:type="auto"/>
        <w:jc w:val="center"/>
        <w:tblInd w:w="-31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35"/>
        <w:gridCol w:w="2029"/>
        <w:gridCol w:w="2096"/>
        <w:gridCol w:w="2537"/>
      </w:tblGrid>
      <w:tr w:rsidR="00221F0B" w:rsidRPr="00124987" w:rsidTr="002522AB">
        <w:trPr>
          <w:trHeight w:val="1052"/>
          <w:jc w:val="center"/>
        </w:trPr>
        <w:tc>
          <w:tcPr>
            <w:tcW w:w="2535"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221F0B" w:rsidRPr="00124987" w:rsidRDefault="00221F0B" w:rsidP="00DC1333">
            <w:pPr>
              <w:keepNext/>
              <w:keepLines/>
              <w:autoSpaceDE w:val="0"/>
              <w:autoSpaceDN w:val="0"/>
              <w:adjustRightInd w:val="0"/>
              <w:ind w:right="-59"/>
              <w:rPr>
                <w:b/>
                <w:bCs/>
                <w:sz w:val="18"/>
                <w:szCs w:val="18"/>
              </w:rPr>
            </w:pPr>
            <w:r w:rsidRPr="00124987">
              <w:rPr>
                <w:b/>
                <w:bCs/>
                <w:iCs/>
                <w:sz w:val="18"/>
                <w:szCs w:val="18"/>
              </w:rPr>
              <w:t>Riesgos en el logro de los resultados del programa</w:t>
            </w:r>
          </w:p>
        </w:tc>
        <w:tc>
          <w:tcPr>
            <w:tcW w:w="2029" w:type="dxa"/>
            <w:tcBorders>
              <w:top w:val="single" w:sz="4" w:space="0" w:color="auto"/>
              <w:left w:val="nil"/>
              <w:bottom w:val="single" w:sz="4" w:space="0" w:color="auto"/>
              <w:right w:val="nil"/>
            </w:tcBorders>
            <w:shd w:val="clear" w:color="auto" w:fill="C6D9F1" w:themeFill="text2" w:themeFillTint="33"/>
            <w:vAlign w:val="center"/>
            <w:hideMark/>
          </w:tcPr>
          <w:p w:rsidR="00221F0B" w:rsidRPr="00124987" w:rsidRDefault="00221F0B" w:rsidP="00DC1333">
            <w:pPr>
              <w:keepNext/>
              <w:keepLines/>
              <w:autoSpaceDE w:val="0"/>
              <w:autoSpaceDN w:val="0"/>
              <w:adjustRightInd w:val="0"/>
              <w:ind w:right="-59"/>
              <w:rPr>
                <w:b/>
                <w:bCs/>
                <w:sz w:val="18"/>
                <w:szCs w:val="18"/>
              </w:rPr>
            </w:pPr>
            <w:r w:rsidRPr="00124987">
              <w:rPr>
                <w:b/>
                <w:bCs/>
                <w:iCs/>
                <w:sz w:val="18"/>
                <w:szCs w:val="18"/>
              </w:rPr>
              <w:t>Planes de mitigación ejecutados o en ejecución</w:t>
            </w:r>
          </w:p>
        </w:tc>
        <w:tc>
          <w:tcPr>
            <w:tcW w:w="2096" w:type="dxa"/>
            <w:tcBorders>
              <w:top w:val="single" w:sz="4" w:space="0" w:color="auto"/>
              <w:left w:val="nil"/>
              <w:bottom w:val="single" w:sz="4" w:space="0" w:color="auto"/>
              <w:right w:val="nil"/>
            </w:tcBorders>
            <w:shd w:val="clear" w:color="auto" w:fill="C6D9F1" w:themeFill="text2" w:themeFillTint="33"/>
            <w:vAlign w:val="center"/>
            <w:hideMark/>
          </w:tcPr>
          <w:p w:rsidR="00221F0B" w:rsidRPr="00124987" w:rsidRDefault="00221F0B" w:rsidP="00DC1333">
            <w:pPr>
              <w:keepNext/>
              <w:keepLines/>
              <w:rPr>
                <w:b/>
                <w:bCs/>
                <w:sz w:val="18"/>
                <w:szCs w:val="18"/>
              </w:rPr>
            </w:pPr>
            <w:r w:rsidRPr="00124987">
              <w:rPr>
                <w:b/>
                <w:bCs/>
                <w:iCs/>
                <w:sz w:val="18"/>
                <w:szCs w:val="18"/>
              </w:rPr>
              <w:t>Evolución de los riesgos y estrategias de mitigación durante el bienio</w:t>
            </w:r>
          </w:p>
        </w:tc>
        <w:tc>
          <w:tcPr>
            <w:tcW w:w="253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221F0B" w:rsidRPr="00124987" w:rsidRDefault="00221F0B" w:rsidP="00DC1333">
            <w:pPr>
              <w:keepNext/>
              <w:keepLines/>
              <w:rPr>
                <w:b/>
                <w:bCs/>
                <w:sz w:val="18"/>
                <w:szCs w:val="18"/>
              </w:rPr>
            </w:pPr>
            <w:r w:rsidRPr="00124987">
              <w:rPr>
                <w:b/>
                <w:bCs/>
                <w:sz w:val="18"/>
                <w:szCs w:val="18"/>
              </w:rPr>
              <w:t>Incidencia en el rendimiento del programa</w:t>
            </w:r>
          </w:p>
        </w:tc>
      </w:tr>
      <w:tr w:rsidR="00221F0B" w:rsidRPr="00124987" w:rsidTr="002522AB">
        <w:trPr>
          <w:trHeight w:val="1320"/>
          <w:jc w:val="center"/>
        </w:trPr>
        <w:tc>
          <w:tcPr>
            <w:tcW w:w="2535"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221F0B" w:rsidRPr="00124987" w:rsidRDefault="00221F0B" w:rsidP="00DC1333">
            <w:pPr>
              <w:autoSpaceDE w:val="0"/>
              <w:autoSpaceDN w:val="0"/>
              <w:adjustRightInd w:val="0"/>
              <w:spacing w:line="276" w:lineRule="auto"/>
              <w:ind w:right="-59"/>
              <w:rPr>
                <w:sz w:val="16"/>
                <w:szCs w:val="16"/>
              </w:rPr>
            </w:pPr>
            <w:r w:rsidRPr="00124987">
              <w:rPr>
                <w:sz w:val="16"/>
                <w:szCs w:val="16"/>
              </w:rPr>
              <w:t>La rápida evolución del entorno externo que exige nuevos procedimientos, capacidades y soluciones de T.I. podría dar lugar a desajustes de plantilla en sectores esenciales de la OMPI.  Esto podría acarrear costos elevados de contratación de personal temporal, deficiencias en los procedimientos, retrasos en sectores esenciales y el menoscabo de la reputación de la OMPI.</w:t>
            </w:r>
          </w:p>
        </w:tc>
        <w:tc>
          <w:tcPr>
            <w:tcW w:w="2029" w:type="dxa"/>
            <w:tcBorders>
              <w:top w:val="single" w:sz="4" w:space="0" w:color="auto"/>
              <w:left w:val="nil"/>
              <w:bottom w:val="single" w:sz="4" w:space="0" w:color="auto"/>
              <w:right w:val="nil"/>
            </w:tcBorders>
            <w:tcMar>
              <w:top w:w="113" w:type="dxa"/>
              <w:left w:w="108" w:type="dxa"/>
              <w:bottom w:w="85" w:type="dxa"/>
              <w:right w:w="108" w:type="dxa"/>
            </w:tcMar>
            <w:hideMark/>
          </w:tcPr>
          <w:p w:rsidR="00221F0B" w:rsidRPr="00124987" w:rsidRDefault="00221F0B" w:rsidP="00DC1333">
            <w:pPr>
              <w:autoSpaceDE w:val="0"/>
              <w:autoSpaceDN w:val="0"/>
              <w:adjustRightInd w:val="0"/>
              <w:spacing w:line="276" w:lineRule="auto"/>
              <w:ind w:right="-59"/>
              <w:rPr>
                <w:sz w:val="16"/>
                <w:szCs w:val="16"/>
              </w:rPr>
            </w:pPr>
            <w:r w:rsidRPr="00124987">
              <w:rPr>
                <w:sz w:val="16"/>
                <w:szCs w:val="16"/>
              </w:rPr>
              <w:t>La rápida evolución del entorno externo que exige nuevos procedimientos, capacidades y soluciones de T.I. podría dar lugar a desajustes de plantilla en sectores esenciales de la OMPI.  Esto podría acarrear costos elevados de contratación de personal temporal, deficiencias en los procedimientos, retrasos en sectores esenciales y el menoscabo de la reputación de la OMPI.</w:t>
            </w:r>
          </w:p>
        </w:tc>
        <w:tc>
          <w:tcPr>
            <w:tcW w:w="2096" w:type="dxa"/>
            <w:tcBorders>
              <w:top w:val="single" w:sz="4" w:space="0" w:color="auto"/>
              <w:left w:val="nil"/>
              <w:bottom w:val="single" w:sz="4" w:space="0" w:color="auto"/>
              <w:right w:val="nil"/>
            </w:tcBorders>
            <w:hideMark/>
          </w:tcPr>
          <w:p w:rsidR="00221F0B" w:rsidRPr="00124987" w:rsidRDefault="00221F0B" w:rsidP="00DC1333">
            <w:pPr>
              <w:autoSpaceDE w:val="0"/>
              <w:autoSpaceDN w:val="0"/>
              <w:adjustRightInd w:val="0"/>
              <w:spacing w:line="276" w:lineRule="auto"/>
              <w:ind w:right="-59"/>
              <w:rPr>
                <w:b/>
                <w:color w:val="FF0000"/>
                <w:sz w:val="16"/>
                <w:szCs w:val="16"/>
              </w:rPr>
            </w:pPr>
            <w:r w:rsidRPr="00124987">
              <w:rPr>
                <w:sz w:val="16"/>
                <w:szCs w:val="16"/>
              </w:rPr>
              <w:t>La institucionalización de la planificación de los recursos humanos unida al establecimiento de nuevas directrices para la gestión de los puestos permitió garantizar que la Organización tenga en cuenta de manera regular la evolución de sus necesidades en materia de recursos humanos y que las necesidades nuevas o alteradas se afronten de manera proactiva mediante reajustes, formación y subcontratación, según sea necesario.</w:t>
            </w:r>
          </w:p>
        </w:tc>
        <w:tc>
          <w:tcPr>
            <w:tcW w:w="2537" w:type="dxa"/>
            <w:tcBorders>
              <w:top w:val="single" w:sz="4" w:space="0" w:color="auto"/>
              <w:left w:val="nil"/>
              <w:bottom w:val="single" w:sz="4" w:space="0" w:color="auto"/>
              <w:right w:val="single" w:sz="4" w:space="0" w:color="auto"/>
            </w:tcBorders>
          </w:tcPr>
          <w:p w:rsidR="00221F0B" w:rsidRPr="00124987" w:rsidRDefault="00221F0B" w:rsidP="00DC1333">
            <w:pPr>
              <w:autoSpaceDE w:val="0"/>
              <w:autoSpaceDN w:val="0"/>
              <w:adjustRightInd w:val="0"/>
              <w:spacing w:line="276" w:lineRule="auto"/>
              <w:ind w:right="-59"/>
              <w:rPr>
                <w:sz w:val="16"/>
                <w:szCs w:val="16"/>
              </w:rPr>
            </w:pPr>
            <w:r w:rsidRPr="00124987">
              <w:rPr>
                <w:sz w:val="16"/>
                <w:szCs w:val="16"/>
              </w:rPr>
              <w:t>El rendimiento del programa a lo largo del bienio mejoró gracias a las medidas de mitigación aplicadas, que contribuyeron a aumentar la eficacia en la gestión de los recursos humanos y las estrategias de captación de talento.</w:t>
            </w:r>
          </w:p>
        </w:tc>
      </w:tr>
      <w:tr w:rsidR="00221F0B" w:rsidRPr="00124987" w:rsidTr="002522AB">
        <w:trPr>
          <w:trHeight w:val="1049"/>
          <w:jc w:val="center"/>
        </w:trPr>
        <w:tc>
          <w:tcPr>
            <w:tcW w:w="2535"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221F0B" w:rsidRPr="00124987" w:rsidRDefault="00221F0B" w:rsidP="002522AB">
            <w:pPr>
              <w:keepNext/>
              <w:autoSpaceDE w:val="0"/>
              <w:autoSpaceDN w:val="0"/>
              <w:adjustRightInd w:val="0"/>
              <w:spacing w:line="276" w:lineRule="auto"/>
              <w:ind w:right="-59"/>
              <w:rPr>
                <w:sz w:val="16"/>
                <w:szCs w:val="16"/>
              </w:rPr>
            </w:pPr>
            <w:r w:rsidRPr="00124987">
              <w:rPr>
                <w:sz w:val="16"/>
                <w:szCs w:val="16"/>
              </w:rPr>
              <w:lastRenderedPageBreak/>
              <w:t>Las nuevas funciones ejecutadas durante la aplicación del PRI podrían ocasionar trastornos en los servicios a medida que el personal se familiariza con los nuevos procedimientos.  Si en la ejecución no se lleva a cabo una labor suficiente de examen y reestructuración de los procedimientos, el proyecto podría reducirse fundamentalmente a la sustitución de las antiguas aplicaciones de los sistemas.</w:t>
            </w:r>
          </w:p>
        </w:tc>
        <w:tc>
          <w:tcPr>
            <w:tcW w:w="2029" w:type="dxa"/>
            <w:tcBorders>
              <w:top w:val="single" w:sz="4" w:space="0" w:color="auto"/>
              <w:left w:val="nil"/>
              <w:bottom w:val="single" w:sz="4" w:space="0" w:color="auto"/>
              <w:right w:val="nil"/>
            </w:tcBorders>
            <w:tcMar>
              <w:top w:w="113" w:type="dxa"/>
              <w:left w:w="108" w:type="dxa"/>
              <w:bottom w:w="85" w:type="dxa"/>
              <w:right w:w="108" w:type="dxa"/>
            </w:tcMar>
            <w:hideMark/>
          </w:tcPr>
          <w:p w:rsidR="00221F0B" w:rsidRPr="00124987" w:rsidRDefault="00221F0B" w:rsidP="002522AB">
            <w:pPr>
              <w:keepNext/>
              <w:autoSpaceDE w:val="0"/>
              <w:autoSpaceDN w:val="0"/>
              <w:adjustRightInd w:val="0"/>
              <w:spacing w:line="276" w:lineRule="auto"/>
              <w:ind w:right="-59"/>
              <w:rPr>
                <w:sz w:val="16"/>
                <w:szCs w:val="16"/>
              </w:rPr>
            </w:pPr>
            <w:r w:rsidRPr="00124987">
              <w:rPr>
                <w:sz w:val="16"/>
                <w:szCs w:val="16"/>
              </w:rPr>
              <w:t>Formación minuciosa del personal y de los usuarios de los servicios de recursos humanos, planes de comunicación periódicos, estrecha supervisión de los avances del equipo del proyecto de PRI y alerta rápida de las esferas problemáticas que han de gestionarse.  Mejora constante de los procedimientos como parte de la configuración y el desarrollo de la solución técnica.</w:t>
            </w:r>
          </w:p>
        </w:tc>
        <w:tc>
          <w:tcPr>
            <w:tcW w:w="2096" w:type="dxa"/>
            <w:tcBorders>
              <w:top w:val="single" w:sz="4" w:space="0" w:color="auto"/>
              <w:left w:val="nil"/>
              <w:bottom w:val="single" w:sz="4" w:space="0" w:color="auto"/>
              <w:right w:val="nil"/>
            </w:tcBorders>
          </w:tcPr>
          <w:p w:rsidR="00221F0B" w:rsidRPr="00124987" w:rsidRDefault="00221F0B" w:rsidP="002522AB">
            <w:pPr>
              <w:keepNext/>
              <w:autoSpaceDE w:val="0"/>
              <w:autoSpaceDN w:val="0"/>
              <w:adjustRightInd w:val="0"/>
              <w:spacing w:line="276" w:lineRule="auto"/>
              <w:ind w:right="-59"/>
              <w:rPr>
                <w:sz w:val="16"/>
                <w:szCs w:val="16"/>
              </w:rPr>
            </w:pPr>
            <w:r w:rsidRPr="00124987">
              <w:rPr>
                <w:sz w:val="16"/>
                <w:szCs w:val="16"/>
              </w:rPr>
              <w:t>El riesgo se materializó debido a la necesidad de compensar a nivel interno las restricciones en la ejecución de proyectos.  Para hacer frente a dicha necesidad se adoptaron medidas adicionales, en especial la incorporación de un analista de procesos.</w:t>
            </w:r>
          </w:p>
        </w:tc>
        <w:tc>
          <w:tcPr>
            <w:tcW w:w="2537" w:type="dxa"/>
            <w:tcBorders>
              <w:top w:val="single" w:sz="4" w:space="0" w:color="auto"/>
              <w:left w:val="nil"/>
              <w:bottom w:val="single" w:sz="4" w:space="0" w:color="auto"/>
              <w:right w:val="single" w:sz="4" w:space="0" w:color="auto"/>
            </w:tcBorders>
          </w:tcPr>
          <w:p w:rsidR="00221F0B" w:rsidRPr="00124987" w:rsidRDefault="00221F0B" w:rsidP="002522AB">
            <w:pPr>
              <w:keepNext/>
              <w:autoSpaceDE w:val="0"/>
              <w:autoSpaceDN w:val="0"/>
              <w:adjustRightInd w:val="0"/>
              <w:spacing w:line="276" w:lineRule="auto"/>
              <w:ind w:right="-59"/>
              <w:rPr>
                <w:sz w:val="16"/>
                <w:szCs w:val="16"/>
              </w:rPr>
            </w:pPr>
            <w:r w:rsidRPr="00124987">
              <w:rPr>
                <w:sz w:val="16"/>
                <w:szCs w:val="16"/>
              </w:rPr>
              <w:t>La materialización del riesgo se tradujo en ciertas demoras en la contratación, pero gracias a la mitigación de los riesgos se consiguió reducir al mínimo la incidencia.</w:t>
            </w:r>
          </w:p>
        </w:tc>
      </w:tr>
    </w:tbl>
    <w:p w:rsidR="00221F0B" w:rsidRDefault="00221F0B" w:rsidP="00DC1333">
      <w:pPr>
        <w:rPr>
          <w:szCs w:val="22"/>
        </w:rPr>
      </w:pPr>
    </w:p>
    <w:p w:rsidR="00221F0B" w:rsidRPr="00124987" w:rsidRDefault="00221F0B" w:rsidP="00DC1333">
      <w:pPr>
        <w:rPr>
          <w:szCs w:val="22"/>
        </w:rPr>
      </w:pPr>
    </w:p>
    <w:p w:rsidR="00221F0B" w:rsidRPr="00124987" w:rsidRDefault="00403D2C" w:rsidP="00DC1333">
      <w:pPr>
        <w:rPr>
          <w:b/>
          <w:sz w:val="18"/>
          <w:szCs w:val="18"/>
        </w:rPr>
      </w:pPr>
      <w:r w:rsidRPr="00403D2C">
        <w:rPr>
          <w:sz w:val="20"/>
          <w:szCs w:val="22"/>
        </w:rPr>
        <w:t>UTILIZACIÓN DE LOS RECURSOS</w:t>
      </w:r>
    </w:p>
    <w:p w:rsidR="00221F0B" w:rsidRPr="00124987" w:rsidRDefault="00221F0B" w:rsidP="00DC1333"/>
    <w:p w:rsidR="00221F0B" w:rsidRPr="00124987" w:rsidRDefault="00221F0B" w:rsidP="00DC1333">
      <w:pPr>
        <w:pStyle w:val="NormalWeb"/>
        <w:spacing w:before="0" w:beforeAutospacing="0" w:after="0" w:afterAutospacing="0"/>
        <w:jc w:val="center"/>
        <w:rPr>
          <w:sz w:val="20"/>
          <w:szCs w:val="20"/>
          <w:lang w:val="es-ES"/>
        </w:rPr>
      </w:pPr>
      <w:r w:rsidRPr="00124987">
        <w:rPr>
          <w:sz w:val="20"/>
          <w:szCs w:val="20"/>
          <w:lang w:val="es-ES"/>
        </w:rPr>
        <w:t xml:space="preserve">Presupuesto y gastos reales (por resultado) </w:t>
      </w:r>
    </w:p>
    <w:p w:rsidR="00221F0B" w:rsidRPr="00124987" w:rsidRDefault="00221F0B" w:rsidP="00DC1333">
      <w:pPr>
        <w:pStyle w:val="NormalWeb"/>
        <w:spacing w:before="0" w:beforeAutospacing="0" w:after="0" w:afterAutospacing="0"/>
        <w:jc w:val="center"/>
        <w:rPr>
          <w:i/>
          <w:iCs/>
          <w:sz w:val="20"/>
          <w:szCs w:val="20"/>
          <w:lang w:val="es-ES"/>
        </w:rPr>
      </w:pPr>
      <w:r w:rsidRPr="00124987">
        <w:rPr>
          <w:i/>
          <w:iCs/>
          <w:sz w:val="20"/>
          <w:szCs w:val="20"/>
          <w:lang w:val="es-ES"/>
        </w:rPr>
        <w:t>(</w:t>
      </w:r>
      <w:proofErr w:type="gramStart"/>
      <w:r w:rsidRPr="00124987">
        <w:rPr>
          <w:i/>
          <w:iCs/>
          <w:sz w:val="20"/>
          <w:szCs w:val="20"/>
          <w:lang w:val="es-ES"/>
        </w:rPr>
        <w:t>en</w:t>
      </w:r>
      <w:proofErr w:type="gramEnd"/>
      <w:r w:rsidRPr="00124987">
        <w:rPr>
          <w:i/>
          <w:iCs/>
          <w:sz w:val="20"/>
          <w:szCs w:val="20"/>
          <w:lang w:val="es-ES"/>
        </w:rPr>
        <w:t xml:space="preserve"> miles de francos suizos)</w:t>
      </w:r>
    </w:p>
    <w:p w:rsidR="00221F0B" w:rsidRPr="00124987" w:rsidRDefault="00221F0B" w:rsidP="00DC1333">
      <w:pPr>
        <w:pStyle w:val="NormalWeb"/>
        <w:spacing w:before="0" w:beforeAutospacing="0" w:after="0" w:afterAutospacing="0"/>
        <w:jc w:val="center"/>
        <w:rPr>
          <w:sz w:val="20"/>
          <w:szCs w:val="20"/>
          <w:lang w:val="es-ES"/>
        </w:rPr>
      </w:pPr>
    </w:p>
    <w:p w:rsidR="00221F0B" w:rsidRPr="00124987" w:rsidRDefault="00221F0B" w:rsidP="00DC1333">
      <w:pPr>
        <w:jc w:val="center"/>
      </w:pPr>
      <w:bookmarkStart w:id="182" w:name="Bm23"/>
      <w:bookmarkStart w:id="183" w:name="Punto23"/>
      <w:r>
        <w:rPr>
          <w:noProof/>
          <w:lang w:val="en-US" w:eastAsia="en-US"/>
        </w:rPr>
        <w:drawing>
          <wp:inline distT="0" distB="0" distL="0" distR="0" wp14:anchorId="5FBD06FA" wp14:editId="71C19270">
            <wp:extent cx="5676900" cy="1962150"/>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76900" cy="1962150"/>
                    </a:xfrm>
                    <a:prstGeom prst="rect">
                      <a:avLst/>
                    </a:prstGeom>
                    <a:noFill/>
                    <a:ln>
                      <a:noFill/>
                    </a:ln>
                  </pic:spPr>
                </pic:pic>
              </a:graphicData>
            </a:graphic>
          </wp:inline>
        </w:drawing>
      </w:r>
      <w:bookmarkEnd w:id="182"/>
      <w:bookmarkEnd w:id="183"/>
    </w:p>
    <w:p w:rsidR="00221F0B" w:rsidRPr="00124987" w:rsidRDefault="00221F0B" w:rsidP="00DC1333"/>
    <w:p w:rsidR="00221F0B" w:rsidRPr="00124987" w:rsidRDefault="00221F0B" w:rsidP="00DC1333"/>
    <w:p w:rsidR="00221F0B" w:rsidRPr="00124987" w:rsidRDefault="00221F0B" w:rsidP="00DC1333">
      <w:pPr>
        <w:pStyle w:val="NormalWeb"/>
        <w:keepNext/>
        <w:keepLines/>
        <w:spacing w:before="0" w:beforeAutospacing="0" w:after="0" w:afterAutospacing="0"/>
        <w:jc w:val="center"/>
        <w:rPr>
          <w:sz w:val="20"/>
          <w:szCs w:val="20"/>
          <w:lang w:val="es-ES"/>
        </w:rPr>
      </w:pPr>
      <w:r w:rsidRPr="00124987">
        <w:rPr>
          <w:sz w:val="20"/>
          <w:szCs w:val="20"/>
          <w:lang w:val="es-ES"/>
        </w:rPr>
        <w:t xml:space="preserve">Presupuesto y gastos reales (de personal y no relativos a personal) </w:t>
      </w:r>
    </w:p>
    <w:p w:rsidR="00221F0B" w:rsidRPr="00124987" w:rsidRDefault="00221F0B" w:rsidP="00DC1333">
      <w:pPr>
        <w:pStyle w:val="NormalWeb"/>
        <w:keepNext/>
        <w:keepLines/>
        <w:spacing w:before="0" w:beforeAutospacing="0" w:after="0" w:afterAutospacing="0"/>
        <w:jc w:val="center"/>
        <w:rPr>
          <w:i/>
          <w:iCs/>
          <w:sz w:val="20"/>
          <w:szCs w:val="20"/>
          <w:lang w:val="es-ES"/>
        </w:rPr>
      </w:pPr>
      <w:r w:rsidRPr="00124987">
        <w:rPr>
          <w:i/>
          <w:iCs/>
          <w:sz w:val="20"/>
          <w:szCs w:val="20"/>
          <w:lang w:val="es-ES"/>
        </w:rPr>
        <w:t>(</w:t>
      </w:r>
      <w:proofErr w:type="gramStart"/>
      <w:r w:rsidRPr="00124987">
        <w:rPr>
          <w:i/>
          <w:iCs/>
          <w:sz w:val="20"/>
          <w:szCs w:val="20"/>
          <w:lang w:val="es-ES"/>
        </w:rPr>
        <w:t>en</w:t>
      </w:r>
      <w:proofErr w:type="gramEnd"/>
      <w:r w:rsidRPr="00124987">
        <w:rPr>
          <w:i/>
          <w:iCs/>
          <w:sz w:val="20"/>
          <w:szCs w:val="20"/>
          <w:lang w:val="es-ES"/>
        </w:rPr>
        <w:t xml:space="preserve"> miles de francos suizos)</w:t>
      </w:r>
    </w:p>
    <w:p w:rsidR="00221F0B" w:rsidRPr="00124987" w:rsidRDefault="00221F0B" w:rsidP="00DC1333">
      <w:pPr>
        <w:pStyle w:val="NormalWeb"/>
        <w:keepNext/>
        <w:keepLines/>
        <w:spacing w:before="0" w:beforeAutospacing="0" w:after="0" w:afterAutospacing="0"/>
        <w:jc w:val="center"/>
        <w:rPr>
          <w:lang w:val="es-ES"/>
        </w:rPr>
      </w:pPr>
    </w:p>
    <w:p w:rsidR="00221F0B" w:rsidRPr="00124987" w:rsidRDefault="00221F0B" w:rsidP="00DC1333">
      <w:pPr>
        <w:jc w:val="center"/>
      </w:pPr>
      <w:bookmarkStart w:id="184" w:name="Point23"/>
      <w:r>
        <w:rPr>
          <w:noProof/>
          <w:lang w:val="en-US" w:eastAsia="en-US"/>
        </w:rPr>
        <w:drawing>
          <wp:inline distT="0" distB="0" distL="0" distR="0" wp14:anchorId="2A1BC8ED" wp14:editId="06F7F7B4">
            <wp:extent cx="5940425" cy="1045921"/>
            <wp:effectExtent l="0" t="0" r="3175" b="190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425" cy="1045921"/>
                    </a:xfrm>
                    <a:prstGeom prst="rect">
                      <a:avLst/>
                    </a:prstGeom>
                    <a:noFill/>
                    <a:ln>
                      <a:noFill/>
                    </a:ln>
                  </pic:spPr>
                </pic:pic>
              </a:graphicData>
            </a:graphic>
          </wp:inline>
        </w:drawing>
      </w:r>
      <w:bookmarkEnd w:id="184"/>
    </w:p>
    <w:p w:rsidR="00221F0B" w:rsidRDefault="00221F0B" w:rsidP="00DC1333">
      <w:pPr>
        <w:autoSpaceDE w:val="0"/>
        <w:autoSpaceDN w:val="0"/>
        <w:adjustRightInd w:val="0"/>
      </w:pPr>
    </w:p>
    <w:p w:rsidR="00221F0B" w:rsidRPr="00124987" w:rsidRDefault="00221F0B" w:rsidP="00DC1333">
      <w:pPr>
        <w:autoSpaceDE w:val="0"/>
        <w:autoSpaceDN w:val="0"/>
        <w:adjustRightInd w:val="0"/>
      </w:pPr>
    </w:p>
    <w:p w:rsidR="00221F0B" w:rsidRPr="00124987" w:rsidRDefault="00403D2C" w:rsidP="002522AB">
      <w:pPr>
        <w:keepNext/>
        <w:tabs>
          <w:tab w:val="left" w:pos="709"/>
        </w:tabs>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221F0B" w:rsidRPr="00124987" w:rsidRDefault="00221F0B" w:rsidP="00DC1333">
      <w:pPr>
        <w:keepNext/>
        <w:rPr>
          <w:sz w:val="20"/>
          <w:u w:val="single"/>
        </w:rPr>
      </w:pPr>
    </w:p>
    <w:p w:rsidR="00221F0B" w:rsidRPr="00124987" w:rsidRDefault="00221F0B" w:rsidP="00EB45DE">
      <w:pPr>
        <w:pStyle w:val="ListParagraph"/>
        <w:keepNext/>
        <w:numPr>
          <w:ilvl w:val="0"/>
          <w:numId w:val="108"/>
        </w:numPr>
        <w:tabs>
          <w:tab w:val="left" w:pos="709"/>
        </w:tabs>
        <w:ind w:left="0" w:firstLine="0"/>
        <w:jc w:val="both"/>
        <w:rPr>
          <w:rFonts w:cs="Arial"/>
          <w:lang w:val="es-ES" w:eastAsia="ko-KR"/>
        </w:rPr>
      </w:pPr>
      <w:r w:rsidRPr="00124987">
        <w:rPr>
          <w:rFonts w:cs="Arial"/>
          <w:lang w:val="es-ES" w:eastAsia="ko-KR"/>
        </w:rPr>
        <w:t xml:space="preserve">En general, el incremento en el presupuesto final de </w:t>
      </w:r>
      <w:r w:rsidRPr="00124987">
        <w:rPr>
          <w:rFonts w:cs="Arial"/>
          <w:lang w:val="es-ES"/>
        </w:rPr>
        <w:t>2014/15</w:t>
      </w:r>
      <w:r w:rsidRPr="00124987">
        <w:rPr>
          <w:rFonts w:cs="Arial"/>
          <w:lang w:val="es-ES" w:eastAsia="ko-KR"/>
        </w:rPr>
        <w:t xml:space="preserve"> tras las transferencias se debió principalmente a:  la financiación de i) soluciones temporales de asignación de recursos para cubrir ausencias de larga duración;  ii) el incremento de los costos de actividades comunes en el Sistema de Naciones Unidas;  iii) recursos adicionales para la Junta de Apelación de la OMPI;  iv) el lanzamiento de nuevas iniciativas, como el programa de la OMPI de recompensas y reconocimiento;  v)  el incremento de los costos de los seguros para los delegados y participantes en las reuniones de la OMPI, y vi) la redistribución de los recursos destinados a formación especializada en TIC que anteriormente se incluía en el programa 25.</w:t>
      </w:r>
    </w:p>
    <w:p w:rsidR="00221F0B" w:rsidRPr="00124987" w:rsidRDefault="00221F0B" w:rsidP="00DC1333">
      <w:pPr>
        <w:rPr>
          <w:sz w:val="20"/>
          <w:u w:val="single"/>
        </w:rPr>
      </w:pPr>
    </w:p>
    <w:p w:rsidR="00221F0B" w:rsidRPr="00124987" w:rsidRDefault="00403D2C" w:rsidP="002522AB">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124987" w:rsidRDefault="00221F0B" w:rsidP="00DC1333">
      <w:pPr>
        <w:tabs>
          <w:tab w:val="left" w:pos="709"/>
        </w:tabs>
        <w:jc w:val="both"/>
        <w:rPr>
          <w:sz w:val="20"/>
          <w:u w:val="single"/>
          <w:lang w:eastAsia="ko-KR"/>
        </w:rPr>
      </w:pPr>
    </w:p>
    <w:p w:rsidR="00221F0B" w:rsidRPr="00124987" w:rsidRDefault="00221F0B" w:rsidP="00EB45DE">
      <w:pPr>
        <w:pStyle w:val="ListParagraph"/>
        <w:numPr>
          <w:ilvl w:val="0"/>
          <w:numId w:val="108"/>
        </w:numPr>
        <w:tabs>
          <w:tab w:val="left" w:pos="709"/>
        </w:tabs>
        <w:ind w:left="0" w:firstLine="0"/>
        <w:jc w:val="both"/>
        <w:rPr>
          <w:lang w:val="es-ES"/>
        </w:rPr>
      </w:pPr>
      <w:r w:rsidRPr="00124987">
        <w:rPr>
          <w:rFonts w:cs="Arial"/>
          <w:lang w:val="es-ES" w:eastAsia="ko-KR"/>
        </w:rPr>
        <w:t>La utilización del presupuesto no relativo a personal correspondió al 91% debido al ahorro derivado fundamentalmente de la renegociación de los nuevos contratos de seguros y unos gastos inferiores a los esperado en:  i) salvaguardia por maternidad y enfermedad;  ii) el Tribunal Administrativo de la Organización Internacional del Trabajo;  iii) la formación lingüística, y iv) las actividades de clasificación.</w:t>
      </w:r>
    </w:p>
    <w:p w:rsidR="00221F0B" w:rsidRDefault="00221F0B"/>
    <w:p w:rsidR="00221F0B" w:rsidRDefault="00221F0B"/>
    <w:p w:rsidR="00221F0B" w:rsidRPr="00124987" w:rsidRDefault="00221F0B"/>
    <w:p w:rsidR="00C65E58" w:rsidRDefault="00C65E58">
      <w:pPr>
        <w:rPr>
          <w:b/>
          <w:bCs/>
          <w:iCs/>
          <w:caps/>
          <w:szCs w:val="28"/>
        </w:rPr>
      </w:pPr>
      <w:bookmarkStart w:id="185" w:name="_Toc422927438"/>
      <w:r>
        <w:rPr>
          <w:b/>
        </w:rPr>
        <w:br w:type="page"/>
      </w:r>
    </w:p>
    <w:p w:rsidR="00221F0B" w:rsidRPr="00434FFD" w:rsidRDefault="00221F0B" w:rsidP="00DC1333">
      <w:pPr>
        <w:pStyle w:val="Heading2"/>
        <w:ind w:left="2410" w:hanging="2410"/>
        <w:rPr>
          <w:b/>
        </w:rPr>
      </w:pPr>
      <w:bookmarkStart w:id="186" w:name="_Toc455159106"/>
      <w:r w:rsidRPr="00434FFD">
        <w:rPr>
          <w:b/>
        </w:rPr>
        <w:lastRenderedPageBreak/>
        <w:t>PROGRAMA 24</w:t>
      </w:r>
      <w:r w:rsidRPr="00434FFD">
        <w:rPr>
          <w:b/>
        </w:rPr>
        <w:tab/>
        <w:t>SERVICIOS GENERALES DE APOYO</w:t>
      </w:r>
      <w:bookmarkEnd w:id="185"/>
      <w:bookmarkEnd w:id="186"/>
    </w:p>
    <w:p w:rsidR="00221F0B" w:rsidRPr="00434FFD" w:rsidRDefault="00221F0B" w:rsidP="00DC1333">
      <w:pPr>
        <w:ind w:left="1985" w:hanging="1985"/>
        <w:rPr>
          <w:b/>
          <w:sz w:val="20"/>
        </w:rPr>
      </w:pPr>
    </w:p>
    <w:p w:rsidR="00221F0B" w:rsidRPr="00434FFD" w:rsidRDefault="00221F0B" w:rsidP="00DC1333">
      <w:pPr>
        <w:ind w:left="2410" w:hanging="2410"/>
        <w:rPr>
          <w:b/>
          <w:sz w:val="20"/>
        </w:rPr>
      </w:pPr>
      <w:r w:rsidRPr="00434FFD">
        <w:rPr>
          <w:b/>
          <w:sz w:val="20"/>
        </w:rPr>
        <w:t>Director de programa</w:t>
      </w:r>
      <w:r w:rsidRPr="00434FFD">
        <w:rPr>
          <w:b/>
          <w:sz w:val="20"/>
        </w:rPr>
        <w:tab/>
        <w:t>S</w:t>
      </w:r>
      <w:r w:rsidRPr="00434FFD">
        <w:rPr>
          <w:b/>
          <w:bCs/>
          <w:sz w:val="20"/>
        </w:rPr>
        <w:t>r. A. Sundaram</w:t>
      </w:r>
    </w:p>
    <w:p w:rsidR="00221F0B" w:rsidRPr="00434FFD" w:rsidRDefault="00221F0B" w:rsidP="00DC1333">
      <w:pPr>
        <w:ind w:left="2268" w:hanging="2268"/>
        <w:rPr>
          <w:b/>
          <w:bCs/>
          <w:sz w:val="20"/>
        </w:rPr>
      </w:pPr>
    </w:p>
    <w:p w:rsidR="00221F0B" w:rsidRPr="00434FFD" w:rsidRDefault="00221F0B" w:rsidP="00DC1333">
      <w:pPr>
        <w:ind w:left="2268" w:hanging="2268"/>
        <w:rPr>
          <w:b/>
          <w:bCs/>
          <w:sz w:val="20"/>
        </w:rPr>
      </w:pPr>
    </w:p>
    <w:p w:rsidR="00221F0B" w:rsidRPr="00434FFD" w:rsidRDefault="008F7CBE" w:rsidP="00DC1333">
      <w:pPr>
        <w:jc w:val="both"/>
        <w:rPr>
          <w:bCs/>
          <w:szCs w:val="22"/>
        </w:rPr>
      </w:pPr>
      <w:r w:rsidRPr="008F7CBE">
        <w:rPr>
          <w:bCs/>
          <w:sz w:val="20"/>
          <w:szCs w:val="22"/>
        </w:rPr>
        <w:t>LOGROS ALCANZADOS EN EL BIENIO 2014/15</w:t>
      </w:r>
    </w:p>
    <w:p w:rsidR="00221F0B" w:rsidRPr="00434FFD" w:rsidRDefault="00221F0B" w:rsidP="00DC1333">
      <w:pPr>
        <w:rPr>
          <w:bCs/>
          <w:sz w:val="20"/>
        </w:rPr>
      </w:pPr>
    </w:p>
    <w:p w:rsidR="00221F0B" w:rsidRPr="00434FFD" w:rsidRDefault="00221F0B" w:rsidP="00EB45DE">
      <w:pPr>
        <w:pStyle w:val="ListParagraph"/>
        <w:numPr>
          <w:ilvl w:val="0"/>
          <w:numId w:val="109"/>
        </w:numPr>
        <w:tabs>
          <w:tab w:val="left" w:pos="709"/>
        </w:tabs>
        <w:ind w:left="0" w:firstLine="0"/>
        <w:jc w:val="both"/>
        <w:rPr>
          <w:rFonts w:cs="Arial"/>
          <w:bCs/>
          <w:lang w:val="es-ES"/>
        </w:rPr>
      </w:pPr>
      <w:r w:rsidRPr="00434FFD">
        <w:rPr>
          <w:rFonts w:cs="Arial"/>
          <w:bCs/>
          <w:lang w:val="es-ES"/>
        </w:rPr>
        <w:t>En el marco del programa se suministra orientación y apoyo estratégicos a nivel de la administración y la gestión en la OMPI, y se prestan servicios en materia de compras y viajes y de infraestructura de locales.</w:t>
      </w:r>
    </w:p>
    <w:p w:rsidR="00221F0B" w:rsidRPr="00434FFD" w:rsidRDefault="00221F0B" w:rsidP="00DC1333">
      <w:pPr>
        <w:tabs>
          <w:tab w:val="left" w:pos="709"/>
        </w:tabs>
        <w:jc w:val="both"/>
        <w:rPr>
          <w:bCs/>
          <w:sz w:val="20"/>
        </w:rPr>
      </w:pPr>
    </w:p>
    <w:p w:rsidR="00221F0B" w:rsidRPr="00434FFD" w:rsidRDefault="00221F0B" w:rsidP="00EB45DE">
      <w:pPr>
        <w:pStyle w:val="ListParagraph"/>
        <w:numPr>
          <w:ilvl w:val="0"/>
          <w:numId w:val="109"/>
        </w:numPr>
        <w:tabs>
          <w:tab w:val="left" w:pos="709"/>
        </w:tabs>
        <w:ind w:left="0" w:firstLine="0"/>
        <w:jc w:val="both"/>
        <w:rPr>
          <w:rFonts w:cs="Arial"/>
          <w:bCs/>
          <w:color w:val="000000"/>
          <w:lang w:val="es-ES"/>
        </w:rPr>
      </w:pPr>
      <w:r w:rsidRPr="00434FFD">
        <w:rPr>
          <w:rFonts w:cs="Arial"/>
          <w:bCs/>
          <w:color w:val="000000"/>
          <w:lang w:val="es-ES"/>
        </w:rPr>
        <w:t>En el bienio 2014/15 se realizaron sólidos progresos para alcanzar las metas fijadas en los servicios de compras y viajes, recurriendo con ese fin a una serie de medidas con miras a optimizar el costo de los productos y servicios adquiridos por la OMPI y racionalizar sus procesos.  Entre las medidas adoptadas se encuentran las siguientes:  i) la puesta en práctica de una nueva política en materia de servicios contractuales individuales y la incorporación de la gestión de los servicios contractuales individuales a la División de Adquisiciones y Viajes;  ii) la introducción de un nuevo marco legal para las adquisiciones, así como la publicación en 2014 de una nueva orden de servicio sobre los principios generales y las reglas básicas en materia de adquisiciones y un Manual de Adquisiciones;  iii) la creación de una base de datos en la que se registran los contratos de los proveedores;  iv) la aplicación de planes anuales de adquisiciones, y v) la puesta en marcha de un herramienta de reservas por Internet para viajes con la finalidad de reducir tanto la comisión por operación como el precio medio del billete mediante la utilización de tarifas más restrictivas y un sistema más avanzado para la emisión de billetes.</w:t>
      </w:r>
    </w:p>
    <w:p w:rsidR="00221F0B" w:rsidRPr="00434FFD" w:rsidRDefault="00221F0B" w:rsidP="00DC1333">
      <w:pPr>
        <w:tabs>
          <w:tab w:val="left" w:pos="709"/>
        </w:tabs>
        <w:jc w:val="both"/>
        <w:rPr>
          <w:bCs/>
          <w:color w:val="000000"/>
          <w:sz w:val="20"/>
        </w:rPr>
      </w:pPr>
    </w:p>
    <w:p w:rsidR="00221F0B" w:rsidRPr="00434FFD" w:rsidRDefault="00221F0B" w:rsidP="00EB45DE">
      <w:pPr>
        <w:pStyle w:val="ListParagraph"/>
        <w:numPr>
          <w:ilvl w:val="0"/>
          <w:numId w:val="109"/>
        </w:numPr>
        <w:tabs>
          <w:tab w:val="left" w:pos="709"/>
        </w:tabs>
        <w:ind w:left="0" w:firstLine="0"/>
        <w:jc w:val="both"/>
        <w:rPr>
          <w:rFonts w:cs="Arial"/>
          <w:bCs/>
          <w:color w:val="000000"/>
          <w:lang w:val="es-ES"/>
        </w:rPr>
      </w:pPr>
      <w:r w:rsidRPr="00434FFD">
        <w:rPr>
          <w:rFonts w:cs="Arial"/>
          <w:bCs/>
          <w:color w:val="000000"/>
          <w:lang w:val="es-ES"/>
        </w:rPr>
        <w:t>De esta forma, se siguió trabajando hacia una mayor tenacidad en las negociaciones de precios  y prosiguieron los ahorros en la adquisición de productos y servicios, lo que se tradujo en un ahorro general de 3,8 millones de francos suizos en 2015 y 2,6 millones de francos suizos en 2014.  También se produjo un aumento del porcentaje de adquisiciones en régimen de colaboración con el Grupo Encargado de las Actividades de Adquisición Comunes, habiéndose adquirido mediante esta colaboración el 5,8% de los productos.  En lo que respecta a los gastos de viajes, en 2015 el costo medio de los billetes se redujo un 14%, pasando a ser de 1.484 francos suizos, frente a los 1.728 francos suizos de 2013, lo que supone un ahorro considerable durante el bienio.  Desde que se introdujo la nueva herramienta de reservas por Internet en diciembre de 2014 se ha reducido asimismo un 20% la comisión total media por operación, a pesar del aumento de la comisión que cobra la agencia debido a un cambio de proveedor.  En los cuadros que se muestran a continuación se exponen los logros alcanzados durante el bienio 2014/15 en lo que respecta a adquisiciones y viajes.</w:t>
      </w:r>
    </w:p>
    <w:p w:rsidR="00221F0B" w:rsidRDefault="00221F0B" w:rsidP="00DC1333">
      <w:pPr>
        <w:pStyle w:val="ListParagraph"/>
        <w:tabs>
          <w:tab w:val="left" w:pos="709"/>
        </w:tabs>
        <w:ind w:left="0"/>
        <w:jc w:val="both"/>
        <w:rPr>
          <w:rFonts w:cs="Arial"/>
          <w:bCs/>
          <w:color w:val="000000"/>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885"/>
      </w:tblGrid>
      <w:tr w:rsidR="00221F0B" w:rsidTr="00DC1333">
        <w:trPr>
          <w:jc w:val="center"/>
        </w:trPr>
        <w:tc>
          <w:tcPr>
            <w:tcW w:w="4684" w:type="dxa"/>
          </w:tcPr>
          <w:p w:rsidR="00221F0B" w:rsidRDefault="00221F0B" w:rsidP="00DC1333">
            <w:pPr>
              <w:spacing w:after="200" w:line="276" w:lineRule="auto"/>
            </w:pPr>
            <w:r>
              <w:rPr>
                <w:noProof/>
                <w:lang w:val="en-US" w:eastAsia="en-US"/>
              </w:rPr>
              <w:drawing>
                <wp:inline distT="0" distB="0" distL="0" distR="0" wp14:anchorId="71E6726E" wp14:editId="30C0CF16">
                  <wp:extent cx="2831592" cy="2062717"/>
                  <wp:effectExtent l="0" t="0" r="698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834426" cy="2064781"/>
                          </a:xfrm>
                          <a:prstGeom prst="rect">
                            <a:avLst/>
                          </a:prstGeom>
                          <a:noFill/>
                          <a:ln>
                            <a:noFill/>
                          </a:ln>
                        </pic:spPr>
                      </pic:pic>
                    </a:graphicData>
                  </a:graphic>
                </wp:inline>
              </w:drawing>
            </w:r>
          </w:p>
        </w:tc>
        <w:tc>
          <w:tcPr>
            <w:tcW w:w="4892" w:type="dxa"/>
          </w:tcPr>
          <w:p w:rsidR="00221F0B" w:rsidRDefault="00221F0B" w:rsidP="00DC1333">
            <w:pPr>
              <w:spacing w:after="200" w:line="276" w:lineRule="auto"/>
            </w:pPr>
            <w:r>
              <w:rPr>
                <w:noProof/>
                <w:lang w:val="en-US" w:eastAsia="en-US"/>
              </w:rPr>
              <w:drawing>
                <wp:inline distT="0" distB="0" distL="0" distR="0" wp14:anchorId="6FD552D6" wp14:editId="65D7BF65">
                  <wp:extent cx="2817627" cy="2064304"/>
                  <wp:effectExtent l="0" t="0" r="190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830101" cy="2073443"/>
                          </a:xfrm>
                          <a:prstGeom prst="rect">
                            <a:avLst/>
                          </a:prstGeom>
                          <a:noFill/>
                          <a:ln>
                            <a:noFill/>
                          </a:ln>
                        </pic:spPr>
                      </pic:pic>
                    </a:graphicData>
                  </a:graphic>
                </wp:inline>
              </w:drawing>
            </w:r>
          </w:p>
        </w:tc>
      </w:tr>
    </w:tbl>
    <w:p w:rsidR="00221F0B" w:rsidRPr="00434FFD" w:rsidRDefault="00221F0B" w:rsidP="00DC1333">
      <w:pPr>
        <w:pStyle w:val="ListParagraph"/>
        <w:tabs>
          <w:tab w:val="left" w:pos="709"/>
        </w:tabs>
        <w:ind w:left="0"/>
        <w:jc w:val="both"/>
        <w:rPr>
          <w:rFonts w:cs="Arial"/>
          <w:bCs/>
          <w:color w:val="000000"/>
          <w:lang w:val="es-ES"/>
        </w:rPr>
      </w:pPr>
    </w:p>
    <w:p w:rsidR="00221F0B" w:rsidRPr="00434FFD" w:rsidRDefault="00221F0B" w:rsidP="00EB45DE">
      <w:pPr>
        <w:pStyle w:val="ListParagraph"/>
        <w:numPr>
          <w:ilvl w:val="0"/>
          <w:numId w:val="109"/>
        </w:numPr>
        <w:tabs>
          <w:tab w:val="left" w:pos="709"/>
        </w:tabs>
        <w:ind w:left="0" w:firstLine="0"/>
        <w:jc w:val="both"/>
        <w:rPr>
          <w:rFonts w:cs="Arial"/>
          <w:bCs/>
          <w:color w:val="000000"/>
          <w:lang w:val="es-ES"/>
        </w:rPr>
      </w:pPr>
      <w:r w:rsidRPr="00434FFD">
        <w:rPr>
          <w:rFonts w:cs="Arial"/>
          <w:bCs/>
          <w:color w:val="000000"/>
          <w:lang w:val="es-ES"/>
        </w:rPr>
        <w:t>Durante el bienio se realizó un esfuerzo considerable para reducir los gastos de viaje, con lo que disminuyó el número de billetes emitidos y el número de casos de presentación tardía de solicitudes de viaje.  Por último, gracias a la supervisión estrecha de los procedimientos administrativos relacionados con las adquisiciones y los viajes, en los últimos cinco años se redujo a la mitad el tiempo medio de tramitación de solicitudes de compra, lo que redunda en mayor eficiencia y más agilidad a la hora de adquirir bienes y servicios</w:t>
      </w:r>
      <w:r w:rsidRPr="00434FFD">
        <w:rPr>
          <w:rFonts w:cs="Arial"/>
          <w:bCs/>
          <w:lang w:val="es-ES"/>
        </w:rPr>
        <w:t>.  Igualmente, cabe destacar que el porcentaje de productos y servicios contratados y adquiridos a nivel local aumentó hasta el 57% en 2015, un 9% más que en 2013 y un 12% más que en 2014.</w:t>
      </w:r>
    </w:p>
    <w:p w:rsidR="00221F0B" w:rsidRPr="00434FFD" w:rsidRDefault="00221F0B" w:rsidP="00DC1333">
      <w:pPr>
        <w:tabs>
          <w:tab w:val="left" w:pos="709"/>
        </w:tabs>
        <w:jc w:val="both"/>
        <w:rPr>
          <w:sz w:val="20"/>
        </w:rPr>
      </w:pPr>
    </w:p>
    <w:p w:rsidR="00221F0B" w:rsidRPr="00434FFD" w:rsidRDefault="00221F0B" w:rsidP="00EB45DE">
      <w:pPr>
        <w:pStyle w:val="ListParagraph"/>
        <w:numPr>
          <w:ilvl w:val="0"/>
          <w:numId w:val="109"/>
        </w:numPr>
        <w:tabs>
          <w:tab w:val="left" w:pos="709"/>
        </w:tabs>
        <w:ind w:left="0" w:firstLine="0"/>
        <w:jc w:val="both"/>
        <w:rPr>
          <w:rFonts w:cs="Arial"/>
          <w:lang w:val="es-ES"/>
        </w:rPr>
      </w:pPr>
      <w:r w:rsidRPr="00434FFD">
        <w:rPr>
          <w:rFonts w:cs="Arial"/>
          <w:lang w:val="es-ES"/>
        </w:rPr>
        <w:t xml:space="preserve">En lo relativo a la gestión del espacio de oficinas en los edificios de la sede, a finales de 2015, y por tercer año consecutivo, se mantuvo un equilibrio adecuado entre espacios de trabajo ocupados (85% aproximadamente) y espacios de trabajo no ocupados (15% aproximadamente) aun cuando dicho equilibrio no fue uniforme entre unos y otros edificios, como se ha explicado en anteriores informes.  Gracias a una utilización más eficaz en función de los costos de las áreas de almacenamiento y estacionamiento interiores y exteriores al recinto se pudo rescindir el contrato de alquiler de tres áreas de almacenamiento ubicadas fuera del recinto y de plazas de estacionamiento fuera del recinto, y reducir la cantidad de material de oficina, obteniéndose un ahorro total de alrededor de 219.000 francos suizos durante el bienio 2014/15.  Por último, durante el bienio se obtuvieron ingresos por un total de 390.000 francos suizos en concepto de alquiler de espacios a otras entidades (centro de datos, espacio en la cubierta para antenas de telefonía móvil, máquina del cajero automático y una oficina para la </w:t>
      </w:r>
      <w:r w:rsidRPr="00434FFD">
        <w:rPr>
          <w:rFonts w:cs="Arial"/>
          <w:i/>
          <w:lang w:val="es-ES"/>
        </w:rPr>
        <w:t xml:space="preserve">Association Coopérative Financière des Fonctionnaires Internationaux </w:t>
      </w:r>
      <w:r w:rsidRPr="00434FFD">
        <w:rPr>
          <w:rFonts w:cs="Arial"/>
          <w:lang w:val="es-ES"/>
        </w:rPr>
        <w:t>(AMFIE)).</w:t>
      </w:r>
    </w:p>
    <w:p w:rsidR="00221F0B" w:rsidRPr="00434FFD" w:rsidRDefault="00221F0B" w:rsidP="00DC1333">
      <w:pPr>
        <w:tabs>
          <w:tab w:val="left" w:pos="709"/>
        </w:tabs>
        <w:jc w:val="both"/>
        <w:rPr>
          <w:sz w:val="20"/>
        </w:rPr>
      </w:pPr>
    </w:p>
    <w:p w:rsidR="00221F0B" w:rsidRPr="00434FFD" w:rsidRDefault="00221F0B" w:rsidP="00EB45DE">
      <w:pPr>
        <w:pStyle w:val="ListParagraph"/>
        <w:numPr>
          <w:ilvl w:val="0"/>
          <w:numId w:val="109"/>
        </w:numPr>
        <w:tabs>
          <w:tab w:val="left" w:pos="709"/>
        </w:tabs>
        <w:ind w:left="0" w:firstLine="0"/>
        <w:jc w:val="both"/>
        <w:rPr>
          <w:rFonts w:cs="Arial"/>
          <w:lang w:val="es-ES"/>
        </w:rPr>
      </w:pPr>
      <w:r w:rsidRPr="00434FFD">
        <w:rPr>
          <w:rFonts w:cs="Arial"/>
          <w:lang w:val="es-ES"/>
        </w:rPr>
        <w:t>Con respecto a las instalaciones técnicas, a lo largo del año, y conforme a un calendario establecido, se llevaron a cabo actividades de mantenimiento regular de instalaciones técnicas principales y/o esenciales.  En 2014 se terminó de elaborar la primera lista detallada de todas las instalaciones esenciales, que contribuirá en gran medida al análisis que se prevé efectuar en relación con un programa de mantenimiento preventivo más amplio relativo a la infraestructura y las instalaciones.  En 2015 se llevó a cabo por primera vez una actualización periódica de la lista, sentando así las bases para las actualizaciones periódicas que se efectúen en el futuro.</w:t>
      </w:r>
    </w:p>
    <w:p w:rsidR="00221F0B" w:rsidRPr="00434FFD" w:rsidRDefault="00221F0B" w:rsidP="00DC1333">
      <w:pPr>
        <w:tabs>
          <w:tab w:val="left" w:pos="709"/>
        </w:tabs>
        <w:jc w:val="both"/>
        <w:rPr>
          <w:sz w:val="20"/>
        </w:rPr>
      </w:pPr>
    </w:p>
    <w:p w:rsidR="00221F0B" w:rsidRPr="00434FFD" w:rsidRDefault="00221F0B" w:rsidP="00EB45DE">
      <w:pPr>
        <w:pStyle w:val="ListParagraph"/>
        <w:numPr>
          <w:ilvl w:val="0"/>
          <w:numId w:val="109"/>
        </w:numPr>
        <w:tabs>
          <w:tab w:val="left" w:pos="709"/>
        </w:tabs>
        <w:ind w:left="0" w:firstLine="0"/>
        <w:jc w:val="both"/>
        <w:rPr>
          <w:rFonts w:cs="Arial"/>
          <w:lang w:val="es-ES"/>
        </w:rPr>
      </w:pPr>
      <w:r w:rsidRPr="00434FFD">
        <w:rPr>
          <w:rFonts w:cs="Arial"/>
          <w:lang w:val="es-ES"/>
        </w:rPr>
        <w:t>En cuanto a la modernización de las instalaciones, se realizaron progresos considerables, no solo mediante los proyectos del plan maestro de mejoras de infraestructura financiados con cargo a las reservas, sino mediante una serie de mejoras más técnicas pero menos significativas (véanse datos en el cuadro de rendimiento).</w:t>
      </w:r>
    </w:p>
    <w:p w:rsidR="00221F0B" w:rsidRPr="00434FFD" w:rsidRDefault="00221F0B" w:rsidP="00DC1333">
      <w:pPr>
        <w:pStyle w:val="NoSpacing"/>
        <w:tabs>
          <w:tab w:val="left" w:pos="709"/>
        </w:tabs>
        <w:jc w:val="both"/>
        <w:rPr>
          <w:rFonts w:ascii="Arial" w:hAnsi="Arial" w:cs="Arial"/>
          <w:sz w:val="20"/>
          <w:szCs w:val="20"/>
          <w:lang w:val="es-ES"/>
        </w:rPr>
      </w:pPr>
    </w:p>
    <w:p w:rsidR="00221F0B" w:rsidRPr="00434FFD" w:rsidRDefault="0007460F" w:rsidP="00EB45DE">
      <w:pPr>
        <w:pStyle w:val="NoSpacing"/>
        <w:numPr>
          <w:ilvl w:val="0"/>
          <w:numId w:val="109"/>
        </w:numPr>
        <w:tabs>
          <w:tab w:val="left" w:pos="709"/>
        </w:tabs>
        <w:ind w:left="0" w:firstLine="0"/>
        <w:jc w:val="both"/>
        <w:rPr>
          <w:rFonts w:ascii="Arial" w:hAnsi="Arial" w:cs="Arial"/>
          <w:sz w:val="20"/>
          <w:szCs w:val="20"/>
          <w:lang w:val="es-ES"/>
        </w:rPr>
      </w:pPr>
      <w:r>
        <w:rPr>
          <w:rFonts w:ascii="Arial" w:hAnsi="Arial" w:cs="Arial"/>
          <w:sz w:val="20"/>
          <w:szCs w:val="20"/>
          <w:lang w:val="es-ES"/>
        </w:rPr>
        <w:t xml:space="preserve">El consumo de energía, en particular electricidad </w:t>
      </w:r>
      <w:r w:rsidR="00221F0B" w:rsidRPr="00434FFD">
        <w:rPr>
          <w:rFonts w:ascii="Arial" w:hAnsi="Arial" w:cs="Arial"/>
          <w:sz w:val="20"/>
          <w:szCs w:val="20"/>
          <w:lang w:val="es-ES"/>
        </w:rPr>
        <w:t>y agua</w:t>
      </w:r>
      <w:r>
        <w:rPr>
          <w:rFonts w:ascii="Arial" w:hAnsi="Arial" w:cs="Arial"/>
          <w:sz w:val="20"/>
          <w:szCs w:val="20"/>
          <w:lang w:val="es-ES"/>
        </w:rPr>
        <w:t>,</w:t>
      </w:r>
      <w:r w:rsidR="00221F0B" w:rsidRPr="00434FFD">
        <w:rPr>
          <w:rFonts w:ascii="Arial" w:hAnsi="Arial" w:cs="Arial"/>
          <w:sz w:val="20"/>
          <w:szCs w:val="20"/>
          <w:lang w:val="es-ES"/>
        </w:rPr>
        <w:t xml:space="preserve"> se redujo un 5% y un 33% respectivamente en comparación con el bienio 2012/13, a pesar del consumo adicional que supone, desde septiembre de 2014, la nueva sala de conferencias de la OMPI.  En el recinto de la OMPI se completó la última fase del cambio hacia el empleo de una tecnología de refrigeración endógena y menos nociva para el medio ambiente a base de agua fría del lago de Ginebra, mediante la conexión o la modernización de las instalaciones.  Aun cuando el consumo energético y el costo asociado a esta tecnología de refrigeración en todos los edificios de la OMPI aumentaron respectivamente un 35% y un 34% en comparación con el bienio anterior, en ese mismo período de tiempo prácticamente se ha duplicado la superficie abarcada de los edificios.  Además, el aumento de costos se compensó en gran medida mediante la reducción del consumo de electricidad y agua y la estabilización del consumo de gas natural para la calefacción, lo que se tradujo en un ahorro general de 479.000 francos suizos en relación con el bienio anterior.  Por último, a ese importe vino a añadirse el reembolso de 24.300 francos suizos por parte del proveedor de electricidad que tenía un contrato con la OMPI hasta 2014, en concepto de porcentaje de electricidad no utilizada durante el año de referencia (2014).</w:t>
      </w:r>
    </w:p>
    <w:p w:rsidR="00221F0B" w:rsidRPr="00434FFD" w:rsidRDefault="00221F0B" w:rsidP="00DC1333">
      <w:pPr>
        <w:tabs>
          <w:tab w:val="left" w:pos="709"/>
          <w:tab w:val="left" w:pos="1440"/>
        </w:tabs>
        <w:jc w:val="both"/>
        <w:rPr>
          <w:sz w:val="20"/>
        </w:rPr>
      </w:pPr>
    </w:p>
    <w:p w:rsidR="00221F0B" w:rsidRPr="00434FFD" w:rsidRDefault="00221F0B" w:rsidP="00EB45DE">
      <w:pPr>
        <w:pStyle w:val="NoSpacing"/>
        <w:numPr>
          <w:ilvl w:val="0"/>
          <w:numId w:val="109"/>
        </w:numPr>
        <w:tabs>
          <w:tab w:val="left" w:pos="709"/>
        </w:tabs>
        <w:ind w:left="0" w:firstLine="0"/>
        <w:jc w:val="both"/>
        <w:rPr>
          <w:rFonts w:ascii="Arial" w:hAnsi="Arial" w:cs="Arial"/>
          <w:sz w:val="20"/>
          <w:szCs w:val="20"/>
          <w:lang w:val="es-ES"/>
        </w:rPr>
      </w:pPr>
      <w:r w:rsidRPr="00434FFD">
        <w:rPr>
          <w:rFonts w:ascii="Arial" w:hAnsi="Arial" w:cs="Arial"/>
          <w:sz w:val="20"/>
          <w:szCs w:val="20"/>
          <w:lang w:val="es-ES"/>
        </w:rPr>
        <w:t>En lo que respecta a la gestión de activos, durante el bienio se procedió por primera vez a encomendar la realización de un inventario de activos a una empresa externa.  En 2014 los activos en cuestión eran los valorados por encima de 1.000 francos suizos, así como obras de arte y artículos atractivos, independientemente de su valor.  En 2015 los activos en cuestión eran los valorados por encima de 5.000 francos suizos.  Esta forma de proceder, en dos fases, en sintonía con el bienio, tiene por finalidad estructurar la gestión de activos, tanto para la catalogación física como para la presentación de informes financieros a ese respecto.  A finales del bienio se publicó una nueva política sobre gestión de activos que debería servir de base a fin de establecer un sistema más sólido en el marco del Reglamento Financiero y la Reglamentación Financiera.</w:t>
      </w:r>
    </w:p>
    <w:p w:rsidR="00221F0B" w:rsidRPr="00434FFD" w:rsidRDefault="00221F0B" w:rsidP="00DC1333">
      <w:pPr>
        <w:pStyle w:val="ListParagraph"/>
        <w:ind w:left="0"/>
        <w:rPr>
          <w:rFonts w:cs="Arial"/>
          <w:lang w:val="es-ES"/>
        </w:rPr>
      </w:pPr>
    </w:p>
    <w:p w:rsidR="00221F0B" w:rsidRPr="00434FFD" w:rsidRDefault="00221F0B" w:rsidP="00EB45DE">
      <w:pPr>
        <w:pStyle w:val="NoSpacing"/>
        <w:numPr>
          <w:ilvl w:val="0"/>
          <w:numId w:val="109"/>
        </w:numPr>
        <w:tabs>
          <w:tab w:val="left" w:pos="709"/>
        </w:tabs>
        <w:ind w:left="0" w:firstLine="0"/>
        <w:jc w:val="both"/>
        <w:rPr>
          <w:rFonts w:ascii="Arial" w:hAnsi="Arial" w:cs="Arial"/>
          <w:sz w:val="20"/>
          <w:szCs w:val="20"/>
          <w:lang w:val="es-ES"/>
        </w:rPr>
      </w:pPr>
      <w:r w:rsidRPr="00434FFD">
        <w:rPr>
          <w:rFonts w:ascii="Arial" w:hAnsi="Arial" w:cs="Arial"/>
          <w:sz w:val="20"/>
          <w:szCs w:val="20"/>
          <w:lang w:val="es-ES"/>
        </w:rPr>
        <w:t>En 2015 se produjo por primera vez un aumento notable del número de actos culturales y de otro tipo (incluidos actos culturales simultáneos) y la complejidad de estos.   Ese año las instalaciones de la OMPI acogieron actos para celebrar el día nacional de seis Estados miembros.  Además, en varias ocasiones se alquilaron diversos espacios (entre ellos la nueva sala de conferencias de la OMPI) a entidades externas, en algunos casos pagando una cuota en concepto de alquiler o reembolsando los gastos en que se hubiere incurrido para organizar esos actos.</w:t>
      </w:r>
      <w:r w:rsidRPr="00434FFD">
        <w:rPr>
          <w:rStyle w:val="FootnoteReference"/>
          <w:rFonts w:ascii="Arial" w:hAnsi="Arial" w:cs="Arial"/>
          <w:sz w:val="20"/>
          <w:szCs w:val="20"/>
          <w:lang w:val="es-ES"/>
        </w:rPr>
        <w:footnoteReference w:id="136"/>
      </w:r>
    </w:p>
    <w:p w:rsidR="00221F0B" w:rsidRPr="00434FFD" w:rsidRDefault="00221F0B" w:rsidP="00DC1333">
      <w:pPr>
        <w:tabs>
          <w:tab w:val="left" w:pos="709"/>
        </w:tabs>
        <w:jc w:val="both"/>
        <w:rPr>
          <w:sz w:val="20"/>
        </w:rPr>
      </w:pPr>
    </w:p>
    <w:p w:rsidR="00221F0B" w:rsidRPr="00434FFD" w:rsidRDefault="00221F0B" w:rsidP="00EB45DE">
      <w:pPr>
        <w:pStyle w:val="NoSpacing"/>
        <w:numPr>
          <w:ilvl w:val="0"/>
          <w:numId w:val="109"/>
        </w:numPr>
        <w:tabs>
          <w:tab w:val="left" w:pos="709"/>
        </w:tabs>
        <w:ind w:left="0" w:firstLine="0"/>
        <w:jc w:val="both"/>
        <w:rPr>
          <w:rFonts w:ascii="Arial" w:hAnsi="Arial" w:cs="Arial"/>
          <w:sz w:val="20"/>
          <w:szCs w:val="20"/>
          <w:lang w:val="es-ES"/>
        </w:rPr>
      </w:pPr>
      <w:r w:rsidRPr="00434FFD">
        <w:rPr>
          <w:rFonts w:ascii="Arial" w:hAnsi="Arial" w:cs="Arial"/>
          <w:sz w:val="20"/>
          <w:szCs w:val="20"/>
          <w:lang w:val="es-ES"/>
        </w:rPr>
        <w:lastRenderedPageBreak/>
        <w:t>En el marco del proyecto de accesibilidad de la OMPI, y sobre la base de las recomendaciones formuladas a raíz de las auditorías realizadas en 2012 y 2013, durante el bienio se introdujeron varias mejoras en varios edificios.  Además, en el transcurso de 2014, y en el marco de las fases de construcción y/o renovación se incorporaron varias novedades que se habían previsto como parte del proyecto de construcción de la nueva sala de conferencias y renovación de varias plantas del edificio AB.  Entre las mejoras realizadas, cabe señalar:  i) rampas adicionales para el acceso con silla de ruedas (acceso a las cabinas de intérpretes en una nueva sala de reunión del nuevo edificio, acceso al estrado de la nueva sala de conferencias de la OMPI, acceso a las cabinas de intérpretes en dos nuevas salas de reunión de una planta renovada del edificio AB);  y ii) la instalación de lectores de tarjetas de identificación para facilitar su uso por las personas en sillas de ruedas en los edificios AB y PCT y el nuevo edificio, así como en la nueva sala de conferencias de la OMPI, mejoras que en parte han podido realizarse sin incurrir en grandes costos y/o que, al integrarse en otras infraestructuras o instalaciones, suponen un costo adicional mínimo.  Además, en 2015 se organizó una presentación para el personal y representantes de otros organismos de las Naciones Unidas con sede en Ginebra, al objeto de mostrar las mejoras llevadas a cabo en los distintos edificios e intercambiar experiencias sobre la metodología empleada para elegir las medidas y aplicarlas.</w:t>
      </w:r>
    </w:p>
    <w:p w:rsidR="00221F0B" w:rsidRPr="00434FFD" w:rsidRDefault="00221F0B" w:rsidP="00DC1333">
      <w:pPr>
        <w:tabs>
          <w:tab w:val="left" w:pos="709"/>
        </w:tabs>
        <w:jc w:val="both"/>
        <w:rPr>
          <w:sz w:val="20"/>
        </w:rPr>
      </w:pPr>
    </w:p>
    <w:p w:rsidR="00221F0B" w:rsidRPr="00434FFD" w:rsidRDefault="00221F0B" w:rsidP="00EB45DE">
      <w:pPr>
        <w:pStyle w:val="NoSpacing"/>
        <w:numPr>
          <w:ilvl w:val="0"/>
          <w:numId w:val="109"/>
        </w:numPr>
        <w:tabs>
          <w:tab w:val="left" w:pos="709"/>
        </w:tabs>
        <w:ind w:left="0" w:firstLine="0"/>
        <w:jc w:val="both"/>
        <w:rPr>
          <w:rFonts w:ascii="Arial" w:hAnsi="Arial" w:cs="Arial"/>
          <w:bCs/>
          <w:sz w:val="20"/>
          <w:lang w:val="es-ES"/>
        </w:rPr>
      </w:pPr>
      <w:r w:rsidRPr="00434FFD">
        <w:rPr>
          <w:rFonts w:ascii="Arial" w:hAnsi="Arial" w:cs="Arial"/>
          <w:sz w:val="20"/>
          <w:szCs w:val="20"/>
          <w:lang w:val="es-ES"/>
        </w:rPr>
        <w:t>Durante el bienio, y en el marco de la iniciativa de responsabilidad medioambiental de la OMPI, se llevaron a cabo varias actividades encaminadas a promover una toma de conciencia medioambiental entre el personal y/o tomar medidas concretas y prácticas en ese ámbito.  Se trata de iniciativas relacionadas con las instalaciones y la utilización de medios alternativos para los desplazamientos entre el hogar y el lugar de trabajo.  Entre los aspectos relacionados con las instalaciones se incluyeron los siguientes:  i) modernización de las instalaciones técnicas para adoptar soluciones más ecológicas;  ii) modernización de las instalaciones eléctricas, reducción del consumo de electricidad gracias a un acuerdo con el proveedor local de electricidad hasta 2014;  iii) renovación para el nuevo edificio de la tarifa eléctrica que presenta el máximo porcentaje de contribución a la producción de electricidad renovable del Cantón de Ginebra en 2014;  iv) introducción de un nuevo plan menos nocivo para el medio ambiente con el nuevo proveedor de electricidad a partir de enero de 2015.  Entre las iniciativas relacionadas con los medios alternativos para los desplazamientos entre el hogar y el lugar de trabajo se incluyeron las siguientes</w:t>
      </w:r>
      <w:proofErr w:type="gramStart"/>
      <w:r w:rsidRPr="00434FFD">
        <w:rPr>
          <w:rFonts w:ascii="Arial" w:hAnsi="Arial" w:cs="Arial"/>
          <w:sz w:val="20"/>
          <w:szCs w:val="20"/>
          <w:lang w:val="es-ES"/>
        </w:rPr>
        <w:t>:  i</w:t>
      </w:r>
      <w:proofErr w:type="gramEnd"/>
      <w:r w:rsidRPr="00434FFD">
        <w:rPr>
          <w:rFonts w:ascii="Arial" w:hAnsi="Arial" w:cs="Arial"/>
          <w:sz w:val="20"/>
          <w:szCs w:val="20"/>
          <w:lang w:val="es-ES"/>
        </w:rPr>
        <w:t xml:space="preserve">) días o meses de movilidad utilizando el transporte público;  ii) alquiler gratuito de bicicletas eléctricas, y iii) reparación de bicicletas.  Además, la OMPI participó en varias iniciativas en el contexto interinstitucional de las Naciones Unidas, sobre todo por conducto del Programa de las Naciones Unidas para el Medio Ambiente (PNUMA) y la iniciativa “Por unas Naciones Unidas sostenibles” (“SUN”), como la participación en la compilación anual de datos para la Calculadora de gases del efecto invernadero y la asistencia a varias reuniones y foros.  Siguiendo la línea del compromiso de la OMPI a fin de compensar las emisiones de carbono, en junio de 2015 se celebró en el recinto de la OMPI la </w:t>
      </w:r>
      <w:r w:rsidRPr="00434FFD">
        <w:rPr>
          <w:rFonts w:ascii="Arial" w:hAnsi="Arial" w:cs="Arial"/>
          <w:iCs/>
          <w:sz w:val="20"/>
          <w:szCs w:val="20"/>
          <w:lang w:val="es-ES"/>
        </w:rPr>
        <w:t>Reunión</w:t>
      </w:r>
      <w:r w:rsidRPr="00434FFD">
        <w:rPr>
          <w:rFonts w:ascii="Arial" w:hAnsi="Arial" w:cs="Arial"/>
          <w:sz w:val="20"/>
          <w:szCs w:val="20"/>
          <w:lang w:val="es-ES"/>
        </w:rPr>
        <w:t xml:space="preserve"> </w:t>
      </w:r>
      <w:r w:rsidRPr="00434FFD">
        <w:rPr>
          <w:rFonts w:ascii="Arial" w:hAnsi="Arial" w:cs="Arial"/>
          <w:iCs/>
          <w:sz w:val="20"/>
          <w:szCs w:val="20"/>
          <w:lang w:val="es-ES"/>
        </w:rPr>
        <w:t>Anual</w:t>
      </w:r>
      <w:r w:rsidRPr="00434FFD">
        <w:rPr>
          <w:rFonts w:ascii="Arial" w:hAnsi="Arial" w:cs="Arial"/>
          <w:sz w:val="20"/>
          <w:szCs w:val="20"/>
          <w:lang w:val="es-ES"/>
        </w:rPr>
        <w:t xml:space="preserve"> </w:t>
      </w:r>
      <w:r w:rsidRPr="00434FFD">
        <w:rPr>
          <w:rFonts w:ascii="Arial" w:hAnsi="Arial" w:cs="Arial"/>
          <w:iCs/>
          <w:sz w:val="20"/>
          <w:szCs w:val="20"/>
          <w:lang w:val="es-ES"/>
        </w:rPr>
        <w:t>Internacional</w:t>
      </w:r>
      <w:r w:rsidRPr="00434FFD">
        <w:rPr>
          <w:rFonts w:ascii="Arial" w:hAnsi="Arial" w:cs="Arial"/>
          <w:sz w:val="20"/>
          <w:szCs w:val="20"/>
          <w:lang w:val="es-ES"/>
        </w:rPr>
        <w:t xml:space="preserve"> </w:t>
      </w:r>
      <w:r w:rsidRPr="00434FFD">
        <w:rPr>
          <w:rFonts w:ascii="Arial" w:hAnsi="Arial" w:cs="Arial"/>
          <w:iCs/>
          <w:sz w:val="20"/>
          <w:szCs w:val="20"/>
          <w:lang w:val="es-ES"/>
        </w:rPr>
        <w:t>sobre</w:t>
      </w:r>
      <w:r w:rsidRPr="00434FFD">
        <w:rPr>
          <w:rFonts w:ascii="Arial" w:hAnsi="Arial" w:cs="Arial"/>
          <w:sz w:val="20"/>
          <w:szCs w:val="20"/>
          <w:lang w:val="es-ES"/>
        </w:rPr>
        <w:t xml:space="preserve"> </w:t>
      </w:r>
      <w:r w:rsidRPr="00434FFD">
        <w:rPr>
          <w:rFonts w:ascii="Arial" w:hAnsi="Arial" w:cs="Arial"/>
          <w:iCs/>
          <w:sz w:val="20"/>
          <w:szCs w:val="20"/>
          <w:lang w:val="es-ES"/>
        </w:rPr>
        <w:t>Disposiciones</w:t>
      </w:r>
      <w:r w:rsidRPr="00434FFD">
        <w:rPr>
          <w:rFonts w:ascii="Arial" w:hAnsi="Arial" w:cs="Arial"/>
          <w:sz w:val="20"/>
          <w:szCs w:val="20"/>
          <w:lang w:val="es-ES"/>
        </w:rPr>
        <w:t xml:space="preserve"> </w:t>
      </w:r>
      <w:r w:rsidRPr="00434FFD">
        <w:rPr>
          <w:rFonts w:ascii="Arial" w:hAnsi="Arial" w:cs="Arial"/>
          <w:iCs/>
          <w:sz w:val="20"/>
          <w:szCs w:val="20"/>
          <w:lang w:val="es-ES"/>
        </w:rPr>
        <w:t>en</w:t>
      </w:r>
      <w:r w:rsidRPr="00434FFD">
        <w:rPr>
          <w:rFonts w:ascii="Arial" w:hAnsi="Arial" w:cs="Arial"/>
          <w:sz w:val="20"/>
          <w:szCs w:val="20"/>
          <w:lang w:val="es-ES"/>
        </w:rPr>
        <w:t xml:space="preserve"> </w:t>
      </w:r>
      <w:r w:rsidRPr="00434FFD">
        <w:rPr>
          <w:rFonts w:ascii="Arial" w:hAnsi="Arial" w:cs="Arial"/>
          <w:iCs/>
          <w:sz w:val="20"/>
          <w:szCs w:val="20"/>
          <w:lang w:val="es-ES"/>
        </w:rPr>
        <w:t>Materia</w:t>
      </w:r>
      <w:r w:rsidRPr="00434FFD">
        <w:rPr>
          <w:rFonts w:ascii="Arial" w:hAnsi="Arial" w:cs="Arial"/>
          <w:sz w:val="20"/>
          <w:szCs w:val="20"/>
          <w:lang w:val="es-ES"/>
        </w:rPr>
        <w:t xml:space="preserve"> </w:t>
      </w:r>
      <w:r w:rsidRPr="00434FFD">
        <w:rPr>
          <w:rFonts w:ascii="Arial" w:hAnsi="Arial" w:cs="Arial"/>
          <w:iCs/>
          <w:sz w:val="20"/>
          <w:szCs w:val="20"/>
          <w:lang w:val="es-ES"/>
        </w:rPr>
        <w:t>de</w:t>
      </w:r>
      <w:r w:rsidRPr="00434FFD">
        <w:rPr>
          <w:rFonts w:ascii="Arial" w:hAnsi="Arial" w:cs="Arial"/>
          <w:sz w:val="20"/>
          <w:szCs w:val="20"/>
          <w:lang w:val="es-ES"/>
        </w:rPr>
        <w:t xml:space="preserve"> </w:t>
      </w:r>
      <w:r w:rsidRPr="00434FFD">
        <w:rPr>
          <w:rFonts w:ascii="Arial" w:hAnsi="Arial" w:cs="Arial"/>
          <w:iCs/>
          <w:sz w:val="20"/>
          <w:szCs w:val="20"/>
          <w:lang w:val="es-ES"/>
        </w:rPr>
        <w:t>Idiomas</w:t>
      </w:r>
      <w:r w:rsidRPr="00434FFD">
        <w:rPr>
          <w:rFonts w:ascii="Arial" w:hAnsi="Arial" w:cs="Arial"/>
          <w:sz w:val="20"/>
          <w:szCs w:val="20"/>
          <w:lang w:val="es-ES"/>
        </w:rPr>
        <w:t xml:space="preserve">, </w:t>
      </w:r>
      <w:r w:rsidRPr="00434FFD">
        <w:rPr>
          <w:rFonts w:ascii="Arial" w:hAnsi="Arial" w:cs="Arial"/>
          <w:iCs/>
          <w:sz w:val="20"/>
          <w:szCs w:val="20"/>
          <w:lang w:val="es-ES"/>
        </w:rPr>
        <w:t>Documentación</w:t>
      </w:r>
      <w:r w:rsidRPr="00434FFD">
        <w:rPr>
          <w:rFonts w:ascii="Arial" w:hAnsi="Arial" w:cs="Arial"/>
          <w:sz w:val="20"/>
          <w:szCs w:val="20"/>
          <w:lang w:val="es-ES"/>
        </w:rPr>
        <w:t xml:space="preserve"> </w:t>
      </w:r>
      <w:r w:rsidRPr="00434FFD">
        <w:rPr>
          <w:rFonts w:ascii="Arial" w:hAnsi="Arial" w:cs="Arial"/>
          <w:iCs/>
          <w:sz w:val="20"/>
          <w:szCs w:val="20"/>
          <w:lang w:val="es-ES"/>
        </w:rPr>
        <w:t>y</w:t>
      </w:r>
      <w:r w:rsidRPr="00434FFD">
        <w:rPr>
          <w:rFonts w:ascii="Arial" w:hAnsi="Arial" w:cs="Arial"/>
          <w:sz w:val="20"/>
          <w:szCs w:val="20"/>
          <w:lang w:val="es-ES"/>
        </w:rPr>
        <w:t xml:space="preserve"> </w:t>
      </w:r>
      <w:r w:rsidRPr="00434FFD">
        <w:rPr>
          <w:rFonts w:ascii="Arial" w:hAnsi="Arial" w:cs="Arial"/>
          <w:iCs/>
          <w:sz w:val="20"/>
          <w:szCs w:val="20"/>
          <w:lang w:val="es-ES"/>
        </w:rPr>
        <w:t>Publicaciones (IAMLADP) de 2015, que fue declarada reunión “ecológica” por el Programa de las Naciones Unidas para el Medio Ambiente (PNUMA), de conformidad con las referencia de las Naciones Unidas.  Asimismo, en el contexto de la meta de las Naciones Unidas de lograr la neutralidad de carbono en 2020, con la que la OMPI se comprometió en</w:t>
      </w:r>
      <w:r w:rsidRPr="00434FFD">
        <w:rPr>
          <w:rFonts w:ascii="Arial" w:eastAsia="MS Mincho" w:hAnsi="Arial" w:cs="Arial"/>
          <w:sz w:val="20"/>
          <w:lang w:val="es-ES" w:eastAsia="ja-JP" w:bidi="th-TH"/>
        </w:rPr>
        <w:t xml:space="preserve"> septiembre de 2014, la Organización compró certificados de compensación por medio de la Convención Marco de las Naciones Unidas sobre el Cambio Climático (CMNUCC) desde 2014 hasta 2020.  Estos certificados se calcularon a partir de los datos utilizados para la calculadora de emisiones de gases de efecto invernadero en 2014, creada por el PNUMA a modo de contribución de las Naciones Un</w:t>
      </w:r>
      <w:r>
        <w:rPr>
          <w:rFonts w:ascii="Arial" w:eastAsia="MS Mincho" w:hAnsi="Arial" w:cs="Arial"/>
          <w:sz w:val="20"/>
          <w:lang w:val="es-ES" w:eastAsia="ja-JP" w:bidi="th-TH"/>
        </w:rPr>
        <w:t>idas a la COP21 de noviembre de </w:t>
      </w:r>
      <w:r w:rsidRPr="00434FFD">
        <w:rPr>
          <w:rFonts w:ascii="Arial" w:eastAsia="MS Mincho" w:hAnsi="Arial" w:cs="Arial"/>
          <w:sz w:val="20"/>
          <w:lang w:val="es-ES" w:eastAsia="ja-JP" w:bidi="th-TH"/>
        </w:rPr>
        <w:t>2015.  Por lo tanto, la OMPI se encuentra en disposición de afirmar que ha compensado sus emisiones de carbono hasta 2020.  De este modo, durante el bienio 2014/15 la OMPI consiguió por primera vez un logro de esta índole en el marco del objetivo para 2020 que incumbe a todo el sistema de las Naciones Unidas.</w:t>
      </w:r>
    </w:p>
    <w:p w:rsidR="00221F0B" w:rsidRDefault="00221F0B" w:rsidP="00DC1333">
      <w:pPr>
        <w:pStyle w:val="NoSpacing"/>
        <w:jc w:val="both"/>
        <w:rPr>
          <w:rFonts w:ascii="Arial" w:hAnsi="Arial" w:cs="Arial"/>
          <w:bCs/>
          <w:sz w:val="20"/>
          <w:lang w:val="es-ES"/>
        </w:rPr>
      </w:pPr>
    </w:p>
    <w:p w:rsidR="00221F0B" w:rsidRPr="00434FFD" w:rsidRDefault="00221F0B" w:rsidP="00DC1333">
      <w:pPr>
        <w:pStyle w:val="NoSpacing"/>
        <w:jc w:val="both"/>
        <w:rPr>
          <w:rFonts w:ascii="Arial" w:hAnsi="Arial" w:cs="Arial"/>
          <w:bCs/>
          <w:sz w:val="20"/>
          <w:lang w:val="es-ES"/>
        </w:rPr>
      </w:pPr>
    </w:p>
    <w:p w:rsidR="00221F0B" w:rsidRPr="00434FFD" w:rsidRDefault="008F7CBE" w:rsidP="00DC1333">
      <w:pPr>
        <w:keepNext/>
      </w:pPr>
      <w:r w:rsidRPr="008F7CBE">
        <w:rPr>
          <w:sz w:val="20"/>
        </w:rPr>
        <w:lastRenderedPageBreak/>
        <w:t>DATOS SOBRE EL RENDIMIENTO</w:t>
      </w:r>
    </w:p>
    <w:p w:rsidR="00221F0B" w:rsidRPr="00434FFD" w:rsidRDefault="00221F0B" w:rsidP="00DC1333">
      <w:pPr>
        <w:keepNext/>
        <w:rPr>
          <w:b/>
          <w:sz w:val="16"/>
          <w:szCs w:val="16"/>
        </w:rPr>
      </w:pPr>
    </w:p>
    <w:tbl>
      <w:tblPr>
        <w:tblW w:w="489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3"/>
        <w:gridCol w:w="15"/>
        <w:gridCol w:w="2376"/>
        <w:gridCol w:w="34"/>
        <w:gridCol w:w="279"/>
        <w:gridCol w:w="1376"/>
        <w:gridCol w:w="47"/>
        <w:gridCol w:w="279"/>
        <w:gridCol w:w="1563"/>
        <w:gridCol w:w="82"/>
        <w:gridCol w:w="62"/>
        <w:gridCol w:w="1134"/>
      </w:tblGrid>
      <w:tr w:rsidR="00221F0B" w:rsidRPr="00434FFD" w:rsidTr="00DC1333">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221F0B" w:rsidRPr="00434FFD" w:rsidRDefault="00221F0B" w:rsidP="00DC1333">
            <w:pPr>
              <w:keepNext/>
              <w:spacing w:before="120" w:after="120"/>
              <w:ind w:left="2019" w:hanging="2019"/>
              <w:rPr>
                <w:b/>
                <w:bCs/>
                <w:sz w:val="16"/>
                <w:szCs w:val="16"/>
              </w:rPr>
            </w:pPr>
            <w:r w:rsidRPr="00434FFD">
              <w:rPr>
                <w:b/>
                <w:bCs/>
                <w:sz w:val="16"/>
                <w:szCs w:val="16"/>
              </w:rPr>
              <w:t>Resultado previsto:</w:t>
            </w:r>
            <w:r w:rsidRPr="00434FFD">
              <w:rPr>
                <w:b/>
                <w:bCs/>
                <w:sz w:val="16"/>
                <w:szCs w:val="16"/>
              </w:rPr>
              <w:tab/>
            </w:r>
            <w:r w:rsidRPr="00434FFD">
              <w:rPr>
                <w:sz w:val="16"/>
                <w:szCs w:val="16"/>
              </w:rPr>
              <w:t>VIII.5 La OMPI participa y colabora eficazmente en los procesos y negociaciones de las NN.UU. y otras OIG</w:t>
            </w:r>
          </w:p>
        </w:tc>
      </w:tr>
      <w:tr w:rsidR="00221F0B" w:rsidRPr="00434FFD" w:rsidTr="00DC1333">
        <w:trPr>
          <w:cantSplit/>
        </w:trPr>
        <w:tc>
          <w:tcPr>
            <w:tcW w:w="1137" w:type="pct"/>
            <w:gridSpan w:val="2"/>
            <w:tcBorders>
              <w:top w:val="single" w:sz="4" w:space="0" w:color="auto"/>
            </w:tcBorders>
            <w:shd w:val="clear" w:color="auto" w:fill="auto"/>
            <w:vAlign w:val="center"/>
          </w:tcPr>
          <w:p w:rsidR="00221F0B" w:rsidRPr="00434FFD" w:rsidRDefault="00221F0B" w:rsidP="00DC1333">
            <w:pPr>
              <w:keepNext/>
              <w:rPr>
                <w:sz w:val="16"/>
                <w:szCs w:val="16"/>
              </w:rPr>
            </w:pPr>
            <w:r w:rsidRPr="00434FFD">
              <w:rPr>
                <w:b/>
                <w:sz w:val="16"/>
                <w:szCs w:val="16"/>
              </w:rPr>
              <w:t>Indicadores de rendimiento</w:t>
            </w:r>
          </w:p>
        </w:tc>
        <w:tc>
          <w:tcPr>
            <w:tcW w:w="1436" w:type="pct"/>
            <w:gridSpan w:val="3"/>
            <w:tcBorders>
              <w:top w:val="single" w:sz="4" w:space="0" w:color="auto"/>
            </w:tcBorders>
            <w:shd w:val="clear" w:color="auto" w:fill="auto"/>
            <w:vAlign w:val="center"/>
          </w:tcPr>
          <w:p w:rsidR="00221F0B" w:rsidRPr="00434FFD" w:rsidRDefault="00221F0B" w:rsidP="00DC1333">
            <w:pPr>
              <w:keepNext/>
              <w:rPr>
                <w:b/>
                <w:bCs/>
                <w:sz w:val="16"/>
                <w:szCs w:val="16"/>
              </w:rPr>
            </w:pPr>
            <w:r w:rsidRPr="00434FFD">
              <w:rPr>
                <w:b/>
                <w:bCs/>
                <w:sz w:val="16"/>
                <w:szCs w:val="16"/>
              </w:rPr>
              <w:t>Referencia</w:t>
            </w:r>
          </w:p>
        </w:tc>
        <w:tc>
          <w:tcPr>
            <w:tcW w:w="909" w:type="pct"/>
            <w:gridSpan w:val="3"/>
            <w:tcBorders>
              <w:top w:val="single" w:sz="4" w:space="0" w:color="auto"/>
            </w:tcBorders>
            <w:shd w:val="clear" w:color="auto" w:fill="auto"/>
            <w:tcMar>
              <w:top w:w="110" w:type="dxa"/>
            </w:tcMar>
            <w:vAlign w:val="center"/>
          </w:tcPr>
          <w:p w:rsidR="00221F0B" w:rsidRPr="00434FFD" w:rsidRDefault="00221F0B" w:rsidP="00DC1333">
            <w:pPr>
              <w:keepNext/>
              <w:rPr>
                <w:b/>
                <w:sz w:val="16"/>
                <w:szCs w:val="16"/>
              </w:rPr>
            </w:pPr>
            <w:r w:rsidRPr="00434FFD">
              <w:rPr>
                <w:b/>
                <w:sz w:val="16"/>
                <w:szCs w:val="16"/>
              </w:rPr>
              <w:t>Objetivos</w:t>
            </w:r>
          </w:p>
        </w:tc>
        <w:tc>
          <w:tcPr>
            <w:tcW w:w="835" w:type="pct"/>
            <w:tcBorders>
              <w:top w:val="single" w:sz="4" w:space="0" w:color="auto"/>
            </w:tcBorders>
            <w:shd w:val="clear" w:color="auto" w:fill="FFFFFF"/>
            <w:tcMar>
              <w:top w:w="110" w:type="dxa"/>
            </w:tcMar>
            <w:vAlign w:val="center"/>
          </w:tcPr>
          <w:p w:rsidR="00221F0B" w:rsidRPr="00434FFD" w:rsidRDefault="00221F0B" w:rsidP="00DC1333">
            <w:pPr>
              <w:keepNext/>
              <w:rPr>
                <w:sz w:val="16"/>
                <w:szCs w:val="16"/>
              </w:rPr>
            </w:pPr>
            <w:r w:rsidRPr="00434FFD">
              <w:rPr>
                <w:b/>
                <w:sz w:val="16"/>
                <w:szCs w:val="16"/>
              </w:rPr>
              <w:t>Datos sobre el rendimiento</w:t>
            </w:r>
          </w:p>
        </w:tc>
        <w:tc>
          <w:tcPr>
            <w:tcW w:w="683" w:type="pct"/>
            <w:gridSpan w:val="3"/>
            <w:tcBorders>
              <w:top w:val="single" w:sz="4" w:space="0" w:color="auto"/>
            </w:tcBorders>
            <w:shd w:val="clear" w:color="auto" w:fill="auto"/>
            <w:tcMar>
              <w:top w:w="110" w:type="dxa"/>
            </w:tcMar>
            <w:vAlign w:val="center"/>
          </w:tcPr>
          <w:p w:rsidR="00221F0B" w:rsidRPr="00434FFD" w:rsidRDefault="00221F0B" w:rsidP="00DC1333">
            <w:pPr>
              <w:keepNext/>
              <w:jc w:val="center"/>
              <w:rPr>
                <w:b/>
                <w:bCs/>
                <w:sz w:val="16"/>
                <w:szCs w:val="16"/>
              </w:rPr>
            </w:pPr>
            <w:r w:rsidRPr="00434FFD">
              <w:rPr>
                <w:b/>
                <w:bCs/>
                <w:sz w:val="16"/>
                <w:szCs w:val="16"/>
              </w:rPr>
              <w:t>Clave de colores</w:t>
            </w:r>
          </w:p>
        </w:tc>
      </w:tr>
      <w:tr w:rsidR="00221F0B" w:rsidRPr="00434FFD" w:rsidTr="00DC1333">
        <w:trPr>
          <w:cantSplit/>
        </w:trPr>
        <w:tc>
          <w:tcPr>
            <w:tcW w:w="1137" w:type="pct"/>
            <w:gridSpan w:val="2"/>
            <w:shd w:val="clear" w:color="auto" w:fill="auto"/>
          </w:tcPr>
          <w:p w:rsidR="00221F0B" w:rsidRPr="00434FFD" w:rsidRDefault="00221F0B" w:rsidP="00DC1333">
            <w:pPr>
              <w:keepNext/>
              <w:rPr>
                <w:sz w:val="16"/>
                <w:szCs w:val="16"/>
              </w:rPr>
            </w:pPr>
            <w:r w:rsidRPr="00434FFD">
              <w:rPr>
                <w:sz w:val="16"/>
                <w:szCs w:val="16"/>
              </w:rPr>
              <w:t>Recomendaciones del Comité de Alto Nivel sobre Gestión y redes secundarias que se dan por aplicadas</w:t>
            </w:r>
          </w:p>
        </w:tc>
        <w:tc>
          <w:tcPr>
            <w:tcW w:w="1436" w:type="pct"/>
            <w:gridSpan w:val="3"/>
            <w:shd w:val="clear" w:color="auto" w:fill="auto"/>
          </w:tcPr>
          <w:p w:rsidR="00221F0B" w:rsidRPr="00434FFD" w:rsidRDefault="00221F0B" w:rsidP="00DC1333">
            <w:pPr>
              <w:keepNext/>
              <w:keepLines/>
              <w:rPr>
                <w:color w:val="002060"/>
                <w:sz w:val="16"/>
                <w:szCs w:val="16"/>
              </w:rPr>
            </w:pPr>
            <w:r w:rsidRPr="00434FFD">
              <w:rPr>
                <w:i/>
                <w:color w:val="002060"/>
                <w:sz w:val="16"/>
                <w:szCs w:val="16"/>
              </w:rPr>
              <w:t>Referencia actualizada a fines de 2013</w:t>
            </w:r>
            <w:proofErr w:type="gramStart"/>
            <w:r w:rsidRPr="00434FFD">
              <w:rPr>
                <w:i/>
                <w:color w:val="002060"/>
                <w:sz w:val="16"/>
                <w:szCs w:val="16"/>
              </w:rPr>
              <w:t>:</w:t>
            </w:r>
            <w:r w:rsidRPr="00434FFD">
              <w:rPr>
                <w:color w:val="002060"/>
                <w:sz w:val="16"/>
                <w:szCs w:val="16"/>
              </w:rPr>
              <w:t xml:space="preserve">  13</w:t>
            </w:r>
            <w:proofErr w:type="gramEnd"/>
            <w:r w:rsidRPr="00434FFD">
              <w:rPr>
                <w:color w:val="002060"/>
                <w:sz w:val="16"/>
                <w:szCs w:val="16"/>
              </w:rPr>
              <w:t xml:space="preserve"> de las 36 recomendaciones de la Dependencia Común de Inspección (DCI)/órganos legislativos que estaban pendientes se dieron por aplicadas en 2013 (36%)</w:t>
            </w:r>
          </w:p>
          <w:p w:rsidR="00221F0B" w:rsidRPr="00434FFD" w:rsidRDefault="00221F0B" w:rsidP="00DC1333">
            <w:pPr>
              <w:keepNext/>
              <w:keepLines/>
              <w:rPr>
                <w:color w:val="002060"/>
                <w:sz w:val="16"/>
                <w:szCs w:val="16"/>
              </w:rPr>
            </w:pPr>
          </w:p>
          <w:p w:rsidR="00221F0B" w:rsidRPr="00434FFD" w:rsidRDefault="00221F0B" w:rsidP="00DC1333">
            <w:pPr>
              <w:keepNext/>
              <w:keepLines/>
              <w:rPr>
                <w:rFonts w:cstheme="minorBidi"/>
                <w:szCs w:val="22"/>
              </w:rPr>
            </w:pPr>
            <w:r w:rsidRPr="00434FFD">
              <w:rPr>
                <w:i/>
                <w:sz w:val="16"/>
                <w:szCs w:val="16"/>
              </w:rPr>
              <w:t xml:space="preserve">Referencia original en el presupuesto de 2014/15:  </w:t>
            </w:r>
            <w:r w:rsidRPr="00434FFD">
              <w:rPr>
                <w:sz w:val="16"/>
                <w:szCs w:val="16"/>
              </w:rPr>
              <w:t>Porcentaje de recomendaciones dadas por aplicadas al 1 de enero de 2013</w:t>
            </w:r>
          </w:p>
        </w:tc>
        <w:tc>
          <w:tcPr>
            <w:tcW w:w="909" w:type="pct"/>
            <w:gridSpan w:val="3"/>
            <w:shd w:val="clear" w:color="auto" w:fill="auto"/>
            <w:tcMar>
              <w:top w:w="110" w:type="dxa"/>
            </w:tcMar>
          </w:tcPr>
          <w:p w:rsidR="00221F0B" w:rsidRPr="00434FFD" w:rsidRDefault="00221F0B" w:rsidP="00DC1333">
            <w:pPr>
              <w:keepNext/>
              <w:keepLines/>
              <w:rPr>
                <w:sz w:val="16"/>
                <w:szCs w:val="16"/>
                <w:lang w:bidi="th-TH"/>
              </w:rPr>
            </w:pPr>
            <w:r w:rsidRPr="00434FFD">
              <w:rPr>
                <w:sz w:val="16"/>
                <w:szCs w:val="16"/>
                <w:lang w:bidi="th-TH"/>
              </w:rPr>
              <w:t>Porcentaje de recomendaciones dadas por aplicadas al 31 de  diciembre de 2015</w:t>
            </w:r>
            <w:r w:rsidRPr="00434FFD">
              <w:rPr>
                <w:rStyle w:val="FootnoteReference"/>
                <w:sz w:val="16"/>
                <w:szCs w:val="16"/>
                <w:lang w:bidi="th-TH"/>
              </w:rPr>
              <w:footnoteReference w:id="137"/>
            </w:r>
          </w:p>
        </w:tc>
        <w:tc>
          <w:tcPr>
            <w:tcW w:w="835" w:type="pct"/>
            <w:shd w:val="clear" w:color="auto" w:fill="FFFFFF"/>
            <w:tcMar>
              <w:top w:w="110" w:type="dxa"/>
            </w:tcMar>
          </w:tcPr>
          <w:p w:rsidR="00221F0B" w:rsidRPr="00434FFD" w:rsidRDefault="00221F0B" w:rsidP="00DC1333">
            <w:pPr>
              <w:keepNext/>
              <w:keepLines/>
              <w:rPr>
                <w:sz w:val="16"/>
                <w:szCs w:val="16"/>
                <w:lang w:bidi="th-TH"/>
              </w:rPr>
            </w:pPr>
            <w:r w:rsidRPr="00434FFD">
              <w:rPr>
                <w:color w:val="002060"/>
                <w:sz w:val="16"/>
                <w:szCs w:val="16"/>
              </w:rPr>
              <w:t>En 2014/15 el 64% (23 de 36) de las recomendaciones de la Dependencia Común de Inspección (DCI) dirigidas a los órganos legislativos de la OMPI se dieron por aplicadas.</w:t>
            </w:r>
          </w:p>
        </w:tc>
        <w:tc>
          <w:tcPr>
            <w:tcW w:w="683" w:type="pct"/>
            <w:gridSpan w:val="3"/>
            <w:shd w:val="clear" w:color="auto" w:fill="auto"/>
            <w:tcMar>
              <w:top w:w="110" w:type="dxa"/>
            </w:tcMar>
          </w:tcPr>
          <w:p w:rsidR="00221F0B" w:rsidRPr="00434FFD" w:rsidRDefault="00221F0B" w:rsidP="00DC1333">
            <w:pPr>
              <w:keepNext/>
              <w:keepLines/>
              <w:jc w:val="center"/>
              <w:rPr>
                <w:b/>
                <w:bCs/>
                <w:color w:val="808080"/>
                <w:sz w:val="16"/>
                <w:szCs w:val="16"/>
              </w:rPr>
            </w:pPr>
            <w:r w:rsidRPr="00434FFD">
              <w:rPr>
                <w:b/>
                <w:bCs/>
                <w:color w:val="BFBFBF" w:themeColor="background1" w:themeShade="BF"/>
                <w:sz w:val="16"/>
                <w:szCs w:val="16"/>
              </w:rPr>
              <w:t>No mensurable</w:t>
            </w:r>
          </w:p>
        </w:tc>
      </w:tr>
      <w:tr w:rsidR="00221F0B" w:rsidRPr="00434FFD" w:rsidTr="00DC1333">
        <w:trPr>
          <w:cantSplit/>
        </w:trPr>
        <w:tc>
          <w:tcPr>
            <w:tcW w:w="1137" w:type="pct"/>
            <w:gridSpan w:val="2"/>
            <w:shd w:val="clear" w:color="auto" w:fill="auto"/>
          </w:tcPr>
          <w:p w:rsidR="00221F0B" w:rsidRPr="00434FFD" w:rsidRDefault="00221F0B" w:rsidP="00DC1333">
            <w:pPr>
              <w:rPr>
                <w:sz w:val="16"/>
                <w:szCs w:val="16"/>
              </w:rPr>
            </w:pPr>
            <w:r w:rsidRPr="00434FFD">
              <w:rPr>
                <w:sz w:val="16"/>
                <w:szCs w:val="16"/>
              </w:rPr>
              <w:t>Porcentaje de productos y servicios contratados y adquiridos a nivel local en comparación con el importe total de los adquiridos para actividades de desarrollo</w:t>
            </w:r>
          </w:p>
        </w:tc>
        <w:tc>
          <w:tcPr>
            <w:tcW w:w="1436" w:type="pct"/>
            <w:gridSpan w:val="3"/>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rPr>
                <w:color w:val="002060"/>
                <w:sz w:val="16"/>
                <w:szCs w:val="16"/>
              </w:rPr>
              <w:t>48%</w:t>
            </w:r>
          </w:p>
          <w:p w:rsidR="00221F0B" w:rsidRPr="00434FFD" w:rsidRDefault="00221F0B" w:rsidP="00DC1333">
            <w:pPr>
              <w:rPr>
                <w:rFonts w:cstheme="minorBidi"/>
                <w:color w:val="002060"/>
                <w:sz w:val="16"/>
                <w:szCs w:val="16"/>
              </w:rPr>
            </w:pPr>
          </w:p>
          <w:p w:rsidR="00221F0B" w:rsidRPr="00434FFD" w:rsidRDefault="00221F0B" w:rsidP="00DC1333">
            <w:pPr>
              <w:rPr>
                <w:rFonts w:cstheme="minorBidi"/>
                <w:szCs w:val="22"/>
              </w:rPr>
            </w:pPr>
            <w:r w:rsidRPr="00434FFD">
              <w:rPr>
                <w:i/>
                <w:sz w:val="16"/>
                <w:szCs w:val="16"/>
              </w:rPr>
              <w:t xml:space="preserve">Referencia original en el presupuesto de 2014/15:  </w:t>
            </w:r>
            <w:r w:rsidRPr="00434FFD">
              <w:rPr>
                <w:sz w:val="16"/>
                <w:szCs w:val="16"/>
              </w:rPr>
              <w:t>resultado de</w:t>
            </w:r>
            <w:r w:rsidRPr="00434FFD">
              <w:rPr>
                <w:i/>
                <w:sz w:val="16"/>
                <w:szCs w:val="16"/>
              </w:rPr>
              <w:t xml:space="preserve"> </w:t>
            </w:r>
            <w:r w:rsidRPr="00434FFD">
              <w:rPr>
                <w:sz w:val="16"/>
                <w:szCs w:val="16"/>
              </w:rPr>
              <w:t>2013</w:t>
            </w:r>
          </w:p>
        </w:tc>
        <w:tc>
          <w:tcPr>
            <w:tcW w:w="909" w:type="pct"/>
            <w:gridSpan w:val="3"/>
            <w:shd w:val="clear" w:color="auto" w:fill="auto"/>
            <w:tcMar>
              <w:top w:w="110" w:type="dxa"/>
            </w:tcMar>
          </w:tcPr>
          <w:p w:rsidR="00221F0B" w:rsidRPr="00434FFD" w:rsidRDefault="00221F0B" w:rsidP="00DC1333">
            <w:pPr>
              <w:rPr>
                <w:rFonts w:ascii="ArialMT" w:hAnsi="ArialMT" w:cs="ArialMT"/>
                <w:sz w:val="16"/>
                <w:szCs w:val="16"/>
              </w:rPr>
            </w:pPr>
            <w:r w:rsidRPr="00434FFD">
              <w:rPr>
                <w:sz w:val="16"/>
                <w:szCs w:val="16"/>
                <w:lang w:bidi="th-TH"/>
              </w:rPr>
              <w:t>2013 + 5%</w:t>
            </w:r>
          </w:p>
        </w:tc>
        <w:tc>
          <w:tcPr>
            <w:tcW w:w="835" w:type="pct"/>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2014:  45%</w:t>
            </w:r>
          </w:p>
          <w:p w:rsidR="00221F0B" w:rsidRPr="00434FFD" w:rsidRDefault="00221F0B" w:rsidP="00DC1333">
            <w:pPr>
              <w:rPr>
                <w:sz w:val="16"/>
                <w:szCs w:val="16"/>
                <w:highlight w:val="yellow"/>
                <w:lang w:bidi="th-TH"/>
              </w:rPr>
            </w:pPr>
          </w:p>
          <w:p w:rsidR="00221F0B" w:rsidRPr="00434FFD" w:rsidRDefault="00221F0B" w:rsidP="00DC1333">
            <w:pPr>
              <w:rPr>
                <w:sz w:val="16"/>
                <w:szCs w:val="16"/>
                <w:highlight w:val="yellow"/>
                <w:lang w:bidi="th-TH"/>
              </w:rPr>
            </w:pPr>
          </w:p>
          <w:p w:rsidR="00221F0B" w:rsidRPr="00434FFD" w:rsidRDefault="00221F0B" w:rsidP="00DC1333">
            <w:pPr>
              <w:rPr>
                <w:sz w:val="16"/>
                <w:szCs w:val="16"/>
                <w:lang w:bidi="th-TH"/>
              </w:rPr>
            </w:pPr>
            <w:r w:rsidRPr="00434FFD">
              <w:rPr>
                <w:sz w:val="16"/>
                <w:szCs w:val="16"/>
                <w:lang w:bidi="th-TH"/>
              </w:rPr>
              <w:t>2015:  57%</w:t>
            </w:r>
          </w:p>
        </w:tc>
        <w:tc>
          <w:tcPr>
            <w:tcW w:w="683" w:type="pct"/>
            <w:gridSpan w:val="3"/>
            <w:shd w:val="clear" w:color="auto" w:fill="auto"/>
            <w:tcMar>
              <w:top w:w="110" w:type="dxa"/>
            </w:tcMar>
          </w:tcPr>
          <w:p w:rsidR="00221F0B" w:rsidRPr="00434FFD" w:rsidRDefault="00221F0B" w:rsidP="00DC1333">
            <w:pPr>
              <w:keepNext/>
              <w:keepLines/>
              <w:spacing w:after="120"/>
              <w:jc w:val="center"/>
              <w:rPr>
                <w:b/>
                <w:bCs/>
                <w:color w:val="FF0000"/>
                <w:sz w:val="16"/>
                <w:szCs w:val="16"/>
              </w:rPr>
            </w:pPr>
            <w:r w:rsidRPr="00434FFD">
              <w:rPr>
                <w:b/>
                <w:bCs/>
                <w:color w:val="FF0000"/>
                <w:sz w:val="16"/>
                <w:szCs w:val="16"/>
              </w:rPr>
              <w:t>No logrado</w:t>
            </w:r>
          </w:p>
          <w:p w:rsidR="00221F0B" w:rsidRPr="00434FFD" w:rsidRDefault="00221F0B" w:rsidP="00DC1333">
            <w:pPr>
              <w:keepNext/>
              <w:keepLines/>
              <w:jc w:val="center"/>
              <w:rPr>
                <w:b/>
                <w:bCs/>
                <w:color w:val="FF0000"/>
                <w:sz w:val="16"/>
                <w:szCs w:val="16"/>
              </w:rPr>
            </w:pPr>
          </w:p>
          <w:p w:rsidR="00221F0B" w:rsidRPr="00434FFD" w:rsidRDefault="00221F0B" w:rsidP="00DC1333">
            <w:pPr>
              <w:jc w:val="center"/>
            </w:pPr>
            <w:r w:rsidRPr="00434FFD">
              <w:rPr>
                <w:b/>
                <w:bCs/>
                <w:color w:val="22DE4F"/>
                <w:sz w:val="16"/>
                <w:szCs w:val="16"/>
              </w:rPr>
              <w:t>Plenamente logrado</w:t>
            </w:r>
          </w:p>
          <w:p w:rsidR="00221F0B" w:rsidRPr="00434FFD" w:rsidRDefault="00221F0B" w:rsidP="00DC1333">
            <w:pPr>
              <w:keepNext/>
              <w:keepLines/>
              <w:spacing w:after="120"/>
              <w:jc w:val="center"/>
              <w:rPr>
                <w:b/>
                <w:bCs/>
                <w:color w:val="808080"/>
                <w:sz w:val="16"/>
                <w:szCs w:val="16"/>
              </w:rPr>
            </w:pPr>
          </w:p>
        </w:tc>
      </w:tr>
      <w:tr w:rsidR="00221F0B" w:rsidRPr="00434FFD" w:rsidTr="00DC1333">
        <w:trPr>
          <w:cantSplit/>
        </w:trPr>
        <w:tc>
          <w:tcPr>
            <w:tcW w:w="1137" w:type="pct"/>
            <w:gridSpan w:val="2"/>
            <w:tcBorders>
              <w:bottom w:val="single" w:sz="4" w:space="0" w:color="auto"/>
            </w:tcBorders>
            <w:shd w:val="clear" w:color="auto" w:fill="auto"/>
          </w:tcPr>
          <w:p w:rsidR="00221F0B" w:rsidRPr="00434FFD" w:rsidRDefault="00221F0B" w:rsidP="00DC1333">
            <w:pPr>
              <w:rPr>
                <w:sz w:val="16"/>
                <w:szCs w:val="16"/>
              </w:rPr>
            </w:pPr>
            <w:r w:rsidRPr="00434FFD">
              <w:rPr>
                <w:sz w:val="16"/>
                <w:szCs w:val="16"/>
              </w:rPr>
              <w:t>Porcentaje de gastos efectuados con arreglo a las prácticas vigentes en NN.UU. (licitaciones comunes o aprovechamiento de los contratos)</w:t>
            </w:r>
          </w:p>
        </w:tc>
        <w:tc>
          <w:tcPr>
            <w:tcW w:w="1436" w:type="pct"/>
            <w:gridSpan w:val="3"/>
            <w:tcBorders>
              <w:bottom w:val="single" w:sz="4" w:space="0" w:color="auto"/>
            </w:tcBorders>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rPr>
                <w:color w:val="002060"/>
                <w:sz w:val="16"/>
                <w:szCs w:val="16"/>
              </w:rPr>
              <w:t xml:space="preserve"> 4%</w:t>
            </w:r>
          </w:p>
          <w:p w:rsidR="00221F0B" w:rsidRPr="00434FFD" w:rsidRDefault="00221F0B" w:rsidP="00DC1333">
            <w:pPr>
              <w:rPr>
                <w:color w:val="002060"/>
                <w:sz w:val="16"/>
                <w:szCs w:val="16"/>
              </w:rPr>
            </w:pPr>
          </w:p>
          <w:p w:rsidR="00221F0B" w:rsidRPr="00434FFD" w:rsidRDefault="00221F0B" w:rsidP="00DC1333">
            <w:pPr>
              <w:rPr>
                <w:rFonts w:cstheme="minorBidi"/>
                <w:szCs w:val="22"/>
              </w:rPr>
            </w:pPr>
            <w:r w:rsidRPr="00434FFD">
              <w:rPr>
                <w:i/>
                <w:sz w:val="16"/>
                <w:szCs w:val="16"/>
              </w:rPr>
              <w:t xml:space="preserve">Referencia original en el presupuesto de 2014/15:  </w:t>
            </w:r>
            <w:r w:rsidRPr="00434FFD">
              <w:rPr>
                <w:sz w:val="16"/>
                <w:szCs w:val="16"/>
              </w:rPr>
              <w:t>resultado de 2013</w:t>
            </w:r>
          </w:p>
        </w:tc>
        <w:tc>
          <w:tcPr>
            <w:tcW w:w="909" w:type="pct"/>
            <w:gridSpan w:val="3"/>
            <w:tcBorders>
              <w:bottom w:val="single" w:sz="4" w:space="0" w:color="auto"/>
            </w:tcBorders>
            <w:shd w:val="clear" w:color="auto" w:fill="auto"/>
            <w:tcMar>
              <w:top w:w="110" w:type="dxa"/>
            </w:tcMar>
          </w:tcPr>
          <w:p w:rsidR="00221F0B" w:rsidRPr="00434FFD" w:rsidRDefault="00221F0B" w:rsidP="00DC1333">
            <w:pPr>
              <w:rPr>
                <w:color w:val="002060"/>
                <w:sz w:val="16"/>
                <w:szCs w:val="16"/>
              </w:rPr>
            </w:pPr>
            <w:r w:rsidRPr="00434FFD">
              <w:rPr>
                <w:color w:val="002060"/>
                <w:sz w:val="16"/>
                <w:szCs w:val="16"/>
              </w:rPr>
              <w:t xml:space="preserve">Objetivo definido:  4% </w:t>
            </w:r>
          </w:p>
          <w:p w:rsidR="00221F0B" w:rsidRPr="00434FFD" w:rsidRDefault="00221F0B" w:rsidP="00DC1333">
            <w:pPr>
              <w:rPr>
                <w:color w:val="002060"/>
                <w:sz w:val="16"/>
                <w:szCs w:val="16"/>
              </w:rPr>
            </w:pPr>
          </w:p>
          <w:p w:rsidR="00221F0B" w:rsidRDefault="00221F0B" w:rsidP="00DC1333">
            <w:pPr>
              <w:rPr>
                <w:sz w:val="16"/>
                <w:szCs w:val="16"/>
              </w:rPr>
            </w:pPr>
            <w:r w:rsidRPr="00434FFD">
              <w:rPr>
                <w:sz w:val="16"/>
                <w:szCs w:val="16"/>
              </w:rPr>
              <w:t>Objetivo original en el presupuesto de  2014/15:  por determinar</w:t>
            </w:r>
          </w:p>
          <w:p w:rsidR="00221F0B" w:rsidRPr="00434FFD" w:rsidRDefault="00221F0B" w:rsidP="00DC1333">
            <w:pPr>
              <w:rPr>
                <w:rFonts w:cstheme="minorBidi"/>
                <w:szCs w:val="22"/>
              </w:rPr>
            </w:pPr>
          </w:p>
        </w:tc>
        <w:tc>
          <w:tcPr>
            <w:tcW w:w="835" w:type="pct"/>
            <w:tcBorders>
              <w:bottom w:val="single" w:sz="4" w:space="0" w:color="auto"/>
            </w:tcBorders>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2014:  4,15%</w:t>
            </w:r>
          </w:p>
          <w:p w:rsidR="00221F0B" w:rsidRPr="00434FFD" w:rsidRDefault="00221F0B" w:rsidP="00DC1333">
            <w:pPr>
              <w:rPr>
                <w:sz w:val="16"/>
                <w:szCs w:val="16"/>
                <w:lang w:bidi="th-TH"/>
              </w:rPr>
            </w:pPr>
            <w:r w:rsidRPr="00434FFD">
              <w:rPr>
                <w:sz w:val="16"/>
                <w:szCs w:val="16"/>
                <w:lang w:bidi="th-TH"/>
              </w:rPr>
              <w:t>2015:  5,8%</w:t>
            </w:r>
          </w:p>
        </w:tc>
        <w:tc>
          <w:tcPr>
            <w:tcW w:w="683" w:type="pct"/>
            <w:gridSpan w:val="3"/>
            <w:tcBorders>
              <w:bottom w:val="single" w:sz="4" w:space="0" w:color="auto"/>
            </w:tcBorders>
            <w:shd w:val="clear" w:color="auto" w:fill="auto"/>
          </w:tcPr>
          <w:p w:rsidR="00221F0B" w:rsidRPr="00434FFD" w:rsidRDefault="00221F0B" w:rsidP="00DC1333">
            <w:pPr>
              <w:keepNext/>
              <w:keepLines/>
              <w:jc w:val="center"/>
              <w:rPr>
                <w:b/>
                <w:bCs/>
                <w:color w:val="00B050"/>
                <w:sz w:val="16"/>
                <w:szCs w:val="16"/>
              </w:rPr>
            </w:pPr>
            <w:r w:rsidRPr="00434FFD">
              <w:rPr>
                <w:b/>
                <w:color w:val="00B050"/>
                <w:sz w:val="16"/>
                <w:szCs w:val="16"/>
              </w:rPr>
              <w:t>Plenamente logrado</w:t>
            </w:r>
          </w:p>
        </w:tc>
      </w:tr>
      <w:tr w:rsidR="00221F0B" w:rsidRPr="00434FFD" w:rsidTr="00DC1333">
        <w:trPr>
          <w:cantSplit/>
        </w:trPr>
        <w:tc>
          <w:tcPr>
            <w:tcW w:w="5000" w:type="pct"/>
            <w:gridSpan w:val="12"/>
            <w:tcBorders>
              <w:top w:val="single" w:sz="4" w:space="0" w:color="auto"/>
              <w:bottom w:val="single" w:sz="4" w:space="0" w:color="auto"/>
            </w:tcBorders>
            <w:shd w:val="clear" w:color="auto" w:fill="C6D9F1" w:themeFill="text2" w:themeFillTint="33"/>
            <w:vAlign w:val="center"/>
          </w:tcPr>
          <w:p w:rsidR="00221F0B" w:rsidRPr="00434FFD" w:rsidRDefault="00221F0B" w:rsidP="00DC1333">
            <w:pPr>
              <w:spacing w:before="120" w:after="120"/>
              <w:ind w:left="2019" w:hanging="2019"/>
              <w:rPr>
                <w:b/>
                <w:bCs/>
                <w:sz w:val="16"/>
                <w:szCs w:val="16"/>
              </w:rPr>
            </w:pPr>
            <w:r w:rsidRPr="00434FFD">
              <w:rPr>
                <w:b/>
                <w:bCs/>
                <w:sz w:val="16"/>
                <w:szCs w:val="16"/>
              </w:rPr>
              <w:t>Resultado previsto:</w:t>
            </w:r>
            <w:r w:rsidRPr="00434FFD">
              <w:rPr>
                <w:b/>
                <w:bCs/>
                <w:sz w:val="16"/>
                <w:szCs w:val="16"/>
              </w:rPr>
              <w:tab/>
            </w:r>
            <w:r w:rsidRPr="00434FFD">
              <w:rPr>
                <w:sz w:val="16"/>
                <w:szCs w:val="16"/>
              </w:rPr>
              <w:t>IX.1 Servicios de apoyo eficaces, eficientes, de calidad y orientados al cliente, tanto a los clientes internos como a las partes interesadas externas</w:t>
            </w:r>
          </w:p>
        </w:tc>
      </w:tr>
      <w:tr w:rsidR="00221F0B" w:rsidRPr="00434FFD" w:rsidTr="00DC1333">
        <w:trPr>
          <w:cantSplit/>
        </w:trPr>
        <w:tc>
          <w:tcPr>
            <w:tcW w:w="1137" w:type="pct"/>
            <w:gridSpan w:val="2"/>
            <w:tcBorders>
              <w:top w:val="single" w:sz="4" w:space="0" w:color="auto"/>
            </w:tcBorders>
            <w:shd w:val="clear" w:color="auto" w:fill="auto"/>
            <w:vAlign w:val="center"/>
          </w:tcPr>
          <w:p w:rsidR="00221F0B" w:rsidRPr="00434FFD" w:rsidRDefault="00221F0B" w:rsidP="00DC1333">
            <w:pPr>
              <w:rPr>
                <w:sz w:val="16"/>
                <w:szCs w:val="16"/>
              </w:rPr>
            </w:pPr>
            <w:r w:rsidRPr="00434FFD">
              <w:rPr>
                <w:b/>
                <w:sz w:val="16"/>
                <w:szCs w:val="16"/>
              </w:rPr>
              <w:t>Indicadores de rendimiento</w:t>
            </w:r>
          </w:p>
        </w:tc>
        <w:tc>
          <w:tcPr>
            <w:tcW w:w="1287" w:type="pct"/>
            <w:gridSpan w:val="2"/>
            <w:tcBorders>
              <w:top w:val="single" w:sz="4" w:space="0" w:color="auto"/>
            </w:tcBorders>
            <w:shd w:val="clear" w:color="auto" w:fill="auto"/>
            <w:vAlign w:val="center"/>
          </w:tcPr>
          <w:p w:rsidR="00221F0B" w:rsidRPr="00434FFD" w:rsidRDefault="00221F0B" w:rsidP="00DC1333">
            <w:pPr>
              <w:rPr>
                <w:b/>
                <w:bCs/>
                <w:sz w:val="16"/>
                <w:szCs w:val="16"/>
              </w:rPr>
            </w:pPr>
            <w:r w:rsidRPr="00434FFD">
              <w:rPr>
                <w:b/>
                <w:bCs/>
                <w:sz w:val="16"/>
                <w:szCs w:val="16"/>
              </w:rPr>
              <w:t>Referencia</w:t>
            </w:r>
          </w:p>
        </w:tc>
        <w:tc>
          <w:tcPr>
            <w:tcW w:w="909" w:type="pct"/>
            <w:gridSpan w:val="3"/>
            <w:tcBorders>
              <w:top w:val="single" w:sz="4" w:space="0" w:color="auto"/>
            </w:tcBorders>
            <w:shd w:val="clear" w:color="auto" w:fill="auto"/>
            <w:tcMar>
              <w:top w:w="110" w:type="dxa"/>
            </w:tcMar>
            <w:vAlign w:val="center"/>
          </w:tcPr>
          <w:p w:rsidR="00221F0B" w:rsidRPr="00434FFD" w:rsidRDefault="00221F0B" w:rsidP="00DC1333">
            <w:pPr>
              <w:rPr>
                <w:b/>
                <w:sz w:val="16"/>
                <w:szCs w:val="16"/>
              </w:rPr>
            </w:pPr>
            <w:r w:rsidRPr="00434FFD">
              <w:rPr>
                <w:b/>
                <w:sz w:val="16"/>
                <w:szCs w:val="16"/>
              </w:rPr>
              <w:t>Objetivos</w:t>
            </w:r>
          </w:p>
        </w:tc>
        <w:tc>
          <w:tcPr>
            <w:tcW w:w="1061" w:type="pct"/>
            <w:gridSpan w:val="4"/>
            <w:tcBorders>
              <w:top w:val="single" w:sz="4" w:space="0" w:color="auto"/>
            </w:tcBorders>
            <w:shd w:val="clear" w:color="auto" w:fill="FFFFFF"/>
            <w:tcMar>
              <w:top w:w="110" w:type="dxa"/>
            </w:tcMar>
            <w:vAlign w:val="center"/>
          </w:tcPr>
          <w:p w:rsidR="00221F0B" w:rsidRPr="00434FFD" w:rsidRDefault="00221F0B" w:rsidP="00DC1333">
            <w:pPr>
              <w:rPr>
                <w:sz w:val="16"/>
                <w:szCs w:val="16"/>
              </w:rPr>
            </w:pPr>
            <w:r w:rsidRPr="00434FFD">
              <w:rPr>
                <w:b/>
                <w:sz w:val="16"/>
                <w:szCs w:val="16"/>
              </w:rPr>
              <w:t>Datos sobre el rendimiento</w:t>
            </w:r>
          </w:p>
        </w:tc>
        <w:tc>
          <w:tcPr>
            <w:tcW w:w="606" w:type="pct"/>
            <w:tcBorders>
              <w:top w:val="single" w:sz="4" w:space="0" w:color="auto"/>
            </w:tcBorders>
            <w:shd w:val="clear" w:color="auto" w:fill="auto"/>
            <w:tcMar>
              <w:top w:w="110" w:type="dxa"/>
            </w:tcMar>
            <w:vAlign w:val="center"/>
          </w:tcPr>
          <w:p w:rsidR="00221F0B" w:rsidRPr="00434FFD" w:rsidRDefault="00221F0B" w:rsidP="00DC1333">
            <w:pPr>
              <w:jc w:val="center"/>
              <w:rPr>
                <w:b/>
                <w:bCs/>
                <w:sz w:val="16"/>
                <w:szCs w:val="16"/>
              </w:rPr>
            </w:pPr>
            <w:r w:rsidRPr="00434FFD">
              <w:rPr>
                <w:b/>
                <w:bCs/>
                <w:sz w:val="16"/>
                <w:szCs w:val="16"/>
              </w:rPr>
              <w:t>Clave de colores</w:t>
            </w:r>
          </w:p>
        </w:tc>
      </w:tr>
      <w:tr w:rsidR="00221F0B" w:rsidRPr="00434FFD" w:rsidTr="00DC1333">
        <w:trPr>
          <w:cantSplit/>
        </w:trPr>
        <w:tc>
          <w:tcPr>
            <w:tcW w:w="1137" w:type="pct"/>
            <w:gridSpan w:val="2"/>
            <w:shd w:val="clear" w:color="auto" w:fill="auto"/>
          </w:tcPr>
          <w:p w:rsidR="00221F0B" w:rsidRPr="00434FFD" w:rsidRDefault="00221F0B" w:rsidP="00DC1333">
            <w:pPr>
              <w:rPr>
                <w:sz w:val="16"/>
                <w:szCs w:val="16"/>
              </w:rPr>
            </w:pPr>
            <w:r w:rsidRPr="00434FFD">
              <w:rPr>
                <w:sz w:val="16"/>
                <w:szCs w:val="16"/>
              </w:rPr>
              <w:t>Disminución de los costos de adquisición de productos y servicios por la OMPI (derivada de solicitudes de ofertas o negociaciones directas)</w:t>
            </w:r>
          </w:p>
        </w:tc>
        <w:tc>
          <w:tcPr>
            <w:tcW w:w="1287" w:type="pct"/>
            <w:gridSpan w:val="2"/>
            <w:shd w:val="clear" w:color="auto" w:fill="auto"/>
          </w:tcPr>
          <w:p w:rsidR="00221F0B" w:rsidRPr="00434FFD" w:rsidRDefault="00221F0B" w:rsidP="00DC1333">
            <w:pPr>
              <w:rPr>
                <w:color w:val="002060"/>
                <w:sz w:val="16"/>
                <w:szCs w:val="16"/>
              </w:rPr>
            </w:pPr>
            <w:r w:rsidRPr="00434FFD">
              <w:rPr>
                <w:i/>
                <w:color w:val="002060"/>
                <w:sz w:val="16"/>
                <w:szCs w:val="16"/>
              </w:rPr>
              <w:t>Referencia actualizada a fines de 2013:</w:t>
            </w:r>
            <w:r w:rsidRPr="00434FFD">
              <w:rPr>
                <w:sz w:val="16"/>
                <w:szCs w:val="16"/>
              </w:rPr>
              <w:t xml:space="preserve">  </w:t>
            </w:r>
            <w:r w:rsidRPr="00434FFD">
              <w:rPr>
                <w:color w:val="002060"/>
                <w:sz w:val="16"/>
                <w:szCs w:val="16"/>
              </w:rPr>
              <w:t>531.000 francos suizos</w:t>
            </w:r>
          </w:p>
          <w:p w:rsidR="00221F0B" w:rsidRPr="00434FFD" w:rsidRDefault="00221F0B" w:rsidP="00DC1333">
            <w:pPr>
              <w:rPr>
                <w:rFonts w:cstheme="minorBidi"/>
                <w:color w:val="002060"/>
                <w:sz w:val="16"/>
                <w:szCs w:val="16"/>
              </w:rPr>
            </w:pPr>
          </w:p>
          <w:p w:rsidR="00221F0B" w:rsidRPr="00434FFD" w:rsidRDefault="00221F0B" w:rsidP="00DC1333">
            <w:pPr>
              <w:rPr>
                <w:rFonts w:cstheme="minorBidi"/>
                <w:szCs w:val="22"/>
              </w:rPr>
            </w:pPr>
            <w:r w:rsidRPr="00434FFD">
              <w:rPr>
                <w:i/>
                <w:sz w:val="16"/>
                <w:szCs w:val="16"/>
              </w:rPr>
              <w:t xml:space="preserve">Referencia original en el presupuesto de 2014/15:  </w:t>
            </w:r>
            <w:r w:rsidRPr="00434FFD">
              <w:rPr>
                <w:sz w:val="16"/>
                <w:szCs w:val="16"/>
              </w:rPr>
              <w:t>resultado de 2013</w:t>
            </w:r>
          </w:p>
        </w:tc>
        <w:tc>
          <w:tcPr>
            <w:tcW w:w="909" w:type="pct"/>
            <w:gridSpan w:val="3"/>
            <w:shd w:val="clear" w:color="auto" w:fill="auto"/>
            <w:tcMar>
              <w:top w:w="110" w:type="dxa"/>
            </w:tcMar>
          </w:tcPr>
          <w:p w:rsidR="00221F0B" w:rsidRPr="00434FFD" w:rsidRDefault="00221F0B" w:rsidP="00DC1333">
            <w:pPr>
              <w:rPr>
                <w:sz w:val="16"/>
                <w:szCs w:val="16"/>
              </w:rPr>
            </w:pPr>
            <w:r w:rsidRPr="00434FFD">
              <w:rPr>
                <w:sz w:val="16"/>
                <w:szCs w:val="16"/>
              </w:rPr>
              <w:t>2013 + 5%</w:t>
            </w:r>
          </w:p>
        </w:tc>
        <w:tc>
          <w:tcPr>
            <w:tcW w:w="1061" w:type="pct"/>
            <w:gridSpan w:val="4"/>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2.663.000 francos suizos (2014)</w:t>
            </w:r>
          </w:p>
          <w:p w:rsidR="00221F0B" w:rsidRPr="00434FFD" w:rsidRDefault="00221F0B" w:rsidP="00DC1333">
            <w:pPr>
              <w:rPr>
                <w:sz w:val="6"/>
                <w:szCs w:val="6"/>
                <w:lang w:bidi="th-TH"/>
              </w:rPr>
            </w:pPr>
          </w:p>
          <w:p w:rsidR="00221F0B" w:rsidRPr="00434FFD" w:rsidRDefault="00221F0B" w:rsidP="00DC1333">
            <w:pPr>
              <w:rPr>
                <w:sz w:val="16"/>
                <w:szCs w:val="16"/>
                <w:lang w:bidi="th-TH"/>
              </w:rPr>
            </w:pPr>
            <w:r w:rsidRPr="00434FFD">
              <w:rPr>
                <w:sz w:val="16"/>
                <w:szCs w:val="16"/>
                <w:lang w:bidi="th-TH"/>
              </w:rPr>
              <w:t>3.826.361 francos suizos (2015)</w:t>
            </w:r>
          </w:p>
        </w:tc>
        <w:tc>
          <w:tcPr>
            <w:tcW w:w="606" w:type="pct"/>
            <w:shd w:val="clear" w:color="auto" w:fill="auto"/>
            <w:tcMar>
              <w:top w:w="110" w:type="dxa"/>
            </w:tcMar>
          </w:tcPr>
          <w:p w:rsidR="00221F0B" w:rsidRPr="00434FFD" w:rsidRDefault="00221F0B" w:rsidP="00DC1333">
            <w:pPr>
              <w:ind w:left="-109"/>
              <w:jc w:val="center"/>
              <w:rPr>
                <w:b/>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t>Porcentaje de usuarios internos satisfechos con los servicios de adquisiciones</w:t>
            </w:r>
          </w:p>
        </w:tc>
        <w:tc>
          <w:tcPr>
            <w:tcW w:w="1277" w:type="pct"/>
            <w:gridSpan w:val="2"/>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rPr>
                <w:color w:val="002060"/>
                <w:sz w:val="16"/>
                <w:szCs w:val="16"/>
              </w:rPr>
              <w:t>73%</w:t>
            </w:r>
          </w:p>
          <w:p w:rsidR="00221F0B" w:rsidRPr="00434FFD" w:rsidRDefault="00221F0B" w:rsidP="00DC1333">
            <w:pPr>
              <w:rPr>
                <w:rFonts w:cstheme="minorBidi"/>
                <w:color w:val="002060"/>
                <w:sz w:val="16"/>
                <w:szCs w:val="16"/>
              </w:rPr>
            </w:pPr>
          </w:p>
          <w:p w:rsidR="00221F0B" w:rsidRPr="00434FFD" w:rsidRDefault="00221F0B" w:rsidP="00DC1333">
            <w:pPr>
              <w:rPr>
                <w:szCs w:val="22"/>
              </w:rPr>
            </w:pPr>
            <w:r w:rsidRPr="00434FFD">
              <w:rPr>
                <w:i/>
                <w:sz w:val="16"/>
                <w:szCs w:val="16"/>
              </w:rPr>
              <w:t xml:space="preserve">Referencia original en el presupuesto de 2014/15:  </w:t>
            </w:r>
            <w:r w:rsidRPr="00434FFD">
              <w:rPr>
                <w:sz w:val="16"/>
                <w:szCs w:val="16"/>
              </w:rPr>
              <w:t>resultado de 2012</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2012 + 5%</w:t>
            </w:r>
          </w:p>
        </w:tc>
        <w:tc>
          <w:tcPr>
            <w:tcW w:w="1053" w:type="pct"/>
            <w:gridSpan w:val="4"/>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89%</w:t>
            </w:r>
          </w:p>
        </w:tc>
        <w:tc>
          <w:tcPr>
            <w:tcW w:w="639" w:type="pct"/>
            <w:gridSpan w:val="2"/>
            <w:shd w:val="clear" w:color="auto" w:fill="auto"/>
            <w:tcMar>
              <w:top w:w="110" w:type="dxa"/>
            </w:tcMar>
          </w:tcPr>
          <w:p w:rsidR="00221F0B" w:rsidRPr="00434FFD" w:rsidRDefault="00221F0B" w:rsidP="00DC1333">
            <w:pPr>
              <w:keepNext/>
              <w:keepLines/>
              <w:ind w:left="-109"/>
              <w:jc w:val="center"/>
              <w:rPr>
                <w:b/>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t>Tiempo de tramitación de peticiones relativas a los viajes (autorizaciones electrónicas de viaje (e-TA), peticiones electrónicas de actividades (e-ER), visados)</w:t>
            </w:r>
          </w:p>
        </w:tc>
        <w:tc>
          <w:tcPr>
            <w:tcW w:w="1277" w:type="pct"/>
            <w:gridSpan w:val="2"/>
            <w:shd w:val="clear" w:color="auto" w:fill="auto"/>
          </w:tcPr>
          <w:p w:rsidR="00221F0B" w:rsidRPr="00434FFD" w:rsidRDefault="00221F0B" w:rsidP="00DC1333">
            <w:pPr>
              <w:rPr>
                <w:sz w:val="16"/>
                <w:szCs w:val="16"/>
              </w:rPr>
            </w:pPr>
            <w:r w:rsidRPr="00434FFD">
              <w:rPr>
                <w:sz w:val="16"/>
                <w:szCs w:val="16"/>
              </w:rPr>
              <w:t xml:space="preserve">Tiempo de tramitación de peticiones relativas a los viajes:  </w:t>
            </w:r>
          </w:p>
          <w:p w:rsidR="00221F0B" w:rsidRPr="00434FFD" w:rsidRDefault="00221F0B" w:rsidP="00DC1333">
            <w:pPr>
              <w:rPr>
                <w:sz w:val="16"/>
                <w:szCs w:val="16"/>
              </w:rPr>
            </w:pPr>
            <w:r w:rsidRPr="00434FFD">
              <w:rPr>
                <w:sz w:val="16"/>
                <w:szCs w:val="16"/>
              </w:rPr>
              <w:t>Autorizaciones electrónicas de viaje = un día</w:t>
            </w:r>
          </w:p>
          <w:p w:rsidR="00221F0B" w:rsidRPr="00434FFD" w:rsidRDefault="00221F0B" w:rsidP="00DC1333">
            <w:pPr>
              <w:rPr>
                <w:sz w:val="16"/>
                <w:szCs w:val="16"/>
              </w:rPr>
            </w:pPr>
            <w:r w:rsidRPr="00434FFD">
              <w:rPr>
                <w:sz w:val="16"/>
                <w:szCs w:val="16"/>
              </w:rPr>
              <w:t>Peticiones electrónicas de actividades  =  dos horas</w:t>
            </w:r>
          </w:p>
          <w:p w:rsidR="00221F0B" w:rsidRPr="00434FFD" w:rsidRDefault="00221F0B" w:rsidP="00DC1333">
            <w:pPr>
              <w:rPr>
                <w:i/>
                <w:sz w:val="16"/>
                <w:szCs w:val="16"/>
              </w:rPr>
            </w:pPr>
            <w:r w:rsidRPr="00434FFD">
              <w:rPr>
                <w:sz w:val="16"/>
                <w:szCs w:val="16"/>
              </w:rPr>
              <w:t>Visados de terceros = dos días (referencia de 2013)</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Autorizaciones electrónicas de viaje  = medio día</w:t>
            </w:r>
          </w:p>
          <w:p w:rsidR="00221F0B" w:rsidRPr="00434FFD" w:rsidRDefault="00221F0B" w:rsidP="00DC1333">
            <w:pPr>
              <w:rPr>
                <w:sz w:val="16"/>
                <w:szCs w:val="16"/>
              </w:rPr>
            </w:pPr>
            <w:r w:rsidRPr="00434FFD">
              <w:rPr>
                <w:sz w:val="16"/>
                <w:szCs w:val="16"/>
              </w:rPr>
              <w:t>Peticiones electrónicas de actividades = una hora</w:t>
            </w:r>
          </w:p>
          <w:p w:rsidR="00221F0B" w:rsidRPr="00434FFD" w:rsidRDefault="00221F0B" w:rsidP="00DC1333">
            <w:pPr>
              <w:rPr>
                <w:sz w:val="16"/>
                <w:szCs w:val="16"/>
              </w:rPr>
            </w:pPr>
            <w:r w:rsidRPr="00434FFD">
              <w:rPr>
                <w:sz w:val="16"/>
                <w:szCs w:val="16"/>
              </w:rPr>
              <w:t>Visados = dos días.</w:t>
            </w:r>
          </w:p>
        </w:tc>
        <w:tc>
          <w:tcPr>
            <w:tcW w:w="1053" w:type="pct"/>
            <w:gridSpan w:val="4"/>
            <w:shd w:val="clear" w:color="auto" w:fill="FFFFFF"/>
            <w:tcMar>
              <w:top w:w="110" w:type="dxa"/>
            </w:tcMar>
          </w:tcPr>
          <w:p w:rsidR="00221F0B" w:rsidRPr="00434FFD" w:rsidRDefault="00221F0B" w:rsidP="00DC1333">
            <w:pPr>
              <w:rPr>
                <w:sz w:val="16"/>
                <w:szCs w:val="16"/>
                <w:lang w:bidi="th-TH"/>
              </w:rPr>
            </w:pPr>
            <w:r w:rsidRPr="00434FFD">
              <w:rPr>
                <w:sz w:val="16"/>
                <w:szCs w:val="16"/>
              </w:rPr>
              <w:t xml:space="preserve">Autorizaciones electrónicas de viaje </w:t>
            </w:r>
            <w:r w:rsidRPr="00434FFD">
              <w:rPr>
                <w:sz w:val="16"/>
                <w:szCs w:val="16"/>
                <w:lang w:bidi="th-TH"/>
              </w:rPr>
              <w:t>= medio día</w:t>
            </w:r>
          </w:p>
          <w:p w:rsidR="00221F0B" w:rsidRPr="00434FFD" w:rsidRDefault="00221F0B" w:rsidP="00DC1333">
            <w:pPr>
              <w:rPr>
                <w:sz w:val="16"/>
                <w:szCs w:val="16"/>
                <w:lang w:bidi="th-TH"/>
              </w:rPr>
            </w:pPr>
            <w:r w:rsidRPr="00434FFD">
              <w:rPr>
                <w:sz w:val="16"/>
                <w:szCs w:val="16"/>
                <w:lang w:bidi="th-TH"/>
              </w:rPr>
              <w:t>Peticiones electrónicas de actividades = &lt; una hora</w:t>
            </w:r>
          </w:p>
          <w:p w:rsidR="00221F0B" w:rsidRPr="00434FFD" w:rsidRDefault="00221F0B" w:rsidP="00DC1333">
            <w:pPr>
              <w:rPr>
                <w:sz w:val="16"/>
                <w:szCs w:val="16"/>
                <w:lang w:bidi="th-TH"/>
              </w:rPr>
            </w:pPr>
            <w:r w:rsidRPr="00434FFD">
              <w:rPr>
                <w:sz w:val="16"/>
                <w:szCs w:val="16"/>
                <w:lang w:bidi="th-TH"/>
              </w:rPr>
              <w:t>Visados &lt; un día</w:t>
            </w:r>
          </w:p>
        </w:tc>
        <w:tc>
          <w:tcPr>
            <w:tcW w:w="639" w:type="pct"/>
            <w:gridSpan w:val="2"/>
            <w:shd w:val="clear" w:color="auto" w:fill="auto"/>
            <w:tcMar>
              <w:top w:w="110" w:type="dxa"/>
            </w:tcMar>
          </w:tcPr>
          <w:p w:rsidR="00221F0B" w:rsidRPr="00434FFD" w:rsidRDefault="00221F0B" w:rsidP="00DC1333">
            <w:pPr>
              <w:keepNext/>
              <w:keepLines/>
              <w:ind w:left="-109"/>
              <w:jc w:val="center"/>
              <w:rPr>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lastRenderedPageBreak/>
              <w:t>Costo medio de los billetes (billetes de la empresa de gestión de viajes y del PNUD)</w:t>
            </w:r>
          </w:p>
        </w:tc>
        <w:tc>
          <w:tcPr>
            <w:tcW w:w="1277" w:type="pct"/>
            <w:gridSpan w:val="2"/>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rPr>
                <w:color w:val="002060"/>
                <w:sz w:val="16"/>
                <w:szCs w:val="16"/>
              </w:rPr>
              <w:t>2013=1.728 francos suizos</w:t>
            </w:r>
          </w:p>
          <w:p w:rsidR="00221F0B" w:rsidRPr="00434FFD" w:rsidRDefault="00221F0B" w:rsidP="00DC1333">
            <w:pPr>
              <w:rPr>
                <w:rFonts w:cstheme="minorBidi"/>
                <w:color w:val="002060"/>
                <w:sz w:val="16"/>
                <w:szCs w:val="16"/>
              </w:rPr>
            </w:pPr>
          </w:p>
          <w:p w:rsidR="00221F0B" w:rsidRPr="00434FFD" w:rsidRDefault="00221F0B" w:rsidP="00DC1333">
            <w:pPr>
              <w:rPr>
                <w:szCs w:val="22"/>
              </w:rPr>
            </w:pPr>
            <w:r w:rsidRPr="00434FFD">
              <w:rPr>
                <w:i/>
                <w:sz w:val="16"/>
                <w:szCs w:val="16"/>
              </w:rPr>
              <w:t>Referencia original en el presupuesto de 2014/15:</w:t>
            </w:r>
            <w:r w:rsidRPr="00434FFD">
              <w:t xml:space="preserve">  </w:t>
            </w:r>
            <w:r w:rsidRPr="00434FFD">
              <w:rPr>
                <w:sz w:val="16"/>
                <w:szCs w:val="16"/>
              </w:rPr>
              <w:t>costo (referencia de 2013)</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Reducción del costo medio de los billetes</w:t>
            </w:r>
          </w:p>
        </w:tc>
        <w:tc>
          <w:tcPr>
            <w:tcW w:w="1053" w:type="pct"/>
            <w:gridSpan w:val="4"/>
            <w:shd w:val="clear" w:color="auto" w:fill="FFFFFF"/>
            <w:tcMar>
              <w:top w:w="110" w:type="dxa"/>
            </w:tcMar>
          </w:tcPr>
          <w:p w:rsidR="00221F0B" w:rsidRPr="00434FFD" w:rsidRDefault="00221F0B" w:rsidP="00DC1333">
            <w:pPr>
              <w:rPr>
                <w:sz w:val="16"/>
                <w:szCs w:val="16"/>
                <w:lang w:bidi="th-TH"/>
              </w:rPr>
            </w:pPr>
            <w:r w:rsidRPr="00434FFD">
              <w:rPr>
                <w:sz w:val="16"/>
                <w:szCs w:val="16"/>
                <w:lang w:bidi="th-TH"/>
              </w:rPr>
              <w:t>1.598 francos suizos (2014)</w:t>
            </w:r>
          </w:p>
          <w:p w:rsidR="00221F0B" w:rsidRPr="00434FFD" w:rsidRDefault="00221F0B" w:rsidP="00DC1333">
            <w:pPr>
              <w:rPr>
                <w:sz w:val="16"/>
                <w:szCs w:val="16"/>
                <w:lang w:bidi="th-TH"/>
              </w:rPr>
            </w:pPr>
            <w:r w:rsidRPr="00434FFD">
              <w:rPr>
                <w:sz w:val="16"/>
                <w:szCs w:val="16"/>
                <w:lang w:bidi="th-TH"/>
              </w:rPr>
              <w:t>1.481 francos suizos (2015)</w:t>
            </w:r>
          </w:p>
        </w:tc>
        <w:tc>
          <w:tcPr>
            <w:tcW w:w="639" w:type="pct"/>
            <w:gridSpan w:val="2"/>
            <w:shd w:val="clear" w:color="auto" w:fill="auto"/>
            <w:tcMar>
              <w:top w:w="110" w:type="dxa"/>
            </w:tcMar>
          </w:tcPr>
          <w:p w:rsidR="00221F0B" w:rsidRPr="00434FFD" w:rsidRDefault="00221F0B" w:rsidP="00DC1333">
            <w:pPr>
              <w:keepNext/>
              <w:keepLines/>
              <w:ind w:left="-109"/>
              <w:jc w:val="center"/>
              <w:rPr>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t>Se administran eficazmente todos los tipos de espacio del recinto de la OMPI (espacios de  trabajo, almacenamiento y archivo)</w:t>
            </w:r>
          </w:p>
        </w:tc>
        <w:tc>
          <w:tcPr>
            <w:tcW w:w="1277" w:type="pct"/>
            <w:gridSpan w:val="2"/>
            <w:shd w:val="clear" w:color="auto" w:fill="auto"/>
          </w:tcPr>
          <w:p w:rsidR="00221F0B" w:rsidRPr="00434FFD" w:rsidRDefault="00221F0B" w:rsidP="00DC1333">
            <w:pPr>
              <w:rPr>
                <w:i/>
                <w:color w:val="002060"/>
                <w:sz w:val="16"/>
                <w:szCs w:val="16"/>
              </w:rPr>
            </w:pPr>
            <w:r w:rsidRPr="00434FFD">
              <w:rPr>
                <w:i/>
                <w:color w:val="002060"/>
                <w:sz w:val="16"/>
                <w:szCs w:val="16"/>
              </w:rPr>
              <w:t>Referencia actualizada a fines de 2013</w:t>
            </w:r>
            <w:proofErr w:type="gramStart"/>
            <w:r w:rsidRPr="00434FFD">
              <w:rPr>
                <w:i/>
                <w:color w:val="002060"/>
                <w:sz w:val="16"/>
                <w:szCs w:val="16"/>
              </w:rPr>
              <w:t xml:space="preserve">:  </w:t>
            </w:r>
            <w:r w:rsidRPr="00434FFD">
              <w:rPr>
                <w:color w:val="002060"/>
                <w:sz w:val="16"/>
                <w:szCs w:val="16"/>
              </w:rPr>
              <w:t>80</w:t>
            </w:r>
            <w:proofErr w:type="gramEnd"/>
            <w:r w:rsidRPr="00434FFD">
              <w:rPr>
                <w:color w:val="002060"/>
                <w:sz w:val="16"/>
                <w:szCs w:val="16"/>
              </w:rPr>
              <w:t xml:space="preserve"> espacios de trabajo (No fue necesario alquilar espacio de oficinas adicional durante el bienio.)</w:t>
            </w:r>
          </w:p>
          <w:p w:rsidR="00221F0B" w:rsidRPr="00434FFD" w:rsidRDefault="00221F0B" w:rsidP="00DC1333">
            <w:pPr>
              <w:rPr>
                <w:rFonts w:cstheme="minorBidi"/>
                <w:color w:val="002060"/>
                <w:sz w:val="16"/>
                <w:szCs w:val="16"/>
              </w:rPr>
            </w:pPr>
          </w:p>
          <w:p w:rsidR="00221F0B" w:rsidRDefault="00221F0B" w:rsidP="00DC1333">
            <w:pPr>
              <w:rPr>
                <w:sz w:val="16"/>
                <w:szCs w:val="16"/>
              </w:rPr>
            </w:pPr>
            <w:r w:rsidRPr="00434FFD">
              <w:rPr>
                <w:i/>
                <w:sz w:val="16"/>
                <w:szCs w:val="16"/>
              </w:rPr>
              <w:t>Referencia original en el presupuesto de 2014/15:</w:t>
            </w:r>
            <w:r w:rsidRPr="00434FFD">
              <w:t xml:space="preserve">  </w:t>
            </w:r>
            <w:r w:rsidRPr="00434FFD">
              <w:rPr>
                <w:sz w:val="16"/>
                <w:szCs w:val="16"/>
              </w:rPr>
              <w:t>Mantenimiento del número de espacios de trabajo en todos los edificios para dar cabida a la ampliación de los servicios y a los cambios en las actividades de la OMPI (número de empleados a fines de 2013); máximo de 80 espacios de trabajo alquilados (a fines de 2013);  6 áreas de almacenamiento/archivo fuera del recinto (a fines de 2013)</w:t>
            </w:r>
          </w:p>
          <w:p w:rsidR="00221F0B" w:rsidRPr="00434FFD" w:rsidRDefault="00221F0B" w:rsidP="00DC1333">
            <w:pPr>
              <w:rPr>
                <w:i/>
                <w:sz w:val="16"/>
                <w:szCs w:val="16"/>
              </w:rPr>
            </w:pP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Máximo de 80 espacios de trabajo alquilados (de un total de 1.582 espacios de trabajo)</w:t>
            </w:r>
            <w:r>
              <w:rPr>
                <w:sz w:val="16"/>
                <w:szCs w:val="16"/>
              </w:rPr>
              <w:t xml:space="preserve">:  </w:t>
            </w:r>
            <w:r w:rsidRPr="00434FFD">
              <w:rPr>
                <w:sz w:val="16"/>
                <w:szCs w:val="16"/>
              </w:rPr>
              <w:t>6 áreas de almacenamiento y archivo</w:t>
            </w:r>
          </w:p>
        </w:tc>
        <w:tc>
          <w:tcPr>
            <w:tcW w:w="1053" w:type="pct"/>
            <w:gridSpan w:val="4"/>
            <w:shd w:val="clear" w:color="auto" w:fill="FFFFFF"/>
            <w:tcMar>
              <w:top w:w="110" w:type="dxa"/>
            </w:tcMar>
          </w:tcPr>
          <w:p w:rsidR="00221F0B" w:rsidRPr="00434FFD" w:rsidRDefault="00221F0B" w:rsidP="00DC1333">
            <w:pPr>
              <w:rPr>
                <w:sz w:val="16"/>
                <w:szCs w:val="16"/>
              </w:rPr>
            </w:pPr>
            <w:r w:rsidRPr="00434FFD">
              <w:rPr>
                <w:sz w:val="16"/>
                <w:szCs w:val="16"/>
              </w:rPr>
              <w:t>80 espacios de trabajo alquilados (de un total de 1.645 espacios de trabajo);  4 áreas de almacenamiento /archivo debido a la rescisión del contrato de alquiler de dos áreas de almacenamiento fuera del recinto.  Rescisión del contrato de alquiler de espacio separado en un almacén de depósito y rescisión del contrato de alquiler de 57 plazas de estacionamiento fuera del recinto.</w:t>
            </w:r>
          </w:p>
        </w:tc>
        <w:tc>
          <w:tcPr>
            <w:tcW w:w="639" w:type="pct"/>
            <w:gridSpan w:val="2"/>
            <w:shd w:val="clear" w:color="auto" w:fill="auto"/>
            <w:tcMar>
              <w:top w:w="110" w:type="dxa"/>
            </w:tcMar>
          </w:tcPr>
          <w:p w:rsidR="00221F0B" w:rsidRPr="00434FFD" w:rsidRDefault="00221F0B" w:rsidP="00DC1333">
            <w:pPr>
              <w:keepNext/>
              <w:keepLines/>
              <w:ind w:left="-109"/>
              <w:jc w:val="center"/>
              <w:rPr>
                <w:bCs/>
                <w:color w:val="00B050"/>
                <w:sz w:val="16"/>
                <w:szCs w:val="16"/>
              </w:rPr>
            </w:pPr>
            <w:r w:rsidRPr="00434FFD">
              <w:rPr>
                <w:b/>
                <w:color w:val="00B050"/>
                <w:sz w:val="16"/>
                <w:szCs w:val="16"/>
              </w:rPr>
              <w:t>Plenamente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t>Se renuevan, modernizan y transforman los edificios del recinto de la OMPI para que sigan sirviendo a los fines establecidos</w:t>
            </w:r>
          </w:p>
        </w:tc>
        <w:tc>
          <w:tcPr>
            <w:tcW w:w="1277" w:type="pct"/>
            <w:gridSpan w:val="2"/>
            <w:shd w:val="clear" w:color="auto" w:fill="auto"/>
          </w:tcPr>
          <w:p w:rsidR="00221F0B" w:rsidRPr="00434FFD" w:rsidRDefault="00221F0B" w:rsidP="00DC1333">
            <w:pPr>
              <w:rPr>
                <w:color w:val="002060"/>
                <w:sz w:val="16"/>
                <w:szCs w:val="16"/>
              </w:rPr>
            </w:pPr>
            <w:r w:rsidRPr="00434FFD">
              <w:rPr>
                <w:i/>
                <w:color w:val="002060"/>
                <w:sz w:val="16"/>
                <w:szCs w:val="16"/>
              </w:rPr>
              <w:t xml:space="preserve">Referencia actualizada a fines de 2013: </w:t>
            </w:r>
            <w:r w:rsidRPr="00434FFD">
              <w:t xml:space="preserve"> </w:t>
            </w:r>
            <w:r w:rsidRPr="00434FFD">
              <w:rPr>
                <w:color w:val="002060"/>
                <w:sz w:val="16"/>
                <w:szCs w:val="16"/>
              </w:rPr>
              <w:t>Las instalaciones de refrigeración de los edificios GBI y GB II que utilizan agua del lago de Ginebra fueron modernizadas y quedaron completadas, respectivamente, en 2012 y en junio de 2013</w:t>
            </w:r>
          </w:p>
          <w:p w:rsidR="00221F0B" w:rsidRPr="00434FFD" w:rsidRDefault="00221F0B" w:rsidP="00DC1333">
            <w:pPr>
              <w:rPr>
                <w:color w:val="002060"/>
                <w:sz w:val="16"/>
                <w:szCs w:val="16"/>
              </w:rPr>
            </w:pPr>
          </w:p>
          <w:p w:rsidR="00221F0B" w:rsidRPr="00434FFD" w:rsidRDefault="00221F0B" w:rsidP="00DC1333">
            <w:pPr>
              <w:rPr>
                <w:rFonts w:cstheme="minorBidi"/>
                <w:color w:val="002060"/>
                <w:sz w:val="16"/>
                <w:szCs w:val="16"/>
              </w:rPr>
            </w:pPr>
            <w:r w:rsidRPr="00434FFD">
              <w:rPr>
                <w:color w:val="002060"/>
                <w:sz w:val="16"/>
                <w:szCs w:val="16"/>
              </w:rPr>
              <w:t>Se inició en 2012 la modernización de las instalaciones eléctricas del edificio más antiguo (GBI) con objeto de cumplir la legislación local que había sido promulgada recientemente, con el beneficio añadido de establecer un marco técnico para la reducción del consumo de electricidad.  Quedó finalizada en 2013</w:t>
            </w:r>
          </w:p>
          <w:p w:rsidR="00221F0B" w:rsidRPr="00434FFD" w:rsidRDefault="00221F0B" w:rsidP="00DC1333">
            <w:pPr>
              <w:rPr>
                <w:rFonts w:cstheme="minorBidi"/>
                <w:color w:val="002060"/>
                <w:sz w:val="16"/>
                <w:szCs w:val="16"/>
              </w:rPr>
            </w:pPr>
          </w:p>
          <w:p w:rsidR="00221F0B" w:rsidRPr="00434FFD" w:rsidRDefault="00221F0B" w:rsidP="00DC1333">
            <w:pPr>
              <w:rPr>
                <w:szCs w:val="22"/>
              </w:rPr>
            </w:pPr>
            <w:r w:rsidRPr="00434FFD">
              <w:rPr>
                <w:i/>
                <w:sz w:val="16"/>
                <w:szCs w:val="16"/>
              </w:rPr>
              <w:t xml:space="preserve">Referencia original en el presupuesto de 2014/15:  </w:t>
            </w:r>
            <w:r w:rsidRPr="00434FFD">
              <w:rPr>
                <w:sz w:val="16"/>
                <w:szCs w:val="16"/>
              </w:rPr>
              <w:t>plan sexenal para la primera fase de ejecución de la renovación, transformación y modernización de gran alcance de los locales del recinto de la OMPI que son necesarias</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Ejecución de proyectos de renovación, transformación y modernización de gran alcance con arreglo al plan sexenal</w:t>
            </w:r>
          </w:p>
        </w:tc>
        <w:tc>
          <w:tcPr>
            <w:tcW w:w="1053" w:type="pct"/>
            <w:gridSpan w:val="4"/>
            <w:shd w:val="clear" w:color="auto" w:fill="FFFFFF"/>
            <w:tcMar>
              <w:top w:w="110" w:type="dxa"/>
            </w:tcMar>
          </w:tcPr>
          <w:p w:rsidR="00221F0B" w:rsidRPr="00434FFD" w:rsidRDefault="00221F0B" w:rsidP="00DC1333">
            <w:pPr>
              <w:ind w:right="-69"/>
              <w:rPr>
                <w:sz w:val="16"/>
                <w:szCs w:val="16"/>
              </w:rPr>
            </w:pPr>
            <w:r w:rsidRPr="00434FFD">
              <w:rPr>
                <w:sz w:val="16"/>
                <w:szCs w:val="16"/>
              </w:rPr>
              <w:t>Véase el Apéndice III:  Informe sobre la marcha del plan maestro de mejoras de infraestructura en 2014</w:t>
            </w:r>
            <w:r w:rsidRPr="00434FFD">
              <w:rPr>
                <w:rStyle w:val="FootnoteReference"/>
                <w:sz w:val="16"/>
                <w:szCs w:val="16"/>
              </w:rPr>
              <w:footnoteReference w:id="138"/>
            </w:r>
            <w:r w:rsidRPr="00434FFD">
              <w:rPr>
                <w:sz w:val="16"/>
                <w:szCs w:val="16"/>
              </w:rPr>
              <w:t xml:space="preserve"> y 2015</w:t>
            </w:r>
          </w:p>
          <w:p w:rsidR="00221F0B" w:rsidRPr="00434FFD" w:rsidRDefault="00221F0B" w:rsidP="00DC1333">
            <w:pPr>
              <w:rPr>
                <w:sz w:val="16"/>
                <w:szCs w:val="16"/>
              </w:rPr>
            </w:pPr>
          </w:p>
          <w:p w:rsidR="00221F0B" w:rsidRPr="00434FFD" w:rsidRDefault="00221F0B" w:rsidP="00DC1333">
            <w:pPr>
              <w:rPr>
                <w:sz w:val="16"/>
                <w:szCs w:val="16"/>
              </w:rPr>
            </w:pPr>
            <w:r w:rsidRPr="00434FFD">
              <w:rPr>
                <w:sz w:val="16"/>
                <w:szCs w:val="16"/>
              </w:rPr>
              <w:t>Además del plan maestro de mejoras de infraestructura, en 2014 se ejecutaron los siguientes proyectos de modernización y transformación:  i) la principal obra gruesa del estudio multimedia;  ii) la modernización de las instalaciones técnicas y sistemas de gestión técnica (electricidad; sistema de distribución del agua; aumento  de la capacidad de refrigeración en el centro de datos del nuevo edificio; sustitución de la torre de enfriamiento para evitar despilfarros de refrigeración; modernización del pararrayos de los edificios PCT y GBII);  iii) modernización del sistema de ventilación del edificio AB (pisos11 y 13);  y iv) modernización de las alarmas técnicas en el nuevo edificio.</w:t>
            </w:r>
          </w:p>
          <w:p w:rsidR="00221F0B" w:rsidRPr="00434FFD" w:rsidRDefault="00221F0B" w:rsidP="00DC1333">
            <w:pPr>
              <w:rPr>
                <w:sz w:val="16"/>
                <w:szCs w:val="16"/>
              </w:rPr>
            </w:pPr>
          </w:p>
        </w:tc>
        <w:tc>
          <w:tcPr>
            <w:tcW w:w="639" w:type="pct"/>
            <w:gridSpan w:val="2"/>
            <w:shd w:val="clear" w:color="auto" w:fill="auto"/>
            <w:tcMar>
              <w:top w:w="110" w:type="dxa"/>
            </w:tcMar>
          </w:tcPr>
          <w:p w:rsidR="00221F0B" w:rsidRPr="00434FFD" w:rsidRDefault="00221F0B" w:rsidP="00DC1333">
            <w:pPr>
              <w:keepNext/>
              <w:keepLines/>
              <w:ind w:left="-109"/>
              <w:jc w:val="center"/>
              <w:rPr>
                <w:b/>
                <w:color w:val="00B050"/>
                <w:sz w:val="16"/>
                <w:szCs w:val="16"/>
              </w:rPr>
            </w:pPr>
            <w:r w:rsidRPr="00434FFD">
              <w:rPr>
                <w:b/>
                <w:color w:val="00B050"/>
                <w:sz w:val="16"/>
                <w:szCs w:val="16"/>
              </w:rPr>
              <w:t>Plenamente logrado</w:t>
            </w:r>
          </w:p>
        </w:tc>
      </w:tr>
      <w:tr w:rsidR="00221F0B" w:rsidRPr="00434FFD" w:rsidTr="00DC1333">
        <w:trPr>
          <w:cantSplit/>
          <w:trHeight w:val="4986"/>
        </w:trPr>
        <w:tc>
          <w:tcPr>
            <w:tcW w:w="1129" w:type="pct"/>
            <w:shd w:val="clear" w:color="auto" w:fill="auto"/>
          </w:tcPr>
          <w:p w:rsidR="00221F0B" w:rsidRPr="00434FFD" w:rsidRDefault="00221F0B" w:rsidP="00DC1333">
            <w:pPr>
              <w:rPr>
                <w:sz w:val="16"/>
                <w:szCs w:val="16"/>
              </w:rPr>
            </w:pPr>
          </w:p>
        </w:tc>
        <w:tc>
          <w:tcPr>
            <w:tcW w:w="1277" w:type="pct"/>
            <w:gridSpan w:val="2"/>
            <w:shd w:val="clear" w:color="auto" w:fill="auto"/>
          </w:tcPr>
          <w:p w:rsidR="00221F0B" w:rsidRPr="00434FFD" w:rsidRDefault="00221F0B" w:rsidP="00DC1333">
            <w:pPr>
              <w:rPr>
                <w:szCs w:val="22"/>
              </w:rPr>
            </w:pPr>
          </w:p>
        </w:tc>
        <w:tc>
          <w:tcPr>
            <w:tcW w:w="902" w:type="pct"/>
            <w:gridSpan w:val="3"/>
            <w:shd w:val="clear" w:color="auto" w:fill="auto"/>
            <w:tcMar>
              <w:top w:w="110" w:type="dxa"/>
            </w:tcMar>
          </w:tcPr>
          <w:p w:rsidR="00221F0B" w:rsidRPr="00434FFD" w:rsidRDefault="00221F0B" w:rsidP="00DC1333">
            <w:pPr>
              <w:rPr>
                <w:sz w:val="16"/>
                <w:szCs w:val="16"/>
              </w:rPr>
            </w:pPr>
          </w:p>
        </w:tc>
        <w:tc>
          <w:tcPr>
            <w:tcW w:w="1053" w:type="pct"/>
            <w:gridSpan w:val="4"/>
            <w:shd w:val="clear" w:color="auto" w:fill="FFFFFF"/>
            <w:tcMar>
              <w:top w:w="110" w:type="dxa"/>
            </w:tcMar>
          </w:tcPr>
          <w:p w:rsidR="00221F0B" w:rsidRPr="00434FFD" w:rsidRDefault="00221F0B" w:rsidP="00DC1333">
            <w:pPr>
              <w:rPr>
                <w:sz w:val="16"/>
                <w:szCs w:val="16"/>
              </w:rPr>
            </w:pPr>
            <w:r w:rsidRPr="00434FFD">
              <w:rPr>
                <w:sz w:val="16"/>
                <w:szCs w:val="16"/>
              </w:rPr>
              <w:t xml:space="preserve">En 2014/15 se ejecutaron los siguientes proyectos de modernización y transformación:  </w:t>
            </w:r>
            <w:r>
              <w:rPr>
                <w:sz w:val="16"/>
                <w:szCs w:val="16"/>
              </w:rPr>
              <w:t xml:space="preserve">i) </w:t>
            </w:r>
            <w:r w:rsidRPr="00434FFD">
              <w:rPr>
                <w:sz w:val="16"/>
                <w:szCs w:val="16"/>
              </w:rPr>
              <w:t xml:space="preserve">modernización de las instalaciones eléctricas sustituyendo las lámparas en varias plantas y en los niveles subterráneos del edificio AB;  </w:t>
            </w:r>
            <w:r>
              <w:rPr>
                <w:sz w:val="16"/>
                <w:szCs w:val="16"/>
              </w:rPr>
              <w:t>i</w:t>
            </w:r>
            <w:r w:rsidRPr="00434FFD">
              <w:rPr>
                <w:sz w:val="16"/>
                <w:szCs w:val="16"/>
              </w:rPr>
              <w:t>i) creación de nuevas puertas de servicio para facilitar el acceso de los vehículos a la planta baja del nuevo edificio;  iii) modernización de los sistemas de ventilación y refrigeración del edificio AB y el edificio del PCT;  iv) renovación de una serie de tuberías usadas en el edificio AB;  sustitución de lavaplatos industrial en la cafetería del edificio del PCT.</w:t>
            </w:r>
          </w:p>
        </w:tc>
        <w:tc>
          <w:tcPr>
            <w:tcW w:w="639" w:type="pct"/>
            <w:gridSpan w:val="2"/>
            <w:shd w:val="clear" w:color="auto" w:fill="auto"/>
            <w:tcMar>
              <w:top w:w="110" w:type="dxa"/>
            </w:tcMar>
          </w:tcPr>
          <w:p w:rsidR="00221F0B" w:rsidRPr="00434FFD" w:rsidRDefault="00221F0B" w:rsidP="00DC1333">
            <w:pPr>
              <w:keepNext/>
              <w:keepLines/>
              <w:ind w:left="99"/>
              <w:jc w:val="center"/>
              <w:rPr>
                <w:bCs/>
                <w:color w:val="00B050"/>
                <w:sz w:val="16"/>
                <w:szCs w:val="16"/>
              </w:rPr>
            </w:pPr>
          </w:p>
        </w:tc>
      </w:tr>
      <w:tr w:rsidR="00221F0B" w:rsidRPr="00434FFD" w:rsidTr="00DC1333">
        <w:trPr>
          <w:cantSplit/>
        </w:trPr>
        <w:tc>
          <w:tcPr>
            <w:tcW w:w="1129" w:type="pct"/>
            <w:tcBorders>
              <w:bottom w:val="single" w:sz="4" w:space="0" w:color="auto"/>
            </w:tcBorders>
            <w:shd w:val="clear" w:color="auto" w:fill="auto"/>
          </w:tcPr>
          <w:p w:rsidR="00221F0B" w:rsidRPr="00434FFD" w:rsidRDefault="00221F0B" w:rsidP="00DC1333">
            <w:pPr>
              <w:rPr>
                <w:sz w:val="16"/>
                <w:szCs w:val="16"/>
              </w:rPr>
            </w:pPr>
            <w:r w:rsidRPr="00434FFD">
              <w:rPr>
                <w:sz w:val="16"/>
                <w:szCs w:val="16"/>
              </w:rPr>
              <w:t>Todos los tipos de instalaciones técnicas esenciales cumplen las normas técnicas aplicables</w:t>
            </w:r>
          </w:p>
        </w:tc>
        <w:tc>
          <w:tcPr>
            <w:tcW w:w="1277" w:type="pct"/>
            <w:gridSpan w:val="2"/>
            <w:tcBorders>
              <w:bottom w:val="single" w:sz="4" w:space="0" w:color="auto"/>
            </w:tcBorders>
            <w:shd w:val="clear" w:color="auto" w:fill="auto"/>
          </w:tcPr>
          <w:p w:rsidR="00221F0B" w:rsidRPr="00434FFD" w:rsidRDefault="00221F0B" w:rsidP="00DC1333">
            <w:pPr>
              <w:rPr>
                <w:sz w:val="16"/>
                <w:szCs w:val="16"/>
              </w:rPr>
            </w:pPr>
            <w:r w:rsidRPr="00434FFD">
              <w:rPr>
                <w:sz w:val="16"/>
                <w:szCs w:val="16"/>
              </w:rPr>
              <w:t>Las instalaciones técnicas cumplen las normas y definiciones aplicables sobre instalaciones esenciales</w:t>
            </w:r>
          </w:p>
        </w:tc>
        <w:tc>
          <w:tcPr>
            <w:tcW w:w="902" w:type="pct"/>
            <w:gridSpan w:val="3"/>
            <w:tcBorders>
              <w:bottom w:val="single" w:sz="4" w:space="0" w:color="auto"/>
            </w:tcBorders>
            <w:shd w:val="clear" w:color="auto" w:fill="auto"/>
            <w:tcMar>
              <w:top w:w="110" w:type="dxa"/>
            </w:tcMar>
          </w:tcPr>
          <w:p w:rsidR="00221F0B" w:rsidRPr="00434FFD" w:rsidRDefault="00221F0B" w:rsidP="00DC1333">
            <w:pPr>
              <w:rPr>
                <w:sz w:val="16"/>
                <w:szCs w:val="16"/>
              </w:rPr>
            </w:pPr>
            <w:r w:rsidRPr="00434FFD">
              <w:rPr>
                <w:sz w:val="16"/>
                <w:szCs w:val="16"/>
              </w:rPr>
              <w:t>Verificar o mejorar/sustituir (si procede) las instalaciones técnicas esenciales según sea necesario</w:t>
            </w:r>
            <w:r w:rsidRPr="00434FFD">
              <w:rPr>
                <w:sz w:val="16"/>
                <w:szCs w:val="16"/>
              </w:rPr>
              <w:br/>
            </w:r>
          </w:p>
        </w:tc>
        <w:tc>
          <w:tcPr>
            <w:tcW w:w="1053" w:type="pct"/>
            <w:gridSpan w:val="4"/>
            <w:tcBorders>
              <w:bottom w:val="single" w:sz="4" w:space="0" w:color="auto"/>
            </w:tcBorders>
            <w:shd w:val="clear" w:color="auto" w:fill="FFFFFF"/>
            <w:tcMar>
              <w:top w:w="110" w:type="dxa"/>
            </w:tcMar>
          </w:tcPr>
          <w:p w:rsidR="00221F0B" w:rsidRPr="00434FFD" w:rsidRDefault="00221F0B" w:rsidP="00571FB5">
            <w:pPr>
              <w:rPr>
                <w:sz w:val="16"/>
                <w:szCs w:val="16"/>
              </w:rPr>
            </w:pPr>
            <w:r w:rsidRPr="00434FFD">
              <w:rPr>
                <w:sz w:val="16"/>
                <w:szCs w:val="16"/>
              </w:rPr>
              <w:t>Verificación periódica de las instalaciones esenciales.  Finalización en 2014 del primer inventario detallado de todas las instalaciones esenciales.  El inventario se actualiza con regularidad en función de las necesidades desde 2015.</w:t>
            </w:r>
          </w:p>
        </w:tc>
        <w:tc>
          <w:tcPr>
            <w:tcW w:w="639" w:type="pct"/>
            <w:gridSpan w:val="2"/>
            <w:tcBorders>
              <w:bottom w:val="single" w:sz="4" w:space="0" w:color="auto"/>
            </w:tcBorders>
            <w:shd w:val="clear" w:color="auto" w:fill="auto"/>
            <w:tcMar>
              <w:top w:w="110" w:type="dxa"/>
            </w:tcMar>
          </w:tcPr>
          <w:p w:rsidR="00221F0B" w:rsidRPr="00434FFD" w:rsidRDefault="00221F0B" w:rsidP="00DC1333">
            <w:pPr>
              <w:keepNext/>
              <w:keepLines/>
              <w:ind w:left="-109"/>
              <w:jc w:val="center"/>
              <w:rPr>
                <w:bCs/>
                <w:color w:val="00B050"/>
                <w:sz w:val="16"/>
                <w:szCs w:val="16"/>
              </w:rPr>
            </w:pPr>
            <w:r w:rsidRPr="00434FFD">
              <w:rPr>
                <w:b/>
                <w:color w:val="00B050"/>
                <w:sz w:val="16"/>
                <w:szCs w:val="16"/>
              </w:rPr>
              <w:t>Plenamente logrado</w:t>
            </w:r>
          </w:p>
        </w:tc>
      </w:tr>
      <w:tr w:rsidR="00221F0B" w:rsidRPr="00434FFD" w:rsidTr="00571FB5">
        <w:trPr>
          <w:cantSplit/>
          <w:trHeight w:val="507"/>
        </w:trPr>
        <w:tc>
          <w:tcPr>
            <w:tcW w:w="5000" w:type="pct"/>
            <w:gridSpan w:val="12"/>
            <w:tcBorders>
              <w:top w:val="single" w:sz="4" w:space="0" w:color="auto"/>
              <w:bottom w:val="single" w:sz="4" w:space="0" w:color="auto"/>
            </w:tcBorders>
            <w:shd w:val="clear" w:color="auto" w:fill="C6D9F1" w:themeFill="text2" w:themeFillTint="33"/>
            <w:vAlign w:val="center"/>
          </w:tcPr>
          <w:p w:rsidR="00221F0B" w:rsidRPr="00434FFD" w:rsidRDefault="00221F0B" w:rsidP="00DC1333">
            <w:pPr>
              <w:spacing w:before="120" w:after="120"/>
              <w:ind w:left="2019" w:hanging="2019"/>
              <w:rPr>
                <w:b/>
                <w:bCs/>
                <w:sz w:val="16"/>
                <w:szCs w:val="16"/>
              </w:rPr>
            </w:pPr>
            <w:r w:rsidRPr="00434FFD">
              <w:rPr>
                <w:b/>
                <w:bCs/>
                <w:sz w:val="16"/>
                <w:szCs w:val="16"/>
              </w:rPr>
              <w:t>Resultado previsto:</w:t>
            </w:r>
            <w:r w:rsidRPr="00434FFD">
              <w:rPr>
                <w:b/>
                <w:bCs/>
                <w:sz w:val="16"/>
                <w:szCs w:val="16"/>
              </w:rPr>
              <w:tab/>
            </w:r>
            <w:r w:rsidRPr="00434FFD">
              <w:rPr>
                <w:sz w:val="16"/>
                <w:szCs w:val="16"/>
              </w:rPr>
              <w:t>IX.4 Una organización responsable con el medio ambiente y la sociedad, en la que se garantiza la seguridad de su personal, los delegados, los visitantes, la información y los activos físicos</w:t>
            </w:r>
          </w:p>
        </w:tc>
      </w:tr>
      <w:tr w:rsidR="00221F0B" w:rsidRPr="00434FFD" w:rsidTr="00571FB5">
        <w:trPr>
          <w:cantSplit/>
        </w:trPr>
        <w:tc>
          <w:tcPr>
            <w:tcW w:w="1129" w:type="pct"/>
            <w:tcBorders>
              <w:top w:val="single" w:sz="4" w:space="0" w:color="auto"/>
              <w:bottom w:val="nil"/>
            </w:tcBorders>
            <w:shd w:val="clear" w:color="auto" w:fill="auto"/>
            <w:vAlign w:val="center"/>
          </w:tcPr>
          <w:p w:rsidR="00221F0B" w:rsidRPr="00434FFD" w:rsidRDefault="00221F0B" w:rsidP="00DC1333">
            <w:pPr>
              <w:rPr>
                <w:sz w:val="16"/>
                <w:szCs w:val="16"/>
              </w:rPr>
            </w:pPr>
            <w:r w:rsidRPr="00434FFD">
              <w:rPr>
                <w:b/>
                <w:sz w:val="16"/>
                <w:szCs w:val="16"/>
              </w:rPr>
              <w:t>Indicadores de rendimiento</w:t>
            </w:r>
          </w:p>
        </w:tc>
        <w:tc>
          <w:tcPr>
            <w:tcW w:w="1277" w:type="pct"/>
            <w:gridSpan w:val="2"/>
            <w:tcBorders>
              <w:top w:val="single" w:sz="4" w:space="0" w:color="auto"/>
              <w:bottom w:val="nil"/>
            </w:tcBorders>
            <w:shd w:val="clear" w:color="auto" w:fill="auto"/>
            <w:vAlign w:val="center"/>
          </w:tcPr>
          <w:p w:rsidR="00221F0B" w:rsidRPr="00434FFD" w:rsidRDefault="00221F0B" w:rsidP="00DC1333">
            <w:pPr>
              <w:rPr>
                <w:b/>
                <w:bCs/>
                <w:sz w:val="16"/>
                <w:szCs w:val="16"/>
              </w:rPr>
            </w:pPr>
            <w:r w:rsidRPr="00434FFD">
              <w:rPr>
                <w:b/>
                <w:bCs/>
                <w:sz w:val="16"/>
                <w:szCs w:val="16"/>
              </w:rPr>
              <w:t>Referencia</w:t>
            </w:r>
          </w:p>
        </w:tc>
        <w:tc>
          <w:tcPr>
            <w:tcW w:w="902" w:type="pct"/>
            <w:gridSpan w:val="3"/>
            <w:tcBorders>
              <w:top w:val="single" w:sz="4" w:space="0" w:color="auto"/>
              <w:bottom w:val="nil"/>
            </w:tcBorders>
            <w:shd w:val="clear" w:color="auto" w:fill="auto"/>
            <w:tcMar>
              <w:top w:w="110" w:type="dxa"/>
            </w:tcMar>
            <w:vAlign w:val="center"/>
          </w:tcPr>
          <w:p w:rsidR="00221F0B" w:rsidRPr="00434FFD" w:rsidRDefault="00221F0B" w:rsidP="00DC1333">
            <w:pPr>
              <w:rPr>
                <w:b/>
                <w:sz w:val="16"/>
                <w:szCs w:val="16"/>
              </w:rPr>
            </w:pPr>
            <w:r w:rsidRPr="00434FFD">
              <w:rPr>
                <w:b/>
                <w:sz w:val="16"/>
                <w:szCs w:val="16"/>
              </w:rPr>
              <w:t>Objetivos</w:t>
            </w:r>
          </w:p>
        </w:tc>
        <w:tc>
          <w:tcPr>
            <w:tcW w:w="1053" w:type="pct"/>
            <w:gridSpan w:val="4"/>
            <w:tcBorders>
              <w:top w:val="single" w:sz="4" w:space="0" w:color="auto"/>
              <w:bottom w:val="nil"/>
            </w:tcBorders>
            <w:shd w:val="clear" w:color="auto" w:fill="FFFFFF"/>
            <w:tcMar>
              <w:top w:w="110" w:type="dxa"/>
            </w:tcMar>
            <w:vAlign w:val="center"/>
          </w:tcPr>
          <w:p w:rsidR="00221F0B" w:rsidRPr="00434FFD" w:rsidRDefault="00221F0B" w:rsidP="00DC1333">
            <w:pPr>
              <w:rPr>
                <w:sz w:val="16"/>
                <w:szCs w:val="16"/>
              </w:rPr>
            </w:pPr>
            <w:r w:rsidRPr="00434FFD">
              <w:rPr>
                <w:b/>
                <w:sz w:val="16"/>
                <w:szCs w:val="16"/>
              </w:rPr>
              <w:t>Datos sobre el rendimiento</w:t>
            </w:r>
          </w:p>
        </w:tc>
        <w:tc>
          <w:tcPr>
            <w:tcW w:w="639" w:type="pct"/>
            <w:gridSpan w:val="2"/>
            <w:tcBorders>
              <w:top w:val="single" w:sz="4" w:space="0" w:color="auto"/>
              <w:bottom w:val="nil"/>
            </w:tcBorders>
            <w:shd w:val="clear" w:color="auto" w:fill="auto"/>
            <w:tcMar>
              <w:top w:w="110" w:type="dxa"/>
            </w:tcMar>
            <w:vAlign w:val="center"/>
          </w:tcPr>
          <w:p w:rsidR="00221F0B" w:rsidRPr="00434FFD" w:rsidRDefault="00221F0B" w:rsidP="00DC1333">
            <w:pPr>
              <w:jc w:val="center"/>
              <w:rPr>
                <w:b/>
                <w:bCs/>
                <w:sz w:val="16"/>
                <w:szCs w:val="16"/>
              </w:rPr>
            </w:pPr>
            <w:r w:rsidRPr="00434FFD">
              <w:rPr>
                <w:b/>
                <w:bCs/>
                <w:sz w:val="16"/>
                <w:szCs w:val="16"/>
              </w:rPr>
              <w:t>Clave de colores</w:t>
            </w:r>
          </w:p>
        </w:tc>
      </w:tr>
      <w:tr w:rsidR="00571FB5" w:rsidRPr="00434FFD" w:rsidTr="00571FB5">
        <w:trPr>
          <w:cantSplit/>
        </w:trPr>
        <w:tc>
          <w:tcPr>
            <w:tcW w:w="1129" w:type="pct"/>
            <w:tcBorders>
              <w:top w:val="nil"/>
            </w:tcBorders>
            <w:shd w:val="clear" w:color="auto" w:fill="auto"/>
          </w:tcPr>
          <w:p w:rsidR="00571FB5" w:rsidRPr="00434FFD" w:rsidRDefault="00571FB5" w:rsidP="00571FB5">
            <w:pPr>
              <w:rPr>
                <w:b/>
                <w:sz w:val="16"/>
                <w:szCs w:val="16"/>
              </w:rPr>
            </w:pPr>
            <w:r w:rsidRPr="00434FFD">
              <w:rPr>
                <w:sz w:val="16"/>
                <w:szCs w:val="16"/>
              </w:rPr>
              <w:t>Mejora de la accesibilidad al recinto de la OMPI</w:t>
            </w:r>
          </w:p>
        </w:tc>
        <w:tc>
          <w:tcPr>
            <w:tcW w:w="1277" w:type="pct"/>
            <w:gridSpan w:val="2"/>
            <w:tcBorders>
              <w:top w:val="nil"/>
            </w:tcBorders>
            <w:shd w:val="clear" w:color="auto" w:fill="auto"/>
          </w:tcPr>
          <w:p w:rsidR="00571FB5" w:rsidRPr="00434FFD" w:rsidRDefault="00571FB5" w:rsidP="00571FB5">
            <w:pPr>
              <w:rPr>
                <w:color w:val="002060"/>
                <w:sz w:val="16"/>
                <w:szCs w:val="16"/>
              </w:rPr>
            </w:pPr>
            <w:r w:rsidRPr="00434FFD">
              <w:rPr>
                <w:i/>
                <w:color w:val="002060"/>
                <w:sz w:val="16"/>
                <w:szCs w:val="16"/>
              </w:rPr>
              <w:t>Referencia actualizada a fines de 2013:</w:t>
            </w:r>
            <w:r w:rsidRPr="00434FFD">
              <w:t xml:space="preserve"> </w:t>
            </w:r>
            <w:r w:rsidRPr="00434FFD">
              <w:rPr>
                <w:color w:val="002060"/>
                <w:sz w:val="16"/>
                <w:szCs w:val="16"/>
              </w:rPr>
              <w:t>No se elaboró el plan quinquenal al final de 2013</w:t>
            </w:r>
          </w:p>
          <w:p w:rsidR="00571FB5" w:rsidRDefault="00571FB5" w:rsidP="00571FB5">
            <w:pPr>
              <w:rPr>
                <w:b/>
                <w:bCs/>
                <w:sz w:val="16"/>
                <w:szCs w:val="16"/>
              </w:rPr>
            </w:pPr>
          </w:p>
          <w:p w:rsidR="00571FB5" w:rsidRDefault="00571FB5" w:rsidP="00571FB5">
            <w:pPr>
              <w:rPr>
                <w:b/>
                <w:bCs/>
                <w:sz w:val="16"/>
                <w:szCs w:val="16"/>
              </w:rPr>
            </w:pPr>
          </w:p>
          <w:p w:rsidR="00571FB5" w:rsidRDefault="00571FB5" w:rsidP="00571FB5">
            <w:pPr>
              <w:rPr>
                <w:b/>
                <w:bCs/>
                <w:sz w:val="16"/>
                <w:szCs w:val="16"/>
              </w:rPr>
            </w:pPr>
          </w:p>
          <w:p w:rsidR="00571FB5" w:rsidRDefault="00571FB5" w:rsidP="00571FB5">
            <w:pPr>
              <w:rPr>
                <w:b/>
                <w:bCs/>
                <w:sz w:val="16"/>
                <w:szCs w:val="16"/>
              </w:rPr>
            </w:pPr>
          </w:p>
          <w:p w:rsidR="00571FB5" w:rsidRPr="00434FFD" w:rsidRDefault="00571FB5" w:rsidP="00571FB5">
            <w:pPr>
              <w:rPr>
                <w:b/>
                <w:bCs/>
                <w:sz w:val="16"/>
                <w:szCs w:val="16"/>
              </w:rPr>
            </w:pPr>
            <w:r w:rsidRPr="00434FFD">
              <w:rPr>
                <w:i/>
                <w:sz w:val="16"/>
                <w:szCs w:val="16"/>
              </w:rPr>
              <w:t xml:space="preserve">Referencia original en el presupuesto de 2014/15:  </w:t>
            </w:r>
            <w:r w:rsidRPr="00434FFD">
              <w:rPr>
                <w:sz w:val="16"/>
                <w:szCs w:val="16"/>
              </w:rPr>
              <w:t>plan quinquenal para la aplicación de las recomendaciones de auditoría en materia de accesibilidad efectuadas en 2012 (plan establecido al final de 2013)</w:t>
            </w:r>
          </w:p>
        </w:tc>
        <w:tc>
          <w:tcPr>
            <w:tcW w:w="902" w:type="pct"/>
            <w:gridSpan w:val="3"/>
            <w:tcBorders>
              <w:top w:val="nil"/>
            </w:tcBorders>
            <w:shd w:val="clear" w:color="auto" w:fill="auto"/>
            <w:tcMar>
              <w:top w:w="110" w:type="dxa"/>
            </w:tcMar>
          </w:tcPr>
          <w:p w:rsidR="00571FB5" w:rsidRPr="00434FFD" w:rsidRDefault="00571FB5" w:rsidP="00571FB5">
            <w:pPr>
              <w:rPr>
                <w:b/>
                <w:sz w:val="16"/>
                <w:szCs w:val="16"/>
              </w:rPr>
            </w:pPr>
            <w:r w:rsidRPr="00434FFD">
              <w:rPr>
                <w:sz w:val="16"/>
                <w:szCs w:val="16"/>
              </w:rPr>
              <w:t>Aplicación de las recomendaciones de auditoría con arreglo al plan quinquenal</w:t>
            </w:r>
          </w:p>
        </w:tc>
        <w:tc>
          <w:tcPr>
            <w:tcW w:w="1053" w:type="pct"/>
            <w:gridSpan w:val="4"/>
            <w:tcBorders>
              <w:top w:val="nil"/>
            </w:tcBorders>
            <w:shd w:val="clear" w:color="auto" w:fill="FFFFFF"/>
            <w:tcMar>
              <w:top w:w="110" w:type="dxa"/>
            </w:tcMar>
          </w:tcPr>
          <w:p w:rsidR="00571FB5" w:rsidRPr="00434FFD" w:rsidRDefault="00571FB5" w:rsidP="00571FB5">
            <w:pPr>
              <w:rPr>
                <w:sz w:val="16"/>
                <w:szCs w:val="16"/>
              </w:rPr>
            </w:pPr>
            <w:r w:rsidRPr="00434FFD">
              <w:rPr>
                <w:sz w:val="16"/>
                <w:szCs w:val="16"/>
              </w:rPr>
              <w:t>No se elaboró el plan quinquenal a fines de 2015 por falta de recursos disponibles por las obras relativas a la nueva sala de conferencias de la OMPI</w:t>
            </w:r>
          </w:p>
          <w:p w:rsidR="00571FB5" w:rsidRPr="00434FFD" w:rsidRDefault="00571FB5" w:rsidP="00571FB5">
            <w:pPr>
              <w:spacing w:before="120"/>
              <w:rPr>
                <w:b/>
                <w:sz w:val="16"/>
                <w:szCs w:val="16"/>
              </w:rPr>
            </w:pPr>
            <w:r w:rsidRPr="00434FFD">
              <w:rPr>
                <w:sz w:val="16"/>
                <w:szCs w:val="16"/>
              </w:rPr>
              <w:t>Entre otras mejoras, figuraban: i) rampas adicionales para el acceso en silla de ruedas (acceso a las cabinas de intérpretes en una nueva sala de reunión del nuevo edificio; y ii) la instalación de los lectores de tarjetas de identificación a la altura de las sillas de ruedas en los edificios AB y PCT y nuevo edificio. Varias de esas mejoras se realizaron sin incurrir en grandes costos y/o al</w:t>
            </w:r>
            <w:r w:rsidRPr="00434FFD">
              <w:rPr>
                <w:sz w:val="16"/>
                <w:szCs w:val="16"/>
                <w:highlight w:val="yellow"/>
              </w:rPr>
              <w:t xml:space="preserve"> </w:t>
            </w:r>
            <w:r w:rsidRPr="00434FFD">
              <w:rPr>
                <w:sz w:val="16"/>
                <w:szCs w:val="16"/>
              </w:rPr>
              <w:t>integrarse en otras infraestructuras o instalaciones, acarrearon un costo adicional mínimo</w:t>
            </w:r>
          </w:p>
        </w:tc>
        <w:tc>
          <w:tcPr>
            <w:tcW w:w="639" w:type="pct"/>
            <w:gridSpan w:val="2"/>
            <w:tcBorders>
              <w:top w:val="nil"/>
            </w:tcBorders>
            <w:shd w:val="clear" w:color="auto" w:fill="auto"/>
            <w:tcMar>
              <w:top w:w="110" w:type="dxa"/>
            </w:tcMar>
          </w:tcPr>
          <w:p w:rsidR="00571FB5" w:rsidRPr="00434FFD" w:rsidRDefault="00571FB5" w:rsidP="00571FB5">
            <w:pPr>
              <w:rPr>
                <w:b/>
                <w:bCs/>
                <w:sz w:val="16"/>
                <w:szCs w:val="16"/>
              </w:rPr>
            </w:pPr>
            <w:r w:rsidRPr="00434FFD">
              <w:rPr>
                <w:b/>
                <w:color w:val="FF0000"/>
                <w:sz w:val="16"/>
                <w:szCs w:val="16"/>
              </w:rPr>
              <w:t>No logrado</w:t>
            </w:r>
          </w:p>
        </w:tc>
      </w:tr>
      <w:tr w:rsidR="00221F0B" w:rsidRPr="00434FFD" w:rsidTr="00DC1333">
        <w:trPr>
          <w:cantSplit/>
        </w:trPr>
        <w:tc>
          <w:tcPr>
            <w:tcW w:w="1129" w:type="pct"/>
            <w:shd w:val="clear" w:color="auto" w:fill="auto"/>
          </w:tcPr>
          <w:p w:rsidR="00221F0B" w:rsidRPr="00434FFD" w:rsidRDefault="00221F0B" w:rsidP="00DC1333">
            <w:pPr>
              <w:rPr>
                <w:sz w:val="16"/>
                <w:szCs w:val="16"/>
              </w:rPr>
            </w:pPr>
            <w:r w:rsidRPr="00434FFD">
              <w:rPr>
                <w:sz w:val="16"/>
                <w:szCs w:val="16"/>
              </w:rPr>
              <w:lastRenderedPageBreak/>
              <w:t>Menor repercusión de los edificios de la OMPI en el medio ambiente</w:t>
            </w:r>
          </w:p>
        </w:tc>
        <w:tc>
          <w:tcPr>
            <w:tcW w:w="1277" w:type="pct"/>
            <w:gridSpan w:val="2"/>
            <w:shd w:val="clear" w:color="auto" w:fill="auto"/>
          </w:tcPr>
          <w:p w:rsidR="00221F0B" w:rsidRPr="00434FFD" w:rsidRDefault="00221F0B" w:rsidP="00DC1333">
            <w:pPr>
              <w:rPr>
                <w:sz w:val="16"/>
                <w:szCs w:val="16"/>
                <w:lang w:bidi="th-TH"/>
              </w:rPr>
            </w:pPr>
            <w:r w:rsidRPr="00434FFD">
              <w:rPr>
                <w:i/>
                <w:color w:val="002060"/>
                <w:sz w:val="16"/>
                <w:szCs w:val="16"/>
              </w:rPr>
              <w:t>Referencia actualizada a fines de 2013:</w:t>
            </w:r>
            <w:r w:rsidRPr="00434FFD">
              <w:rPr>
                <w:color w:val="002060"/>
                <w:sz w:val="16"/>
                <w:szCs w:val="16"/>
              </w:rPr>
              <w:t xml:space="preserve">  reducción del 2% del consumo de electricidad gracias a la aplicación de una serie de medidas destinadas a modernizar las instalaciones;  reducción del 7% del consumo de agua gracias a la modernización del sistema de refrigeración en uno de los centros de datos</w:t>
            </w:r>
          </w:p>
          <w:p w:rsidR="00221F0B" w:rsidRPr="00434FFD" w:rsidRDefault="00221F0B" w:rsidP="00DC1333">
            <w:pPr>
              <w:rPr>
                <w:color w:val="002060"/>
                <w:sz w:val="16"/>
                <w:szCs w:val="16"/>
              </w:rPr>
            </w:pPr>
          </w:p>
          <w:p w:rsidR="00221F0B" w:rsidRPr="00434FFD" w:rsidRDefault="00221F0B" w:rsidP="00DC1333">
            <w:pPr>
              <w:rPr>
                <w:rFonts w:cstheme="minorBidi"/>
                <w:color w:val="002060"/>
                <w:sz w:val="16"/>
                <w:szCs w:val="16"/>
              </w:rPr>
            </w:pPr>
          </w:p>
          <w:p w:rsidR="00221F0B" w:rsidRPr="00434FFD" w:rsidRDefault="00221F0B" w:rsidP="00DC1333">
            <w:pPr>
              <w:rPr>
                <w:szCs w:val="22"/>
              </w:rPr>
            </w:pPr>
            <w:r w:rsidRPr="00434FFD">
              <w:rPr>
                <w:i/>
                <w:sz w:val="16"/>
                <w:szCs w:val="16"/>
              </w:rPr>
              <w:t>Referencia original en el presupuesto de 2014/15:</w:t>
            </w:r>
            <w:r w:rsidRPr="00434FFD">
              <w:t xml:space="preserve">  </w:t>
            </w:r>
            <w:r w:rsidRPr="00434FFD">
              <w:rPr>
                <w:sz w:val="16"/>
                <w:szCs w:val="16"/>
              </w:rPr>
              <w:t>Consumo anual de electricidad y agua (al final de 2013)</w:t>
            </w:r>
          </w:p>
        </w:tc>
        <w:tc>
          <w:tcPr>
            <w:tcW w:w="902" w:type="pct"/>
            <w:gridSpan w:val="3"/>
            <w:shd w:val="clear" w:color="auto" w:fill="auto"/>
            <w:tcMar>
              <w:top w:w="110" w:type="dxa"/>
            </w:tcMar>
          </w:tcPr>
          <w:p w:rsidR="00221F0B" w:rsidRPr="00434FFD" w:rsidRDefault="00221F0B" w:rsidP="00DC1333">
            <w:pPr>
              <w:rPr>
                <w:sz w:val="16"/>
                <w:szCs w:val="16"/>
              </w:rPr>
            </w:pPr>
            <w:r w:rsidRPr="00434FFD">
              <w:rPr>
                <w:sz w:val="16"/>
                <w:szCs w:val="16"/>
              </w:rPr>
              <w:t>Disminución del 4% en el consumo de electricidad y del 10% en el consumo de agua a fines de 2015</w:t>
            </w:r>
          </w:p>
        </w:tc>
        <w:tc>
          <w:tcPr>
            <w:tcW w:w="1053" w:type="pct"/>
            <w:gridSpan w:val="4"/>
            <w:shd w:val="clear" w:color="auto" w:fill="FFFFFF"/>
            <w:tcMar>
              <w:top w:w="110" w:type="dxa"/>
            </w:tcMar>
          </w:tcPr>
          <w:p w:rsidR="00221F0B" w:rsidRPr="00434FFD" w:rsidRDefault="00221F0B" w:rsidP="00DC1333">
            <w:pPr>
              <w:rPr>
                <w:sz w:val="16"/>
                <w:szCs w:val="16"/>
              </w:rPr>
            </w:pPr>
            <w:r w:rsidRPr="00434FFD">
              <w:rPr>
                <w:sz w:val="16"/>
                <w:szCs w:val="16"/>
              </w:rPr>
              <w:t>Reducción del 5% en el consumo de electricidad y del 33% en el consumo de agua en 2014/15 en comparación con 2012/13, a pesar de la incorporación de la nueva sala de conferencias de la OMPI desde septiembre de 2014.</w:t>
            </w:r>
          </w:p>
          <w:p w:rsidR="00221F0B" w:rsidRPr="00434FFD" w:rsidRDefault="00221F0B" w:rsidP="00DC1333">
            <w:pPr>
              <w:rPr>
                <w:sz w:val="16"/>
                <w:szCs w:val="16"/>
              </w:rPr>
            </w:pPr>
          </w:p>
          <w:p w:rsidR="00221F0B" w:rsidRPr="00434FFD" w:rsidRDefault="00221F0B" w:rsidP="00DC1333">
            <w:pPr>
              <w:rPr>
                <w:sz w:val="16"/>
                <w:szCs w:val="16"/>
              </w:rPr>
            </w:pPr>
            <w:r w:rsidRPr="00434FFD">
              <w:rPr>
                <w:sz w:val="16"/>
                <w:szCs w:val="16"/>
              </w:rPr>
              <w:t>El sistema de refrigeración a base de agua refrigerada procedente del lago de Ginebra de los edificios AB y del PCT (dentro del plan maestro de mejoras de infraestructuras, véanse los apéndices) se entregó en 2014 y 2015 respectivamente y se ha integrado plenamente en el plan de mantenimiento de los edificios.</w:t>
            </w:r>
          </w:p>
          <w:p w:rsidR="00221F0B" w:rsidRPr="00434FFD" w:rsidRDefault="00221F0B" w:rsidP="00DC1333">
            <w:pPr>
              <w:rPr>
                <w:sz w:val="16"/>
                <w:szCs w:val="16"/>
              </w:rPr>
            </w:pPr>
          </w:p>
          <w:p w:rsidR="00221F0B" w:rsidRPr="00434FFD" w:rsidRDefault="00221F0B" w:rsidP="00DC1333">
            <w:pPr>
              <w:rPr>
                <w:sz w:val="16"/>
                <w:szCs w:val="16"/>
              </w:rPr>
            </w:pPr>
            <w:r w:rsidRPr="00434FFD">
              <w:rPr>
                <w:sz w:val="16"/>
                <w:szCs w:val="16"/>
              </w:rPr>
              <w:t>Se modernizó el sistema de refrigeración a base de agua refrigerada procedente del lago de Ginebra del nuevo edificio en 2014.</w:t>
            </w:r>
          </w:p>
          <w:p w:rsidR="00221F0B" w:rsidRPr="00434FFD" w:rsidRDefault="00221F0B" w:rsidP="00DC1333">
            <w:pPr>
              <w:rPr>
                <w:sz w:val="16"/>
                <w:szCs w:val="16"/>
              </w:rPr>
            </w:pPr>
          </w:p>
          <w:p w:rsidR="00221F0B" w:rsidRPr="00434FFD" w:rsidRDefault="00221F0B" w:rsidP="00DC1333">
            <w:pPr>
              <w:rPr>
                <w:sz w:val="16"/>
                <w:szCs w:val="16"/>
              </w:rPr>
            </w:pPr>
            <w:r w:rsidRPr="00434FFD">
              <w:rPr>
                <w:sz w:val="16"/>
                <w:szCs w:val="16"/>
              </w:rPr>
              <w:t>Entre las medidas adicionales para respetar el medio ambiente estaban las siguientes medidas principales:  i) reducción del consumo de luz artificial sustituyendo las lámparas tradicionales por nuevos apliques a base de tecnología de LED, ii) activación de la iluminación por detección de la presencia de personas fuera del horario laboral en las plantas de oficinas de varias áreas de edificios más antiguos</w:t>
            </w:r>
            <w:r w:rsidR="005E7D72">
              <w:rPr>
                <w:sz w:val="16"/>
                <w:szCs w:val="16"/>
              </w:rPr>
              <w:br/>
            </w:r>
          </w:p>
        </w:tc>
        <w:tc>
          <w:tcPr>
            <w:tcW w:w="639" w:type="pct"/>
            <w:gridSpan w:val="2"/>
            <w:shd w:val="clear" w:color="auto" w:fill="auto"/>
            <w:tcMar>
              <w:top w:w="110" w:type="dxa"/>
            </w:tcMar>
          </w:tcPr>
          <w:p w:rsidR="00221F0B" w:rsidRPr="00434FFD" w:rsidRDefault="00221F0B" w:rsidP="00DC1333">
            <w:pPr>
              <w:keepNext/>
              <w:keepLines/>
              <w:ind w:left="-109"/>
              <w:jc w:val="center"/>
              <w:rPr>
                <w:b/>
                <w:bCs/>
                <w:color w:val="00B050"/>
                <w:sz w:val="16"/>
                <w:szCs w:val="16"/>
              </w:rPr>
            </w:pPr>
            <w:r w:rsidRPr="00434FFD">
              <w:rPr>
                <w:b/>
                <w:color w:val="00B050"/>
                <w:sz w:val="16"/>
                <w:szCs w:val="16"/>
              </w:rPr>
              <w:t>Plenamente logrado</w:t>
            </w:r>
          </w:p>
        </w:tc>
      </w:tr>
      <w:tr w:rsidR="00221F0B" w:rsidRPr="00434FFD" w:rsidTr="00DC1333">
        <w:trPr>
          <w:cantSplit/>
        </w:trPr>
        <w:tc>
          <w:tcPr>
            <w:tcW w:w="1129" w:type="pct"/>
            <w:tcBorders>
              <w:bottom w:val="single" w:sz="4" w:space="0" w:color="auto"/>
            </w:tcBorders>
            <w:shd w:val="clear" w:color="auto" w:fill="auto"/>
          </w:tcPr>
          <w:p w:rsidR="00221F0B" w:rsidRPr="00434FFD" w:rsidRDefault="00221F0B" w:rsidP="00DC1333">
            <w:pPr>
              <w:rPr>
                <w:sz w:val="16"/>
                <w:szCs w:val="16"/>
              </w:rPr>
            </w:pPr>
            <w:r w:rsidRPr="00434FFD">
              <w:rPr>
                <w:sz w:val="16"/>
                <w:szCs w:val="16"/>
              </w:rPr>
              <w:lastRenderedPageBreak/>
              <w:t>Los locales de la OMPI satisfacen las recomendaciones efectuadas en 2009 por el Instituto de Seguridad (Neuchâtel) y las medidas de seguridad del perímetro con arreglo a las normas mínimas operativas de seguridad para las sedes de NN.UU.</w:t>
            </w:r>
          </w:p>
        </w:tc>
        <w:tc>
          <w:tcPr>
            <w:tcW w:w="1277" w:type="pct"/>
            <w:gridSpan w:val="2"/>
            <w:tcBorders>
              <w:bottom w:val="single" w:sz="4" w:space="0" w:color="auto"/>
            </w:tcBorders>
            <w:shd w:val="clear" w:color="auto" w:fill="auto"/>
          </w:tcPr>
          <w:p w:rsidR="00221F0B" w:rsidRPr="00434FFD" w:rsidRDefault="00221F0B" w:rsidP="00DC1333">
            <w:pPr>
              <w:rPr>
                <w:sz w:val="16"/>
                <w:szCs w:val="16"/>
              </w:rPr>
            </w:pPr>
            <w:r w:rsidRPr="00434FFD">
              <w:rPr>
                <w:sz w:val="16"/>
                <w:szCs w:val="16"/>
              </w:rPr>
              <w:t>Plan sexenal para la aplicación de las recomendaciones de auditoría efectuadas en 2009 por el Instituto de Seguridad (Neuchâtel)</w:t>
            </w:r>
          </w:p>
          <w:p w:rsidR="00221F0B" w:rsidRPr="00434FFD" w:rsidRDefault="00221F0B" w:rsidP="00DC1333">
            <w:pPr>
              <w:rPr>
                <w:szCs w:val="22"/>
              </w:rPr>
            </w:pPr>
          </w:p>
        </w:tc>
        <w:tc>
          <w:tcPr>
            <w:tcW w:w="902" w:type="pct"/>
            <w:gridSpan w:val="3"/>
            <w:tcBorders>
              <w:bottom w:val="single" w:sz="4" w:space="0" w:color="auto"/>
            </w:tcBorders>
            <w:shd w:val="clear" w:color="auto" w:fill="auto"/>
            <w:tcMar>
              <w:top w:w="110" w:type="dxa"/>
            </w:tcMar>
          </w:tcPr>
          <w:p w:rsidR="00221F0B" w:rsidRPr="00434FFD" w:rsidRDefault="00221F0B" w:rsidP="00DC1333">
            <w:pPr>
              <w:rPr>
                <w:sz w:val="16"/>
                <w:szCs w:val="16"/>
              </w:rPr>
            </w:pPr>
            <w:r w:rsidRPr="00434FFD">
              <w:rPr>
                <w:sz w:val="16"/>
                <w:szCs w:val="16"/>
              </w:rPr>
              <w:t>Aplicación de las recomendaciones de auditoría con arreglo a la ejecución del plan sexenal y medidas de seguridad del perímetro a fines de 2015</w:t>
            </w:r>
          </w:p>
        </w:tc>
        <w:tc>
          <w:tcPr>
            <w:tcW w:w="1053" w:type="pct"/>
            <w:gridSpan w:val="4"/>
            <w:tcBorders>
              <w:bottom w:val="single" w:sz="4" w:space="0" w:color="auto"/>
            </w:tcBorders>
            <w:shd w:val="clear" w:color="auto" w:fill="FFFFFF"/>
            <w:tcMar>
              <w:top w:w="110" w:type="dxa"/>
            </w:tcMar>
          </w:tcPr>
          <w:p w:rsidR="00221F0B" w:rsidRPr="00434FFD" w:rsidRDefault="00221F0B" w:rsidP="00DC1333">
            <w:pPr>
              <w:rPr>
                <w:sz w:val="16"/>
                <w:szCs w:val="16"/>
              </w:rPr>
            </w:pPr>
            <w:r w:rsidRPr="00434FFD">
              <w:rPr>
                <w:sz w:val="16"/>
                <w:szCs w:val="16"/>
              </w:rPr>
              <w:t>Véase el Apéndice III, Informe sobre la marcha del plan maestro de mejoras de infraestructura en 2014 y 2015</w:t>
            </w:r>
          </w:p>
          <w:p w:rsidR="00221F0B" w:rsidRPr="00434FFD" w:rsidRDefault="00221F0B" w:rsidP="00DC1333">
            <w:pPr>
              <w:rPr>
                <w:sz w:val="16"/>
                <w:szCs w:val="16"/>
              </w:rPr>
            </w:pPr>
          </w:p>
          <w:p w:rsidR="00221F0B" w:rsidRDefault="00221F0B" w:rsidP="00DC1333">
            <w:pPr>
              <w:rPr>
                <w:sz w:val="16"/>
                <w:szCs w:val="16"/>
              </w:rPr>
            </w:pPr>
            <w:r w:rsidRPr="00434FFD">
              <w:rPr>
                <w:sz w:val="16"/>
                <w:szCs w:val="16"/>
              </w:rPr>
              <w:t>Además de la recomendación incluida en el plan maestro de mejoras de infraestructura, se aplicaron las siguientes recomendaciones:  i) modernización del sistema de detección de incendios (detectores de tecnología de punta) en los cuatro sótanos del estacionamiento del edificio AB, y ii) modernización del sistema de luces de emergencia en algunas plantas del edificio GBI.</w:t>
            </w:r>
          </w:p>
          <w:p w:rsidR="00221F0B" w:rsidRPr="00434FFD" w:rsidRDefault="00221F0B" w:rsidP="00DC1333">
            <w:pPr>
              <w:rPr>
                <w:sz w:val="16"/>
                <w:szCs w:val="16"/>
              </w:rPr>
            </w:pPr>
          </w:p>
        </w:tc>
        <w:tc>
          <w:tcPr>
            <w:tcW w:w="639" w:type="pct"/>
            <w:gridSpan w:val="2"/>
            <w:tcBorders>
              <w:bottom w:val="single" w:sz="4" w:space="0" w:color="auto"/>
            </w:tcBorders>
            <w:shd w:val="clear" w:color="auto" w:fill="auto"/>
            <w:tcMar>
              <w:top w:w="110" w:type="dxa"/>
            </w:tcMar>
          </w:tcPr>
          <w:p w:rsidR="00221F0B" w:rsidRPr="00434FFD" w:rsidRDefault="00221F0B" w:rsidP="00DC1333">
            <w:pPr>
              <w:keepNext/>
              <w:keepLines/>
              <w:ind w:left="-109"/>
              <w:jc w:val="center"/>
              <w:rPr>
                <w:b/>
                <w:bCs/>
                <w:color w:val="00B050"/>
                <w:sz w:val="16"/>
                <w:szCs w:val="16"/>
              </w:rPr>
            </w:pPr>
            <w:r w:rsidRPr="00434FFD">
              <w:rPr>
                <w:b/>
                <w:color w:val="00B050"/>
                <w:sz w:val="16"/>
                <w:szCs w:val="16"/>
              </w:rPr>
              <w:t>Plenamente logrado</w:t>
            </w:r>
          </w:p>
        </w:tc>
      </w:tr>
    </w:tbl>
    <w:p w:rsidR="00221F0B" w:rsidRDefault="00221F0B" w:rsidP="00DC1333">
      <w:pPr>
        <w:rPr>
          <w:color w:val="000000"/>
          <w:szCs w:val="22"/>
        </w:rPr>
      </w:pPr>
    </w:p>
    <w:p w:rsidR="00221F0B" w:rsidRPr="00434FFD" w:rsidRDefault="00221F0B" w:rsidP="00DC1333">
      <w:pPr>
        <w:rPr>
          <w:color w:val="000000"/>
          <w:szCs w:val="22"/>
        </w:rPr>
      </w:pPr>
    </w:p>
    <w:p w:rsidR="00221F0B" w:rsidRPr="00434FFD" w:rsidRDefault="008F7CBE" w:rsidP="00DC1333">
      <w:pPr>
        <w:keepNext/>
        <w:keepLines/>
        <w:rPr>
          <w:color w:val="000000"/>
          <w:szCs w:val="22"/>
        </w:rPr>
      </w:pPr>
      <w:r w:rsidRPr="008F7CBE">
        <w:rPr>
          <w:sz w:val="20"/>
        </w:rPr>
        <w:t>INFORMACIÓN SOBRE LOS RIESGOS PLANTEADOS EN EL BIENIO</w:t>
      </w:r>
    </w:p>
    <w:p w:rsidR="00221F0B" w:rsidRPr="00434FFD" w:rsidRDefault="00221F0B" w:rsidP="00DC1333">
      <w:pPr>
        <w:keepNext/>
        <w:keepLines/>
      </w:pPr>
    </w:p>
    <w:tbl>
      <w:tblPr>
        <w:tblW w:w="0" w:type="auto"/>
        <w:jc w:val="center"/>
        <w:tblInd w:w="-4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34"/>
        <w:gridCol w:w="2105"/>
        <w:gridCol w:w="2148"/>
        <w:gridCol w:w="2260"/>
      </w:tblGrid>
      <w:tr w:rsidR="00221F0B" w:rsidRPr="00434FFD" w:rsidTr="005E7D72">
        <w:trPr>
          <w:trHeight w:val="430"/>
          <w:jc w:val="center"/>
        </w:trPr>
        <w:tc>
          <w:tcPr>
            <w:tcW w:w="2734"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434FFD" w:rsidRDefault="00221F0B" w:rsidP="00DC1333">
            <w:pPr>
              <w:keepNext/>
              <w:keepLines/>
              <w:autoSpaceDE w:val="0"/>
              <w:autoSpaceDN w:val="0"/>
              <w:adjustRightInd w:val="0"/>
              <w:ind w:right="-59"/>
              <w:jc w:val="center"/>
              <w:rPr>
                <w:b/>
                <w:bCs/>
                <w:sz w:val="18"/>
                <w:szCs w:val="18"/>
              </w:rPr>
            </w:pPr>
            <w:r w:rsidRPr="00434FFD">
              <w:rPr>
                <w:b/>
                <w:bCs/>
                <w:iCs/>
                <w:sz w:val="18"/>
                <w:szCs w:val="18"/>
              </w:rPr>
              <w:t>Riesgos en el logro de los resultados del programa</w:t>
            </w:r>
          </w:p>
        </w:tc>
        <w:tc>
          <w:tcPr>
            <w:tcW w:w="2105"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434FFD" w:rsidRDefault="00221F0B" w:rsidP="00DC1333">
            <w:pPr>
              <w:keepNext/>
              <w:keepLines/>
              <w:autoSpaceDE w:val="0"/>
              <w:autoSpaceDN w:val="0"/>
              <w:adjustRightInd w:val="0"/>
              <w:ind w:right="-59"/>
              <w:jc w:val="center"/>
              <w:rPr>
                <w:b/>
                <w:bCs/>
                <w:sz w:val="18"/>
                <w:szCs w:val="18"/>
              </w:rPr>
            </w:pPr>
            <w:r w:rsidRPr="00434FFD">
              <w:rPr>
                <w:b/>
                <w:bCs/>
                <w:iCs/>
                <w:sz w:val="18"/>
                <w:szCs w:val="18"/>
              </w:rPr>
              <w:t>Planes de mitigación ejecutados o en ejecución</w:t>
            </w:r>
          </w:p>
        </w:tc>
        <w:tc>
          <w:tcPr>
            <w:tcW w:w="2148" w:type="dxa"/>
            <w:tcBorders>
              <w:top w:val="single" w:sz="4" w:space="0" w:color="auto"/>
              <w:bottom w:val="single" w:sz="4" w:space="0" w:color="auto"/>
            </w:tcBorders>
            <w:shd w:val="clear" w:color="auto" w:fill="C6D9F1" w:themeFill="text2" w:themeFillTint="33"/>
          </w:tcPr>
          <w:p w:rsidR="00221F0B" w:rsidRPr="00434FFD" w:rsidRDefault="00221F0B" w:rsidP="00DC1333">
            <w:pPr>
              <w:keepNext/>
              <w:keepLines/>
              <w:jc w:val="center"/>
              <w:rPr>
                <w:b/>
                <w:bCs/>
                <w:sz w:val="18"/>
                <w:szCs w:val="18"/>
              </w:rPr>
            </w:pPr>
            <w:r w:rsidRPr="00434FFD">
              <w:rPr>
                <w:b/>
                <w:bCs/>
                <w:iCs/>
                <w:sz w:val="18"/>
                <w:szCs w:val="18"/>
              </w:rPr>
              <w:t>Evolución de los riesgos y estrategias de mitigación durante el bienio</w:t>
            </w:r>
          </w:p>
        </w:tc>
        <w:tc>
          <w:tcPr>
            <w:tcW w:w="2260" w:type="dxa"/>
            <w:tcBorders>
              <w:top w:val="single" w:sz="4" w:space="0" w:color="auto"/>
              <w:bottom w:val="single" w:sz="4" w:space="0" w:color="auto"/>
            </w:tcBorders>
            <w:shd w:val="clear" w:color="auto" w:fill="C6D9F1" w:themeFill="text2" w:themeFillTint="33"/>
          </w:tcPr>
          <w:p w:rsidR="00221F0B" w:rsidRPr="00434FFD" w:rsidRDefault="00221F0B" w:rsidP="00DC1333">
            <w:pPr>
              <w:keepNext/>
              <w:keepLines/>
              <w:jc w:val="center"/>
              <w:rPr>
                <w:b/>
                <w:bCs/>
                <w:sz w:val="18"/>
                <w:szCs w:val="18"/>
              </w:rPr>
            </w:pPr>
            <w:r w:rsidRPr="00434FFD">
              <w:rPr>
                <w:b/>
                <w:bCs/>
                <w:sz w:val="18"/>
                <w:szCs w:val="18"/>
              </w:rPr>
              <w:t>Incidencia en el rendimiento del programa</w:t>
            </w:r>
          </w:p>
        </w:tc>
      </w:tr>
      <w:tr w:rsidR="00221F0B" w:rsidRPr="00434FFD" w:rsidTr="005E7D72">
        <w:trPr>
          <w:trHeight w:val="609"/>
          <w:jc w:val="center"/>
        </w:trPr>
        <w:tc>
          <w:tcPr>
            <w:tcW w:w="2734" w:type="dxa"/>
            <w:tcBorders>
              <w:top w:val="single" w:sz="4" w:space="0" w:color="auto"/>
            </w:tcBorders>
            <w:shd w:val="clear" w:color="auto" w:fill="auto"/>
            <w:tcMar>
              <w:top w:w="113" w:type="dxa"/>
              <w:bottom w:w="85" w:type="dxa"/>
            </w:tcMar>
          </w:tcPr>
          <w:p w:rsidR="00221F0B" w:rsidRPr="00434FFD" w:rsidRDefault="00221F0B" w:rsidP="00DC1333">
            <w:pPr>
              <w:keepNext/>
              <w:keepLines/>
              <w:rPr>
                <w:sz w:val="16"/>
                <w:szCs w:val="16"/>
              </w:rPr>
            </w:pPr>
            <w:r w:rsidRPr="00434FFD">
              <w:rPr>
                <w:sz w:val="16"/>
                <w:szCs w:val="16"/>
              </w:rPr>
              <w:t>Las fallas de los proveedores provocan trastornos en los servicios ofrecidos a los clientes externos</w:t>
            </w:r>
          </w:p>
        </w:tc>
        <w:tc>
          <w:tcPr>
            <w:tcW w:w="2105" w:type="dxa"/>
            <w:tcBorders>
              <w:top w:val="single" w:sz="4" w:space="0" w:color="auto"/>
            </w:tcBorders>
            <w:shd w:val="clear" w:color="auto" w:fill="auto"/>
            <w:tcMar>
              <w:top w:w="113" w:type="dxa"/>
              <w:bottom w:w="85" w:type="dxa"/>
            </w:tcMar>
          </w:tcPr>
          <w:p w:rsidR="00221F0B" w:rsidRPr="00434FFD" w:rsidRDefault="00221F0B" w:rsidP="00DC1333">
            <w:pPr>
              <w:keepNext/>
              <w:keepLines/>
              <w:autoSpaceDE w:val="0"/>
              <w:autoSpaceDN w:val="0"/>
              <w:adjustRightInd w:val="0"/>
              <w:ind w:right="-59"/>
              <w:rPr>
                <w:sz w:val="16"/>
                <w:szCs w:val="16"/>
              </w:rPr>
            </w:pPr>
            <w:r w:rsidRPr="00434FFD">
              <w:rPr>
                <w:sz w:val="16"/>
                <w:szCs w:val="16"/>
              </w:rPr>
              <w:t>La División de Compras y Contratas y los programas de la OMPI deben establecer un plan de urgencia para los contratos considerados de alto riesgo y esenciales para poder seguir llevando a cabo las actividades</w:t>
            </w:r>
          </w:p>
          <w:p w:rsidR="00221F0B" w:rsidRPr="00434FFD" w:rsidRDefault="00221F0B" w:rsidP="00DC1333">
            <w:pPr>
              <w:keepNext/>
              <w:keepLines/>
              <w:autoSpaceDE w:val="0"/>
              <w:autoSpaceDN w:val="0"/>
              <w:adjustRightInd w:val="0"/>
              <w:ind w:right="-59"/>
              <w:rPr>
                <w:sz w:val="16"/>
                <w:szCs w:val="16"/>
              </w:rPr>
            </w:pPr>
          </w:p>
        </w:tc>
        <w:tc>
          <w:tcPr>
            <w:tcW w:w="2148" w:type="dxa"/>
            <w:tcBorders>
              <w:top w:val="single" w:sz="4" w:space="0" w:color="auto"/>
            </w:tcBorders>
          </w:tcPr>
          <w:p w:rsidR="00221F0B" w:rsidRPr="00434FFD" w:rsidRDefault="00221F0B" w:rsidP="00DC1333">
            <w:pPr>
              <w:keepNext/>
              <w:keepLines/>
              <w:autoSpaceDE w:val="0"/>
              <w:autoSpaceDN w:val="0"/>
              <w:adjustRightInd w:val="0"/>
              <w:ind w:right="-59"/>
              <w:rPr>
                <w:sz w:val="16"/>
                <w:szCs w:val="16"/>
              </w:rPr>
            </w:pPr>
            <w:r w:rsidRPr="00434FFD">
              <w:rPr>
                <w:sz w:val="16"/>
                <w:szCs w:val="16"/>
              </w:rPr>
              <w:t>Este es un riesgo permanente para la Organización, que se ha podido detectar mejor mediante la elaboración de listas de proveedores “más importantes” en los planes de adquisiciones de los programas, en consulta con la División de Compras y Contratas.  Al examinar los planes de adquisiciones se presta la atención debida a dar respuesta a las interrupciones del servicio, lo que también se incluye en las condiciones de los contratos en caso necesario.  Se va a seguir trabajando con los programas en los planes oficiales de contingencia, con la participación de la División de Compras y Contratas.</w:t>
            </w:r>
          </w:p>
        </w:tc>
        <w:tc>
          <w:tcPr>
            <w:tcW w:w="2260" w:type="dxa"/>
            <w:tcBorders>
              <w:top w:val="single" w:sz="4" w:space="0" w:color="auto"/>
            </w:tcBorders>
          </w:tcPr>
          <w:p w:rsidR="00221F0B" w:rsidRPr="00434FFD" w:rsidRDefault="00221F0B" w:rsidP="005E7D72">
            <w:pPr>
              <w:keepNext/>
              <w:keepLines/>
              <w:autoSpaceDE w:val="0"/>
              <w:autoSpaceDN w:val="0"/>
              <w:adjustRightInd w:val="0"/>
              <w:ind w:right="262"/>
              <w:rPr>
                <w:sz w:val="16"/>
                <w:szCs w:val="16"/>
              </w:rPr>
            </w:pPr>
            <w:r w:rsidRPr="00434FFD">
              <w:rPr>
                <w:sz w:val="16"/>
                <w:szCs w:val="16"/>
              </w:rPr>
              <w:t>Este riesgo y su evolución no incidieron de forma sustancial en el rendimiento del programa en 2014/15.</w:t>
            </w:r>
          </w:p>
        </w:tc>
      </w:tr>
      <w:tr w:rsidR="00221F0B" w:rsidRPr="00434FFD" w:rsidTr="005E7D72">
        <w:trPr>
          <w:trHeight w:val="1139"/>
          <w:jc w:val="center"/>
        </w:trPr>
        <w:tc>
          <w:tcPr>
            <w:tcW w:w="2734" w:type="dxa"/>
            <w:shd w:val="clear" w:color="auto" w:fill="auto"/>
            <w:tcMar>
              <w:top w:w="113" w:type="dxa"/>
              <w:bottom w:w="85" w:type="dxa"/>
            </w:tcMar>
          </w:tcPr>
          <w:p w:rsidR="00221F0B" w:rsidRPr="00434FFD" w:rsidRDefault="00221F0B" w:rsidP="00DC1333">
            <w:pPr>
              <w:rPr>
                <w:sz w:val="16"/>
                <w:szCs w:val="16"/>
                <w:highlight w:val="yellow"/>
              </w:rPr>
            </w:pPr>
            <w:r w:rsidRPr="00434FFD">
              <w:rPr>
                <w:sz w:val="16"/>
                <w:szCs w:val="16"/>
              </w:rPr>
              <w:t>Sucesos o incidentes externos impiden la ocupación de uno o más edificios por un período de tiempo prolongado, lo que podría ocasionar trastornos en los servicios externos y dar lugar al desaprovechamiento de los recursos, lo cual afectaría negativamente a la ejecución del programa</w:t>
            </w:r>
            <w:r w:rsidRPr="00434FFD">
              <w:rPr>
                <w:sz w:val="16"/>
                <w:szCs w:val="16"/>
                <w:highlight w:val="yellow"/>
              </w:rPr>
              <w:br/>
            </w:r>
          </w:p>
        </w:tc>
        <w:tc>
          <w:tcPr>
            <w:tcW w:w="2105" w:type="dxa"/>
            <w:shd w:val="clear" w:color="auto" w:fill="auto"/>
            <w:tcMar>
              <w:top w:w="113" w:type="dxa"/>
              <w:bottom w:w="85" w:type="dxa"/>
            </w:tcMar>
          </w:tcPr>
          <w:p w:rsidR="00221F0B" w:rsidRPr="00434FFD" w:rsidRDefault="00221F0B" w:rsidP="00DC1333">
            <w:pPr>
              <w:autoSpaceDE w:val="0"/>
              <w:autoSpaceDN w:val="0"/>
              <w:adjustRightInd w:val="0"/>
              <w:ind w:right="-59"/>
              <w:rPr>
                <w:sz w:val="16"/>
                <w:szCs w:val="16"/>
              </w:rPr>
            </w:pPr>
            <w:r w:rsidRPr="00434FFD">
              <w:rPr>
                <w:sz w:val="16"/>
                <w:szCs w:val="16"/>
              </w:rPr>
              <w:t xml:space="preserve">Elaborar un plan de renovación y mantenimiento de gran alcance para todos los edificios y seguir llevando a cabo el mantenimiento periódico de todas las instalaciones técnicas esenciales, o fortalecer dicho mantenimiento según sea necesario.  Examinar y actualizar periódicamente el plan de </w:t>
            </w:r>
            <w:r w:rsidRPr="00434FFD">
              <w:rPr>
                <w:sz w:val="16"/>
                <w:szCs w:val="16"/>
              </w:rPr>
              <w:lastRenderedPageBreak/>
              <w:t>continuidad de las actividades, y activarlo cuando proceda.  Determinar las posibilidades de disponer de oficinas de apoyo</w:t>
            </w:r>
          </w:p>
        </w:tc>
        <w:tc>
          <w:tcPr>
            <w:tcW w:w="2148" w:type="dxa"/>
          </w:tcPr>
          <w:p w:rsidR="00221F0B" w:rsidRPr="00434FFD" w:rsidRDefault="00221F0B" w:rsidP="00DC1333">
            <w:pPr>
              <w:autoSpaceDE w:val="0"/>
              <w:autoSpaceDN w:val="0"/>
              <w:adjustRightInd w:val="0"/>
              <w:ind w:right="-59"/>
              <w:rPr>
                <w:sz w:val="16"/>
                <w:szCs w:val="16"/>
              </w:rPr>
            </w:pPr>
            <w:r w:rsidRPr="00434FFD">
              <w:rPr>
                <w:sz w:val="16"/>
                <w:szCs w:val="16"/>
              </w:rPr>
              <w:lastRenderedPageBreak/>
              <w:t>Este es un riesgo permanente para la Organización y se han ejecutado estrategias adecuadas de mitigación para hacerle frente.  Esta cuestión se integró también en el plan de continuidad de las actividades de la OMPI y el plan de reacción y recuperación de la OMPI.</w:t>
            </w:r>
          </w:p>
          <w:p w:rsidR="00221F0B" w:rsidRPr="00434FFD" w:rsidRDefault="005E7D72" w:rsidP="00DC1333">
            <w:pPr>
              <w:autoSpaceDE w:val="0"/>
              <w:autoSpaceDN w:val="0"/>
              <w:adjustRightInd w:val="0"/>
              <w:ind w:right="-59"/>
              <w:rPr>
                <w:sz w:val="16"/>
                <w:szCs w:val="16"/>
              </w:rPr>
            </w:pPr>
            <w:r>
              <w:rPr>
                <w:sz w:val="16"/>
                <w:szCs w:val="16"/>
              </w:rPr>
              <w:br/>
            </w:r>
          </w:p>
          <w:p w:rsidR="00221F0B" w:rsidRPr="00434FFD" w:rsidRDefault="00221F0B" w:rsidP="00DC1333">
            <w:pPr>
              <w:autoSpaceDE w:val="0"/>
              <w:autoSpaceDN w:val="0"/>
              <w:adjustRightInd w:val="0"/>
              <w:ind w:right="-59"/>
              <w:rPr>
                <w:sz w:val="16"/>
                <w:szCs w:val="16"/>
              </w:rPr>
            </w:pPr>
            <w:r w:rsidRPr="00434FFD">
              <w:rPr>
                <w:sz w:val="16"/>
                <w:szCs w:val="16"/>
              </w:rPr>
              <w:lastRenderedPageBreak/>
              <w:t>Se estableció la primera fase del plan de renovación y mantenimiento de gran alcance.</w:t>
            </w:r>
          </w:p>
          <w:p w:rsidR="00221F0B" w:rsidRPr="00434FFD" w:rsidRDefault="00221F0B" w:rsidP="00DC1333">
            <w:pPr>
              <w:autoSpaceDE w:val="0"/>
              <w:autoSpaceDN w:val="0"/>
              <w:adjustRightInd w:val="0"/>
              <w:ind w:right="-59"/>
              <w:rPr>
                <w:sz w:val="16"/>
                <w:szCs w:val="16"/>
              </w:rPr>
            </w:pPr>
          </w:p>
          <w:p w:rsidR="00221F0B" w:rsidRPr="00434FFD" w:rsidRDefault="00221F0B" w:rsidP="00DC1333">
            <w:pPr>
              <w:autoSpaceDE w:val="0"/>
              <w:autoSpaceDN w:val="0"/>
              <w:adjustRightInd w:val="0"/>
              <w:ind w:right="-59"/>
              <w:rPr>
                <w:sz w:val="16"/>
                <w:szCs w:val="16"/>
              </w:rPr>
            </w:pPr>
            <w:r w:rsidRPr="00434FFD">
              <w:rPr>
                <w:sz w:val="16"/>
                <w:szCs w:val="16"/>
              </w:rPr>
              <w:t>Las posibilidades para disponer de oficinas de apoyo son, en primer lugar, las actuales instalaciones externas alquiladas, aún no se han identificado otras instalaciones más alejadas.</w:t>
            </w:r>
          </w:p>
        </w:tc>
        <w:tc>
          <w:tcPr>
            <w:tcW w:w="2260" w:type="dxa"/>
          </w:tcPr>
          <w:p w:rsidR="00221F0B" w:rsidRPr="00434FFD" w:rsidRDefault="00221F0B" w:rsidP="005E7D72">
            <w:pPr>
              <w:autoSpaceDE w:val="0"/>
              <w:autoSpaceDN w:val="0"/>
              <w:adjustRightInd w:val="0"/>
              <w:ind w:right="121"/>
              <w:rPr>
                <w:sz w:val="16"/>
                <w:szCs w:val="16"/>
              </w:rPr>
            </w:pPr>
            <w:r w:rsidRPr="00434FFD">
              <w:rPr>
                <w:sz w:val="16"/>
                <w:szCs w:val="16"/>
              </w:rPr>
              <w:lastRenderedPageBreak/>
              <w:t>Este riesgo y su evolución no incidieron de forma sustancial en el rendimiento del programa en 2014/15.</w:t>
            </w:r>
          </w:p>
        </w:tc>
      </w:tr>
    </w:tbl>
    <w:p w:rsidR="00221F0B" w:rsidRDefault="00221F0B" w:rsidP="00DC1333">
      <w:pPr>
        <w:rPr>
          <w:color w:val="000000"/>
          <w:szCs w:val="22"/>
        </w:rPr>
      </w:pPr>
    </w:p>
    <w:p w:rsidR="00221F0B" w:rsidRPr="00434FFD" w:rsidRDefault="00221F0B" w:rsidP="00DC1333">
      <w:pPr>
        <w:rPr>
          <w:color w:val="000000"/>
          <w:szCs w:val="22"/>
        </w:rPr>
      </w:pPr>
    </w:p>
    <w:p w:rsidR="00221F0B" w:rsidRPr="00434FFD" w:rsidRDefault="00403D2C" w:rsidP="00DC1333">
      <w:pPr>
        <w:rPr>
          <w:b/>
          <w:sz w:val="18"/>
          <w:szCs w:val="18"/>
        </w:rPr>
      </w:pPr>
      <w:r w:rsidRPr="00403D2C">
        <w:rPr>
          <w:sz w:val="20"/>
          <w:szCs w:val="22"/>
        </w:rPr>
        <w:t>UTILIZACIÓN DE LOS RECURSOS</w:t>
      </w:r>
    </w:p>
    <w:p w:rsidR="00221F0B" w:rsidRPr="00434FFD" w:rsidRDefault="00221F0B" w:rsidP="00DC1333">
      <w:pPr>
        <w:rPr>
          <w:szCs w:val="22"/>
        </w:rPr>
      </w:pPr>
    </w:p>
    <w:p w:rsidR="00221F0B" w:rsidRPr="009333E4" w:rsidRDefault="00221F0B" w:rsidP="00DC1333">
      <w:pPr>
        <w:jc w:val="center"/>
        <w:rPr>
          <w:sz w:val="20"/>
        </w:rPr>
      </w:pPr>
      <w:r w:rsidRPr="009333E4">
        <w:rPr>
          <w:sz w:val="20"/>
        </w:rPr>
        <w:t>Presupuesto y gastos reales (por resultado)</w:t>
      </w:r>
    </w:p>
    <w:p w:rsidR="00221F0B" w:rsidRPr="009333E4" w:rsidRDefault="00221F0B" w:rsidP="00DC1333">
      <w:pPr>
        <w:jc w:val="center"/>
        <w:rPr>
          <w:i/>
          <w:iCs/>
          <w:sz w:val="20"/>
        </w:rPr>
      </w:pPr>
      <w:r w:rsidRPr="009333E4">
        <w:rPr>
          <w:i/>
          <w:iCs/>
          <w:sz w:val="20"/>
        </w:rPr>
        <w:t>(</w:t>
      </w:r>
      <w:proofErr w:type="gramStart"/>
      <w:r w:rsidRPr="009333E4">
        <w:rPr>
          <w:i/>
          <w:iCs/>
          <w:sz w:val="20"/>
        </w:rPr>
        <w:t>en</w:t>
      </w:r>
      <w:proofErr w:type="gramEnd"/>
      <w:r w:rsidRPr="009333E4">
        <w:rPr>
          <w:i/>
          <w:iCs/>
          <w:sz w:val="20"/>
        </w:rPr>
        <w:t xml:space="preserve"> miles de francos suizos)</w:t>
      </w:r>
    </w:p>
    <w:p w:rsidR="00221F0B" w:rsidRPr="00434FFD" w:rsidRDefault="00221F0B" w:rsidP="00DC1333">
      <w:pPr>
        <w:rPr>
          <w:sz w:val="18"/>
          <w:szCs w:val="22"/>
        </w:rPr>
      </w:pPr>
    </w:p>
    <w:p w:rsidR="00221F0B" w:rsidRPr="00434FFD" w:rsidRDefault="00221F0B" w:rsidP="00DC1333">
      <w:pPr>
        <w:jc w:val="center"/>
        <w:rPr>
          <w:szCs w:val="22"/>
        </w:rPr>
      </w:pPr>
      <w:bookmarkStart w:id="187" w:name="Bm24"/>
      <w:bookmarkStart w:id="188" w:name="Punto24"/>
      <w:r>
        <w:rPr>
          <w:noProof/>
          <w:lang w:val="en-US" w:eastAsia="en-US"/>
        </w:rPr>
        <w:drawing>
          <wp:inline distT="0" distB="0" distL="0" distR="0" wp14:anchorId="20D675DC" wp14:editId="5E744F8A">
            <wp:extent cx="5676900" cy="2428875"/>
            <wp:effectExtent l="0" t="0" r="0" b="9525"/>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676900" cy="2428875"/>
                    </a:xfrm>
                    <a:prstGeom prst="rect">
                      <a:avLst/>
                    </a:prstGeom>
                    <a:noFill/>
                    <a:ln>
                      <a:noFill/>
                    </a:ln>
                  </pic:spPr>
                </pic:pic>
              </a:graphicData>
            </a:graphic>
          </wp:inline>
        </w:drawing>
      </w:r>
      <w:bookmarkEnd w:id="187"/>
      <w:bookmarkEnd w:id="188"/>
    </w:p>
    <w:p w:rsidR="00221F0B" w:rsidRPr="00434FFD" w:rsidRDefault="00221F0B" w:rsidP="00DC1333">
      <w:pPr>
        <w:rPr>
          <w:sz w:val="20"/>
          <w:szCs w:val="22"/>
        </w:rPr>
      </w:pPr>
    </w:p>
    <w:p w:rsidR="00221F0B" w:rsidRPr="00434FFD" w:rsidRDefault="00221F0B" w:rsidP="00DC1333">
      <w:pPr>
        <w:rPr>
          <w:sz w:val="20"/>
          <w:szCs w:val="22"/>
        </w:rPr>
      </w:pPr>
    </w:p>
    <w:p w:rsidR="00221F0B" w:rsidRPr="009333E4" w:rsidRDefault="00221F0B" w:rsidP="00DC1333">
      <w:pPr>
        <w:jc w:val="center"/>
        <w:rPr>
          <w:sz w:val="20"/>
        </w:rPr>
      </w:pPr>
      <w:r w:rsidRPr="009333E4">
        <w:rPr>
          <w:sz w:val="20"/>
        </w:rPr>
        <w:t>Presupuesto y gastos reales (de personal y no relativos a personal)</w:t>
      </w:r>
    </w:p>
    <w:p w:rsidR="00221F0B" w:rsidRPr="009333E4" w:rsidRDefault="00221F0B" w:rsidP="00DC1333">
      <w:pPr>
        <w:jc w:val="center"/>
        <w:rPr>
          <w:i/>
          <w:iCs/>
          <w:sz w:val="20"/>
        </w:rPr>
      </w:pPr>
      <w:r w:rsidRPr="009333E4">
        <w:rPr>
          <w:i/>
          <w:iCs/>
          <w:sz w:val="20"/>
        </w:rPr>
        <w:t>(</w:t>
      </w:r>
      <w:proofErr w:type="gramStart"/>
      <w:r w:rsidRPr="009333E4">
        <w:rPr>
          <w:i/>
          <w:iCs/>
          <w:sz w:val="20"/>
        </w:rPr>
        <w:t>en</w:t>
      </w:r>
      <w:proofErr w:type="gramEnd"/>
      <w:r w:rsidRPr="009333E4">
        <w:rPr>
          <w:i/>
          <w:iCs/>
          <w:sz w:val="20"/>
        </w:rPr>
        <w:t xml:space="preserve"> miles de francos suizos)</w:t>
      </w:r>
    </w:p>
    <w:p w:rsidR="00221F0B" w:rsidRPr="00434FFD" w:rsidRDefault="00221F0B" w:rsidP="00DC1333">
      <w:pPr>
        <w:rPr>
          <w:sz w:val="20"/>
          <w:szCs w:val="22"/>
        </w:rPr>
      </w:pPr>
    </w:p>
    <w:p w:rsidR="00221F0B" w:rsidRPr="00434FFD" w:rsidRDefault="00221F0B" w:rsidP="00DC1333">
      <w:pPr>
        <w:rPr>
          <w:sz w:val="20"/>
          <w:szCs w:val="22"/>
        </w:rPr>
      </w:pPr>
      <w:bookmarkStart w:id="189" w:name="Point24"/>
      <w:r>
        <w:rPr>
          <w:noProof/>
          <w:lang w:val="en-US" w:eastAsia="en-US"/>
        </w:rPr>
        <w:drawing>
          <wp:inline distT="0" distB="0" distL="0" distR="0" wp14:anchorId="2F1C3A13" wp14:editId="68ECB5AE">
            <wp:extent cx="5940425" cy="1080827"/>
            <wp:effectExtent l="0" t="0" r="3175" b="508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0425" cy="1080827"/>
                    </a:xfrm>
                    <a:prstGeom prst="rect">
                      <a:avLst/>
                    </a:prstGeom>
                    <a:noFill/>
                    <a:ln>
                      <a:noFill/>
                    </a:ln>
                  </pic:spPr>
                </pic:pic>
              </a:graphicData>
            </a:graphic>
          </wp:inline>
        </w:drawing>
      </w:r>
      <w:bookmarkEnd w:id="189"/>
    </w:p>
    <w:p w:rsidR="00221F0B" w:rsidRDefault="00221F0B" w:rsidP="00DC1333">
      <w:pPr>
        <w:widowControl w:val="0"/>
        <w:autoSpaceDE w:val="0"/>
        <w:autoSpaceDN w:val="0"/>
        <w:adjustRightInd w:val="0"/>
        <w:rPr>
          <w:sz w:val="20"/>
        </w:rPr>
      </w:pPr>
    </w:p>
    <w:p w:rsidR="00221F0B" w:rsidRPr="00434FFD" w:rsidRDefault="00221F0B" w:rsidP="00DC1333">
      <w:pPr>
        <w:widowControl w:val="0"/>
        <w:autoSpaceDE w:val="0"/>
        <w:autoSpaceDN w:val="0"/>
        <w:adjustRightInd w:val="0"/>
        <w:rPr>
          <w:sz w:val="20"/>
        </w:rPr>
      </w:pPr>
    </w:p>
    <w:p w:rsidR="00221F0B" w:rsidRPr="00434FFD" w:rsidRDefault="00403D2C" w:rsidP="00DC1333">
      <w:pPr>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434FFD" w:rsidRDefault="00221F0B" w:rsidP="00DC1333">
      <w:pPr>
        <w:rPr>
          <w:sz w:val="20"/>
          <w:u w:val="single"/>
        </w:rPr>
      </w:pPr>
    </w:p>
    <w:p w:rsidR="00221F0B" w:rsidRPr="00434FFD" w:rsidRDefault="00221F0B" w:rsidP="00EB45DE">
      <w:pPr>
        <w:pStyle w:val="ListParagraph"/>
        <w:numPr>
          <w:ilvl w:val="0"/>
          <w:numId w:val="109"/>
        </w:numPr>
        <w:tabs>
          <w:tab w:val="left" w:pos="709"/>
        </w:tabs>
        <w:ind w:left="0" w:firstLine="0"/>
        <w:jc w:val="both"/>
        <w:rPr>
          <w:lang w:val="es-ES"/>
        </w:rPr>
      </w:pPr>
      <w:r w:rsidRPr="00434FFD">
        <w:rPr>
          <w:lang w:val="es-ES"/>
        </w:rPr>
        <w:t>El aumento del presupuesto final de 2014/15 tras las transferencias (recursos no relativos a personal) es un reflejo de la asignación de recursos adicionales al programa destinados a</w:t>
      </w:r>
      <w:proofErr w:type="gramStart"/>
      <w:r w:rsidRPr="00434FFD">
        <w:rPr>
          <w:lang w:val="es-ES"/>
        </w:rPr>
        <w:t>:  i</w:t>
      </w:r>
      <w:proofErr w:type="gramEnd"/>
      <w:r w:rsidRPr="00434FFD">
        <w:rPr>
          <w:lang w:val="es-ES"/>
        </w:rPr>
        <w:t xml:space="preserve">) amueblar el edificio AM, y ii) reponer equipos y existencias, por ejemplo paneles móviles de exposición, equipos eléctricos, mamparas para dividir oficinas y alfombras.  Este aumento se vio compensado por la aplicación de medidas de eficacia en función de los costos y la transferencia de recursos al programa 28 para la instalación de </w:t>
      </w:r>
      <w:r w:rsidRPr="00434FFD">
        <w:rPr>
          <w:bCs/>
          <w:lang w:val="es-ES"/>
        </w:rPr>
        <w:t>una valla a medida bajo la nueva sala de conferencias para impedir el acceso de intrusos</w:t>
      </w:r>
      <w:r w:rsidRPr="00434FFD">
        <w:rPr>
          <w:lang w:val="es-ES"/>
        </w:rPr>
        <w:t>.</w:t>
      </w:r>
    </w:p>
    <w:p w:rsidR="00221F0B" w:rsidRPr="00434FFD" w:rsidRDefault="00221F0B" w:rsidP="00DC1333">
      <w:pPr>
        <w:jc w:val="both"/>
        <w:rPr>
          <w:sz w:val="20"/>
        </w:rPr>
      </w:pPr>
    </w:p>
    <w:p w:rsidR="00221F0B" w:rsidRPr="00434FFD" w:rsidRDefault="00221F0B" w:rsidP="00EB45DE">
      <w:pPr>
        <w:pStyle w:val="ListParagraph"/>
        <w:numPr>
          <w:ilvl w:val="0"/>
          <w:numId w:val="109"/>
        </w:numPr>
        <w:tabs>
          <w:tab w:val="left" w:pos="709"/>
        </w:tabs>
        <w:ind w:left="0" w:firstLine="0"/>
        <w:jc w:val="both"/>
        <w:rPr>
          <w:lang w:val="es-ES"/>
        </w:rPr>
      </w:pPr>
      <w:r w:rsidRPr="00434FFD">
        <w:rPr>
          <w:lang w:val="es-ES"/>
        </w:rPr>
        <w:t>El ligero aumento del presupuesto final de 2014/15 tras las transferencias (recursos de personal) es un reflejo, de una parte, de la reasignación de recursos adicionales al programa a fin de</w:t>
      </w:r>
      <w:proofErr w:type="gramStart"/>
      <w:r w:rsidRPr="00434FFD">
        <w:rPr>
          <w:lang w:val="es-ES"/>
        </w:rPr>
        <w:t>:  i</w:t>
      </w:r>
      <w:proofErr w:type="gramEnd"/>
      <w:r w:rsidRPr="00434FFD">
        <w:rPr>
          <w:lang w:val="es-ES"/>
        </w:rPr>
        <w:t xml:space="preserve">) prestar asistencia a la Junta de Apelaciones de la OMPI;  ii) crear una función de certificador de servicios </w:t>
      </w:r>
      <w:r w:rsidRPr="00434FFD">
        <w:rPr>
          <w:lang w:val="es-ES"/>
        </w:rPr>
        <w:lastRenderedPageBreak/>
        <w:t>contractuales individuales en las adquisiciones, y iii) fortalecer el apoyo administrativo a los proyectos de renovación.  De otra parte, este aumento se compensó en parte gracias a la redistribución de recursos del programa para apoyar las necesidades institucionales en los programas 16, 22 y 28.</w:t>
      </w:r>
    </w:p>
    <w:p w:rsidR="00221F0B" w:rsidRPr="00434FFD" w:rsidRDefault="00221F0B" w:rsidP="00DC1333">
      <w:pPr>
        <w:jc w:val="both"/>
        <w:rPr>
          <w:sz w:val="20"/>
        </w:rPr>
      </w:pPr>
    </w:p>
    <w:p w:rsidR="00221F0B" w:rsidRPr="00434FFD" w:rsidRDefault="00221F0B" w:rsidP="00EB45DE">
      <w:pPr>
        <w:pStyle w:val="ListParagraph"/>
        <w:numPr>
          <w:ilvl w:val="0"/>
          <w:numId w:val="109"/>
        </w:numPr>
        <w:tabs>
          <w:tab w:val="left" w:pos="709"/>
        </w:tabs>
        <w:ind w:left="0" w:firstLine="0"/>
        <w:jc w:val="both"/>
        <w:rPr>
          <w:lang w:val="es-ES"/>
        </w:rPr>
      </w:pPr>
      <w:r w:rsidRPr="00434FFD">
        <w:rPr>
          <w:lang w:val="es-ES"/>
        </w:rPr>
        <w:t>El trasvase de recursos entre los resultados previstos se debe principalmente a la redistribución de recursos de personal del resultado previsto IX.1 (Servicios de apoyo eficaces, eficientes, de calidad y orientados al cliente) al resultado previsto IX.4 (Una organización responsable con el medio ambiente y la sociedad) a fin de ejecutar actividades medioambientales y aumentar la seguridad del personal, los visitantes y los activos, y al resultado previsto VIII.5 (La OMPI participa y colabora eficazmente en los procesos y negociaciones de las NN.UU. y otras OIG) para reforzar la colaboración con otros organismos de las Naciones Unidas en materia de</w:t>
      </w:r>
      <w:r w:rsidRPr="00434FFD">
        <w:rPr>
          <w:rFonts w:cs="Arial"/>
          <w:lang w:val="es-ES"/>
        </w:rPr>
        <w:t xml:space="preserve"> i)</w:t>
      </w:r>
      <w:r w:rsidRPr="00434FFD">
        <w:rPr>
          <w:lang w:val="es-ES"/>
        </w:rPr>
        <w:t xml:space="preserve"> </w:t>
      </w:r>
      <w:r w:rsidRPr="00434FFD">
        <w:rPr>
          <w:rFonts w:cs="Arial"/>
          <w:lang w:val="es-ES"/>
        </w:rPr>
        <w:t>adquisiciones, y ii) mantenimiento y renovación de las instalaciones</w:t>
      </w:r>
      <w:r w:rsidRPr="00434FFD">
        <w:rPr>
          <w:lang w:val="es-ES"/>
        </w:rPr>
        <w:t>.</w:t>
      </w:r>
    </w:p>
    <w:p w:rsidR="00221F0B" w:rsidRPr="00434FFD" w:rsidRDefault="00221F0B" w:rsidP="00DC1333">
      <w:pPr>
        <w:autoSpaceDE w:val="0"/>
        <w:autoSpaceDN w:val="0"/>
        <w:jc w:val="both"/>
        <w:rPr>
          <w:sz w:val="20"/>
          <w:lang w:eastAsia="ko-KR"/>
        </w:rPr>
      </w:pPr>
    </w:p>
    <w:p w:rsidR="00221F0B" w:rsidRPr="00434FFD"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434FFD" w:rsidRDefault="00221F0B" w:rsidP="00DC1333">
      <w:pPr>
        <w:tabs>
          <w:tab w:val="left" w:pos="709"/>
        </w:tabs>
        <w:jc w:val="both"/>
        <w:rPr>
          <w:sz w:val="20"/>
          <w:u w:val="single"/>
          <w:lang w:eastAsia="ko-KR"/>
        </w:rPr>
      </w:pPr>
    </w:p>
    <w:p w:rsidR="00221F0B" w:rsidRPr="00C9126C" w:rsidRDefault="00221F0B" w:rsidP="00EB45DE">
      <w:pPr>
        <w:pStyle w:val="ListParagraph"/>
        <w:numPr>
          <w:ilvl w:val="0"/>
          <w:numId w:val="109"/>
        </w:numPr>
        <w:tabs>
          <w:tab w:val="left" w:pos="709"/>
        </w:tabs>
        <w:ind w:left="0" w:firstLine="0"/>
        <w:jc w:val="both"/>
        <w:rPr>
          <w:rFonts w:ascii="Calibri" w:hAnsi="Calibri"/>
          <w:lang w:val="es-ES"/>
        </w:rPr>
      </w:pPr>
      <w:r w:rsidRPr="00434FFD">
        <w:rPr>
          <w:rFonts w:cs="Arial"/>
          <w:lang w:val="es-ES" w:eastAsia="ko-KR"/>
        </w:rPr>
        <w:t>La utilización del presupuesto se ha mantenido dentro de los límites establecidos durante el bienio.</w:t>
      </w:r>
    </w:p>
    <w:p w:rsidR="00221F0B" w:rsidRPr="00C9126C" w:rsidRDefault="00221F0B" w:rsidP="00DC1333">
      <w:pPr>
        <w:pStyle w:val="ListParagraph"/>
        <w:tabs>
          <w:tab w:val="left" w:pos="709"/>
        </w:tabs>
        <w:ind w:left="0"/>
        <w:jc w:val="both"/>
        <w:rPr>
          <w:rFonts w:cs="Arial"/>
          <w:lang w:val="es-ES" w:eastAsia="ko-KR"/>
        </w:rPr>
      </w:pPr>
    </w:p>
    <w:p w:rsidR="00221F0B" w:rsidRPr="00C9126C" w:rsidRDefault="00221F0B" w:rsidP="00DC1333">
      <w:pPr>
        <w:pStyle w:val="ListParagraph"/>
        <w:tabs>
          <w:tab w:val="left" w:pos="709"/>
        </w:tabs>
        <w:ind w:left="0"/>
        <w:jc w:val="both"/>
        <w:rPr>
          <w:rFonts w:cs="Arial"/>
          <w:lang w:val="es-ES" w:eastAsia="ko-KR"/>
        </w:rPr>
      </w:pPr>
    </w:p>
    <w:p w:rsidR="00221F0B" w:rsidRPr="00C9126C" w:rsidRDefault="00221F0B" w:rsidP="00DC1333">
      <w:pPr>
        <w:pStyle w:val="ListParagraph"/>
        <w:tabs>
          <w:tab w:val="left" w:pos="709"/>
        </w:tabs>
        <w:ind w:left="0"/>
        <w:jc w:val="both"/>
        <w:rPr>
          <w:rFonts w:cs="Arial"/>
          <w:lang w:val="es-ES"/>
        </w:rPr>
      </w:pPr>
    </w:p>
    <w:p w:rsidR="00577332" w:rsidRDefault="00577332">
      <w:pPr>
        <w:rPr>
          <w:bCs/>
          <w:iCs/>
          <w:caps/>
          <w:szCs w:val="28"/>
        </w:rPr>
      </w:pPr>
      <w:bookmarkStart w:id="190" w:name="_Toc422927439"/>
      <w:r>
        <w:br w:type="page"/>
      </w:r>
    </w:p>
    <w:p w:rsidR="00221F0B" w:rsidRPr="00577332" w:rsidRDefault="00221F0B" w:rsidP="00DC1333">
      <w:pPr>
        <w:pStyle w:val="Heading2"/>
        <w:ind w:left="2410" w:hanging="2410"/>
        <w:rPr>
          <w:b/>
        </w:rPr>
      </w:pPr>
      <w:bookmarkStart w:id="191" w:name="_Toc455159107"/>
      <w:r w:rsidRPr="00577332">
        <w:rPr>
          <w:b/>
        </w:rPr>
        <w:lastRenderedPageBreak/>
        <w:t>PROGRAMA 25</w:t>
      </w:r>
      <w:r w:rsidRPr="00577332">
        <w:rPr>
          <w:b/>
        </w:rPr>
        <w:tab/>
        <w:t>TECNOLOGÍAS DE LA INFORMACIÓN Y DE LAS COMUNICACIONES</w:t>
      </w:r>
      <w:bookmarkEnd w:id="190"/>
      <w:bookmarkEnd w:id="191"/>
    </w:p>
    <w:p w:rsidR="00221F0B" w:rsidRPr="00F05098" w:rsidRDefault="00221F0B" w:rsidP="00DC1333">
      <w:pPr>
        <w:ind w:left="1985" w:hanging="1985"/>
      </w:pPr>
    </w:p>
    <w:p w:rsidR="00221F0B" w:rsidRPr="00577332" w:rsidRDefault="00221F0B" w:rsidP="00DC1333">
      <w:pPr>
        <w:tabs>
          <w:tab w:val="left" w:pos="2410"/>
        </w:tabs>
        <w:rPr>
          <w:b/>
          <w:sz w:val="20"/>
        </w:rPr>
      </w:pPr>
      <w:r w:rsidRPr="00577332">
        <w:rPr>
          <w:b/>
          <w:sz w:val="20"/>
        </w:rPr>
        <w:t>Director de programa</w:t>
      </w:r>
      <w:r w:rsidRPr="00577332">
        <w:rPr>
          <w:sz w:val="20"/>
        </w:rPr>
        <w:tab/>
      </w:r>
      <w:r w:rsidRPr="00577332">
        <w:rPr>
          <w:b/>
          <w:sz w:val="20"/>
        </w:rPr>
        <w:t>Sr. A. Sundaram</w:t>
      </w:r>
    </w:p>
    <w:p w:rsidR="00221F0B" w:rsidRPr="00F05098" w:rsidRDefault="00221F0B" w:rsidP="00DC1333"/>
    <w:p w:rsidR="00221F0B" w:rsidRPr="00F05098" w:rsidRDefault="00221F0B" w:rsidP="00DC1333"/>
    <w:p w:rsidR="00221F0B" w:rsidRPr="00F05098" w:rsidRDefault="008F7CBE" w:rsidP="00DC1333">
      <w:pPr>
        <w:jc w:val="both"/>
        <w:rPr>
          <w:bCs/>
        </w:rPr>
      </w:pPr>
      <w:r w:rsidRPr="008F7CBE">
        <w:rPr>
          <w:bCs/>
          <w:sz w:val="20"/>
        </w:rPr>
        <w:t>LOGROS ALCANZADOS EN EL BIENIO 2014/15</w:t>
      </w:r>
    </w:p>
    <w:p w:rsidR="00221F0B" w:rsidRPr="00F05098" w:rsidRDefault="00221F0B" w:rsidP="00DC1333">
      <w:pPr>
        <w:jc w:val="both"/>
        <w:rPr>
          <w:color w:val="000000" w:themeColor="text1"/>
        </w:rPr>
      </w:pPr>
    </w:p>
    <w:p w:rsidR="00221F0B" w:rsidRDefault="00221F0B" w:rsidP="00EB45DE">
      <w:pPr>
        <w:pStyle w:val="ListParagraph"/>
        <w:numPr>
          <w:ilvl w:val="0"/>
          <w:numId w:val="110"/>
        </w:numPr>
        <w:tabs>
          <w:tab w:val="left" w:pos="709"/>
        </w:tabs>
        <w:ind w:left="0" w:firstLine="0"/>
        <w:jc w:val="both"/>
        <w:rPr>
          <w:bCs/>
          <w:lang w:val="es-ES"/>
        </w:rPr>
      </w:pPr>
      <w:r w:rsidRPr="003E661D">
        <w:rPr>
          <w:bCs/>
          <w:lang w:val="es-ES"/>
        </w:rPr>
        <w:t>Las tecnologías de la información y de las comunicaciones (TIC) siguieron desempeñando dos funciones vitales durante el bienio.  A nivel externo, constituyeron plataformas eficaces, fiables y seguras para la prestación de servicios mundiales de P.I., y proporcionaron los recursos técnicos para la nueva sala de conferencias de la OMPI y otros servicios relacionados con las conferencias.  A nivel interno, proporcionaron soluciones eficientes y costoeficaces para el mantenimiento de las operaciones cotidianas de la OMPI tanto en la sede como en las Oficinas en el exterior.</w:t>
      </w:r>
    </w:p>
    <w:p w:rsidR="00221F0B" w:rsidRPr="003E661D" w:rsidRDefault="00221F0B" w:rsidP="00DC1333">
      <w:pPr>
        <w:pStyle w:val="ListParagraph"/>
        <w:tabs>
          <w:tab w:val="left" w:pos="709"/>
        </w:tabs>
        <w:ind w:left="0"/>
        <w:jc w:val="both"/>
        <w:rPr>
          <w:bCs/>
          <w:lang w:val="es-ES"/>
        </w:rPr>
      </w:pPr>
    </w:p>
    <w:p w:rsidR="00221F0B" w:rsidRDefault="00221F0B" w:rsidP="00EB45DE">
      <w:pPr>
        <w:pStyle w:val="ListParagraph"/>
        <w:numPr>
          <w:ilvl w:val="0"/>
          <w:numId w:val="110"/>
        </w:numPr>
        <w:tabs>
          <w:tab w:val="left" w:pos="709"/>
        </w:tabs>
        <w:ind w:left="0" w:firstLine="0"/>
        <w:jc w:val="both"/>
        <w:rPr>
          <w:bCs/>
          <w:lang w:val="es-ES"/>
        </w:rPr>
      </w:pPr>
      <w:r w:rsidRPr="003E661D">
        <w:rPr>
          <w:bCs/>
          <w:lang w:val="es-ES"/>
        </w:rPr>
        <w:t>Teniendo en cuenta los avances realizados en el bienio precedente, los logros que figuran a continuación dan cuenta de los progresos realizados en el ámbito de los servicios de infraestructura y los servicios de soluciones operativas (incluidos los servicios de Internet) en 2014/15:</w:t>
      </w:r>
    </w:p>
    <w:p w:rsidR="00221F0B" w:rsidRPr="003E661D" w:rsidRDefault="00221F0B" w:rsidP="00DC1333">
      <w:pPr>
        <w:pStyle w:val="ListParagraph"/>
        <w:tabs>
          <w:tab w:val="left" w:pos="709"/>
        </w:tabs>
        <w:ind w:left="0"/>
        <w:jc w:val="both"/>
        <w:rPr>
          <w:bCs/>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 xml:space="preserve">Se siguió mejorando la continuidad de los servicios y la capacidad de reacción y recuperación de la infraestructura de las TIC, especialmente el establecimiento y la puesta a prueba de una capacidad de recuperación de alto nivel de las TIC en caso de desastre para prestar apoyo al Sistema del PCT, mediante la que los sistemas y procesos del PCT no se </w:t>
      </w:r>
      <w:r>
        <w:rPr>
          <w:lang w:val="es-ES"/>
        </w:rPr>
        <w:t>vean</w:t>
      </w:r>
      <w:r w:rsidRPr="00F05098">
        <w:rPr>
          <w:lang w:val="es-ES"/>
        </w:rPr>
        <w:t xml:space="preserve"> afectados en caso de que el centro de datos de la OMPI </w:t>
      </w:r>
      <w:r>
        <w:rPr>
          <w:lang w:val="es-ES"/>
        </w:rPr>
        <w:t>tenga</w:t>
      </w:r>
      <w:r w:rsidRPr="00F05098">
        <w:rPr>
          <w:lang w:val="es-ES"/>
        </w:rPr>
        <w:t xml:space="preserve"> problemas.  En el futuro se aplicarán capacidades similares a otras operaciones esenciales.</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Se creó una nueva solución de arquitectura global (GOA) para las Oficinas de la OMPI en el exterior con el fin de proporcionarles una conexión segura con los sistemas administrativos de T.I. de la OMPI albergados en la sede, junto con servicios de T.I. centralizados y constantes.  Al final de 2015, la GOA se había instalado en tres Oficinas (OOJ, OOS y OOR).</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 xml:space="preserve">Se ejecutó la infraestructura de las TIC para la nueva sala de conferencias de la OMPI en el plazo previsto para acoger la vigesimosegunda sesión del PBC y quincuagésima cuarta serie de </w:t>
      </w:r>
      <w:r w:rsidRPr="007674B6">
        <w:rPr>
          <w:lang w:val="es-ES"/>
        </w:rPr>
        <w:t xml:space="preserve">reuniones de las Asambleas de los Estados miembros de la OMPI en 2014. </w:t>
      </w:r>
    </w:p>
    <w:p w:rsidR="00221F0B" w:rsidRPr="007674B6"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7674B6">
        <w:rPr>
          <w:lang w:val="es-ES"/>
        </w:rPr>
        <w:t>Se ultimó la subcontratación de la gestión de la infraestructura de red y del servidor al Centro Internacional de Cálculos Electrónicos de las Naciones Unidas para disponer de una cobertura ininterrumpida y actualizaciones puntuales.</w:t>
      </w:r>
    </w:p>
    <w:p w:rsidR="00221F0B" w:rsidRPr="007674B6"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Por medio de una estrecha colaboración con las principales partes interesadas, en 2014 se concluyeron acuerdos de prestación de servicios que permitieron determinar más explícitamente las necesidades en materia de TIC de sectores de actividad concretos y asegurar un seguimiento y supervisión más sistemáticos.</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Gracias a un sistema de fax avanzado, introducido para lograr una integración sin fisuras con los sistemas informáticos del Sistema de Madrid, así como con los sistemas administrativos internos, aumentó la eficiencia y se redujeron sustancialmente los índices de errores de faxes, que hacían necesario emplear una importante cantidad de tiempo para volver a enviar los faxes de manera repetida.</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F05098">
        <w:rPr>
          <w:lang w:val="es-ES"/>
        </w:rPr>
        <w:t xml:space="preserve">En respuesta a las recomendaciones formuladas </w:t>
      </w:r>
      <w:r>
        <w:rPr>
          <w:lang w:val="es-ES"/>
        </w:rPr>
        <w:t xml:space="preserve">en 2014 por la Dependencia Común de Inspección en el </w:t>
      </w:r>
      <w:r w:rsidRPr="00F05098">
        <w:rPr>
          <w:lang w:val="es-ES"/>
        </w:rPr>
        <w:t>Examen de la gestión</w:t>
      </w:r>
      <w:r>
        <w:rPr>
          <w:lang w:val="es-ES"/>
        </w:rPr>
        <w:t xml:space="preserve"> y la administración en la OMPI y en posteriores evaluaciones internas, en 2015 se elaboró una Estrategia de gestión de los conocimientos</w:t>
      </w:r>
      <w:r w:rsidRPr="006771E9">
        <w:footnoteReference w:id="139"/>
      </w:r>
      <w:r w:rsidRPr="006771E9">
        <w:rPr>
          <w:sz w:val="16"/>
          <w:szCs w:val="16"/>
          <w:lang w:val="es-ES"/>
        </w:rPr>
        <w:t xml:space="preserve"> </w:t>
      </w:r>
      <w:r w:rsidRPr="007674B6">
        <w:rPr>
          <w:lang w:val="es-ES"/>
        </w:rPr>
        <w:t>con el fin de:</w:t>
      </w:r>
      <w:r>
        <w:rPr>
          <w:lang w:val="es-ES"/>
        </w:rPr>
        <w:t xml:space="preserve"> </w:t>
      </w:r>
      <w:r w:rsidRPr="007674B6">
        <w:rPr>
          <w:lang w:val="es-ES"/>
        </w:rPr>
        <w:t xml:space="preserve"> i) fomentar una cultura de gestión de los conocimientos en la OMPI;  ii) poner</w:t>
      </w:r>
      <w:r>
        <w:rPr>
          <w:lang w:val="es-ES"/>
        </w:rPr>
        <w:t xml:space="preserve"> en marcha en toda la Organización una serie de procesos y herramientas de gestión de los conocimientos;  iii) determinar y publicar una “única fuente fiable” de los activos de conocimiento e información;  y iv) </w:t>
      </w:r>
      <w:r w:rsidRPr="00F5755F">
        <w:rPr>
          <w:lang w:val="es-ES"/>
        </w:rPr>
        <w:t xml:space="preserve">ajustar e integrar la </w:t>
      </w:r>
      <w:r>
        <w:rPr>
          <w:lang w:val="es-ES"/>
        </w:rPr>
        <w:t>e</w:t>
      </w:r>
      <w:r w:rsidRPr="00F5755F">
        <w:rPr>
          <w:lang w:val="es-ES"/>
        </w:rPr>
        <w:t>strategia d</w:t>
      </w:r>
      <w:r>
        <w:rPr>
          <w:lang w:val="es-ES"/>
        </w:rPr>
        <w:t>e gestión de los conocimientos con</w:t>
      </w:r>
      <w:r w:rsidRPr="00F5755F">
        <w:rPr>
          <w:lang w:val="es-ES"/>
        </w:rPr>
        <w:t xml:space="preserve"> la </w:t>
      </w:r>
      <w:r>
        <w:rPr>
          <w:lang w:val="es-ES"/>
        </w:rPr>
        <w:t>e</w:t>
      </w:r>
      <w:r w:rsidRPr="00F5755F">
        <w:rPr>
          <w:lang w:val="es-ES"/>
        </w:rPr>
        <w:t xml:space="preserve">strategia institucional </w:t>
      </w:r>
      <w:r>
        <w:rPr>
          <w:lang w:val="es-ES"/>
        </w:rPr>
        <w:t xml:space="preserve">de la OMPI </w:t>
      </w:r>
      <w:r w:rsidRPr="00F5755F">
        <w:rPr>
          <w:lang w:val="es-ES"/>
        </w:rPr>
        <w:t>de reacción y recuperación.</w:t>
      </w:r>
    </w:p>
    <w:p w:rsidR="00221F0B" w:rsidRPr="00F05098"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9F6696">
        <w:rPr>
          <w:lang w:val="es-ES"/>
        </w:rPr>
        <w:t>Se definieron oficialmente los procedimientos para la transición, puesta en práctica y extensión de los proyectos de TIC a toda la Organización, a fin de establecer un flujo de transición más sistemático y sin contratiempos.</w:t>
      </w:r>
    </w:p>
    <w:p w:rsidR="00221F0B" w:rsidRPr="009F6696" w:rsidRDefault="00221F0B" w:rsidP="00DC1333">
      <w:pPr>
        <w:pStyle w:val="ListParagraph"/>
        <w:tabs>
          <w:tab w:val="left" w:pos="1134"/>
        </w:tabs>
        <w:ind w:left="567"/>
        <w:rPr>
          <w:lang w:val="es-ES"/>
        </w:rPr>
      </w:pPr>
    </w:p>
    <w:p w:rsidR="00221F0B" w:rsidRDefault="00221F0B" w:rsidP="00EB45DE">
      <w:pPr>
        <w:pStyle w:val="ListParagraph"/>
        <w:numPr>
          <w:ilvl w:val="0"/>
          <w:numId w:val="113"/>
        </w:numPr>
        <w:tabs>
          <w:tab w:val="left" w:pos="1134"/>
        </w:tabs>
        <w:ind w:left="567" w:firstLine="0"/>
        <w:rPr>
          <w:lang w:val="es-ES"/>
        </w:rPr>
      </w:pPr>
      <w:r w:rsidRPr="009F6696">
        <w:rPr>
          <w:lang w:val="es-ES"/>
        </w:rPr>
        <w:t xml:space="preserve">Se examinaron los contratos de servicios y los procesos operativos y se tomaron medidas para que las operaciones </w:t>
      </w:r>
      <w:r>
        <w:rPr>
          <w:lang w:val="es-ES"/>
        </w:rPr>
        <w:t>fueran</w:t>
      </w:r>
      <w:r w:rsidRPr="009F6696">
        <w:rPr>
          <w:lang w:val="es-ES"/>
        </w:rPr>
        <w:t xml:space="preserve"> más eficaces en función de los costos, lo que dio lugar a unos ahorros de aproximadamente 460.000 francos suizos en comparación con 2013.</w:t>
      </w:r>
    </w:p>
    <w:p w:rsidR="00221F0B" w:rsidRPr="009F6696" w:rsidRDefault="00221F0B" w:rsidP="00DC1333">
      <w:pPr>
        <w:pStyle w:val="ListParagraph"/>
        <w:tabs>
          <w:tab w:val="left" w:pos="1134"/>
        </w:tabs>
        <w:ind w:left="567"/>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En cuanto al aseguramiento de la información, en el bienio 2014/15 se llevó a cabo una reestructuración estratégica a nivel institucional mediante la incorporación de la Sección de Seguridad de la Información (ISS) englobada en la División de Seguridad y Aseguramiento de la Información (SIAD) creada recientemente, que permite una integración más adecuada de la seguridad física y de la seguridad de la información.</w:t>
      </w:r>
    </w:p>
    <w:p w:rsidR="00221F0B" w:rsidRPr="00BD316D"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Si bien seguía en funcionamiento una buena parte de los mecanismos para el aseguramiento de la información, en el bienio 2014/15 se consiguieron varios logros importantes que contribuyeron en gran medida a mejorar la protección y la seguridad de la información y de los sistemas de la OMPI.</w:t>
      </w:r>
    </w:p>
    <w:p w:rsidR="00221F0B" w:rsidRPr="00F05098"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En el marco del proceso de mejora continua impulsado por la</w:t>
      </w:r>
      <w:r w:rsidR="00106631">
        <w:rPr>
          <w:bCs/>
          <w:lang w:val="es-ES"/>
        </w:rPr>
        <w:t xml:space="preserve"> Norma ISO 27001, en octubre de </w:t>
      </w:r>
      <w:r w:rsidRPr="003E661D">
        <w:rPr>
          <w:bCs/>
          <w:lang w:val="es-ES"/>
        </w:rPr>
        <w:t>2014 el PCT se sometió a la segunda ronda de auditorías de supervisión externa para obtener la certificación ISO 27001, y al mismo tiempo se pasó de la certificación de la versión de 2005 a la más reciente ISO 27001:2013.  En octubre de 2015, se amplió la certificación para dar cabida a las operaciones de los sistemas de Madrid y de La Haya, además del Sistema del PCT.  No se señalaron faltas de conformidad de mayor o menor entidad.</w:t>
      </w:r>
    </w:p>
    <w:p w:rsidR="00221F0B" w:rsidRPr="00F05098"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 xml:space="preserve">Tras la reestructuración institucional, </w:t>
      </w:r>
      <w:r w:rsidR="005E7D72">
        <w:rPr>
          <w:bCs/>
          <w:lang w:val="es-ES"/>
        </w:rPr>
        <w:t xml:space="preserve">a resultas de la cual se creó una nueva División de Seguridad y Aseguramiento de la Información (SIAD por sus siglas en inglés), </w:t>
      </w:r>
      <w:r w:rsidRPr="003E661D">
        <w:rPr>
          <w:bCs/>
          <w:lang w:val="es-ES"/>
        </w:rPr>
        <w:t>en el año 2015 se elaboró y se aprobó una Estrategia de aseguramiento de la información destinada a velar por que se ofrezcan soluciones de P.I. seguras y de alta calidad a los Estados miembros y a los usuarios.</w:t>
      </w:r>
    </w:p>
    <w:p w:rsidR="00221F0B" w:rsidRPr="00F05098" w:rsidRDefault="00221F0B" w:rsidP="00DC1333">
      <w:pPr>
        <w:pStyle w:val="ListParagraph"/>
        <w:ind w:left="0"/>
        <w:rPr>
          <w:highlight w:val="yellow"/>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Además, se adoptaron medidas importantes para mejorar las capacidades técnicas en materia de seguridad en los ámbitos de la gestión de cuentas privilegiadas, gestión de la información y de los incidentes de seguridad, supervisión y alerta de indicadores de  potenciales violaciones de la seguridad.  En 2014, se terminó de ejecutar el proyecto de instalación completa del sistema ArcSight de gestión de la información y de los incidentes de seguridad (SEIM), lo que posibilita visualizar más claramente los posibles incidentes de seguridad en la red de T.I. de la OMPI, y permite dar una respuesta más eficaz y eficiente a los incidentes.  La instalación e integración de dichas soluciones técnicas redujo en gran medida el tiempo necesario para detectar y responder a los posibles ciberataques o violaciones de la seguridad de los datos.  En consecuencia, se redujo al mínimo el número de incidentes graves, y solo se produjo un incidente de importancia en cada año del bienio, sin que hubiera pérdidas de datos ni se pusiera en peligro su seguridad.</w:t>
      </w:r>
    </w:p>
    <w:p w:rsidR="00221F0B" w:rsidRPr="00B51FCC" w:rsidRDefault="00221F0B" w:rsidP="00DC1333"/>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La S</w:t>
      </w:r>
      <w:r w:rsidR="005E7D72">
        <w:rPr>
          <w:bCs/>
          <w:lang w:val="es-ES"/>
        </w:rPr>
        <w:t>IAD</w:t>
      </w:r>
      <w:r w:rsidRPr="003E661D">
        <w:rPr>
          <w:bCs/>
          <w:lang w:val="es-ES"/>
        </w:rPr>
        <w:t xml:space="preserve"> también contribuyó a</w:t>
      </w:r>
      <w:r w:rsidR="00F41D85">
        <w:rPr>
          <w:bCs/>
          <w:lang w:val="es-ES"/>
        </w:rPr>
        <w:t xml:space="preserve"> la selección e implantación en </w:t>
      </w:r>
      <w:r w:rsidRPr="003E661D">
        <w:rPr>
          <w:bCs/>
          <w:lang w:val="es-ES"/>
        </w:rPr>
        <w:t>2014 de un sistema de gestión institucional de riesgos (Acuity Stream) destinado a aumentar la capacidad de gestión institucional de riesgos en la OMPI y posibilitar la integración total de los procesos de gestión del riesgo, basados en las normas ISO, en los enfoques de gestión de riesgos de la Organización.  En 2015, se amplió el uso del sistema de gestión institucional de riesgos Acuity Stream a la gestión de los riesgos de información relacionados con las normas ISO, como parte de la ampliación del alcance de la certificación ISO 27001.</w:t>
      </w:r>
    </w:p>
    <w:p w:rsidR="00221F0B" w:rsidRPr="00B51FCC" w:rsidRDefault="00221F0B" w:rsidP="00DC1333"/>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Las campañas contra el fraude por Internet, puestas en marcha inicialmente en 2014, siguieron fomentando la concienciación de los usuarios respecto de las amenazas a la seguridad de la información, como pone de manifiesto el notable aumento del número de usuarios que dieron cuenta de intentos de fraude de ese tipo (que pasó del 1% en 2014 al 59% en 2015), así como a la disminución del número de usuarios que se dejaron engañar en las campañas contra el fraude por Internet (que pasó de una media del 17% en 2014 a una media del 7% en 2015).</w:t>
      </w:r>
    </w:p>
    <w:p w:rsidR="00221F0B" w:rsidRPr="00F05098"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 xml:space="preserve">Mediante las evaluaciones de riesgos y la prestación de asistencia para la mitigación de riesgos ejecutadas con la mayor calidad, la Sección de Seguridad de la Información también prestó apoyo a varias iniciativas, como la GOA, el entorno de dispositivos móviles de la OMPI y la solución de contratación en la nube, Taleo, y colaboró estrechamente con los equipos de desarrollo de aplicaciones del PCT con miras a elaborar y poner en práctica un sistema de gestión del ciclo de vida para el </w:t>
      </w:r>
      <w:r w:rsidRPr="003E661D">
        <w:rPr>
          <w:bCs/>
          <w:lang w:val="es-ES"/>
        </w:rPr>
        <w:lastRenderedPageBreak/>
        <w:t xml:space="preserve">desarrollo seguro de aplicaciones que permite abordar el cumplimiento de los requisitos y los controles de la seguridad de la información desde el inicio de los proyectos, reduciendo así considerablemente la cantidad de operaciones necesarias para volver a pasar las pruebas de seguridad de las aplicaciones. </w:t>
      </w:r>
    </w:p>
    <w:p w:rsidR="00221F0B" w:rsidRDefault="00221F0B" w:rsidP="00DC1333">
      <w:pPr>
        <w:rPr>
          <w:color w:val="000000" w:themeColor="text1"/>
          <w:szCs w:val="22"/>
        </w:rPr>
      </w:pPr>
    </w:p>
    <w:p w:rsidR="00221F0B" w:rsidRPr="00F05098" w:rsidRDefault="00221F0B" w:rsidP="00DC1333">
      <w:pPr>
        <w:rPr>
          <w:color w:val="000000" w:themeColor="text1"/>
          <w:szCs w:val="22"/>
        </w:rPr>
      </w:pPr>
    </w:p>
    <w:p w:rsidR="00221F0B" w:rsidRDefault="008F7CBE" w:rsidP="00DC1333">
      <w:pPr>
        <w:rPr>
          <w:color w:val="000000" w:themeColor="text1"/>
          <w:szCs w:val="22"/>
        </w:rPr>
      </w:pPr>
      <w:r w:rsidRPr="008F7CBE">
        <w:rPr>
          <w:color w:val="000000" w:themeColor="text1"/>
          <w:sz w:val="20"/>
          <w:szCs w:val="22"/>
        </w:rPr>
        <w:t>DATOS SOBRE EL RENDIMIENTO</w:t>
      </w:r>
    </w:p>
    <w:p w:rsidR="00221F0B" w:rsidRPr="00F05098" w:rsidRDefault="00221F0B" w:rsidP="00DC1333">
      <w:pPr>
        <w:rPr>
          <w:color w:val="000000" w:themeColor="text1"/>
          <w:szCs w:val="22"/>
        </w:rPr>
      </w:pPr>
    </w:p>
    <w:tbl>
      <w:tblPr>
        <w:tblW w:w="4814"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3"/>
        <w:gridCol w:w="477"/>
        <w:gridCol w:w="1834"/>
        <w:gridCol w:w="1493"/>
        <w:gridCol w:w="11"/>
        <w:gridCol w:w="2685"/>
        <w:gridCol w:w="1132"/>
      </w:tblGrid>
      <w:tr w:rsidR="00221F0B" w:rsidRPr="00A0512D" w:rsidTr="00DC1333">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F05098" w:rsidRDefault="00221F0B" w:rsidP="00DC1333">
            <w:pPr>
              <w:keepNext/>
              <w:keepLines/>
              <w:spacing w:before="120" w:after="120"/>
              <w:ind w:left="2019" w:hanging="2019"/>
              <w:rPr>
                <w:b/>
                <w:bCs/>
                <w:color w:val="000000" w:themeColor="text1"/>
                <w:sz w:val="16"/>
                <w:szCs w:val="16"/>
              </w:rPr>
            </w:pPr>
            <w:r w:rsidRPr="00F05098">
              <w:rPr>
                <w:b/>
                <w:bCs/>
                <w:sz w:val="16"/>
                <w:szCs w:val="16"/>
              </w:rPr>
              <w:t>Resultado previsto:</w:t>
            </w:r>
            <w:r w:rsidRPr="00F05098">
              <w:rPr>
                <w:b/>
                <w:bCs/>
                <w:sz w:val="16"/>
                <w:szCs w:val="16"/>
              </w:rPr>
              <w:tab/>
            </w:r>
            <w:r w:rsidRPr="00F05098">
              <w:rPr>
                <w:bCs/>
                <w:sz w:val="16"/>
                <w:szCs w:val="16"/>
              </w:rPr>
              <w:t>IX.1 Servicios de apoyo eficaces, eficientes, de calidad y orientados al cliente, tanto a los clientes internos como a las partes interesadas externas</w:t>
            </w:r>
          </w:p>
        </w:tc>
      </w:tr>
      <w:tr w:rsidR="00221F0B" w:rsidRPr="00F05098" w:rsidTr="00DC1333">
        <w:trPr>
          <w:cantSplit/>
        </w:trPr>
        <w:tc>
          <w:tcPr>
            <w:tcW w:w="859" w:type="pct"/>
            <w:tcBorders>
              <w:top w:val="single" w:sz="4" w:space="0" w:color="auto"/>
              <w:left w:val="single" w:sz="4" w:space="0" w:color="auto"/>
              <w:bottom w:val="nil"/>
            </w:tcBorders>
            <w:shd w:val="clear" w:color="auto" w:fill="auto"/>
            <w:vAlign w:val="center"/>
          </w:tcPr>
          <w:p w:rsidR="00221F0B" w:rsidRPr="00F05098" w:rsidRDefault="00221F0B" w:rsidP="00DC1333">
            <w:pPr>
              <w:rPr>
                <w:color w:val="000000" w:themeColor="text1"/>
                <w:sz w:val="16"/>
                <w:szCs w:val="16"/>
              </w:rPr>
            </w:pPr>
            <w:r w:rsidRPr="00F05098">
              <w:rPr>
                <w:b/>
                <w:sz w:val="16"/>
                <w:szCs w:val="16"/>
              </w:rPr>
              <w:t>Indicadores de rendimiento</w:t>
            </w:r>
          </w:p>
        </w:tc>
        <w:tc>
          <w:tcPr>
            <w:tcW w:w="1254" w:type="pct"/>
            <w:gridSpan w:val="2"/>
            <w:tcBorders>
              <w:top w:val="single" w:sz="4" w:space="0" w:color="auto"/>
              <w:bottom w:val="nil"/>
            </w:tcBorders>
            <w:shd w:val="clear" w:color="auto" w:fill="auto"/>
            <w:vAlign w:val="center"/>
          </w:tcPr>
          <w:p w:rsidR="00221F0B" w:rsidRPr="00F05098" w:rsidRDefault="00221F0B" w:rsidP="00DC1333">
            <w:pPr>
              <w:rPr>
                <w:b/>
                <w:bCs/>
                <w:color w:val="000000" w:themeColor="text1"/>
                <w:sz w:val="16"/>
                <w:szCs w:val="16"/>
              </w:rPr>
            </w:pPr>
            <w:r w:rsidRPr="00F05098">
              <w:rPr>
                <w:b/>
                <w:bCs/>
                <w:sz w:val="16"/>
                <w:szCs w:val="16"/>
              </w:rPr>
              <w:t>Referencia</w:t>
            </w:r>
          </w:p>
        </w:tc>
        <w:tc>
          <w:tcPr>
            <w:tcW w:w="810" w:type="pct"/>
            <w:tcBorders>
              <w:top w:val="single" w:sz="4" w:space="0" w:color="auto"/>
              <w:bottom w:val="nil"/>
            </w:tcBorders>
            <w:shd w:val="clear" w:color="auto" w:fill="auto"/>
            <w:tcMar>
              <w:top w:w="110" w:type="dxa"/>
            </w:tcMar>
            <w:vAlign w:val="center"/>
          </w:tcPr>
          <w:p w:rsidR="00221F0B" w:rsidRPr="00F05098" w:rsidRDefault="00221F0B" w:rsidP="00DC1333">
            <w:pPr>
              <w:rPr>
                <w:b/>
                <w:color w:val="000000" w:themeColor="text1"/>
                <w:sz w:val="16"/>
                <w:szCs w:val="16"/>
              </w:rPr>
            </w:pPr>
            <w:r w:rsidRPr="00F05098">
              <w:rPr>
                <w:b/>
                <w:sz w:val="16"/>
                <w:szCs w:val="16"/>
              </w:rPr>
              <w:t>Objetivos</w:t>
            </w:r>
          </w:p>
        </w:tc>
        <w:tc>
          <w:tcPr>
            <w:tcW w:w="1463" w:type="pct"/>
            <w:gridSpan w:val="2"/>
            <w:tcBorders>
              <w:top w:val="single" w:sz="4" w:space="0" w:color="auto"/>
              <w:bottom w:val="nil"/>
            </w:tcBorders>
            <w:shd w:val="clear" w:color="auto" w:fill="FFFFFF"/>
            <w:tcMar>
              <w:top w:w="110" w:type="dxa"/>
            </w:tcMar>
            <w:vAlign w:val="center"/>
          </w:tcPr>
          <w:p w:rsidR="00221F0B" w:rsidRPr="00F05098" w:rsidRDefault="00221F0B" w:rsidP="00DC1333">
            <w:pPr>
              <w:rPr>
                <w:color w:val="000000" w:themeColor="text1"/>
                <w:sz w:val="16"/>
                <w:szCs w:val="16"/>
              </w:rPr>
            </w:pPr>
            <w:r w:rsidRPr="00F05098">
              <w:rPr>
                <w:b/>
                <w:sz w:val="16"/>
                <w:szCs w:val="16"/>
              </w:rPr>
              <w:t>Datos sobre el rendimiento</w:t>
            </w:r>
          </w:p>
        </w:tc>
        <w:tc>
          <w:tcPr>
            <w:tcW w:w="614" w:type="pct"/>
            <w:tcBorders>
              <w:top w:val="single" w:sz="4" w:space="0" w:color="auto"/>
              <w:bottom w:val="nil"/>
              <w:right w:val="single" w:sz="4" w:space="0" w:color="auto"/>
            </w:tcBorders>
            <w:shd w:val="clear" w:color="auto" w:fill="auto"/>
            <w:tcMar>
              <w:top w:w="110" w:type="dxa"/>
            </w:tcMar>
            <w:vAlign w:val="center"/>
          </w:tcPr>
          <w:p w:rsidR="00221F0B" w:rsidRPr="00F05098" w:rsidRDefault="00221F0B" w:rsidP="00DC1333">
            <w:pPr>
              <w:keepNext/>
              <w:keepLines/>
              <w:jc w:val="center"/>
              <w:rPr>
                <w:b/>
                <w:bCs/>
                <w:color w:val="000000" w:themeColor="text1"/>
                <w:sz w:val="16"/>
                <w:szCs w:val="16"/>
              </w:rPr>
            </w:pPr>
            <w:r w:rsidRPr="00F05098">
              <w:rPr>
                <w:b/>
                <w:bCs/>
                <w:sz w:val="16"/>
                <w:szCs w:val="16"/>
              </w:rPr>
              <w:t>Clave de colores</w:t>
            </w:r>
          </w:p>
        </w:tc>
      </w:tr>
      <w:tr w:rsidR="00221F0B" w:rsidRPr="00F05098" w:rsidTr="00DC1333">
        <w:trPr>
          <w:cantSplit/>
        </w:trPr>
        <w:tc>
          <w:tcPr>
            <w:tcW w:w="859" w:type="pct"/>
            <w:tcBorders>
              <w:top w:val="nil"/>
              <w:left w:val="single" w:sz="4" w:space="0" w:color="auto"/>
              <w:bottom w:val="nil"/>
            </w:tcBorders>
            <w:shd w:val="clear" w:color="auto" w:fill="auto"/>
          </w:tcPr>
          <w:p w:rsidR="00221F0B" w:rsidRPr="00F05098" w:rsidRDefault="00221F0B" w:rsidP="00DC1333">
            <w:pPr>
              <w:rPr>
                <w:color w:val="000000" w:themeColor="text1"/>
                <w:sz w:val="16"/>
                <w:szCs w:val="16"/>
              </w:rPr>
            </w:pPr>
            <w:r w:rsidRPr="00F05098">
              <w:rPr>
                <w:sz w:val="16"/>
                <w:szCs w:val="16"/>
              </w:rPr>
              <w:t>Los costos unitarios de alojamiento de infraestructuras están al nivel de la referencia o por debajo de ella</w:t>
            </w:r>
          </w:p>
        </w:tc>
        <w:tc>
          <w:tcPr>
            <w:tcW w:w="1254" w:type="pct"/>
            <w:gridSpan w:val="2"/>
            <w:tcBorders>
              <w:top w:val="nil"/>
              <w:bottom w:val="nil"/>
            </w:tcBorders>
            <w:shd w:val="clear" w:color="auto" w:fill="auto"/>
          </w:tcPr>
          <w:p w:rsidR="00221F0B" w:rsidRPr="00F05098" w:rsidRDefault="00221F0B" w:rsidP="00DC1333">
            <w:pPr>
              <w:rPr>
                <w:color w:val="002060"/>
                <w:sz w:val="16"/>
                <w:szCs w:val="16"/>
              </w:rPr>
            </w:pPr>
            <w:r w:rsidRPr="00F05098">
              <w:rPr>
                <w:i/>
                <w:color w:val="002060"/>
                <w:sz w:val="16"/>
                <w:szCs w:val="16"/>
              </w:rPr>
              <w:t>Referencia actualizada a fines de 2013:</w:t>
            </w:r>
            <w:r w:rsidRPr="00F05098">
              <w:rPr>
                <w:color w:val="002060"/>
                <w:sz w:val="16"/>
                <w:szCs w:val="16"/>
              </w:rPr>
              <w:t xml:space="preserve"> </w:t>
            </w:r>
          </w:p>
          <w:p w:rsidR="00221F0B" w:rsidRPr="00F05098" w:rsidRDefault="00221F0B" w:rsidP="00DC1333">
            <w:pPr>
              <w:rPr>
                <w:color w:val="002060"/>
                <w:sz w:val="16"/>
                <w:szCs w:val="16"/>
              </w:rPr>
            </w:pPr>
            <w:r w:rsidRPr="00F05098">
              <w:rPr>
                <w:color w:val="002060"/>
                <w:sz w:val="16"/>
                <w:szCs w:val="16"/>
              </w:rPr>
              <w:t>Costo mensual del apoyo al servidor institucional: $280;</w:t>
            </w:r>
          </w:p>
          <w:p w:rsidR="00221F0B" w:rsidRPr="00F05098" w:rsidRDefault="00221F0B" w:rsidP="00DC1333">
            <w:pPr>
              <w:rPr>
                <w:color w:val="002060"/>
                <w:sz w:val="16"/>
                <w:szCs w:val="16"/>
              </w:rPr>
            </w:pPr>
            <w:r w:rsidRPr="00F05098">
              <w:rPr>
                <w:color w:val="002060"/>
                <w:sz w:val="16"/>
                <w:szCs w:val="16"/>
              </w:rPr>
              <w:t xml:space="preserve">costo mensual del servidor virtual  (de 2 núcleos y 8 GB): $229; </w:t>
            </w:r>
          </w:p>
          <w:p w:rsidR="00221F0B" w:rsidRPr="00F05098" w:rsidRDefault="00221F0B" w:rsidP="00DC1333">
            <w:pPr>
              <w:rPr>
                <w:color w:val="002060"/>
                <w:sz w:val="16"/>
                <w:szCs w:val="16"/>
              </w:rPr>
            </w:pPr>
            <w:r w:rsidRPr="00F05098">
              <w:rPr>
                <w:color w:val="002060"/>
                <w:sz w:val="16"/>
                <w:szCs w:val="16"/>
              </w:rPr>
              <w:t>costo medio mensual</w:t>
            </w:r>
          </w:p>
          <w:p w:rsidR="00221F0B" w:rsidRPr="00F05098" w:rsidRDefault="00221F0B" w:rsidP="00DC1333">
            <w:pPr>
              <w:rPr>
                <w:color w:val="002060"/>
                <w:sz w:val="16"/>
                <w:szCs w:val="16"/>
              </w:rPr>
            </w:pPr>
            <w:r w:rsidRPr="00F05098">
              <w:rPr>
                <w:color w:val="002060"/>
                <w:sz w:val="16"/>
                <w:szCs w:val="16"/>
              </w:rPr>
              <w:t>del almacenamiento de alto rendimiento: $420/TB;  costo medio mensual del almacenamiento de seguridad: $53,9</w:t>
            </w:r>
          </w:p>
          <w:p w:rsidR="00221F0B" w:rsidRPr="00F05098" w:rsidRDefault="00221F0B" w:rsidP="00DC1333">
            <w:pPr>
              <w:rPr>
                <w:i/>
                <w:sz w:val="8"/>
                <w:szCs w:val="8"/>
              </w:rPr>
            </w:pPr>
          </w:p>
          <w:p w:rsidR="00221F0B" w:rsidRPr="00F05098" w:rsidRDefault="00221F0B" w:rsidP="00DC1333">
            <w:pPr>
              <w:rPr>
                <w:color w:val="000000" w:themeColor="text1"/>
                <w:sz w:val="16"/>
                <w:szCs w:val="16"/>
              </w:rPr>
            </w:pPr>
            <w:r w:rsidRPr="00F05098">
              <w:rPr>
                <w:i/>
                <w:sz w:val="16"/>
                <w:szCs w:val="16"/>
              </w:rPr>
              <w:t xml:space="preserve">Referencia original en el presupuesto de 2014/15: </w:t>
            </w:r>
            <w:r w:rsidRPr="00F05098">
              <w:rPr>
                <w:color w:val="000000" w:themeColor="text1"/>
                <w:sz w:val="16"/>
                <w:szCs w:val="16"/>
              </w:rPr>
              <w:t xml:space="preserve">Costos unitarios de los servidores virtuales y físicos, del almacenamiento y las copias de seguridad  </w:t>
            </w:r>
          </w:p>
        </w:tc>
        <w:tc>
          <w:tcPr>
            <w:tcW w:w="810" w:type="pct"/>
            <w:tcBorders>
              <w:top w:val="nil"/>
              <w:bottom w:val="nil"/>
            </w:tcBorders>
            <w:shd w:val="clear" w:color="auto" w:fill="auto"/>
            <w:tcMar>
              <w:top w:w="110" w:type="dxa"/>
            </w:tcMar>
          </w:tcPr>
          <w:p w:rsidR="00221F0B" w:rsidRPr="00F05098" w:rsidRDefault="00221F0B" w:rsidP="00DC1333">
            <w:pPr>
              <w:rPr>
                <w:color w:val="000000" w:themeColor="text1"/>
                <w:sz w:val="16"/>
                <w:szCs w:val="16"/>
              </w:rPr>
            </w:pPr>
            <w:r w:rsidRPr="00F05098">
              <w:rPr>
                <w:color w:val="000000" w:themeColor="text1"/>
                <w:sz w:val="16"/>
                <w:szCs w:val="16"/>
              </w:rPr>
              <w:t>Los costos unitarios de alojamiento de infraestructuras están al nivel de la referencia o por debajo de ella</w:t>
            </w:r>
          </w:p>
        </w:tc>
        <w:tc>
          <w:tcPr>
            <w:tcW w:w="1463" w:type="pct"/>
            <w:gridSpan w:val="2"/>
            <w:tcBorders>
              <w:top w:val="nil"/>
              <w:bottom w:val="nil"/>
            </w:tcBorders>
            <w:shd w:val="clear" w:color="auto" w:fill="FFFFFF"/>
            <w:tcMar>
              <w:top w:w="110" w:type="dxa"/>
            </w:tcMar>
          </w:tcPr>
          <w:p w:rsidR="00221F0B" w:rsidRPr="00CB2DD9" w:rsidRDefault="00221F0B" w:rsidP="00DC1333">
            <w:pPr>
              <w:rPr>
                <w:color w:val="000000" w:themeColor="text1"/>
                <w:sz w:val="16"/>
                <w:szCs w:val="16"/>
              </w:rPr>
            </w:pPr>
            <w:r w:rsidRPr="00CB2DD9">
              <w:rPr>
                <w:color w:val="000000" w:themeColor="text1"/>
                <w:sz w:val="16"/>
                <w:szCs w:val="16"/>
              </w:rPr>
              <w:t>2014: Se mantienen las tarifas de referencia.  Se negocian nuevas tarifas.</w:t>
            </w:r>
          </w:p>
          <w:p w:rsidR="00221F0B" w:rsidRPr="00CB2DD9" w:rsidRDefault="00221F0B" w:rsidP="00DC1333">
            <w:pPr>
              <w:rPr>
                <w:color w:val="000000" w:themeColor="text1"/>
                <w:sz w:val="16"/>
                <w:szCs w:val="16"/>
              </w:rPr>
            </w:pPr>
          </w:p>
          <w:p w:rsidR="00221F0B" w:rsidRPr="00CB2DD9" w:rsidRDefault="00221F0B" w:rsidP="00DC1333">
            <w:pPr>
              <w:rPr>
                <w:color w:val="000000" w:themeColor="text1"/>
                <w:sz w:val="16"/>
                <w:szCs w:val="16"/>
              </w:rPr>
            </w:pPr>
            <w:r w:rsidRPr="00CB2DD9">
              <w:rPr>
                <w:color w:val="000000" w:themeColor="text1"/>
                <w:sz w:val="16"/>
                <w:szCs w:val="16"/>
              </w:rPr>
              <w:t>2015: Costo mensual del apoyo al servidor institucional: 250 francos suizos</w:t>
            </w:r>
          </w:p>
          <w:p w:rsidR="00221F0B" w:rsidRPr="00F05098" w:rsidRDefault="00221F0B" w:rsidP="00DC1333">
            <w:pPr>
              <w:rPr>
                <w:color w:val="000000" w:themeColor="text1"/>
                <w:sz w:val="16"/>
                <w:szCs w:val="16"/>
                <w:highlight w:val="yellow"/>
              </w:rPr>
            </w:pPr>
          </w:p>
          <w:p w:rsidR="00221F0B" w:rsidRPr="00CB2DD9" w:rsidRDefault="00221F0B" w:rsidP="00DC1333">
            <w:pPr>
              <w:rPr>
                <w:color w:val="000000" w:themeColor="text1"/>
                <w:sz w:val="16"/>
                <w:szCs w:val="16"/>
              </w:rPr>
            </w:pPr>
            <w:r>
              <w:rPr>
                <w:color w:val="000000" w:themeColor="text1"/>
                <w:sz w:val="16"/>
                <w:szCs w:val="16"/>
              </w:rPr>
              <w:t>C</w:t>
            </w:r>
            <w:r w:rsidRPr="00CB2DD9">
              <w:rPr>
                <w:color w:val="000000" w:themeColor="text1"/>
                <w:sz w:val="16"/>
                <w:szCs w:val="16"/>
              </w:rPr>
              <w:t>osto mensual del servidor virtual: 189 francos suizos</w:t>
            </w:r>
          </w:p>
          <w:p w:rsidR="00221F0B" w:rsidRPr="00F05098" w:rsidRDefault="00221F0B" w:rsidP="00DC1333">
            <w:pPr>
              <w:rPr>
                <w:color w:val="000000" w:themeColor="text1"/>
                <w:sz w:val="16"/>
                <w:szCs w:val="16"/>
                <w:highlight w:val="yellow"/>
              </w:rPr>
            </w:pPr>
          </w:p>
          <w:p w:rsidR="00221F0B" w:rsidRPr="00CB2DD9" w:rsidRDefault="00221F0B" w:rsidP="00DC1333">
            <w:pPr>
              <w:rPr>
                <w:color w:val="000000" w:themeColor="text1"/>
                <w:sz w:val="16"/>
                <w:szCs w:val="16"/>
              </w:rPr>
            </w:pPr>
            <w:r>
              <w:rPr>
                <w:color w:val="000000" w:themeColor="text1"/>
                <w:sz w:val="16"/>
                <w:szCs w:val="16"/>
              </w:rPr>
              <w:t>C</w:t>
            </w:r>
            <w:r w:rsidRPr="00CB2DD9">
              <w:rPr>
                <w:color w:val="000000" w:themeColor="text1"/>
                <w:sz w:val="16"/>
                <w:szCs w:val="16"/>
              </w:rPr>
              <w:t>osto medio mensual</w:t>
            </w:r>
          </w:p>
          <w:p w:rsidR="00221F0B" w:rsidRDefault="00221F0B" w:rsidP="00DC1333">
            <w:pPr>
              <w:rPr>
                <w:color w:val="000000" w:themeColor="text1"/>
                <w:sz w:val="16"/>
                <w:szCs w:val="16"/>
              </w:rPr>
            </w:pPr>
            <w:r w:rsidRPr="00CB2DD9">
              <w:rPr>
                <w:color w:val="000000" w:themeColor="text1"/>
                <w:sz w:val="16"/>
                <w:szCs w:val="16"/>
              </w:rPr>
              <w:t>del almacenami</w:t>
            </w:r>
            <w:r>
              <w:rPr>
                <w:color w:val="000000" w:themeColor="text1"/>
                <w:sz w:val="16"/>
                <w:szCs w:val="16"/>
              </w:rPr>
              <w:t>ento de alto rend</w:t>
            </w:r>
            <w:r w:rsidRPr="00CB2DD9">
              <w:rPr>
                <w:color w:val="000000" w:themeColor="text1"/>
                <w:sz w:val="16"/>
                <w:szCs w:val="16"/>
              </w:rPr>
              <w:t>imiento:</w:t>
            </w:r>
            <w:r w:rsidRPr="00CB2DD9">
              <w:rPr>
                <w:sz w:val="16"/>
                <w:szCs w:val="16"/>
              </w:rPr>
              <w:t xml:space="preserve"> 240 francos suizos</w:t>
            </w:r>
            <w:r w:rsidRPr="00CB2DD9">
              <w:rPr>
                <w:color w:val="000000" w:themeColor="text1"/>
                <w:sz w:val="16"/>
                <w:szCs w:val="16"/>
              </w:rPr>
              <w:t>/TB</w:t>
            </w:r>
          </w:p>
          <w:p w:rsidR="00221F0B" w:rsidRPr="00F05098" w:rsidRDefault="00221F0B" w:rsidP="00DC1333">
            <w:pPr>
              <w:rPr>
                <w:color w:val="000000" w:themeColor="text1"/>
                <w:sz w:val="16"/>
                <w:szCs w:val="16"/>
                <w:highlight w:val="yellow"/>
              </w:rPr>
            </w:pPr>
          </w:p>
          <w:p w:rsidR="00221F0B" w:rsidRPr="00CB2DD9" w:rsidRDefault="00221F0B" w:rsidP="00DC1333">
            <w:pPr>
              <w:rPr>
                <w:color w:val="000000" w:themeColor="text1"/>
                <w:sz w:val="16"/>
                <w:szCs w:val="16"/>
              </w:rPr>
            </w:pPr>
            <w:r>
              <w:rPr>
                <w:color w:val="000000" w:themeColor="text1"/>
                <w:sz w:val="16"/>
                <w:szCs w:val="16"/>
              </w:rPr>
              <w:t>C</w:t>
            </w:r>
            <w:r w:rsidRPr="00CB2DD9">
              <w:rPr>
                <w:color w:val="000000" w:themeColor="text1"/>
                <w:sz w:val="16"/>
                <w:szCs w:val="16"/>
              </w:rPr>
              <w:t>osto medio mensual del almacenamiento de seguridad: 41,10 francos suizos</w:t>
            </w:r>
          </w:p>
          <w:p w:rsidR="00221F0B" w:rsidRPr="00F05098" w:rsidRDefault="00221F0B" w:rsidP="00DC1333">
            <w:pPr>
              <w:rPr>
                <w:color w:val="000000" w:themeColor="text1"/>
                <w:sz w:val="16"/>
                <w:szCs w:val="16"/>
                <w:highlight w:val="yellow"/>
              </w:rPr>
            </w:pPr>
          </w:p>
          <w:p w:rsidR="00221F0B" w:rsidRDefault="00221F0B" w:rsidP="00DC1333">
            <w:pPr>
              <w:rPr>
                <w:color w:val="000000" w:themeColor="text1"/>
                <w:sz w:val="16"/>
                <w:szCs w:val="16"/>
                <w:highlight w:val="yellow"/>
              </w:rPr>
            </w:pPr>
            <w:r w:rsidRPr="00C168D0">
              <w:rPr>
                <w:color w:val="000000" w:themeColor="text1"/>
                <w:sz w:val="16"/>
                <w:szCs w:val="16"/>
              </w:rPr>
              <w:t>Número de incidentes de servicio de impacto medio o alto: 1,75 por mes</w:t>
            </w:r>
          </w:p>
          <w:p w:rsidR="00221F0B" w:rsidRPr="00F05098" w:rsidRDefault="00221F0B" w:rsidP="00DC1333">
            <w:pPr>
              <w:rPr>
                <w:color w:val="000000" w:themeColor="text1"/>
                <w:sz w:val="16"/>
                <w:szCs w:val="16"/>
                <w:highlight w:val="yellow"/>
              </w:rPr>
            </w:pPr>
          </w:p>
        </w:tc>
        <w:tc>
          <w:tcPr>
            <w:tcW w:w="614" w:type="pct"/>
            <w:tcBorders>
              <w:top w:val="nil"/>
              <w:bottom w:val="nil"/>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rPr>
                <w:b/>
                <w:bCs/>
                <w:color w:val="00B050"/>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rPr>
                <w:b/>
                <w:bCs/>
                <w:color w:val="00B050"/>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rPr>
                <w:b/>
                <w:bCs/>
                <w:color w:val="00B050"/>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rPr>
                <w:b/>
                <w:bCs/>
                <w:color w:val="FF0000"/>
                <w:sz w:val="16"/>
                <w:szCs w:val="16"/>
              </w:rPr>
            </w:pPr>
          </w:p>
          <w:p w:rsidR="00221F0B" w:rsidRPr="00F05098" w:rsidRDefault="00221F0B" w:rsidP="00DC1333">
            <w:pPr>
              <w:keepNext/>
              <w:keepLines/>
              <w:rPr>
                <w:b/>
                <w:bCs/>
                <w:color w:val="FF0000"/>
                <w:sz w:val="16"/>
                <w:szCs w:val="16"/>
              </w:rPr>
            </w:pPr>
          </w:p>
          <w:p w:rsidR="00221F0B" w:rsidRPr="00F05098" w:rsidRDefault="00221F0B" w:rsidP="00DC1333">
            <w:pPr>
              <w:keepNext/>
              <w:keepLines/>
              <w:jc w:val="center"/>
              <w:rPr>
                <w:b/>
                <w:bCs/>
                <w:color w:val="FF0000"/>
                <w:sz w:val="16"/>
                <w:szCs w:val="16"/>
              </w:rPr>
            </w:pPr>
            <w:r w:rsidRPr="00F05098">
              <w:rPr>
                <w:b/>
                <w:bCs/>
                <w:color w:val="00B050"/>
                <w:sz w:val="16"/>
                <w:szCs w:val="16"/>
              </w:rPr>
              <w:t>Plenamente logrado</w:t>
            </w:r>
          </w:p>
          <w:p w:rsidR="00221F0B" w:rsidRPr="00F05098" w:rsidRDefault="00221F0B" w:rsidP="00DC1333">
            <w:pPr>
              <w:keepNext/>
              <w:keepLines/>
              <w:rPr>
                <w:b/>
                <w:bCs/>
                <w:color w:val="FF0000"/>
                <w:sz w:val="16"/>
                <w:szCs w:val="16"/>
              </w:rPr>
            </w:pPr>
          </w:p>
          <w:p w:rsidR="00221F0B" w:rsidRPr="00F05098" w:rsidRDefault="00221F0B" w:rsidP="00DC1333">
            <w:pPr>
              <w:keepNext/>
              <w:keepLines/>
              <w:jc w:val="center"/>
              <w:rPr>
                <w:b/>
                <w:bCs/>
                <w:color w:val="00B050"/>
                <w:sz w:val="13"/>
                <w:szCs w:val="13"/>
              </w:rPr>
            </w:pPr>
          </w:p>
        </w:tc>
      </w:tr>
      <w:tr w:rsidR="00221F0B" w:rsidRPr="00F05098" w:rsidTr="00DC1333">
        <w:trPr>
          <w:cantSplit/>
        </w:trPr>
        <w:tc>
          <w:tcPr>
            <w:tcW w:w="859" w:type="pct"/>
            <w:tcBorders>
              <w:top w:val="nil"/>
              <w:left w:val="single" w:sz="4" w:space="0" w:color="auto"/>
              <w:bottom w:val="nil"/>
            </w:tcBorders>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Número de acuerdos de prestación de servicios para el alojamiento de sistemas y servicios que cumplen con el marco de acuerdos de prestación de servicios para las TIC</w:t>
            </w:r>
          </w:p>
        </w:tc>
        <w:tc>
          <w:tcPr>
            <w:tcW w:w="1254" w:type="pct"/>
            <w:gridSpan w:val="2"/>
            <w:tcBorders>
              <w:top w:val="nil"/>
              <w:bottom w:val="nil"/>
            </w:tcBorders>
            <w:shd w:val="clear" w:color="auto" w:fill="auto"/>
          </w:tcPr>
          <w:p w:rsidR="00221F0B" w:rsidRPr="00F05098" w:rsidRDefault="00221F0B" w:rsidP="00DC1333">
            <w:pPr>
              <w:rPr>
                <w:color w:val="000000" w:themeColor="text1"/>
                <w:sz w:val="16"/>
                <w:szCs w:val="16"/>
              </w:rPr>
            </w:pPr>
            <w:r w:rsidRPr="00F05098">
              <w:rPr>
                <w:color w:val="000000" w:themeColor="text1"/>
                <w:sz w:val="16"/>
                <w:szCs w:val="16"/>
              </w:rPr>
              <w:t xml:space="preserve">Marco en vigor de acuerdos normalizados de prestación de servicios para las TIC </w:t>
            </w:r>
          </w:p>
          <w:p w:rsidR="00221F0B" w:rsidRPr="00F05098" w:rsidRDefault="00221F0B" w:rsidP="00DC1333">
            <w:pPr>
              <w:rPr>
                <w:color w:val="000000" w:themeColor="text1"/>
                <w:sz w:val="16"/>
                <w:szCs w:val="16"/>
              </w:rPr>
            </w:pPr>
          </w:p>
          <w:p w:rsidR="00221F0B" w:rsidRPr="00F05098" w:rsidRDefault="00221F0B" w:rsidP="00DC1333">
            <w:pPr>
              <w:rPr>
                <w:i/>
                <w:color w:val="002060"/>
                <w:sz w:val="16"/>
                <w:szCs w:val="16"/>
              </w:rPr>
            </w:pPr>
          </w:p>
        </w:tc>
        <w:tc>
          <w:tcPr>
            <w:tcW w:w="810" w:type="pct"/>
            <w:tcBorders>
              <w:top w:val="nil"/>
              <w:bottom w:val="nil"/>
            </w:tcBorders>
            <w:shd w:val="clear" w:color="auto" w:fill="auto"/>
            <w:tcMar>
              <w:top w:w="110" w:type="dxa"/>
            </w:tcMar>
          </w:tcPr>
          <w:p w:rsidR="00221F0B" w:rsidRPr="00F05098" w:rsidRDefault="00221F0B" w:rsidP="00221F0B">
            <w:pPr>
              <w:ind w:leftChars="-11" w:left="-24"/>
              <w:rPr>
                <w:sz w:val="16"/>
                <w:szCs w:val="16"/>
              </w:rPr>
            </w:pPr>
            <w:r w:rsidRPr="00F05098">
              <w:rPr>
                <w:sz w:val="16"/>
                <w:szCs w:val="16"/>
              </w:rPr>
              <w:t>Porcentaje de acuerdos de prestación de servicios que cumplen lo dispuesto en el marco de las TIC</w:t>
            </w:r>
          </w:p>
          <w:p w:rsidR="00221F0B" w:rsidRPr="00F05098" w:rsidRDefault="00221F0B" w:rsidP="00221F0B">
            <w:pPr>
              <w:ind w:leftChars="-11" w:left="-24"/>
              <w:rPr>
                <w:color w:val="000000" w:themeColor="text1"/>
                <w:sz w:val="16"/>
                <w:szCs w:val="16"/>
              </w:rPr>
            </w:pPr>
          </w:p>
        </w:tc>
        <w:tc>
          <w:tcPr>
            <w:tcW w:w="1463" w:type="pct"/>
            <w:gridSpan w:val="2"/>
            <w:tcBorders>
              <w:top w:val="nil"/>
              <w:bottom w:val="nil"/>
            </w:tcBorders>
            <w:shd w:val="clear" w:color="auto" w:fill="FFFFFF"/>
            <w:tcMar>
              <w:top w:w="110" w:type="dxa"/>
            </w:tcMar>
          </w:tcPr>
          <w:p w:rsidR="00221F0B" w:rsidRPr="00F05098" w:rsidRDefault="00221F0B" w:rsidP="00DC1333">
            <w:pPr>
              <w:rPr>
                <w:color w:val="000000" w:themeColor="text1"/>
                <w:sz w:val="16"/>
                <w:szCs w:val="16"/>
                <w:highlight w:val="yellow"/>
              </w:rPr>
            </w:pPr>
            <w:r w:rsidRPr="007674B6">
              <w:rPr>
                <w:color w:val="000000" w:themeColor="text1"/>
                <w:sz w:val="16"/>
                <w:szCs w:val="16"/>
              </w:rPr>
              <w:t>En 2014/15, se firmaron 11 nuevos acuerdos de prestación de servicios (sistema integrado de comunicaciones,  IRIS, IRPI, PCT, PEARL, SIGAGIP, PATENTSCOPE, CASE, DAS, la plataforma de colaboración externa, GOA) que cumplen con el marco de las TIC (100%)</w:t>
            </w:r>
          </w:p>
        </w:tc>
        <w:tc>
          <w:tcPr>
            <w:tcW w:w="614" w:type="pct"/>
            <w:tcBorders>
              <w:top w:val="nil"/>
              <w:bottom w:val="nil"/>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0000" w:themeColor="text1"/>
                <w:sz w:val="16"/>
                <w:szCs w:val="16"/>
              </w:rPr>
            </w:pPr>
          </w:p>
        </w:tc>
      </w:tr>
      <w:tr w:rsidR="00221F0B" w:rsidRPr="00F05098" w:rsidTr="00DC1333">
        <w:trPr>
          <w:cantSplit/>
        </w:trPr>
        <w:tc>
          <w:tcPr>
            <w:tcW w:w="859" w:type="pct"/>
            <w:tcBorders>
              <w:top w:val="nil"/>
              <w:left w:val="single" w:sz="4" w:space="0" w:color="auto"/>
              <w:bottom w:val="single" w:sz="4" w:space="0" w:color="auto"/>
            </w:tcBorders>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Continuidad de los servicios de TIC de los sistemas esenciales</w:t>
            </w:r>
          </w:p>
        </w:tc>
        <w:tc>
          <w:tcPr>
            <w:tcW w:w="1254" w:type="pct"/>
            <w:gridSpan w:val="2"/>
            <w:tcBorders>
              <w:top w:val="nil"/>
              <w:bottom w:val="single" w:sz="4" w:space="0" w:color="auto"/>
            </w:tcBorders>
            <w:shd w:val="clear" w:color="auto" w:fill="auto"/>
          </w:tcPr>
          <w:p w:rsidR="00221F0B" w:rsidRPr="00F05098" w:rsidRDefault="00221F0B" w:rsidP="00DC1333">
            <w:pPr>
              <w:rPr>
                <w:color w:val="002060"/>
                <w:sz w:val="16"/>
                <w:szCs w:val="16"/>
              </w:rPr>
            </w:pPr>
            <w:r w:rsidRPr="00F05098">
              <w:rPr>
                <w:i/>
                <w:color w:val="002060"/>
                <w:sz w:val="16"/>
                <w:szCs w:val="16"/>
              </w:rPr>
              <w:t>Referencia actualizada a fines de 2013:</w:t>
            </w:r>
            <w:r w:rsidRPr="00F05098">
              <w:rPr>
                <w:color w:val="002060"/>
                <w:sz w:val="16"/>
                <w:szCs w:val="16"/>
              </w:rPr>
              <w:t xml:space="preserve"> establecimiento de 2 centros de datos estrechamente vinculados entre sí; creación parcial de la  infraestructura de los servidores y de la arquitectura de las  redes para apoyar los dos centros de datos;  evaluación de 38 servicios esenciales de TIC y puesta en marcha de medidas adecuadas para mitigar los riesgos y garantizar la disponibilidad de los servicios</w:t>
            </w:r>
          </w:p>
          <w:p w:rsidR="00221F0B" w:rsidRPr="00F05098" w:rsidRDefault="00221F0B" w:rsidP="00221F0B">
            <w:pPr>
              <w:ind w:leftChars="-11" w:left="-24"/>
              <w:rPr>
                <w:color w:val="000000" w:themeColor="text1"/>
                <w:sz w:val="16"/>
                <w:szCs w:val="16"/>
              </w:rPr>
            </w:pPr>
          </w:p>
          <w:p w:rsidR="00221F0B" w:rsidRPr="00F05098" w:rsidRDefault="00221F0B" w:rsidP="00221F0B">
            <w:pPr>
              <w:ind w:leftChars="-11" w:left="-24"/>
              <w:rPr>
                <w:color w:val="000000" w:themeColor="text1"/>
                <w:sz w:val="16"/>
                <w:szCs w:val="16"/>
              </w:rPr>
            </w:pPr>
            <w:r w:rsidRPr="00F05098">
              <w:rPr>
                <w:i/>
                <w:sz w:val="16"/>
                <w:szCs w:val="16"/>
              </w:rPr>
              <w:t>Referencia original en el presupuesto de 2014/15</w:t>
            </w:r>
            <w:proofErr w:type="gramStart"/>
            <w:r w:rsidRPr="00F05098">
              <w:rPr>
                <w:i/>
                <w:sz w:val="16"/>
                <w:szCs w:val="16"/>
              </w:rPr>
              <w:t xml:space="preserve">:  </w:t>
            </w:r>
            <w:r w:rsidRPr="00F05098">
              <w:rPr>
                <w:sz w:val="16"/>
                <w:szCs w:val="16"/>
              </w:rPr>
              <w:t>Los</w:t>
            </w:r>
            <w:proofErr w:type="gramEnd"/>
            <w:r w:rsidRPr="00F05098">
              <w:rPr>
                <w:sz w:val="16"/>
                <w:szCs w:val="16"/>
              </w:rPr>
              <w:t xml:space="preserve"> datos no se almacenan en línea, se necesitan varios días para recuperar los datos.</w:t>
            </w:r>
          </w:p>
        </w:tc>
        <w:tc>
          <w:tcPr>
            <w:tcW w:w="810" w:type="pct"/>
            <w:tcBorders>
              <w:top w:val="nil"/>
              <w:bottom w:val="single" w:sz="4" w:space="0" w:color="auto"/>
            </w:tcBorders>
            <w:shd w:val="clear" w:color="auto" w:fill="auto"/>
            <w:tcMar>
              <w:top w:w="110" w:type="dxa"/>
            </w:tcMar>
          </w:tcPr>
          <w:p w:rsidR="00221F0B" w:rsidRPr="00F05098" w:rsidRDefault="00221F0B" w:rsidP="00221F0B">
            <w:pPr>
              <w:ind w:leftChars="-11" w:left="-24"/>
              <w:rPr>
                <w:color w:val="000000" w:themeColor="text1"/>
                <w:sz w:val="16"/>
                <w:szCs w:val="16"/>
              </w:rPr>
            </w:pPr>
            <w:r w:rsidRPr="00F05098">
              <w:rPr>
                <w:color w:val="000000" w:themeColor="text1"/>
                <w:sz w:val="16"/>
                <w:szCs w:val="16"/>
              </w:rPr>
              <w:t>Los sistemas esenciales pueden recuperarse puntualmente sin pérdida de datos en caso de interrupciones localizadas de seriedad</w:t>
            </w:r>
          </w:p>
        </w:tc>
        <w:tc>
          <w:tcPr>
            <w:tcW w:w="1463" w:type="pct"/>
            <w:gridSpan w:val="2"/>
            <w:tcBorders>
              <w:top w:val="nil"/>
              <w:bottom w:val="single" w:sz="4" w:space="0" w:color="auto"/>
            </w:tcBorders>
            <w:shd w:val="clear" w:color="auto" w:fill="FFFFFF"/>
            <w:tcMar>
              <w:top w:w="110" w:type="dxa"/>
            </w:tcMar>
          </w:tcPr>
          <w:p w:rsidR="00221F0B" w:rsidRPr="0071390F" w:rsidRDefault="00221F0B" w:rsidP="00DC1333">
            <w:pPr>
              <w:rPr>
                <w:color w:val="000000" w:themeColor="text1"/>
                <w:sz w:val="16"/>
                <w:szCs w:val="16"/>
                <w:highlight w:val="yellow"/>
              </w:rPr>
            </w:pPr>
            <w:r w:rsidRPr="0071390F">
              <w:rPr>
                <w:color w:val="000000" w:themeColor="text1"/>
                <w:sz w:val="16"/>
                <w:szCs w:val="16"/>
              </w:rPr>
              <w:t>Se amplió a los servicios esenciales de TIC la infraestructura de servidores, almacenamiento, respaldo</w:t>
            </w:r>
            <w:r>
              <w:rPr>
                <w:color w:val="000000" w:themeColor="text1"/>
                <w:sz w:val="16"/>
                <w:szCs w:val="16"/>
              </w:rPr>
              <w:t xml:space="preserve"> y red</w:t>
            </w:r>
            <w:r w:rsidRPr="0071390F">
              <w:rPr>
                <w:color w:val="000000" w:themeColor="text1"/>
                <w:sz w:val="16"/>
                <w:szCs w:val="16"/>
              </w:rPr>
              <w:t xml:space="preserve">.  </w:t>
            </w:r>
            <w:r w:rsidRPr="007674B6">
              <w:rPr>
                <w:color w:val="000000" w:themeColor="text1"/>
                <w:sz w:val="16"/>
                <w:szCs w:val="16"/>
              </w:rPr>
              <w:t>En 2014/15,</w:t>
            </w:r>
            <w:r>
              <w:rPr>
                <w:color w:val="000000" w:themeColor="text1"/>
                <w:sz w:val="16"/>
                <w:szCs w:val="16"/>
              </w:rPr>
              <w:t xml:space="preserve"> se evaluaron otros</w:t>
            </w:r>
            <w:r w:rsidRPr="007674B6">
              <w:rPr>
                <w:color w:val="000000" w:themeColor="text1"/>
                <w:sz w:val="16"/>
                <w:szCs w:val="16"/>
              </w:rPr>
              <w:t xml:space="preserve"> 12 </w:t>
            </w:r>
            <w:r>
              <w:rPr>
                <w:color w:val="000000" w:themeColor="text1"/>
                <w:sz w:val="16"/>
                <w:szCs w:val="16"/>
              </w:rPr>
              <w:t>servicios esenciales de TIC y se aplicaron las medidas adecuadas para garantizar la disponibilidad de los servicios</w:t>
            </w:r>
            <w:r w:rsidRPr="007674B6">
              <w:rPr>
                <w:color w:val="000000" w:themeColor="text1"/>
                <w:sz w:val="16"/>
                <w:szCs w:val="16"/>
              </w:rPr>
              <w:t xml:space="preserve">. </w:t>
            </w:r>
          </w:p>
          <w:p w:rsidR="00221F0B" w:rsidRPr="00F05098" w:rsidRDefault="00221F0B" w:rsidP="00DC1333">
            <w:pPr>
              <w:rPr>
                <w:color w:val="000000" w:themeColor="text1"/>
                <w:sz w:val="16"/>
                <w:szCs w:val="16"/>
                <w:highlight w:val="yellow"/>
              </w:rPr>
            </w:pPr>
          </w:p>
          <w:p w:rsidR="00221F0B" w:rsidRPr="00F05098" w:rsidRDefault="00221F0B" w:rsidP="00DC1333">
            <w:pPr>
              <w:rPr>
                <w:color w:val="000000" w:themeColor="text1"/>
                <w:sz w:val="16"/>
                <w:szCs w:val="16"/>
                <w:highlight w:val="yellow"/>
              </w:rPr>
            </w:pPr>
            <w:r w:rsidRPr="0071390F">
              <w:rPr>
                <w:sz w:val="16"/>
                <w:szCs w:val="16"/>
              </w:rPr>
              <w:t xml:space="preserve">En 2015 se validó la capacidad de prestar servicios ininterrumpidos de TIC mediante una prueba de un día de recuperación en caso de desastre; el ejercicio de recuperación en caso de fallos en los sistemas del PCT se completó en </w:t>
            </w:r>
            <w:r>
              <w:rPr>
                <w:sz w:val="16"/>
                <w:szCs w:val="16"/>
              </w:rPr>
              <w:t>3</w:t>
            </w:r>
            <w:r w:rsidRPr="0071390F">
              <w:rPr>
                <w:sz w:val="16"/>
                <w:szCs w:val="16"/>
              </w:rPr>
              <w:t>0 minutos.</w:t>
            </w:r>
          </w:p>
        </w:tc>
        <w:tc>
          <w:tcPr>
            <w:tcW w:w="614" w:type="pct"/>
            <w:tcBorders>
              <w:top w:val="nil"/>
              <w:bottom w:val="single" w:sz="4" w:space="0" w:color="auto"/>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B050"/>
                <w:sz w:val="16"/>
                <w:szCs w:val="16"/>
              </w:rPr>
            </w:pPr>
          </w:p>
        </w:tc>
      </w:tr>
      <w:tr w:rsidR="00221F0B" w:rsidRPr="00F05098" w:rsidTr="00DC1333">
        <w:trPr>
          <w:cantSplit/>
        </w:trPr>
        <w:tc>
          <w:tcPr>
            <w:tcW w:w="859" w:type="pct"/>
            <w:tcBorders>
              <w:top w:val="single" w:sz="4" w:space="0" w:color="auto"/>
              <w:left w:val="single" w:sz="4" w:space="0" w:color="auto"/>
              <w:bottom w:val="nil"/>
            </w:tcBorders>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lastRenderedPageBreak/>
              <w:t>Porcentaje de usuarios y sectores de actividades que están satisfechos con los servicios de TIC</w:t>
            </w:r>
          </w:p>
        </w:tc>
        <w:tc>
          <w:tcPr>
            <w:tcW w:w="1254" w:type="pct"/>
            <w:gridSpan w:val="2"/>
            <w:tcBorders>
              <w:top w:val="single" w:sz="4" w:space="0" w:color="auto"/>
              <w:bottom w:val="nil"/>
            </w:tcBorders>
            <w:shd w:val="clear" w:color="auto" w:fill="auto"/>
          </w:tcPr>
          <w:p w:rsidR="00221F0B" w:rsidRPr="00F05098" w:rsidRDefault="00221F0B" w:rsidP="00DC1333">
            <w:pPr>
              <w:rPr>
                <w:color w:val="002060"/>
                <w:sz w:val="16"/>
                <w:szCs w:val="16"/>
              </w:rPr>
            </w:pPr>
            <w:r w:rsidRPr="00F05098">
              <w:rPr>
                <w:i/>
                <w:color w:val="002060"/>
                <w:sz w:val="16"/>
                <w:szCs w:val="16"/>
              </w:rPr>
              <w:t>Referencia actualizada a fines de 2013:</w:t>
            </w:r>
            <w:r w:rsidRPr="00F05098">
              <w:rPr>
                <w:color w:val="002060"/>
                <w:sz w:val="16"/>
                <w:szCs w:val="16"/>
              </w:rPr>
              <w:t xml:space="preserve"> </w:t>
            </w:r>
          </w:p>
          <w:p w:rsidR="00221F0B" w:rsidRPr="00F05098" w:rsidRDefault="00221F0B" w:rsidP="00221F0B">
            <w:pPr>
              <w:ind w:leftChars="-11" w:left="-24"/>
              <w:rPr>
                <w:color w:val="002060"/>
                <w:sz w:val="16"/>
                <w:szCs w:val="16"/>
              </w:rPr>
            </w:pPr>
            <w:r w:rsidRPr="00F05098">
              <w:rPr>
                <w:color w:val="002060"/>
                <w:sz w:val="16"/>
                <w:szCs w:val="16"/>
              </w:rPr>
              <w:t>Encuesta del servicio de asistencia en 2013: el 64% de los encuestados se mostraron “muy satisfechos” con el servicio.</w:t>
            </w:r>
          </w:p>
          <w:p w:rsidR="00221F0B" w:rsidRPr="00F05098" w:rsidRDefault="00221F0B" w:rsidP="00221F0B">
            <w:pPr>
              <w:ind w:leftChars="-11" w:left="-24"/>
              <w:rPr>
                <w:color w:val="000000" w:themeColor="text1"/>
                <w:sz w:val="16"/>
                <w:szCs w:val="16"/>
              </w:rPr>
            </w:pPr>
          </w:p>
          <w:p w:rsidR="00221F0B" w:rsidRPr="00F05098" w:rsidRDefault="00221F0B" w:rsidP="00DC1333">
            <w:pPr>
              <w:rPr>
                <w:color w:val="000000" w:themeColor="text1"/>
                <w:sz w:val="16"/>
                <w:szCs w:val="16"/>
              </w:rPr>
            </w:pPr>
            <w:r w:rsidRPr="00F05098">
              <w:rPr>
                <w:i/>
                <w:sz w:val="16"/>
                <w:szCs w:val="16"/>
              </w:rPr>
              <w:t xml:space="preserve">Referencia original en el presupuesto de 2014/15:  </w:t>
            </w:r>
            <w:r w:rsidRPr="00F05098">
              <w:rPr>
                <w:sz w:val="16"/>
                <w:szCs w:val="16"/>
              </w:rPr>
              <w:t>Satisfacción del personal directivo al inicio del bienio</w:t>
            </w:r>
          </w:p>
        </w:tc>
        <w:tc>
          <w:tcPr>
            <w:tcW w:w="810" w:type="pct"/>
            <w:tcBorders>
              <w:top w:val="single" w:sz="4" w:space="0" w:color="auto"/>
              <w:bottom w:val="nil"/>
            </w:tcBorders>
            <w:shd w:val="clear" w:color="auto" w:fill="auto"/>
            <w:tcMar>
              <w:top w:w="110" w:type="dxa"/>
            </w:tcMar>
          </w:tcPr>
          <w:p w:rsidR="00221F0B" w:rsidRPr="00F05098" w:rsidRDefault="00221F0B" w:rsidP="00221F0B">
            <w:pPr>
              <w:ind w:leftChars="-11" w:left="-24"/>
              <w:rPr>
                <w:color w:val="000000" w:themeColor="text1"/>
                <w:sz w:val="16"/>
                <w:szCs w:val="16"/>
              </w:rPr>
            </w:pPr>
            <w:r w:rsidRPr="00F05098">
              <w:rPr>
                <w:color w:val="000000" w:themeColor="text1"/>
                <w:sz w:val="16"/>
                <w:szCs w:val="16"/>
              </w:rPr>
              <w:t>Mantenimiento o mejora en relación con la referencia</w:t>
            </w:r>
          </w:p>
        </w:tc>
        <w:tc>
          <w:tcPr>
            <w:tcW w:w="1463" w:type="pct"/>
            <w:gridSpan w:val="2"/>
            <w:tcBorders>
              <w:top w:val="single" w:sz="4" w:space="0" w:color="auto"/>
              <w:bottom w:val="nil"/>
            </w:tcBorders>
            <w:shd w:val="clear" w:color="auto" w:fill="FFFFFF"/>
            <w:tcMar>
              <w:top w:w="110" w:type="dxa"/>
            </w:tcMar>
          </w:tcPr>
          <w:p w:rsidR="00221F0B" w:rsidRPr="00F05098" w:rsidRDefault="00221F0B" w:rsidP="00DC1333">
            <w:pPr>
              <w:rPr>
                <w:color w:val="000000" w:themeColor="text1"/>
                <w:sz w:val="16"/>
                <w:szCs w:val="16"/>
                <w:highlight w:val="yellow"/>
              </w:rPr>
            </w:pPr>
            <w:r w:rsidRPr="0071390F">
              <w:rPr>
                <w:color w:val="000000" w:themeColor="text1"/>
                <w:sz w:val="16"/>
                <w:szCs w:val="16"/>
              </w:rPr>
              <w:t>En la encuesta del servicio de asistencia en 2014, el 67% de los encuestados se mostraron “muy satisfechos” con el servicio</w:t>
            </w:r>
          </w:p>
          <w:p w:rsidR="00221F0B" w:rsidRPr="00F05098" w:rsidRDefault="00221F0B" w:rsidP="00DC1333">
            <w:pPr>
              <w:rPr>
                <w:color w:val="000000" w:themeColor="text1"/>
                <w:sz w:val="16"/>
                <w:szCs w:val="16"/>
                <w:highlight w:val="yellow"/>
              </w:rPr>
            </w:pPr>
          </w:p>
          <w:p w:rsidR="00221F0B" w:rsidRPr="00F05098" w:rsidDel="00447A37" w:rsidRDefault="00221F0B" w:rsidP="00DC1333">
            <w:pPr>
              <w:rPr>
                <w:color w:val="000000" w:themeColor="text1"/>
                <w:sz w:val="16"/>
                <w:szCs w:val="16"/>
              </w:rPr>
            </w:pPr>
            <w:r w:rsidRPr="0071390F">
              <w:rPr>
                <w:color w:val="000000" w:themeColor="text1"/>
                <w:sz w:val="16"/>
                <w:szCs w:val="16"/>
              </w:rPr>
              <w:t>En la encuesta de</w:t>
            </w:r>
            <w:r>
              <w:rPr>
                <w:color w:val="000000" w:themeColor="text1"/>
                <w:sz w:val="16"/>
                <w:szCs w:val="16"/>
              </w:rPr>
              <w:t>l servicio de asistencia en 2015</w:t>
            </w:r>
            <w:r w:rsidRPr="0071390F">
              <w:rPr>
                <w:color w:val="000000" w:themeColor="text1"/>
                <w:sz w:val="16"/>
                <w:szCs w:val="16"/>
              </w:rPr>
              <w:t xml:space="preserve">, el </w:t>
            </w:r>
            <w:r>
              <w:rPr>
                <w:color w:val="000000" w:themeColor="text1"/>
                <w:sz w:val="16"/>
                <w:szCs w:val="16"/>
              </w:rPr>
              <w:t>9</w:t>
            </w:r>
            <w:r w:rsidRPr="0071390F">
              <w:rPr>
                <w:color w:val="000000" w:themeColor="text1"/>
                <w:sz w:val="16"/>
                <w:szCs w:val="16"/>
              </w:rPr>
              <w:t>7% de los encuestados se mostraron “satisfechos</w:t>
            </w:r>
            <w:r>
              <w:rPr>
                <w:color w:val="000000" w:themeColor="text1"/>
                <w:sz w:val="16"/>
                <w:szCs w:val="16"/>
              </w:rPr>
              <w:t xml:space="preserve"> o completamente satisfechos</w:t>
            </w:r>
            <w:r w:rsidRPr="0071390F">
              <w:rPr>
                <w:color w:val="000000" w:themeColor="text1"/>
                <w:sz w:val="16"/>
                <w:szCs w:val="16"/>
              </w:rPr>
              <w:t>” con el servicio</w:t>
            </w:r>
            <w:r>
              <w:rPr>
                <w:color w:val="000000" w:themeColor="text1"/>
                <w:sz w:val="16"/>
                <w:szCs w:val="16"/>
              </w:rPr>
              <w:t xml:space="preserve"> y el 70,5% “completamente satisfechos”</w:t>
            </w:r>
            <w:r w:rsidRPr="0071390F">
              <w:rPr>
                <w:color w:val="000000" w:themeColor="text1"/>
                <w:sz w:val="16"/>
                <w:szCs w:val="16"/>
              </w:rPr>
              <w:t>.</w:t>
            </w:r>
            <w:r w:rsidRPr="0071390F">
              <w:rPr>
                <w:rStyle w:val="FootnoteReference"/>
                <w:color w:val="000000" w:themeColor="text1"/>
                <w:sz w:val="16"/>
                <w:szCs w:val="16"/>
              </w:rPr>
              <w:footnoteReference w:id="140"/>
            </w:r>
          </w:p>
        </w:tc>
        <w:tc>
          <w:tcPr>
            <w:tcW w:w="614" w:type="pct"/>
            <w:tcBorders>
              <w:top w:val="single" w:sz="4" w:space="0" w:color="auto"/>
              <w:bottom w:val="nil"/>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B050"/>
                <w:sz w:val="16"/>
                <w:szCs w:val="16"/>
              </w:rPr>
            </w:pPr>
          </w:p>
        </w:tc>
      </w:tr>
      <w:tr w:rsidR="00221F0B" w:rsidRPr="00F05098" w:rsidTr="00DC1333">
        <w:trPr>
          <w:cantSplit/>
        </w:trPr>
        <w:tc>
          <w:tcPr>
            <w:tcW w:w="859" w:type="pct"/>
            <w:tcBorders>
              <w:top w:val="nil"/>
              <w:left w:val="single" w:sz="4" w:space="0" w:color="auto"/>
              <w:bottom w:val="single" w:sz="4" w:space="0" w:color="auto"/>
            </w:tcBorders>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El personal tiene fácil acceso a tecnologías de las comunicaciones integradas y de amplio alcance</w:t>
            </w:r>
          </w:p>
        </w:tc>
        <w:tc>
          <w:tcPr>
            <w:tcW w:w="1254" w:type="pct"/>
            <w:gridSpan w:val="2"/>
            <w:tcBorders>
              <w:top w:val="nil"/>
              <w:bottom w:val="single" w:sz="4" w:space="0" w:color="auto"/>
            </w:tcBorders>
            <w:shd w:val="clear" w:color="auto" w:fill="auto"/>
          </w:tcPr>
          <w:p w:rsidR="00221F0B" w:rsidRPr="00F05098" w:rsidRDefault="00221F0B" w:rsidP="00DC1333">
            <w:pPr>
              <w:rPr>
                <w:i/>
                <w:color w:val="002060"/>
                <w:sz w:val="16"/>
                <w:szCs w:val="16"/>
              </w:rPr>
            </w:pPr>
            <w:r w:rsidRPr="00F05098">
              <w:rPr>
                <w:sz w:val="16"/>
                <w:szCs w:val="16"/>
              </w:rPr>
              <w:t>Disponibles en las computadoras de escritorio (y en los portátiles)</w:t>
            </w:r>
          </w:p>
        </w:tc>
        <w:tc>
          <w:tcPr>
            <w:tcW w:w="810" w:type="pct"/>
            <w:tcBorders>
              <w:top w:val="nil"/>
              <w:bottom w:val="single" w:sz="4" w:space="0" w:color="auto"/>
            </w:tcBorders>
            <w:shd w:val="clear" w:color="auto" w:fill="auto"/>
            <w:tcMar>
              <w:top w:w="110" w:type="dxa"/>
            </w:tcMar>
          </w:tcPr>
          <w:p w:rsidR="00221F0B" w:rsidRPr="00F05098" w:rsidRDefault="00221F0B" w:rsidP="00221F0B">
            <w:pPr>
              <w:ind w:leftChars="-11" w:left="-24"/>
              <w:rPr>
                <w:color w:val="000000" w:themeColor="text1"/>
                <w:sz w:val="16"/>
                <w:szCs w:val="16"/>
              </w:rPr>
            </w:pPr>
            <w:r w:rsidRPr="00F05098">
              <w:rPr>
                <w:color w:val="000000" w:themeColor="text1"/>
                <w:sz w:val="16"/>
                <w:szCs w:val="16"/>
              </w:rPr>
              <w:t>Disponibles en otros dispositivos móviles</w:t>
            </w:r>
          </w:p>
        </w:tc>
        <w:tc>
          <w:tcPr>
            <w:tcW w:w="1463" w:type="pct"/>
            <w:gridSpan w:val="2"/>
            <w:tcBorders>
              <w:top w:val="nil"/>
              <w:bottom w:val="single" w:sz="4" w:space="0" w:color="auto"/>
            </w:tcBorders>
            <w:shd w:val="clear" w:color="auto" w:fill="FFFFFF"/>
            <w:tcMar>
              <w:top w:w="110" w:type="dxa"/>
            </w:tcMar>
          </w:tcPr>
          <w:p w:rsidR="00221F0B" w:rsidRDefault="00221F0B" w:rsidP="00DC1333">
            <w:pPr>
              <w:rPr>
                <w:color w:val="000000" w:themeColor="text1"/>
                <w:sz w:val="16"/>
                <w:szCs w:val="16"/>
              </w:rPr>
            </w:pPr>
            <w:r w:rsidRPr="004342AA">
              <w:rPr>
                <w:color w:val="000000" w:themeColor="text1"/>
                <w:sz w:val="16"/>
                <w:szCs w:val="16"/>
              </w:rPr>
              <w:t>Acceso a Intranet y al servicio de mensajería vocal de la Organización para los teléfonos móviles de la OMPI;  comunicaciones en directo por vídeo entre las Oficinas en el exterior y la sede de la OMPI; acceso telefónico disponible en las computadoras de escritorio;  capacidad de enviar y recibir faxes por correo electrónico.</w:t>
            </w:r>
          </w:p>
          <w:p w:rsidR="00221F0B" w:rsidRPr="004342AA" w:rsidDel="00447A37" w:rsidRDefault="00221F0B" w:rsidP="00DC1333">
            <w:pPr>
              <w:rPr>
                <w:color w:val="000000" w:themeColor="text1"/>
                <w:sz w:val="16"/>
                <w:szCs w:val="16"/>
              </w:rPr>
            </w:pPr>
          </w:p>
        </w:tc>
        <w:tc>
          <w:tcPr>
            <w:tcW w:w="614" w:type="pct"/>
            <w:tcBorders>
              <w:top w:val="nil"/>
              <w:bottom w:val="single" w:sz="4" w:space="0" w:color="auto"/>
              <w:right w:val="single" w:sz="4" w:space="0" w:color="auto"/>
            </w:tcBorders>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B050"/>
                <w:sz w:val="16"/>
                <w:szCs w:val="16"/>
              </w:rPr>
            </w:pPr>
          </w:p>
        </w:tc>
      </w:tr>
      <w:tr w:rsidR="00221F0B" w:rsidRPr="00A0512D" w:rsidTr="00DC1333">
        <w:trPr>
          <w:cantSplit/>
        </w:trPr>
        <w:tc>
          <w:tcPr>
            <w:tcW w:w="5000" w:type="pct"/>
            <w:gridSpan w:val="7"/>
            <w:tcBorders>
              <w:top w:val="single" w:sz="4" w:space="0" w:color="auto"/>
              <w:bottom w:val="single" w:sz="4" w:space="0" w:color="auto"/>
            </w:tcBorders>
            <w:shd w:val="clear" w:color="auto" w:fill="C6D9F1" w:themeFill="text2" w:themeFillTint="33"/>
            <w:vAlign w:val="center"/>
          </w:tcPr>
          <w:p w:rsidR="00221F0B" w:rsidRPr="00F05098" w:rsidRDefault="00221F0B" w:rsidP="00DC1333">
            <w:pPr>
              <w:spacing w:before="120" w:after="120"/>
              <w:ind w:left="2019" w:hanging="2019"/>
              <w:rPr>
                <w:b/>
                <w:bCs/>
                <w:color w:val="000000" w:themeColor="text1"/>
                <w:sz w:val="16"/>
                <w:szCs w:val="16"/>
              </w:rPr>
            </w:pPr>
            <w:r w:rsidRPr="00F05098">
              <w:rPr>
                <w:b/>
                <w:bCs/>
                <w:sz w:val="16"/>
                <w:szCs w:val="16"/>
              </w:rPr>
              <w:t>Resultado previsto:</w:t>
            </w:r>
            <w:r w:rsidRPr="00F05098">
              <w:rPr>
                <w:b/>
                <w:bCs/>
                <w:sz w:val="16"/>
                <w:szCs w:val="16"/>
              </w:rPr>
              <w:tab/>
            </w:r>
            <w:r w:rsidRPr="00F05098">
              <w:rPr>
                <w:bCs/>
                <w:sz w:val="16"/>
                <w:szCs w:val="16"/>
              </w:rPr>
              <w:t>IX.4 Una organización responsable con el medio ambiente y la sociedad en la que se garantiza la seguridad de su personal, los delegados, los visitantes, la información y los activos físicos</w:t>
            </w:r>
          </w:p>
        </w:tc>
      </w:tr>
      <w:tr w:rsidR="00221F0B" w:rsidRPr="00F05098" w:rsidTr="00DC1333">
        <w:trPr>
          <w:cantSplit/>
        </w:trPr>
        <w:tc>
          <w:tcPr>
            <w:tcW w:w="1118" w:type="pct"/>
            <w:gridSpan w:val="2"/>
            <w:tcBorders>
              <w:top w:val="single" w:sz="4" w:space="0" w:color="auto"/>
            </w:tcBorders>
            <w:shd w:val="clear" w:color="auto" w:fill="auto"/>
            <w:vAlign w:val="center"/>
          </w:tcPr>
          <w:p w:rsidR="00221F0B" w:rsidRPr="00F05098" w:rsidRDefault="00221F0B" w:rsidP="00DC1333">
            <w:pPr>
              <w:rPr>
                <w:color w:val="000000" w:themeColor="text1"/>
                <w:sz w:val="16"/>
                <w:szCs w:val="16"/>
              </w:rPr>
            </w:pPr>
            <w:r w:rsidRPr="00F05098">
              <w:rPr>
                <w:b/>
                <w:sz w:val="16"/>
                <w:szCs w:val="16"/>
              </w:rPr>
              <w:t>Indicadores de rendimiento</w:t>
            </w:r>
          </w:p>
        </w:tc>
        <w:tc>
          <w:tcPr>
            <w:tcW w:w="995" w:type="pct"/>
            <w:tcBorders>
              <w:top w:val="single" w:sz="4" w:space="0" w:color="auto"/>
            </w:tcBorders>
            <w:shd w:val="clear" w:color="auto" w:fill="auto"/>
            <w:vAlign w:val="center"/>
          </w:tcPr>
          <w:p w:rsidR="00221F0B" w:rsidRPr="00F05098" w:rsidRDefault="00221F0B" w:rsidP="00DC1333">
            <w:pPr>
              <w:rPr>
                <w:b/>
                <w:bCs/>
                <w:color w:val="000000" w:themeColor="text1"/>
                <w:sz w:val="16"/>
                <w:szCs w:val="16"/>
              </w:rPr>
            </w:pPr>
            <w:r w:rsidRPr="00F05098">
              <w:rPr>
                <w:b/>
                <w:bCs/>
                <w:sz w:val="16"/>
                <w:szCs w:val="16"/>
              </w:rPr>
              <w:t>Referencia</w:t>
            </w:r>
          </w:p>
        </w:tc>
        <w:tc>
          <w:tcPr>
            <w:tcW w:w="816" w:type="pct"/>
            <w:gridSpan w:val="2"/>
            <w:tcBorders>
              <w:top w:val="single" w:sz="4" w:space="0" w:color="auto"/>
            </w:tcBorders>
            <w:shd w:val="clear" w:color="auto" w:fill="auto"/>
            <w:tcMar>
              <w:top w:w="110" w:type="dxa"/>
            </w:tcMar>
            <w:vAlign w:val="center"/>
          </w:tcPr>
          <w:p w:rsidR="00221F0B" w:rsidRPr="00F05098" w:rsidRDefault="00221F0B" w:rsidP="00DC1333">
            <w:pPr>
              <w:rPr>
                <w:b/>
                <w:color w:val="000000" w:themeColor="text1"/>
                <w:sz w:val="16"/>
                <w:szCs w:val="16"/>
              </w:rPr>
            </w:pPr>
            <w:r w:rsidRPr="00F05098">
              <w:rPr>
                <w:b/>
                <w:sz w:val="16"/>
                <w:szCs w:val="16"/>
              </w:rPr>
              <w:t>Objetivos</w:t>
            </w:r>
          </w:p>
        </w:tc>
        <w:tc>
          <w:tcPr>
            <w:tcW w:w="1457" w:type="pct"/>
            <w:tcBorders>
              <w:top w:val="single" w:sz="4" w:space="0" w:color="auto"/>
            </w:tcBorders>
            <w:shd w:val="clear" w:color="auto" w:fill="FFFFFF"/>
            <w:tcMar>
              <w:top w:w="110" w:type="dxa"/>
            </w:tcMar>
            <w:vAlign w:val="center"/>
          </w:tcPr>
          <w:p w:rsidR="00221F0B" w:rsidRPr="00F05098" w:rsidRDefault="00221F0B" w:rsidP="00DC1333">
            <w:pPr>
              <w:rPr>
                <w:color w:val="000000" w:themeColor="text1"/>
                <w:sz w:val="16"/>
                <w:szCs w:val="16"/>
              </w:rPr>
            </w:pPr>
            <w:r w:rsidRPr="00F05098">
              <w:rPr>
                <w:b/>
                <w:sz w:val="16"/>
                <w:szCs w:val="16"/>
              </w:rPr>
              <w:t>Datos sobre el rendimiento</w:t>
            </w:r>
          </w:p>
        </w:tc>
        <w:tc>
          <w:tcPr>
            <w:tcW w:w="614" w:type="pct"/>
            <w:tcBorders>
              <w:top w:val="single" w:sz="4" w:space="0" w:color="auto"/>
            </w:tcBorders>
            <w:shd w:val="clear" w:color="auto" w:fill="auto"/>
            <w:tcMar>
              <w:top w:w="110" w:type="dxa"/>
            </w:tcMar>
            <w:vAlign w:val="center"/>
          </w:tcPr>
          <w:p w:rsidR="00221F0B" w:rsidRPr="00F05098" w:rsidRDefault="00221F0B" w:rsidP="00DC1333">
            <w:pPr>
              <w:keepNext/>
              <w:keepLines/>
              <w:jc w:val="center"/>
              <w:rPr>
                <w:b/>
                <w:bCs/>
                <w:color w:val="000000" w:themeColor="text1"/>
                <w:sz w:val="16"/>
                <w:szCs w:val="16"/>
              </w:rPr>
            </w:pPr>
            <w:r w:rsidRPr="00F05098">
              <w:rPr>
                <w:b/>
                <w:bCs/>
                <w:sz w:val="16"/>
                <w:szCs w:val="16"/>
              </w:rPr>
              <w:t>Clave de colores</w:t>
            </w:r>
          </w:p>
        </w:tc>
      </w:tr>
      <w:tr w:rsidR="00221F0B" w:rsidRPr="00F05098" w:rsidTr="00DC1333">
        <w:trPr>
          <w:cantSplit/>
        </w:trPr>
        <w:tc>
          <w:tcPr>
            <w:tcW w:w="1118" w:type="pct"/>
            <w:gridSpan w:val="2"/>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Se refuerza la seguridad de la información para protegerse contra los ataques cada vez más frecuentes en Internet</w:t>
            </w:r>
          </w:p>
          <w:p w:rsidR="00221F0B" w:rsidRPr="00F05098" w:rsidRDefault="00221F0B" w:rsidP="00221F0B">
            <w:pPr>
              <w:ind w:leftChars="-11" w:left="-24"/>
              <w:rPr>
                <w:color w:val="000000" w:themeColor="text1"/>
                <w:sz w:val="16"/>
                <w:szCs w:val="16"/>
              </w:rPr>
            </w:pPr>
          </w:p>
          <w:p w:rsidR="00221F0B" w:rsidRPr="00F05098" w:rsidRDefault="00221F0B" w:rsidP="00221F0B">
            <w:pPr>
              <w:ind w:leftChars="-11" w:left="-24"/>
              <w:rPr>
                <w:color w:val="000000" w:themeColor="text1"/>
                <w:sz w:val="16"/>
                <w:szCs w:val="16"/>
              </w:rPr>
            </w:pPr>
            <w:r w:rsidRPr="00F05098">
              <w:rPr>
                <w:color w:val="000000" w:themeColor="text1"/>
                <w:sz w:val="16"/>
                <w:szCs w:val="16"/>
              </w:rPr>
              <w:t>Situación de la certificación con arreglo a la norma ISO 27001 de los procedimientos de gestión de riesgos para la seguridad de la información</w:t>
            </w:r>
          </w:p>
          <w:p w:rsidR="00221F0B" w:rsidRPr="00F05098" w:rsidRDefault="00221F0B" w:rsidP="00221F0B">
            <w:pPr>
              <w:ind w:leftChars="-11" w:left="-24"/>
              <w:rPr>
                <w:color w:val="000000" w:themeColor="text1"/>
                <w:sz w:val="16"/>
                <w:szCs w:val="16"/>
              </w:rPr>
            </w:pPr>
          </w:p>
        </w:tc>
        <w:tc>
          <w:tcPr>
            <w:tcW w:w="995" w:type="pct"/>
            <w:shd w:val="clear" w:color="auto" w:fill="auto"/>
          </w:tcPr>
          <w:p w:rsidR="00221F0B" w:rsidRPr="00F05098" w:rsidRDefault="00221F0B" w:rsidP="00DC1333">
            <w:pPr>
              <w:rPr>
                <w:color w:val="002060"/>
                <w:sz w:val="16"/>
                <w:szCs w:val="16"/>
              </w:rPr>
            </w:pPr>
            <w:r w:rsidRPr="00F05098">
              <w:rPr>
                <w:i/>
                <w:color w:val="002060"/>
                <w:sz w:val="16"/>
                <w:szCs w:val="16"/>
              </w:rPr>
              <w:t>Referencia actualizada a fines de 2013:</w:t>
            </w:r>
            <w:r w:rsidRPr="00F05098">
              <w:rPr>
                <w:color w:val="002060"/>
                <w:sz w:val="16"/>
                <w:szCs w:val="16"/>
              </w:rPr>
              <w:t xml:space="preserve"> </w:t>
            </w:r>
          </w:p>
          <w:p w:rsidR="00221F0B" w:rsidRPr="00F05098" w:rsidRDefault="00221F0B" w:rsidP="00221F0B">
            <w:pPr>
              <w:ind w:leftChars="-11" w:left="-24"/>
              <w:rPr>
                <w:color w:val="002060"/>
                <w:sz w:val="16"/>
                <w:szCs w:val="16"/>
              </w:rPr>
            </w:pPr>
            <w:r w:rsidRPr="00F05098">
              <w:rPr>
                <w:color w:val="002060"/>
                <w:sz w:val="16"/>
                <w:szCs w:val="16"/>
              </w:rPr>
              <w:t>156</w:t>
            </w:r>
            <w:r w:rsidRPr="00F05098">
              <w:t xml:space="preserve"> </w:t>
            </w:r>
            <w:r w:rsidRPr="00F05098">
              <w:rPr>
                <w:color w:val="002060"/>
                <w:sz w:val="16"/>
                <w:szCs w:val="16"/>
              </w:rPr>
              <w:t>actividades de mitigación de riesgos pendientes</w:t>
            </w:r>
          </w:p>
          <w:p w:rsidR="00221F0B" w:rsidRPr="00F05098" w:rsidRDefault="00221F0B" w:rsidP="00221F0B">
            <w:pPr>
              <w:ind w:leftChars="-11" w:left="-24"/>
              <w:rPr>
                <w:color w:val="002060"/>
                <w:sz w:val="16"/>
                <w:szCs w:val="16"/>
              </w:rPr>
            </w:pPr>
          </w:p>
          <w:p w:rsidR="00221F0B" w:rsidRPr="00F05098" w:rsidRDefault="00221F0B" w:rsidP="00221F0B">
            <w:pPr>
              <w:ind w:leftChars="-11" w:left="-24"/>
              <w:rPr>
                <w:color w:val="002060"/>
                <w:sz w:val="16"/>
                <w:szCs w:val="16"/>
              </w:rPr>
            </w:pPr>
            <w:r w:rsidRPr="00F05098">
              <w:rPr>
                <w:color w:val="002060"/>
                <w:sz w:val="16"/>
                <w:szCs w:val="16"/>
              </w:rPr>
              <w:t>El registro de riesgos relativo a la seguridad de la información se actualizó semestralmente, y se revisó a fondo en el marco de la certificación ISO 27001 de las operaciones del PCT</w:t>
            </w:r>
          </w:p>
          <w:p w:rsidR="00221F0B" w:rsidRPr="00F05098" w:rsidRDefault="00221F0B" w:rsidP="00221F0B">
            <w:pPr>
              <w:ind w:leftChars="-11" w:left="-24"/>
              <w:rPr>
                <w:color w:val="002060"/>
                <w:sz w:val="16"/>
                <w:szCs w:val="16"/>
              </w:rPr>
            </w:pPr>
          </w:p>
          <w:p w:rsidR="00221F0B" w:rsidRPr="00F05098" w:rsidRDefault="00221F0B" w:rsidP="00221F0B">
            <w:pPr>
              <w:ind w:leftChars="-11" w:left="-24"/>
              <w:rPr>
                <w:color w:val="002060"/>
                <w:sz w:val="16"/>
                <w:szCs w:val="16"/>
              </w:rPr>
            </w:pPr>
            <w:r w:rsidRPr="00F05098">
              <w:rPr>
                <w:color w:val="002060"/>
                <w:sz w:val="16"/>
                <w:szCs w:val="16"/>
              </w:rPr>
              <w:t>Certificación ISO 27001 del PCT:2005 (octubre de 2013);</w:t>
            </w:r>
          </w:p>
          <w:p w:rsidR="00221F0B" w:rsidRPr="00F05098" w:rsidRDefault="00221F0B" w:rsidP="00DC1333">
            <w:pPr>
              <w:rPr>
                <w:color w:val="000000" w:themeColor="text1"/>
                <w:sz w:val="16"/>
                <w:szCs w:val="16"/>
              </w:rPr>
            </w:pPr>
          </w:p>
          <w:p w:rsidR="00221F0B" w:rsidRPr="00F05098" w:rsidRDefault="00221F0B" w:rsidP="00221F0B">
            <w:pPr>
              <w:ind w:leftChars="-11" w:left="-24"/>
              <w:rPr>
                <w:color w:val="000000" w:themeColor="text1"/>
                <w:sz w:val="16"/>
                <w:szCs w:val="16"/>
              </w:rPr>
            </w:pPr>
            <w:r w:rsidRPr="00F05098">
              <w:rPr>
                <w:i/>
                <w:sz w:val="16"/>
                <w:szCs w:val="16"/>
              </w:rPr>
              <w:t xml:space="preserve">Referencia original en el presupuesto de 2014/15: </w:t>
            </w:r>
            <w:r w:rsidRPr="00F05098">
              <w:rPr>
                <w:sz w:val="16"/>
                <w:szCs w:val="16"/>
              </w:rPr>
              <w:t>Número de actividades de mitigación de riesgos pendientes al inicio del bienio;  certificación  de la Sección del PCT con arreglo a la norma ISO 27001</w:t>
            </w:r>
          </w:p>
        </w:tc>
        <w:tc>
          <w:tcPr>
            <w:tcW w:w="816" w:type="pct"/>
            <w:gridSpan w:val="2"/>
            <w:shd w:val="clear" w:color="auto" w:fill="auto"/>
            <w:tcMar>
              <w:top w:w="110" w:type="dxa"/>
            </w:tcMar>
          </w:tcPr>
          <w:p w:rsidR="00221F0B" w:rsidRPr="00F05098" w:rsidRDefault="00221F0B" w:rsidP="00221F0B">
            <w:pPr>
              <w:ind w:leftChars="14" w:left="31"/>
              <w:rPr>
                <w:color w:val="000000" w:themeColor="text1"/>
                <w:sz w:val="16"/>
                <w:szCs w:val="16"/>
              </w:rPr>
            </w:pPr>
            <w:r w:rsidRPr="00F05098">
              <w:rPr>
                <w:color w:val="000000" w:themeColor="text1"/>
                <w:sz w:val="16"/>
                <w:szCs w:val="16"/>
              </w:rPr>
              <w:t>No se han producido importantes violaciones de la seguridad en los sistemas de información de la OMPI</w:t>
            </w:r>
          </w:p>
          <w:p w:rsidR="00221F0B" w:rsidRPr="00F05098" w:rsidRDefault="00221F0B" w:rsidP="00DC1333">
            <w:pPr>
              <w:rPr>
                <w:color w:val="000000" w:themeColor="text1"/>
                <w:sz w:val="16"/>
                <w:szCs w:val="16"/>
              </w:rPr>
            </w:pPr>
          </w:p>
          <w:p w:rsidR="00221F0B" w:rsidRPr="00F05098" w:rsidRDefault="00221F0B" w:rsidP="00221F0B">
            <w:pPr>
              <w:ind w:leftChars="14" w:left="31"/>
              <w:rPr>
                <w:color w:val="000000" w:themeColor="text1"/>
                <w:sz w:val="16"/>
                <w:szCs w:val="16"/>
              </w:rPr>
            </w:pPr>
            <w:r w:rsidRPr="00F05098">
              <w:rPr>
                <w:sz w:val="16"/>
                <w:szCs w:val="16"/>
              </w:rPr>
              <w:t>El 90% de las actividades pendientes se resuelven durante el bienio;  el 60% de nuevos riesgos  se mitigan en un plazo de tres meses a partir del momento en que se señalan;  se obtiene la certificación de las dependencias de la Organización, según sea necesario;  se mantiene la certificación del PCT</w:t>
            </w:r>
          </w:p>
        </w:tc>
        <w:tc>
          <w:tcPr>
            <w:tcW w:w="1457" w:type="pct"/>
            <w:shd w:val="clear" w:color="auto" w:fill="FFFFFF"/>
            <w:tcMar>
              <w:top w:w="110" w:type="dxa"/>
            </w:tcMar>
          </w:tcPr>
          <w:p w:rsidR="00221F0B" w:rsidRPr="00F5205F" w:rsidRDefault="00221F0B" w:rsidP="00DC1333">
            <w:pPr>
              <w:rPr>
                <w:color w:val="000000" w:themeColor="text1"/>
                <w:sz w:val="16"/>
                <w:szCs w:val="16"/>
              </w:rPr>
            </w:pPr>
            <w:r w:rsidRPr="00F5205F">
              <w:rPr>
                <w:color w:val="000000" w:themeColor="text1"/>
                <w:sz w:val="16"/>
                <w:szCs w:val="16"/>
              </w:rPr>
              <w:t>No se han producido importantes violaciones de la seguridad en los sistemas de información de la OMPI durante el bienio 2014/15</w:t>
            </w:r>
          </w:p>
          <w:p w:rsidR="00221F0B" w:rsidRPr="00F5205F" w:rsidRDefault="00221F0B" w:rsidP="00DC1333">
            <w:pPr>
              <w:rPr>
                <w:color w:val="000000" w:themeColor="text1"/>
                <w:sz w:val="16"/>
                <w:szCs w:val="16"/>
              </w:rPr>
            </w:pPr>
          </w:p>
          <w:p w:rsidR="00221F0B" w:rsidRPr="00F5205F" w:rsidRDefault="00221F0B" w:rsidP="00DC1333">
            <w:pPr>
              <w:rPr>
                <w:color w:val="000000" w:themeColor="text1"/>
                <w:sz w:val="16"/>
                <w:szCs w:val="16"/>
              </w:rPr>
            </w:pPr>
            <w:r w:rsidRPr="00F5205F">
              <w:rPr>
                <w:color w:val="000000" w:themeColor="text1"/>
                <w:sz w:val="16"/>
                <w:szCs w:val="16"/>
              </w:rPr>
              <w:t xml:space="preserve">El 100% de los riesgos de referencia pendientes se mitigaron a fines del bienio: </w:t>
            </w:r>
          </w:p>
          <w:p w:rsidR="00221F0B" w:rsidRPr="00F5205F" w:rsidRDefault="00221F0B" w:rsidP="00EB45DE">
            <w:pPr>
              <w:pStyle w:val="ListParagraph"/>
              <w:numPr>
                <w:ilvl w:val="0"/>
                <w:numId w:val="111"/>
              </w:numPr>
              <w:rPr>
                <w:rFonts w:cs="Arial"/>
                <w:color w:val="000000" w:themeColor="text1"/>
                <w:sz w:val="16"/>
                <w:szCs w:val="16"/>
                <w:lang w:val="es-ES"/>
              </w:rPr>
            </w:pPr>
            <w:r w:rsidRPr="00F5205F">
              <w:rPr>
                <w:rFonts w:cs="Arial"/>
                <w:color w:val="000000" w:themeColor="text1"/>
                <w:sz w:val="16"/>
                <w:szCs w:val="16"/>
                <w:lang w:val="es-ES"/>
              </w:rPr>
              <w:t>2014:  89% de los 156 riesgos de referencia mitigados; 17 pendientes</w:t>
            </w:r>
          </w:p>
          <w:p w:rsidR="00221F0B" w:rsidRPr="00F5205F" w:rsidRDefault="00221F0B" w:rsidP="00EB45DE">
            <w:pPr>
              <w:pStyle w:val="ListParagraph"/>
              <w:numPr>
                <w:ilvl w:val="0"/>
                <w:numId w:val="111"/>
              </w:numPr>
              <w:rPr>
                <w:rFonts w:cs="Arial"/>
                <w:color w:val="000000" w:themeColor="text1"/>
                <w:sz w:val="16"/>
                <w:szCs w:val="16"/>
                <w:lang w:val="es-ES"/>
              </w:rPr>
            </w:pPr>
            <w:r w:rsidRPr="00F5205F">
              <w:rPr>
                <w:rFonts w:cs="Arial"/>
                <w:color w:val="000000" w:themeColor="text1"/>
                <w:sz w:val="16"/>
                <w:szCs w:val="16"/>
                <w:lang w:val="es-ES"/>
              </w:rPr>
              <w:t>2015: 100% de los 23 riesgos (incluidos 17 riesgos de referencia pendientes) mitigados</w:t>
            </w:r>
          </w:p>
          <w:p w:rsidR="00221F0B" w:rsidRPr="00F05098" w:rsidRDefault="00221F0B" w:rsidP="00DC1333">
            <w:pPr>
              <w:rPr>
                <w:color w:val="000000" w:themeColor="text1"/>
                <w:sz w:val="16"/>
                <w:szCs w:val="16"/>
                <w:highlight w:val="yellow"/>
              </w:rPr>
            </w:pPr>
          </w:p>
          <w:p w:rsidR="00221F0B" w:rsidRPr="00F5205F" w:rsidRDefault="00221F0B" w:rsidP="00DC1333">
            <w:pPr>
              <w:rPr>
                <w:sz w:val="16"/>
                <w:szCs w:val="16"/>
              </w:rPr>
            </w:pPr>
            <w:r w:rsidRPr="00F5205F">
              <w:rPr>
                <w:color w:val="000000" w:themeColor="text1"/>
                <w:sz w:val="16"/>
                <w:szCs w:val="16"/>
              </w:rPr>
              <w:t xml:space="preserve">En 2014/15, se detectaron </w:t>
            </w:r>
            <w:r w:rsidRPr="00F5205F">
              <w:rPr>
                <w:sz w:val="16"/>
                <w:szCs w:val="16"/>
              </w:rPr>
              <w:t xml:space="preserve">37 nuevos riesgos ISO27001, 25 de los cuales (67%) se subsanaron en un plazo de 3 meses a partir de su detección </w:t>
            </w:r>
          </w:p>
          <w:p w:rsidR="00221F0B" w:rsidRPr="00F5205F" w:rsidRDefault="00221F0B" w:rsidP="00EB45DE">
            <w:pPr>
              <w:pStyle w:val="ListParagraph"/>
              <w:numPr>
                <w:ilvl w:val="0"/>
                <w:numId w:val="112"/>
              </w:numPr>
              <w:rPr>
                <w:rFonts w:cs="Arial"/>
                <w:sz w:val="16"/>
                <w:szCs w:val="16"/>
                <w:lang w:val="es-ES"/>
              </w:rPr>
            </w:pPr>
            <w:r w:rsidRPr="00F5205F">
              <w:rPr>
                <w:rFonts w:cs="Arial"/>
                <w:sz w:val="16"/>
                <w:szCs w:val="16"/>
                <w:lang w:val="es-ES"/>
              </w:rPr>
              <w:t>8 de 12 (66%) en 2014</w:t>
            </w:r>
          </w:p>
          <w:p w:rsidR="00221F0B" w:rsidRPr="00F5205F" w:rsidRDefault="00221F0B" w:rsidP="00EB45DE">
            <w:pPr>
              <w:pStyle w:val="ListParagraph"/>
              <w:numPr>
                <w:ilvl w:val="0"/>
                <w:numId w:val="112"/>
              </w:numPr>
              <w:rPr>
                <w:rFonts w:cs="Arial"/>
                <w:sz w:val="16"/>
                <w:szCs w:val="16"/>
                <w:lang w:val="es-ES"/>
              </w:rPr>
            </w:pPr>
            <w:r w:rsidRPr="00F5205F">
              <w:rPr>
                <w:rFonts w:cs="Arial"/>
                <w:sz w:val="16"/>
                <w:szCs w:val="16"/>
                <w:lang w:val="es-ES"/>
              </w:rPr>
              <w:t>17 de 25 (68%) en 2015</w:t>
            </w:r>
          </w:p>
          <w:p w:rsidR="00221F0B" w:rsidRPr="00F05098" w:rsidRDefault="00221F0B" w:rsidP="00DC1333">
            <w:pPr>
              <w:ind w:left="173"/>
              <w:rPr>
                <w:color w:val="000000" w:themeColor="text1"/>
                <w:sz w:val="16"/>
                <w:szCs w:val="16"/>
                <w:highlight w:val="yellow"/>
              </w:rPr>
            </w:pPr>
          </w:p>
          <w:p w:rsidR="00221F0B" w:rsidRPr="002E74AA" w:rsidRDefault="00221F0B" w:rsidP="00DC1333">
            <w:pPr>
              <w:rPr>
                <w:color w:val="000000" w:themeColor="text1"/>
                <w:sz w:val="16"/>
                <w:szCs w:val="16"/>
              </w:rPr>
            </w:pPr>
            <w:r w:rsidRPr="002E74AA">
              <w:rPr>
                <w:color w:val="000000" w:themeColor="text1"/>
                <w:sz w:val="16"/>
                <w:szCs w:val="16"/>
              </w:rPr>
              <w:t xml:space="preserve">Se actualizó semestralmente el registro de riesgos </w:t>
            </w:r>
            <w:r>
              <w:rPr>
                <w:color w:val="000000" w:themeColor="text1"/>
                <w:sz w:val="16"/>
                <w:szCs w:val="16"/>
              </w:rPr>
              <w:t>relativos a la</w:t>
            </w:r>
            <w:r w:rsidRPr="002E74AA">
              <w:rPr>
                <w:color w:val="000000" w:themeColor="text1"/>
                <w:sz w:val="16"/>
                <w:szCs w:val="16"/>
              </w:rPr>
              <w:t xml:space="preserve"> seguridad de la información, y se amplió para dar cabida a los riesgos de información relativos a los sistemas de Madrid y de La Haya como parte del proceso de certificación; </w:t>
            </w:r>
          </w:p>
          <w:p w:rsidR="00221F0B" w:rsidRPr="00F05098" w:rsidRDefault="00221F0B" w:rsidP="00DC1333">
            <w:pPr>
              <w:rPr>
                <w:color w:val="000000" w:themeColor="text1"/>
                <w:sz w:val="16"/>
                <w:szCs w:val="16"/>
                <w:highlight w:val="yellow"/>
              </w:rPr>
            </w:pPr>
          </w:p>
          <w:p w:rsidR="00221F0B" w:rsidRPr="00F05098" w:rsidRDefault="00221F0B" w:rsidP="00DC1333">
            <w:pPr>
              <w:rPr>
                <w:color w:val="000000" w:themeColor="text1"/>
                <w:sz w:val="16"/>
                <w:szCs w:val="16"/>
              </w:rPr>
            </w:pPr>
          </w:p>
        </w:tc>
        <w:tc>
          <w:tcPr>
            <w:tcW w:w="614" w:type="pct"/>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Cs/>
                <w:color w:val="000000" w:themeColor="text1"/>
                <w:sz w:val="16"/>
                <w:szCs w:val="16"/>
              </w:rPr>
            </w:pPr>
          </w:p>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
                <w:bCs/>
                <w:color w:val="00B050"/>
                <w:sz w:val="16"/>
                <w:szCs w:val="16"/>
              </w:rPr>
            </w:pPr>
          </w:p>
          <w:p w:rsidR="00221F0B" w:rsidRPr="00F05098" w:rsidRDefault="00221F0B" w:rsidP="00DC1333">
            <w:pPr>
              <w:keepNext/>
              <w:keepLines/>
              <w:jc w:val="center"/>
              <w:rPr>
                <w:bCs/>
                <w:color w:val="000000" w:themeColor="text1"/>
                <w:sz w:val="16"/>
                <w:szCs w:val="16"/>
              </w:rPr>
            </w:pPr>
            <w:r w:rsidRPr="00F05098">
              <w:rPr>
                <w:b/>
                <w:bCs/>
                <w:color w:val="00B050"/>
                <w:sz w:val="16"/>
                <w:szCs w:val="16"/>
              </w:rPr>
              <w:t>Plenamente logrado</w:t>
            </w:r>
          </w:p>
        </w:tc>
      </w:tr>
      <w:tr w:rsidR="00221F0B" w:rsidRPr="00A0512D" w:rsidTr="00DC1333">
        <w:trPr>
          <w:cantSplit/>
        </w:trPr>
        <w:tc>
          <w:tcPr>
            <w:tcW w:w="1118" w:type="pct"/>
            <w:gridSpan w:val="2"/>
            <w:shd w:val="clear" w:color="auto" w:fill="auto"/>
          </w:tcPr>
          <w:p w:rsidR="00221F0B" w:rsidRPr="00F05098" w:rsidRDefault="00221F0B" w:rsidP="00221F0B">
            <w:pPr>
              <w:ind w:leftChars="-11" w:left="-24"/>
              <w:rPr>
                <w:color w:val="000000" w:themeColor="text1"/>
                <w:sz w:val="16"/>
                <w:szCs w:val="16"/>
              </w:rPr>
            </w:pPr>
          </w:p>
        </w:tc>
        <w:tc>
          <w:tcPr>
            <w:tcW w:w="995" w:type="pct"/>
            <w:shd w:val="clear" w:color="auto" w:fill="auto"/>
          </w:tcPr>
          <w:p w:rsidR="00221F0B" w:rsidRPr="00F05098" w:rsidRDefault="00221F0B" w:rsidP="00221F0B">
            <w:pPr>
              <w:ind w:leftChars="-11" w:left="-24"/>
              <w:rPr>
                <w:sz w:val="16"/>
                <w:szCs w:val="16"/>
              </w:rPr>
            </w:pPr>
          </w:p>
        </w:tc>
        <w:tc>
          <w:tcPr>
            <w:tcW w:w="816" w:type="pct"/>
            <w:gridSpan w:val="2"/>
            <w:shd w:val="clear" w:color="auto" w:fill="auto"/>
            <w:tcMar>
              <w:top w:w="110" w:type="dxa"/>
            </w:tcMar>
          </w:tcPr>
          <w:p w:rsidR="00221F0B" w:rsidRPr="00F05098" w:rsidRDefault="00221F0B" w:rsidP="00DC1333">
            <w:pPr>
              <w:rPr>
                <w:color w:val="000000" w:themeColor="text1"/>
                <w:sz w:val="16"/>
                <w:szCs w:val="16"/>
              </w:rPr>
            </w:pPr>
          </w:p>
        </w:tc>
        <w:tc>
          <w:tcPr>
            <w:tcW w:w="1457" w:type="pct"/>
            <w:shd w:val="clear" w:color="auto" w:fill="FFFFFF"/>
            <w:tcMar>
              <w:top w:w="110" w:type="dxa"/>
            </w:tcMar>
          </w:tcPr>
          <w:p w:rsidR="00221F0B" w:rsidRPr="00F05098" w:rsidRDefault="00221F0B" w:rsidP="00DC1333">
            <w:pPr>
              <w:rPr>
                <w:color w:val="000000" w:themeColor="text1"/>
                <w:sz w:val="16"/>
                <w:szCs w:val="16"/>
              </w:rPr>
            </w:pPr>
            <w:r w:rsidRPr="002E74AA">
              <w:rPr>
                <w:color w:val="000000" w:themeColor="text1"/>
                <w:sz w:val="16"/>
                <w:szCs w:val="16"/>
              </w:rPr>
              <w:t xml:space="preserve">La transición del PCT a la ISO 27001:2013 desde la ISO 27001:2005 se llevó a cabo satisfactoriamente.  La certificación fue renovada en octubre de 2015, </w:t>
            </w:r>
            <w:r>
              <w:rPr>
                <w:color w:val="000000" w:themeColor="text1"/>
                <w:sz w:val="16"/>
                <w:szCs w:val="16"/>
              </w:rPr>
              <w:t>y se amplió su</w:t>
            </w:r>
            <w:r w:rsidRPr="002E74AA">
              <w:rPr>
                <w:color w:val="000000" w:themeColor="text1"/>
                <w:sz w:val="16"/>
                <w:szCs w:val="16"/>
              </w:rPr>
              <w:t xml:space="preserve"> alcance para dar cabida a los sistemas de Madrid y de La Haya en octubre de 2015.</w:t>
            </w:r>
          </w:p>
        </w:tc>
        <w:tc>
          <w:tcPr>
            <w:tcW w:w="614" w:type="pct"/>
            <w:shd w:val="clear" w:color="auto" w:fill="auto"/>
            <w:tcMar>
              <w:top w:w="110" w:type="dxa"/>
            </w:tcMar>
          </w:tcPr>
          <w:p w:rsidR="00221F0B" w:rsidRPr="00F05098" w:rsidRDefault="00221F0B" w:rsidP="00DC1333">
            <w:pPr>
              <w:keepNext/>
              <w:keepLines/>
              <w:jc w:val="center"/>
              <w:rPr>
                <w:b/>
                <w:bCs/>
                <w:color w:val="00B050"/>
                <w:sz w:val="16"/>
                <w:szCs w:val="16"/>
              </w:rPr>
            </w:pPr>
          </w:p>
        </w:tc>
      </w:tr>
      <w:tr w:rsidR="00221F0B" w:rsidRPr="00F05098" w:rsidTr="00DC1333">
        <w:trPr>
          <w:cantSplit/>
        </w:trPr>
        <w:tc>
          <w:tcPr>
            <w:tcW w:w="1118" w:type="pct"/>
            <w:gridSpan w:val="2"/>
            <w:shd w:val="clear" w:color="auto" w:fill="auto"/>
          </w:tcPr>
          <w:p w:rsidR="00221F0B" w:rsidRPr="00F05098" w:rsidRDefault="00221F0B" w:rsidP="00221F0B">
            <w:pPr>
              <w:ind w:leftChars="-11" w:left="-24"/>
              <w:rPr>
                <w:color w:val="000000" w:themeColor="text1"/>
                <w:sz w:val="16"/>
                <w:szCs w:val="16"/>
              </w:rPr>
            </w:pPr>
            <w:r w:rsidRPr="00F05098">
              <w:rPr>
                <w:color w:val="000000" w:themeColor="text1"/>
                <w:sz w:val="16"/>
                <w:szCs w:val="16"/>
              </w:rPr>
              <w:t>Eficacia de los controles de seguridad de la información (a nivel interno y externo)</w:t>
            </w:r>
          </w:p>
        </w:tc>
        <w:tc>
          <w:tcPr>
            <w:tcW w:w="995" w:type="pct"/>
            <w:shd w:val="clear" w:color="auto" w:fill="auto"/>
          </w:tcPr>
          <w:p w:rsidR="00221F0B" w:rsidRPr="00F05098" w:rsidRDefault="00221F0B" w:rsidP="00221F0B">
            <w:pPr>
              <w:ind w:leftChars="-11" w:left="-24"/>
              <w:rPr>
                <w:sz w:val="16"/>
                <w:szCs w:val="16"/>
              </w:rPr>
            </w:pPr>
            <w:r w:rsidRPr="00F05098">
              <w:rPr>
                <w:sz w:val="16"/>
                <w:szCs w:val="16"/>
              </w:rPr>
              <w:t>5 incidentes o menos por año</w:t>
            </w:r>
          </w:p>
          <w:p w:rsidR="00221F0B" w:rsidRPr="00F05098" w:rsidRDefault="00221F0B" w:rsidP="00221F0B">
            <w:pPr>
              <w:ind w:leftChars="-11" w:left="-24"/>
              <w:rPr>
                <w:color w:val="000000" w:themeColor="text1"/>
                <w:sz w:val="16"/>
                <w:szCs w:val="16"/>
              </w:rPr>
            </w:pPr>
          </w:p>
        </w:tc>
        <w:tc>
          <w:tcPr>
            <w:tcW w:w="816" w:type="pct"/>
            <w:gridSpan w:val="2"/>
            <w:shd w:val="clear" w:color="auto" w:fill="auto"/>
            <w:tcMar>
              <w:top w:w="110" w:type="dxa"/>
            </w:tcMar>
          </w:tcPr>
          <w:p w:rsidR="00221F0B" w:rsidRPr="00F05098" w:rsidRDefault="00221F0B" w:rsidP="00DC1333">
            <w:pPr>
              <w:rPr>
                <w:color w:val="000000" w:themeColor="text1"/>
                <w:sz w:val="16"/>
                <w:szCs w:val="16"/>
              </w:rPr>
            </w:pPr>
            <w:r w:rsidRPr="00F05098">
              <w:rPr>
                <w:color w:val="000000" w:themeColor="text1"/>
                <w:sz w:val="16"/>
                <w:szCs w:val="16"/>
              </w:rPr>
              <w:t>2 incidentes o menos por año</w:t>
            </w: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p>
          <w:p w:rsidR="00221F0B" w:rsidRPr="00F05098" w:rsidRDefault="00221F0B" w:rsidP="00221F0B">
            <w:pPr>
              <w:ind w:leftChars="-11" w:left="-24"/>
              <w:rPr>
                <w:color w:val="000000" w:themeColor="text1"/>
                <w:sz w:val="16"/>
                <w:szCs w:val="16"/>
              </w:rPr>
            </w:pPr>
          </w:p>
          <w:p w:rsidR="00221F0B" w:rsidRPr="00F05098" w:rsidRDefault="00221F0B" w:rsidP="00221F0B">
            <w:pPr>
              <w:ind w:leftChars="-11" w:left="-24"/>
              <w:rPr>
                <w:color w:val="000000" w:themeColor="text1"/>
                <w:sz w:val="16"/>
                <w:szCs w:val="16"/>
              </w:rPr>
            </w:pPr>
          </w:p>
          <w:p w:rsidR="00221F0B" w:rsidRPr="00F05098" w:rsidRDefault="00221F0B" w:rsidP="00DC1333">
            <w:pPr>
              <w:rPr>
                <w:color w:val="000000" w:themeColor="text1"/>
                <w:sz w:val="16"/>
                <w:szCs w:val="16"/>
              </w:rPr>
            </w:pPr>
          </w:p>
        </w:tc>
        <w:tc>
          <w:tcPr>
            <w:tcW w:w="1457" w:type="pct"/>
            <w:shd w:val="clear" w:color="auto" w:fill="FFFFFF"/>
            <w:tcMar>
              <w:top w:w="110" w:type="dxa"/>
            </w:tcMar>
          </w:tcPr>
          <w:p w:rsidR="00221F0B" w:rsidRPr="00F05098" w:rsidRDefault="00221F0B" w:rsidP="00DC1333">
            <w:pPr>
              <w:rPr>
                <w:color w:val="000000" w:themeColor="text1"/>
                <w:sz w:val="16"/>
                <w:szCs w:val="16"/>
              </w:rPr>
            </w:pPr>
            <w:r w:rsidRPr="00F05098">
              <w:rPr>
                <w:color w:val="000000" w:themeColor="text1"/>
                <w:sz w:val="16"/>
                <w:szCs w:val="16"/>
              </w:rPr>
              <w:t xml:space="preserve">1 incidente importante por año en el bienio </w:t>
            </w:r>
          </w:p>
          <w:p w:rsidR="00221F0B" w:rsidRPr="00F05098" w:rsidRDefault="00221F0B" w:rsidP="00DC1333">
            <w:pPr>
              <w:rPr>
                <w:color w:val="000000" w:themeColor="text1"/>
                <w:sz w:val="16"/>
                <w:szCs w:val="16"/>
              </w:rPr>
            </w:pPr>
          </w:p>
          <w:p w:rsidR="00221F0B" w:rsidRPr="00F05098" w:rsidRDefault="00221F0B" w:rsidP="00DC1333">
            <w:pPr>
              <w:rPr>
                <w:color w:val="000000" w:themeColor="text1"/>
                <w:sz w:val="16"/>
                <w:szCs w:val="16"/>
              </w:rPr>
            </w:pPr>
            <w:r>
              <w:rPr>
                <w:color w:val="000000" w:themeColor="text1"/>
                <w:sz w:val="16"/>
                <w:szCs w:val="16"/>
              </w:rPr>
              <w:t>Los incidentes se trataron y se resolvieron en un plazo de tiempo aceptable, de conformidad con la Política de gestión de incidentes en materia de seguridad de la información.</w:t>
            </w:r>
          </w:p>
        </w:tc>
        <w:tc>
          <w:tcPr>
            <w:tcW w:w="614" w:type="pct"/>
            <w:shd w:val="clear" w:color="auto" w:fill="auto"/>
            <w:tcMar>
              <w:top w:w="110" w:type="dxa"/>
            </w:tcMar>
          </w:tcPr>
          <w:p w:rsidR="00221F0B" w:rsidRPr="00F05098" w:rsidRDefault="00221F0B" w:rsidP="00DC1333">
            <w:pPr>
              <w:keepNext/>
              <w:keepLines/>
              <w:jc w:val="center"/>
              <w:rPr>
                <w:b/>
                <w:bCs/>
                <w:color w:val="00B050"/>
                <w:sz w:val="16"/>
                <w:szCs w:val="16"/>
              </w:rPr>
            </w:pPr>
            <w:r w:rsidRPr="00F05098">
              <w:rPr>
                <w:b/>
                <w:bCs/>
                <w:color w:val="00B050"/>
                <w:sz w:val="16"/>
                <w:szCs w:val="16"/>
              </w:rPr>
              <w:t>Plenamente logrado</w:t>
            </w:r>
          </w:p>
          <w:p w:rsidR="00221F0B" w:rsidRPr="00F05098" w:rsidRDefault="00221F0B" w:rsidP="00DC1333">
            <w:pPr>
              <w:keepNext/>
              <w:keepLines/>
              <w:jc w:val="center"/>
              <w:rPr>
                <w:bCs/>
                <w:color w:val="000000" w:themeColor="text1"/>
                <w:sz w:val="16"/>
                <w:szCs w:val="16"/>
              </w:rPr>
            </w:pPr>
          </w:p>
        </w:tc>
      </w:tr>
    </w:tbl>
    <w:p w:rsidR="00221F0B" w:rsidRPr="00F05098" w:rsidRDefault="00221F0B" w:rsidP="00DC1333">
      <w:pPr>
        <w:rPr>
          <w:bCs/>
          <w:szCs w:val="22"/>
        </w:rPr>
      </w:pPr>
    </w:p>
    <w:p w:rsidR="00221F0B" w:rsidRPr="00F05098" w:rsidRDefault="00221F0B" w:rsidP="00DC1333">
      <w:pPr>
        <w:rPr>
          <w:bCs/>
          <w:szCs w:val="22"/>
        </w:rPr>
      </w:pPr>
    </w:p>
    <w:p w:rsidR="00221F0B" w:rsidRPr="00F05098" w:rsidRDefault="008F7CBE" w:rsidP="00DC1333">
      <w:pPr>
        <w:rPr>
          <w:color w:val="000000"/>
          <w:szCs w:val="22"/>
        </w:rPr>
      </w:pPr>
      <w:r w:rsidRPr="008F7CBE">
        <w:rPr>
          <w:color w:val="000000"/>
          <w:sz w:val="20"/>
          <w:szCs w:val="22"/>
        </w:rPr>
        <w:t>INFORMACIÓN SOBRE LOS RIESGOS PLANTEADOS EN EL BIENIO</w:t>
      </w:r>
    </w:p>
    <w:p w:rsidR="00221F0B" w:rsidRPr="00F05098" w:rsidRDefault="00221F0B" w:rsidP="00DC1333"/>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4"/>
        <w:gridCol w:w="2063"/>
        <w:gridCol w:w="2551"/>
        <w:gridCol w:w="2268"/>
      </w:tblGrid>
      <w:tr w:rsidR="00221F0B" w:rsidRPr="00A0512D" w:rsidTr="00DC1333">
        <w:trPr>
          <w:trHeight w:val="380"/>
          <w:tblHeader/>
        </w:trPr>
        <w:tc>
          <w:tcPr>
            <w:tcW w:w="2474"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F05098" w:rsidRDefault="00221F0B" w:rsidP="00DC1333">
            <w:pPr>
              <w:autoSpaceDE w:val="0"/>
              <w:autoSpaceDN w:val="0"/>
              <w:adjustRightInd w:val="0"/>
              <w:ind w:right="-59"/>
              <w:jc w:val="center"/>
              <w:rPr>
                <w:b/>
                <w:iCs/>
                <w:sz w:val="18"/>
                <w:szCs w:val="18"/>
              </w:rPr>
            </w:pPr>
            <w:r w:rsidRPr="00F05098">
              <w:rPr>
                <w:b/>
                <w:iCs/>
                <w:sz w:val="18"/>
                <w:szCs w:val="18"/>
              </w:rPr>
              <w:t>Riesgos en el logro de los resultados del programa</w:t>
            </w:r>
          </w:p>
        </w:tc>
        <w:tc>
          <w:tcPr>
            <w:tcW w:w="2063"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F05098" w:rsidRDefault="00221F0B" w:rsidP="00DC1333">
            <w:pPr>
              <w:autoSpaceDE w:val="0"/>
              <w:autoSpaceDN w:val="0"/>
              <w:adjustRightInd w:val="0"/>
              <w:ind w:right="-59"/>
              <w:jc w:val="center"/>
              <w:rPr>
                <w:b/>
                <w:iCs/>
                <w:sz w:val="18"/>
                <w:szCs w:val="18"/>
              </w:rPr>
            </w:pPr>
            <w:r w:rsidRPr="00F05098">
              <w:rPr>
                <w:b/>
                <w:iCs/>
                <w:sz w:val="18"/>
                <w:szCs w:val="18"/>
              </w:rPr>
              <w:t>Planes de mitigación ejecutados o en ejecución</w:t>
            </w:r>
          </w:p>
        </w:tc>
        <w:tc>
          <w:tcPr>
            <w:tcW w:w="2551" w:type="dxa"/>
            <w:tcBorders>
              <w:top w:val="single" w:sz="4" w:space="0" w:color="auto"/>
              <w:bottom w:val="single" w:sz="4" w:space="0" w:color="auto"/>
            </w:tcBorders>
            <w:shd w:val="clear" w:color="auto" w:fill="C6D9F1" w:themeFill="text2" w:themeFillTint="33"/>
          </w:tcPr>
          <w:p w:rsidR="00221F0B" w:rsidRPr="00F05098" w:rsidRDefault="00221F0B" w:rsidP="00DC1333">
            <w:pPr>
              <w:jc w:val="center"/>
              <w:rPr>
                <w:b/>
                <w:bCs/>
                <w:sz w:val="18"/>
                <w:szCs w:val="18"/>
              </w:rPr>
            </w:pPr>
            <w:r w:rsidRPr="00F05098">
              <w:rPr>
                <w:b/>
                <w:bCs/>
                <w:sz w:val="18"/>
                <w:szCs w:val="18"/>
              </w:rPr>
              <w:t>Evolución de los riesgos y estrategias de mitigación durante el bienio</w:t>
            </w:r>
          </w:p>
        </w:tc>
        <w:tc>
          <w:tcPr>
            <w:tcW w:w="2268" w:type="dxa"/>
            <w:tcBorders>
              <w:top w:val="single" w:sz="4" w:space="0" w:color="auto"/>
              <w:bottom w:val="single" w:sz="4" w:space="0" w:color="auto"/>
            </w:tcBorders>
            <w:shd w:val="clear" w:color="auto" w:fill="C6D9F1" w:themeFill="text2" w:themeFillTint="33"/>
          </w:tcPr>
          <w:p w:rsidR="00221F0B" w:rsidRPr="00F05098" w:rsidRDefault="00221F0B" w:rsidP="00DC1333">
            <w:pPr>
              <w:jc w:val="center"/>
              <w:rPr>
                <w:b/>
                <w:bCs/>
                <w:sz w:val="18"/>
                <w:szCs w:val="18"/>
              </w:rPr>
            </w:pPr>
            <w:r w:rsidRPr="00F05098">
              <w:rPr>
                <w:b/>
                <w:bCs/>
                <w:sz w:val="18"/>
                <w:szCs w:val="18"/>
              </w:rPr>
              <w:t>Incidencia en el rendimiento del programa</w:t>
            </w:r>
          </w:p>
        </w:tc>
      </w:tr>
      <w:tr w:rsidR="00221F0B" w:rsidRPr="00A0512D" w:rsidTr="00DC1333">
        <w:trPr>
          <w:trHeight w:val="985"/>
        </w:trPr>
        <w:tc>
          <w:tcPr>
            <w:tcW w:w="2474" w:type="dxa"/>
            <w:tcBorders>
              <w:top w:val="single" w:sz="4" w:space="0" w:color="auto"/>
            </w:tcBorders>
            <w:shd w:val="clear" w:color="auto" w:fill="auto"/>
            <w:tcMar>
              <w:top w:w="113" w:type="dxa"/>
              <w:bottom w:w="85" w:type="dxa"/>
            </w:tcMar>
          </w:tcPr>
          <w:p w:rsidR="00221F0B" w:rsidRPr="00F05098" w:rsidRDefault="00221F0B" w:rsidP="00DC1333">
            <w:pPr>
              <w:autoSpaceDE w:val="0"/>
              <w:autoSpaceDN w:val="0"/>
              <w:adjustRightInd w:val="0"/>
              <w:ind w:right="-59"/>
              <w:rPr>
                <w:sz w:val="16"/>
                <w:szCs w:val="16"/>
              </w:rPr>
            </w:pPr>
            <w:r w:rsidRPr="00F05098">
              <w:rPr>
                <w:sz w:val="16"/>
                <w:szCs w:val="16"/>
              </w:rPr>
              <w:t>Si el Sistema del PCT y los sistemas de información conexos experimentan un nivel inaceptable de interrupciones, no se podrían aceptar las solicitudes PCT presentadas y, en consecuencia, se producirían efectos negativos en la tramitación y publicación de dichas solicitudes.  La reputación se vería afectada negativamente.</w:t>
            </w:r>
          </w:p>
        </w:tc>
        <w:tc>
          <w:tcPr>
            <w:tcW w:w="2063" w:type="dxa"/>
            <w:tcBorders>
              <w:top w:val="single" w:sz="4" w:space="0" w:color="auto"/>
            </w:tcBorders>
            <w:shd w:val="clear" w:color="auto" w:fill="auto"/>
            <w:tcMar>
              <w:top w:w="113" w:type="dxa"/>
              <w:bottom w:w="85" w:type="dxa"/>
            </w:tcMar>
          </w:tcPr>
          <w:p w:rsidR="00221F0B" w:rsidRPr="00F05098" w:rsidRDefault="00221F0B" w:rsidP="00DC1333">
            <w:pPr>
              <w:autoSpaceDE w:val="0"/>
              <w:autoSpaceDN w:val="0"/>
              <w:adjustRightInd w:val="0"/>
              <w:ind w:right="-59"/>
              <w:rPr>
                <w:sz w:val="16"/>
                <w:szCs w:val="16"/>
              </w:rPr>
            </w:pPr>
            <w:r w:rsidRPr="00F05098">
              <w:rPr>
                <w:sz w:val="16"/>
                <w:szCs w:val="16"/>
              </w:rPr>
              <w:t>Establecer infraestructura complementaria en distintos lugares y seguir desarrollando y perfeccionando el plan de continuidad de las actividades.</w:t>
            </w:r>
          </w:p>
        </w:tc>
        <w:tc>
          <w:tcPr>
            <w:tcW w:w="2551" w:type="dxa"/>
            <w:tcBorders>
              <w:top w:val="single" w:sz="4" w:space="0" w:color="auto"/>
            </w:tcBorders>
          </w:tcPr>
          <w:p w:rsidR="00221F0B" w:rsidRPr="00601E2C" w:rsidRDefault="00221F0B" w:rsidP="00DC1333">
            <w:pPr>
              <w:autoSpaceDE w:val="0"/>
              <w:autoSpaceDN w:val="0"/>
              <w:adjustRightInd w:val="0"/>
              <w:ind w:right="-59"/>
              <w:rPr>
                <w:sz w:val="16"/>
                <w:szCs w:val="16"/>
              </w:rPr>
            </w:pPr>
            <w:r w:rsidRPr="00601E2C">
              <w:rPr>
                <w:color w:val="000000" w:themeColor="text1"/>
                <w:sz w:val="16"/>
                <w:szCs w:val="16"/>
              </w:rPr>
              <w:t xml:space="preserve">Se estableció </w:t>
            </w:r>
            <w:r>
              <w:rPr>
                <w:color w:val="000000" w:themeColor="text1"/>
                <w:sz w:val="16"/>
                <w:szCs w:val="16"/>
              </w:rPr>
              <w:t>infraestructura complementaria de TIC en dos lugares distintos, permitiendo al PCT continuar las operaciones aun en el caso de que resultaran afectados los edificios principales de la OMPI y su centro de datos.</w:t>
            </w:r>
          </w:p>
        </w:tc>
        <w:tc>
          <w:tcPr>
            <w:tcW w:w="2268" w:type="dxa"/>
            <w:tcBorders>
              <w:top w:val="single" w:sz="4" w:space="0" w:color="auto"/>
            </w:tcBorders>
          </w:tcPr>
          <w:p w:rsidR="00221F0B" w:rsidRPr="00F05098" w:rsidRDefault="00221F0B" w:rsidP="00DC1333">
            <w:pPr>
              <w:autoSpaceDE w:val="0"/>
              <w:autoSpaceDN w:val="0"/>
              <w:adjustRightInd w:val="0"/>
              <w:ind w:right="-59"/>
              <w:rPr>
                <w:sz w:val="16"/>
                <w:szCs w:val="16"/>
              </w:rPr>
            </w:pPr>
            <w:r w:rsidRPr="00F05098">
              <w:rPr>
                <w:sz w:val="16"/>
                <w:szCs w:val="16"/>
              </w:rPr>
              <w:t>Este riesgo y su evolución no tuvieron una incidencia sustancial en el rendimiento del programa en 2014/15.</w:t>
            </w:r>
          </w:p>
        </w:tc>
      </w:tr>
      <w:tr w:rsidR="00221F0B" w:rsidRPr="00A0512D" w:rsidTr="00DC1333">
        <w:trPr>
          <w:trHeight w:val="1060"/>
        </w:trPr>
        <w:tc>
          <w:tcPr>
            <w:tcW w:w="2474" w:type="dxa"/>
            <w:shd w:val="clear" w:color="auto" w:fill="auto"/>
            <w:tcMar>
              <w:top w:w="113" w:type="dxa"/>
              <w:bottom w:w="85" w:type="dxa"/>
            </w:tcMar>
          </w:tcPr>
          <w:p w:rsidR="00221F0B" w:rsidRPr="00F05098" w:rsidRDefault="00221F0B" w:rsidP="00DC1333">
            <w:pPr>
              <w:autoSpaceDE w:val="0"/>
              <w:autoSpaceDN w:val="0"/>
              <w:adjustRightInd w:val="0"/>
              <w:ind w:right="-59"/>
              <w:rPr>
                <w:sz w:val="16"/>
                <w:szCs w:val="16"/>
              </w:rPr>
            </w:pPr>
            <w:r w:rsidRPr="00F05098">
              <w:rPr>
                <w:sz w:val="16"/>
                <w:szCs w:val="16"/>
              </w:rPr>
              <w:t>Los ciberataques contra los sistemas de información de la OMPI pondrían en peligro la seguridad de dichos sistemas, con el riesgo de que se expusiera información confidencial de manera intencional o accidental.  Se verían seriamente afectadas la reputación y las actividades de la OMPI.</w:t>
            </w:r>
          </w:p>
        </w:tc>
        <w:tc>
          <w:tcPr>
            <w:tcW w:w="2063" w:type="dxa"/>
            <w:shd w:val="clear" w:color="auto" w:fill="auto"/>
            <w:tcMar>
              <w:top w:w="113" w:type="dxa"/>
              <w:bottom w:w="85" w:type="dxa"/>
            </w:tcMar>
          </w:tcPr>
          <w:p w:rsidR="00221F0B" w:rsidRPr="00F05098" w:rsidRDefault="00221F0B" w:rsidP="00DC1333">
            <w:pPr>
              <w:autoSpaceDE w:val="0"/>
              <w:autoSpaceDN w:val="0"/>
              <w:adjustRightInd w:val="0"/>
              <w:ind w:right="-59"/>
              <w:rPr>
                <w:sz w:val="16"/>
                <w:szCs w:val="16"/>
              </w:rPr>
            </w:pPr>
            <w:r w:rsidRPr="00F05098">
              <w:rPr>
                <w:sz w:val="16"/>
                <w:szCs w:val="16"/>
              </w:rPr>
              <w:t>Separación del contenido y las aplicaciones informáticas de la OMPI en Internet en función de los requisitos de confidencialidad y los usos previstos; introducción de una infraestructura de T.I. independiente y las consiguientes medidas de seguridad.  Alto nivel de actividad en el ámbito de la seguridad de las T.I.</w:t>
            </w:r>
          </w:p>
        </w:tc>
        <w:tc>
          <w:tcPr>
            <w:tcW w:w="2551" w:type="dxa"/>
          </w:tcPr>
          <w:p w:rsidR="00221F0B" w:rsidRPr="00F05098" w:rsidRDefault="00221F0B" w:rsidP="00DC1333">
            <w:pPr>
              <w:autoSpaceDE w:val="0"/>
              <w:autoSpaceDN w:val="0"/>
              <w:adjustRightInd w:val="0"/>
              <w:ind w:right="-59"/>
              <w:rPr>
                <w:color w:val="000000" w:themeColor="text1"/>
                <w:sz w:val="16"/>
                <w:szCs w:val="16"/>
                <w:highlight w:val="yellow"/>
              </w:rPr>
            </w:pPr>
            <w:r w:rsidRPr="000E7C8C">
              <w:rPr>
                <w:color w:val="000000" w:themeColor="text1"/>
                <w:sz w:val="16"/>
                <w:szCs w:val="16"/>
              </w:rPr>
              <w:t xml:space="preserve">La OMPI siguió sufriendo ciberataques oportunistas y programados de varios actores amenazantes empeñados en violar la seguridad y sustraer la información de la OMPI.  En 2014/15 se pusieron en marcha varios controles técnicos y de procedimiento para garantizar la capacidad de </w:t>
            </w:r>
            <w:r>
              <w:rPr>
                <w:color w:val="000000" w:themeColor="text1"/>
                <w:sz w:val="16"/>
                <w:szCs w:val="16"/>
              </w:rPr>
              <w:t>reacción y recuperación</w:t>
            </w:r>
            <w:r w:rsidRPr="000E7C8C">
              <w:rPr>
                <w:color w:val="000000" w:themeColor="text1"/>
                <w:sz w:val="16"/>
                <w:szCs w:val="16"/>
              </w:rPr>
              <w:t xml:space="preserve"> a</w:t>
            </w:r>
            <w:r>
              <w:rPr>
                <w:color w:val="000000" w:themeColor="text1"/>
                <w:sz w:val="16"/>
                <w:szCs w:val="16"/>
              </w:rPr>
              <w:t>nte</w:t>
            </w:r>
            <w:r w:rsidRPr="000E7C8C">
              <w:rPr>
                <w:color w:val="000000" w:themeColor="text1"/>
                <w:sz w:val="16"/>
                <w:szCs w:val="16"/>
              </w:rPr>
              <w:t xml:space="preserve"> los ciberataques </w:t>
            </w:r>
            <w:r>
              <w:rPr>
                <w:color w:val="000000" w:themeColor="text1"/>
                <w:sz w:val="16"/>
                <w:szCs w:val="16"/>
              </w:rPr>
              <w:t>que tienen</w:t>
            </w:r>
            <w:r w:rsidRPr="000E7C8C">
              <w:rPr>
                <w:color w:val="000000" w:themeColor="text1"/>
                <w:sz w:val="16"/>
                <w:szCs w:val="16"/>
              </w:rPr>
              <w:t xml:space="preserve"> los sistemas de información de la OMPI.</w:t>
            </w:r>
            <w:r>
              <w:rPr>
                <w:color w:val="000000" w:themeColor="text1"/>
                <w:sz w:val="16"/>
                <w:szCs w:val="16"/>
              </w:rPr>
              <w:t xml:space="preserve">  La implementación gradual de la estrategia de aseguramiento de la información adaptada a cada caso permitirá a la OMPI seguir fortaleciendo sus dispositivos de seguridad de la información y la capacidad institucional de reacción y recuperación en </w:t>
            </w:r>
            <w:r w:rsidRPr="000E7C8C">
              <w:rPr>
                <w:color w:val="000000" w:themeColor="text1"/>
                <w:sz w:val="16"/>
                <w:szCs w:val="16"/>
              </w:rPr>
              <w:t>los ámbitos de la gobernanza de la seguridad de la información, las personas, los procesos y la tecnología.</w:t>
            </w:r>
          </w:p>
        </w:tc>
        <w:tc>
          <w:tcPr>
            <w:tcW w:w="2268" w:type="dxa"/>
          </w:tcPr>
          <w:p w:rsidR="00221F0B" w:rsidRPr="00601E2C" w:rsidRDefault="00221F0B" w:rsidP="00DC1333">
            <w:pPr>
              <w:autoSpaceDE w:val="0"/>
              <w:autoSpaceDN w:val="0"/>
              <w:adjustRightInd w:val="0"/>
              <w:ind w:right="-59"/>
              <w:rPr>
                <w:color w:val="000000" w:themeColor="text1"/>
                <w:sz w:val="16"/>
                <w:szCs w:val="16"/>
              </w:rPr>
            </w:pPr>
            <w:r>
              <w:rPr>
                <w:sz w:val="16"/>
                <w:szCs w:val="16"/>
              </w:rPr>
              <w:t>Los planes de trabajo y registro de riesgos de 2014 y 2015 tuvieron en cuenta suficientemente la incidencia de los riesgos durante el período objeto de examen;  no hubo una incidencia sustancial en el rendimiento del programa en 2015.</w:t>
            </w:r>
          </w:p>
        </w:tc>
      </w:tr>
    </w:tbl>
    <w:p w:rsidR="00221F0B" w:rsidRPr="00F05098" w:rsidRDefault="00221F0B" w:rsidP="00DC1333">
      <w:pPr>
        <w:rPr>
          <w:color w:val="000000"/>
          <w:szCs w:val="22"/>
        </w:rPr>
      </w:pPr>
    </w:p>
    <w:p w:rsidR="00221F0B" w:rsidRPr="00F05098" w:rsidRDefault="00221F0B" w:rsidP="00DC1333">
      <w:pPr>
        <w:rPr>
          <w:color w:val="000000"/>
          <w:szCs w:val="22"/>
        </w:rPr>
      </w:pPr>
    </w:p>
    <w:p w:rsidR="00221F0B" w:rsidRPr="00F05098" w:rsidRDefault="00403D2C" w:rsidP="00DC1333">
      <w:pPr>
        <w:pStyle w:val="ListParagraph"/>
        <w:keepNext/>
        <w:ind w:left="0"/>
        <w:rPr>
          <w:b/>
          <w:sz w:val="18"/>
          <w:szCs w:val="18"/>
          <w:lang w:val="es-ES"/>
        </w:rPr>
      </w:pPr>
      <w:r w:rsidRPr="00403D2C">
        <w:rPr>
          <w:szCs w:val="22"/>
          <w:lang w:val="es-ES"/>
        </w:rPr>
        <w:lastRenderedPageBreak/>
        <w:t>UTILIZACIÓN DE LOS RECURSOS</w:t>
      </w:r>
    </w:p>
    <w:p w:rsidR="00221F0B" w:rsidRPr="00F05098" w:rsidRDefault="00221F0B" w:rsidP="00DC1333">
      <w:pPr>
        <w:pStyle w:val="ListParagraph"/>
        <w:keepNext/>
        <w:ind w:left="360"/>
        <w:rPr>
          <w:lang w:val="es-ES"/>
        </w:rPr>
      </w:pPr>
    </w:p>
    <w:p w:rsidR="00221F0B" w:rsidRPr="00F05098" w:rsidRDefault="00221F0B" w:rsidP="00DC1333">
      <w:pPr>
        <w:pStyle w:val="NormalWeb"/>
        <w:keepNext/>
        <w:spacing w:before="0" w:beforeAutospacing="0" w:after="0" w:afterAutospacing="0"/>
        <w:ind w:left="360"/>
        <w:jc w:val="center"/>
        <w:rPr>
          <w:sz w:val="20"/>
          <w:szCs w:val="20"/>
          <w:lang w:val="es-ES"/>
        </w:rPr>
      </w:pPr>
      <w:r w:rsidRPr="00F05098">
        <w:rPr>
          <w:sz w:val="20"/>
          <w:szCs w:val="20"/>
          <w:lang w:val="es-ES"/>
        </w:rPr>
        <w:t>Presupuesto y gastos reales (por resultado)</w:t>
      </w:r>
    </w:p>
    <w:p w:rsidR="00221F0B" w:rsidRPr="00F05098" w:rsidRDefault="00221F0B" w:rsidP="00DC1333">
      <w:pPr>
        <w:pStyle w:val="NormalWeb"/>
        <w:keepNext/>
        <w:spacing w:before="0" w:beforeAutospacing="0" w:after="0" w:afterAutospacing="0"/>
        <w:ind w:left="360"/>
        <w:jc w:val="center"/>
        <w:rPr>
          <w:i/>
          <w:iCs/>
          <w:sz w:val="20"/>
          <w:szCs w:val="20"/>
          <w:lang w:val="es-ES"/>
        </w:rPr>
      </w:pPr>
      <w:r w:rsidRPr="00F05098">
        <w:rPr>
          <w:i/>
          <w:iCs/>
          <w:sz w:val="20"/>
          <w:szCs w:val="20"/>
          <w:lang w:val="es-ES"/>
        </w:rPr>
        <w:t>(</w:t>
      </w:r>
      <w:proofErr w:type="gramStart"/>
      <w:r w:rsidRPr="00F05098">
        <w:rPr>
          <w:i/>
          <w:iCs/>
          <w:sz w:val="20"/>
          <w:szCs w:val="20"/>
          <w:lang w:val="es-ES"/>
        </w:rPr>
        <w:t>en</w:t>
      </w:r>
      <w:proofErr w:type="gramEnd"/>
      <w:r w:rsidRPr="00F05098">
        <w:rPr>
          <w:i/>
          <w:iCs/>
          <w:sz w:val="20"/>
          <w:szCs w:val="20"/>
          <w:lang w:val="es-ES"/>
        </w:rPr>
        <w:t xml:space="preserve"> miles de francos suizos)</w:t>
      </w:r>
    </w:p>
    <w:p w:rsidR="00221F0B" w:rsidRPr="00F05098" w:rsidRDefault="00221F0B" w:rsidP="00DC1333">
      <w:pPr>
        <w:pStyle w:val="NormalWeb"/>
        <w:keepNext/>
        <w:spacing w:before="0" w:beforeAutospacing="0" w:after="0" w:afterAutospacing="0"/>
        <w:ind w:left="360"/>
        <w:rPr>
          <w:sz w:val="20"/>
          <w:szCs w:val="20"/>
          <w:lang w:val="es-ES"/>
        </w:rPr>
      </w:pPr>
    </w:p>
    <w:p w:rsidR="00221F0B" w:rsidRPr="00F05098" w:rsidRDefault="00221F0B" w:rsidP="00DC1333">
      <w:bookmarkStart w:id="192" w:name="Bm25"/>
      <w:bookmarkStart w:id="193" w:name="Punto25"/>
      <w:r>
        <w:rPr>
          <w:noProof/>
          <w:lang w:val="en-US" w:eastAsia="en-US"/>
        </w:rPr>
        <w:drawing>
          <wp:inline distT="0" distB="0" distL="0" distR="0" wp14:anchorId="5C02B8B0" wp14:editId="6F742807">
            <wp:extent cx="5677535" cy="1924685"/>
            <wp:effectExtent l="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77535" cy="1924685"/>
                    </a:xfrm>
                    <a:prstGeom prst="rect">
                      <a:avLst/>
                    </a:prstGeom>
                    <a:noFill/>
                    <a:ln>
                      <a:noFill/>
                    </a:ln>
                  </pic:spPr>
                </pic:pic>
              </a:graphicData>
            </a:graphic>
          </wp:inline>
        </w:drawing>
      </w:r>
      <w:bookmarkEnd w:id="192"/>
      <w:bookmarkEnd w:id="193"/>
    </w:p>
    <w:p w:rsidR="00221F0B" w:rsidRDefault="00221F0B" w:rsidP="00DC1333"/>
    <w:p w:rsidR="00221F0B" w:rsidRPr="00F05098" w:rsidRDefault="00221F0B" w:rsidP="00DC1333"/>
    <w:p w:rsidR="00221F0B" w:rsidRPr="00F05098" w:rsidRDefault="00221F0B" w:rsidP="00DC1333">
      <w:pPr>
        <w:pStyle w:val="NormalWeb"/>
        <w:spacing w:before="0" w:beforeAutospacing="0" w:after="0" w:afterAutospacing="0"/>
        <w:jc w:val="center"/>
        <w:rPr>
          <w:sz w:val="20"/>
          <w:szCs w:val="20"/>
          <w:lang w:val="es-ES"/>
        </w:rPr>
      </w:pPr>
      <w:r w:rsidRPr="00F05098">
        <w:rPr>
          <w:sz w:val="20"/>
          <w:szCs w:val="20"/>
          <w:lang w:val="es-ES"/>
        </w:rPr>
        <w:t>Presupuesto y gastos reales (de personal y no relativos a personal)</w:t>
      </w:r>
    </w:p>
    <w:p w:rsidR="00221F0B" w:rsidRPr="00F05098" w:rsidRDefault="00221F0B" w:rsidP="00DC1333">
      <w:pPr>
        <w:pStyle w:val="NormalWeb"/>
        <w:spacing w:before="0" w:beforeAutospacing="0" w:after="0" w:afterAutospacing="0"/>
        <w:ind w:left="360"/>
        <w:jc w:val="center"/>
        <w:rPr>
          <w:i/>
          <w:iCs/>
          <w:sz w:val="20"/>
          <w:szCs w:val="20"/>
          <w:lang w:val="es-ES"/>
        </w:rPr>
      </w:pPr>
      <w:r w:rsidRPr="00F05098">
        <w:rPr>
          <w:i/>
          <w:iCs/>
          <w:sz w:val="20"/>
          <w:szCs w:val="20"/>
          <w:lang w:val="es-ES"/>
        </w:rPr>
        <w:t>(</w:t>
      </w:r>
      <w:proofErr w:type="gramStart"/>
      <w:r w:rsidRPr="00F05098">
        <w:rPr>
          <w:i/>
          <w:iCs/>
          <w:sz w:val="20"/>
          <w:szCs w:val="20"/>
          <w:lang w:val="es-ES"/>
        </w:rPr>
        <w:t>en</w:t>
      </w:r>
      <w:proofErr w:type="gramEnd"/>
      <w:r w:rsidRPr="00F05098">
        <w:rPr>
          <w:i/>
          <w:iCs/>
          <w:sz w:val="20"/>
          <w:szCs w:val="20"/>
          <w:lang w:val="es-ES"/>
        </w:rPr>
        <w:t xml:space="preserve"> miles de francos suizos)</w:t>
      </w:r>
    </w:p>
    <w:p w:rsidR="00221F0B" w:rsidRPr="00F05098" w:rsidRDefault="00221F0B" w:rsidP="00DC1333">
      <w:pPr>
        <w:pStyle w:val="NormalWeb"/>
        <w:spacing w:before="0" w:beforeAutospacing="0" w:after="0" w:afterAutospacing="0"/>
        <w:rPr>
          <w:lang w:val="es-ES"/>
        </w:rPr>
      </w:pPr>
    </w:p>
    <w:p w:rsidR="00221F0B" w:rsidRPr="00F05098" w:rsidRDefault="00221F0B" w:rsidP="00DC1333">
      <w:bookmarkStart w:id="194" w:name="Point25"/>
      <w:r>
        <w:rPr>
          <w:noProof/>
          <w:lang w:val="en-US" w:eastAsia="en-US"/>
        </w:rPr>
        <w:drawing>
          <wp:inline distT="0" distB="0" distL="0" distR="0" wp14:anchorId="56308A8E" wp14:editId="1F4046B9">
            <wp:extent cx="5941060" cy="1002871"/>
            <wp:effectExtent l="0" t="0" r="2540" b="6985"/>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1060" cy="1002871"/>
                    </a:xfrm>
                    <a:prstGeom prst="rect">
                      <a:avLst/>
                    </a:prstGeom>
                    <a:noFill/>
                    <a:ln>
                      <a:noFill/>
                    </a:ln>
                  </pic:spPr>
                </pic:pic>
              </a:graphicData>
            </a:graphic>
          </wp:inline>
        </w:drawing>
      </w:r>
      <w:bookmarkEnd w:id="194"/>
    </w:p>
    <w:p w:rsidR="00221F0B" w:rsidRDefault="00221F0B" w:rsidP="00DC1333"/>
    <w:p w:rsidR="00221F0B" w:rsidRPr="00F05098" w:rsidRDefault="00221F0B" w:rsidP="00DC1333"/>
    <w:p w:rsidR="00221F0B" w:rsidRPr="00F05098" w:rsidRDefault="00403D2C" w:rsidP="00221F0B">
      <w:pPr>
        <w:pStyle w:val="ListParagraph"/>
        <w:numPr>
          <w:ilvl w:val="0"/>
          <w:numId w:val="69"/>
        </w:numPr>
        <w:jc w:val="both"/>
        <w:rPr>
          <w:u w:val="single"/>
          <w:lang w:val="es-ES"/>
        </w:rPr>
      </w:pPr>
      <w:r w:rsidRPr="00403D2C">
        <w:rPr>
          <w:u w:val="single"/>
          <w:lang w:val="es-ES"/>
        </w:rPr>
        <w:t>Presupuesto final de 2014/15 tras las transferencias</w:t>
      </w:r>
    </w:p>
    <w:p w:rsidR="00221F0B" w:rsidRPr="00F05098"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 xml:space="preserve">El aumento general en el presupuesto final de 2014/15 tras las transferencias fue consecuencia fundamentalmente del aumento de los recursos no relativos a personal </w:t>
      </w:r>
      <w:r>
        <w:rPr>
          <w:bCs/>
          <w:lang w:val="es-ES"/>
        </w:rPr>
        <w:t>asignados al resultado previsto </w:t>
      </w:r>
      <w:r w:rsidRPr="003E661D">
        <w:rPr>
          <w:bCs/>
          <w:lang w:val="es-ES"/>
        </w:rPr>
        <w:t>IX.1 (Servicios de apoyo eficaces, eficientes, de calidad y orientados al cliente), a fin de abarcar:  i) la implantación de una infraestructura con capacidad de reacción y recuperación para las Oficinas en el exterior;  ii) la adquisición de licencias para la gestión de contenidos institucionales y la configuración de la base de datos sobre gestión;  iii) la compra de computadoras portátiles para equipar las instalaciones del CAM de la OMPI como “sitio crítico” en caso de que se produzca una situación de emergencia a nivel local;  iv) los costos relativos al estudio de la gestión de la identidad y del acceso; v) la adquisición de soluciones para la seguridad de la información a fin de fomentar las capacidades de protección y de respuesta a los incidentes;  y vi) la sustitución de varios equipos de T.I. como teléfonos móviles, computadoras portátiles y monitores.</w:t>
      </w:r>
    </w:p>
    <w:p w:rsidR="00221F0B" w:rsidRPr="00342866" w:rsidRDefault="00221F0B" w:rsidP="00DC1333">
      <w:pPr>
        <w:pStyle w:val="ListParagraph"/>
        <w:ind w:left="0"/>
        <w:rPr>
          <w:lang w:val="es-ES"/>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El aumento neto de los recursos de personal se debió principalmente, por una parte, a las reclasificaciones y regularizaciones de funciones continuas que se llevaron a cabo y, por otra, a la reasignación de un cargo temporal a Adquisiciones y Viajes en el programa 24 para el establecimiento de una función de certificador de servicios contractuales individuales.</w:t>
      </w:r>
    </w:p>
    <w:p w:rsidR="00221F0B" w:rsidRPr="00F05098" w:rsidRDefault="00221F0B" w:rsidP="00DC1333">
      <w:pPr>
        <w:jc w:val="both"/>
      </w:pPr>
    </w:p>
    <w:p w:rsidR="00221F0B" w:rsidRPr="00F05098" w:rsidRDefault="00403D2C" w:rsidP="00DC1333">
      <w:pPr>
        <w:jc w:val="both"/>
        <w:rPr>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F05098" w:rsidRDefault="00221F0B" w:rsidP="00DC1333">
      <w:pPr>
        <w:tabs>
          <w:tab w:val="left" w:pos="709"/>
        </w:tabs>
        <w:jc w:val="both"/>
        <w:rPr>
          <w:u w:val="single"/>
          <w:lang w:eastAsia="ko-KR"/>
        </w:rPr>
      </w:pPr>
    </w:p>
    <w:p w:rsidR="00221F0B" w:rsidRPr="003E661D" w:rsidRDefault="00221F0B" w:rsidP="00EB45DE">
      <w:pPr>
        <w:pStyle w:val="ListParagraph"/>
        <w:numPr>
          <w:ilvl w:val="0"/>
          <w:numId w:val="110"/>
        </w:numPr>
        <w:tabs>
          <w:tab w:val="left" w:pos="709"/>
        </w:tabs>
        <w:ind w:left="0" w:firstLine="0"/>
        <w:jc w:val="both"/>
        <w:rPr>
          <w:bCs/>
          <w:lang w:val="es-ES"/>
        </w:rPr>
      </w:pPr>
      <w:r w:rsidRPr="003E661D">
        <w:rPr>
          <w:bCs/>
          <w:lang w:val="es-ES"/>
        </w:rPr>
        <w:t>La utilización del presupuesto se ha mantenido dentro de los límites establecidos durante el bienio.</w:t>
      </w:r>
    </w:p>
    <w:p w:rsidR="00221F0B" w:rsidRDefault="00221F0B" w:rsidP="00DC1333"/>
    <w:p w:rsidR="00221F0B" w:rsidRPr="00F05098" w:rsidRDefault="00221F0B" w:rsidP="00DC1333"/>
    <w:p w:rsidR="004334DE" w:rsidRDefault="004334DE">
      <w:pPr>
        <w:rPr>
          <w:b/>
          <w:bCs/>
          <w:iCs/>
          <w:caps/>
        </w:rPr>
      </w:pPr>
      <w:bookmarkStart w:id="195" w:name="_Toc422927440"/>
      <w:r>
        <w:rPr>
          <w:b/>
        </w:rPr>
        <w:br w:type="page"/>
      </w:r>
    </w:p>
    <w:p w:rsidR="00221F0B" w:rsidRPr="00526311" w:rsidRDefault="00221F0B" w:rsidP="00DC1333">
      <w:pPr>
        <w:pStyle w:val="Heading2"/>
        <w:tabs>
          <w:tab w:val="left" w:pos="-3969"/>
        </w:tabs>
        <w:ind w:left="2410" w:hanging="2410"/>
        <w:rPr>
          <w:b/>
          <w:szCs w:val="20"/>
        </w:rPr>
      </w:pPr>
      <w:bookmarkStart w:id="196" w:name="_Toc455159108"/>
      <w:r w:rsidRPr="00526311">
        <w:rPr>
          <w:b/>
          <w:szCs w:val="20"/>
        </w:rPr>
        <w:lastRenderedPageBreak/>
        <w:t>PROGRAMA 26</w:t>
      </w:r>
      <w:r w:rsidRPr="00526311">
        <w:rPr>
          <w:b/>
          <w:szCs w:val="20"/>
        </w:rPr>
        <w:tab/>
        <w:t>SUPERVISIÓN INTERNA</w:t>
      </w:r>
      <w:bookmarkEnd w:id="195"/>
      <w:bookmarkEnd w:id="196"/>
    </w:p>
    <w:p w:rsidR="00221F0B" w:rsidRPr="00526311" w:rsidRDefault="00221F0B" w:rsidP="00DC1333">
      <w:pPr>
        <w:tabs>
          <w:tab w:val="left" w:pos="1985"/>
        </w:tabs>
        <w:rPr>
          <w:sz w:val="20"/>
        </w:rPr>
      </w:pPr>
    </w:p>
    <w:p w:rsidR="00221F0B" w:rsidRPr="00526311" w:rsidRDefault="00221F0B" w:rsidP="00DC1333">
      <w:pPr>
        <w:tabs>
          <w:tab w:val="left" w:pos="2410"/>
        </w:tabs>
        <w:rPr>
          <w:b/>
          <w:sz w:val="20"/>
        </w:rPr>
      </w:pPr>
      <w:r w:rsidRPr="00526311">
        <w:rPr>
          <w:b/>
          <w:sz w:val="20"/>
        </w:rPr>
        <w:t>Director de programa</w:t>
      </w:r>
      <w:r w:rsidRPr="00526311">
        <w:rPr>
          <w:b/>
          <w:sz w:val="20"/>
        </w:rPr>
        <w:tab/>
        <w:t>Sr. T. Efendioglu (Director interino de la DSI)</w:t>
      </w:r>
    </w:p>
    <w:p w:rsidR="00221F0B" w:rsidRPr="00526311" w:rsidRDefault="00221F0B" w:rsidP="00DC1333">
      <w:pPr>
        <w:rPr>
          <w:sz w:val="20"/>
        </w:rPr>
      </w:pPr>
    </w:p>
    <w:p w:rsidR="00221F0B" w:rsidRPr="00526311" w:rsidRDefault="00221F0B" w:rsidP="00DC1333">
      <w:pPr>
        <w:rPr>
          <w:sz w:val="20"/>
        </w:rPr>
      </w:pPr>
    </w:p>
    <w:p w:rsidR="00221F0B" w:rsidRPr="00526311" w:rsidRDefault="008F7CBE" w:rsidP="00DC1333">
      <w:pPr>
        <w:rPr>
          <w:bCs/>
        </w:rPr>
      </w:pPr>
      <w:r w:rsidRPr="008F7CBE">
        <w:rPr>
          <w:bCs/>
          <w:sz w:val="20"/>
          <w:szCs w:val="22"/>
        </w:rPr>
        <w:t>LOGROS ALCANZADOS EN EL BIENIO 2014/15</w:t>
      </w:r>
    </w:p>
    <w:p w:rsidR="00221F0B" w:rsidRPr="00526311" w:rsidRDefault="00221F0B" w:rsidP="00DC1333"/>
    <w:p w:rsidR="00221F0B" w:rsidRPr="00526311" w:rsidRDefault="00221F0B" w:rsidP="00EB45DE">
      <w:pPr>
        <w:pStyle w:val="ListParagraph"/>
        <w:numPr>
          <w:ilvl w:val="0"/>
          <w:numId w:val="114"/>
        </w:numPr>
        <w:tabs>
          <w:tab w:val="left" w:pos="709"/>
        </w:tabs>
        <w:ind w:left="0" w:firstLine="0"/>
        <w:jc w:val="both"/>
        <w:rPr>
          <w:rFonts w:cs="Arial"/>
          <w:lang w:val="es-ES"/>
        </w:rPr>
      </w:pPr>
      <w:r w:rsidRPr="00526311">
        <w:rPr>
          <w:rFonts w:cs="Arial"/>
          <w:lang w:val="es-ES"/>
        </w:rPr>
        <w:t>La División de Supervisión Interna (D</w:t>
      </w:r>
      <w:r>
        <w:rPr>
          <w:rFonts w:cs="Arial"/>
          <w:lang w:val="es-ES"/>
        </w:rPr>
        <w:t>SI) superó satisfactoriamente tre</w:t>
      </w:r>
      <w:r w:rsidRPr="00526311">
        <w:rPr>
          <w:rFonts w:cs="Arial"/>
          <w:lang w:val="es-ES"/>
        </w:rPr>
        <w:t xml:space="preserve">s evaluaciones externas de la calidad de </w:t>
      </w:r>
      <w:r>
        <w:rPr>
          <w:rFonts w:cs="Arial"/>
          <w:lang w:val="es-ES"/>
        </w:rPr>
        <w:t>sus funciones de auditoría,</w:t>
      </w:r>
      <w:r>
        <w:rPr>
          <w:rStyle w:val="FootnoteReference"/>
          <w:rFonts w:cs="Arial"/>
          <w:lang w:val="es-ES"/>
        </w:rPr>
        <w:footnoteReference w:id="141"/>
      </w:r>
      <w:r>
        <w:rPr>
          <w:rFonts w:cs="Arial"/>
          <w:lang w:val="es-ES"/>
        </w:rPr>
        <w:t xml:space="preserve"> </w:t>
      </w:r>
      <w:r w:rsidRPr="00526311">
        <w:rPr>
          <w:rFonts w:cs="Arial"/>
          <w:lang w:val="es-ES"/>
        </w:rPr>
        <w:t>evaluación</w:t>
      </w:r>
      <w:r>
        <w:rPr>
          <w:rStyle w:val="FootnoteReference"/>
          <w:rFonts w:cs="Arial"/>
          <w:lang w:val="es-ES"/>
        </w:rPr>
        <w:footnoteReference w:id="142"/>
      </w:r>
      <w:r w:rsidRPr="00526311">
        <w:rPr>
          <w:rFonts w:cs="Arial"/>
          <w:lang w:val="es-ES"/>
        </w:rPr>
        <w:t xml:space="preserve"> </w:t>
      </w:r>
      <w:r>
        <w:rPr>
          <w:rFonts w:cs="Arial"/>
          <w:lang w:val="es-ES"/>
        </w:rPr>
        <w:t>e investigación</w:t>
      </w:r>
      <w:r>
        <w:rPr>
          <w:rStyle w:val="FootnoteReference"/>
          <w:rFonts w:cs="Arial"/>
          <w:lang w:val="es-ES"/>
        </w:rPr>
        <w:footnoteReference w:id="143"/>
      </w:r>
      <w:r>
        <w:rPr>
          <w:rFonts w:cs="Arial"/>
          <w:lang w:val="es-ES"/>
        </w:rPr>
        <w:t xml:space="preserve"> respectivamente </w:t>
      </w:r>
      <w:r w:rsidRPr="00526311">
        <w:rPr>
          <w:rFonts w:cs="Arial"/>
          <w:lang w:val="es-ES"/>
        </w:rPr>
        <w:t xml:space="preserve">en </w:t>
      </w:r>
      <w:r w:rsidR="000610E2">
        <w:rPr>
          <w:rFonts w:cs="Arial"/>
          <w:lang w:val="es-ES"/>
        </w:rPr>
        <w:t>el bienio </w:t>
      </w:r>
      <w:r w:rsidRPr="00526311">
        <w:rPr>
          <w:rFonts w:cs="Arial"/>
          <w:lang w:val="es-ES"/>
        </w:rPr>
        <w:t>2014</w:t>
      </w:r>
      <w:r>
        <w:rPr>
          <w:rFonts w:cs="Arial"/>
          <w:lang w:val="es-ES"/>
        </w:rPr>
        <w:t>/15.  Los evaluadores externos independientes concluyeron que todas las disciplinas se ajustaban en general</w:t>
      </w:r>
      <w:r w:rsidRPr="00526311">
        <w:rPr>
          <w:rFonts w:cs="Arial"/>
          <w:lang w:val="es-ES"/>
        </w:rPr>
        <w:t xml:space="preserve"> </w:t>
      </w:r>
      <w:r>
        <w:rPr>
          <w:rFonts w:cs="Arial"/>
          <w:lang w:val="es-ES"/>
        </w:rPr>
        <w:t>a las normas</w:t>
      </w:r>
      <w:r w:rsidRPr="00526311">
        <w:rPr>
          <w:rFonts w:cs="Arial"/>
          <w:lang w:val="es-ES"/>
        </w:rPr>
        <w:t xml:space="preserve"> </w:t>
      </w:r>
      <w:r>
        <w:rPr>
          <w:rFonts w:cs="Arial"/>
          <w:lang w:val="es-ES"/>
        </w:rPr>
        <w:t>de cada profesión</w:t>
      </w:r>
      <w:r w:rsidRPr="00526311">
        <w:rPr>
          <w:rFonts w:cs="Arial"/>
          <w:lang w:val="es-ES"/>
        </w:rPr>
        <w:t>.</w:t>
      </w:r>
      <w:r>
        <w:rPr>
          <w:rStyle w:val="FootnoteReference"/>
          <w:rFonts w:cs="Arial"/>
          <w:lang w:val="es-ES"/>
        </w:rPr>
        <w:footnoteReference w:id="144"/>
      </w:r>
    </w:p>
    <w:p w:rsidR="00221F0B" w:rsidRPr="00526311" w:rsidRDefault="00221F0B" w:rsidP="00DC1333">
      <w:pPr>
        <w:tabs>
          <w:tab w:val="left" w:pos="709"/>
        </w:tabs>
        <w:jc w:val="both"/>
      </w:pPr>
    </w:p>
    <w:p w:rsidR="00221F0B" w:rsidRPr="00526311" w:rsidRDefault="00221F0B" w:rsidP="00EB45DE">
      <w:pPr>
        <w:pStyle w:val="ListParagraph"/>
        <w:numPr>
          <w:ilvl w:val="0"/>
          <w:numId w:val="114"/>
        </w:numPr>
        <w:tabs>
          <w:tab w:val="left" w:pos="709"/>
        </w:tabs>
        <w:ind w:left="0" w:firstLine="0"/>
        <w:jc w:val="both"/>
        <w:rPr>
          <w:rFonts w:cs="Arial"/>
          <w:lang w:val="es-ES"/>
        </w:rPr>
      </w:pPr>
      <w:r w:rsidRPr="00526311">
        <w:rPr>
          <w:rFonts w:cs="Arial"/>
          <w:lang w:val="es-ES"/>
        </w:rPr>
        <w:t xml:space="preserve">La DSI también contribuyó a la revisión de la Carta de Supervisión Interna de la OMPI, que fue aprobada por la Asamblea General el 30 de septiembre de 2014.  Los resultados de la revisión fueron los siguientes:  i) el nombre se cambió por el de División de Supervisión Interna (DSI);  ii) pasó a ser obligatoria la aplicación de las normas internacionales y las normas y directrices de las </w:t>
      </w:r>
      <w:r>
        <w:rPr>
          <w:rFonts w:cs="Arial"/>
          <w:lang w:val="es-ES"/>
        </w:rPr>
        <w:t>Naciones Unidas</w:t>
      </w:r>
      <w:r w:rsidRPr="00526311">
        <w:rPr>
          <w:rFonts w:cs="Arial"/>
          <w:lang w:val="es-ES"/>
        </w:rPr>
        <w:t xml:space="preserve"> en materia de auditoría interna, evaluación e investigación; </w:t>
      </w:r>
      <w:r>
        <w:rPr>
          <w:rFonts w:cs="Arial"/>
          <w:lang w:val="es-ES"/>
        </w:rPr>
        <w:t xml:space="preserve"> </w:t>
      </w:r>
      <w:r w:rsidRPr="00526311">
        <w:rPr>
          <w:rFonts w:cs="Arial"/>
          <w:lang w:val="es-ES"/>
        </w:rPr>
        <w:t>iii) se intensificó la participación de la Comisión Consultiva Independiente de Supervisión (CCIS) en la elaboración d</w:t>
      </w:r>
      <w:r>
        <w:rPr>
          <w:rFonts w:cs="Arial"/>
          <w:lang w:val="es-ES"/>
        </w:rPr>
        <w:t xml:space="preserve">el plan de trabajo de la DSI; </w:t>
      </w:r>
      <w:r w:rsidRPr="00526311">
        <w:rPr>
          <w:rFonts w:cs="Arial"/>
          <w:lang w:val="es-ES"/>
        </w:rPr>
        <w:t xml:space="preserve"> iv) la divulgación al público de los informes de auditoría interna y de evaluación así como los informes sobre las consecuencias para el equipo directivo.  La OMPI fue el primer organismo especializado de las Naciones Unidas que aprobó ese ejercicio, que ha pasado a convertirse en una práctica común en la Secretaría de las </w:t>
      </w:r>
      <w:r>
        <w:rPr>
          <w:rFonts w:cs="Arial"/>
          <w:lang w:val="es-ES"/>
        </w:rPr>
        <w:t>Naciones Unidas y en sus fondos y programas.</w:t>
      </w:r>
    </w:p>
    <w:p w:rsidR="00221F0B" w:rsidRPr="00526311" w:rsidRDefault="00221F0B" w:rsidP="00DC1333">
      <w:pPr>
        <w:tabs>
          <w:tab w:val="left" w:pos="709"/>
        </w:tabs>
        <w:jc w:val="both"/>
      </w:pPr>
    </w:p>
    <w:p w:rsidR="00221F0B" w:rsidRPr="00526311" w:rsidRDefault="00221F0B" w:rsidP="00EB45DE">
      <w:pPr>
        <w:pStyle w:val="ListParagraph"/>
        <w:numPr>
          <w:ilvl w:val="0"/>
          <w:numId w:val="114"/>
        </w:numPr>
        <w:tabs>
          <w:tab w:val="left" w:pos="709"/>
        </w:tabs>
        <w:ind w:left="0" w:firstLine="0"/>
        <w:jc w:val="both"/>
        <w:rPr>
          <w:rFonts w:cs="Arial"/>
          <w:lang w:val="es-ES"/>
        </w:rPr>
      </w:pPr>
      <w:r>
        <w:rPr>
          <w:rFonts w:cs="Arial"/>
          <w:lang w:val="es-ES"/>
        </w:rPr>
        <w:t>La DSI publicó 13 informes de autoría, 7</w:t>
      </w:r>
      <w:r w:rsidRPr="00526311">
        <w:rPr>
          <w:rFonts w:cs="Arial"/>
          <w:lang w:val="es-ES"/>
        </w:rPr>
        <w:t xml:space="preserve"> informes de evaluación y el informe de validación del </w:t>
      </w:r>
      <w:r>
        <w:rPr>
          <w:rFonts w:cs="Arial"/>
          <w:lang w:val="es-ES"/>
        </w:rPr>
        <w:t>Informe sobre el rendimiento de los programas</w:t>
      </w:r>
      <w:r w:rsidRPr="00526311">
        <w:rPr>
          <w:rFonts w:cs="Arial"/>
          <w:lang w:val="es-ES"/>
        </w:rPr>
        <w:t xml:space="preserve"> de final del bienio 201</w:t>
      </w:r>
      <w:r>
        <w:rPr>
          <w:rFonts w:cs="Arial"/>
          <w:lang w:val="es-ES"/>
        </w:rPr>
        <w:t>2/13 (WO/PBC/22/9), y formuló 161</w:t>
      </w:r>
      <w:r w:rsidRPr="00526311">
        <w:rPr>
          <w:rFonts w:cs="Arial"/>
          <w:lang w:val="es-ES"/>
        </w:rPr>
        <w:t xml:space="preserve"> recomendaciones de mejoras</w:t>
      </w:r>
      <w:r>
        <w:rPr>
          <w:rFonts w:cs="Arial"/>
          <w:lang w:val="es-ES"/>
        </w:rPr>
        <w:t xml:space="preserve"> (74 en 2014 y 87 en 2015)</w:t>
      </w:r>
      <w:r w:rsidRPr="00526311">
        <w:rPr>
          <w:rFonts w:cs="Arial"/>
          <w:lang w:val="es-ES"/>
        </w:rPr>
        <w:t xml:space="preserve">.  El plan de supervisión de la DSI fue elaborado sobre la base de su metodología de evaluación de riesgos </w:t>
      </w:r>
      <w:r>
        <w:rPr>
          <w:rFonts w:cs="Arial"/>
          <w:lang w:val="es-ES"/>
        </w:rPr>
        <w:t>y los registros de riesgos institucionales de la OMPI,</w:t>
      </w:r>
      <w:r w:rsidRPr="00526311">
        <w:rPr>
          <w:rFonts w:cs="Arial"/>
          <w:lang w:val="es-ES"/>
        </w:rPr>
        <w:t xml:space="preserve"> teniendo en cuenta las</w:t>
      </w:r>
      <w:r>
        <w:rPr>
          <w:rFonts w:cs="Arial"/>
          <w:lang w:val="es-ES"/>
        </w:rPr>
        <w:t xml:space="preserve"> entidades operativas de la Organización</w:t>
      </w:r>
      <w:r w:rsidRPr="00526311">
        <w:rPr>
          <w:rFonts w:cs="Arial"/>
          <w:lang w:val="es-ES"/>
        </w:rPr>
        <w:t xml:space="preserve"> y los correspondientes procesos de trabajo, así como la información recibida de los Estados miembros, la CCIS, el personal directivo superior y el Auditor Externo.  Las actividades de auditoría y</w:t>
      </w:r>
      <w:r>
        <w:rPr>
          <w:rFonts w:cs="Arial"/>
          <w:lang w:val="es-ES"/>
        </w:rPr>
        <w:t xml:space="preserve"> de evaluación abarcaron diverso</w:t>
      </w:r>
      <w:r w:rsidRPr="00526311">
        <w:rPr>
          <w:rFonts w:cs="Arial"/>
          <w:lang w:val="es-ES"/>
        </w:rPr>
        <w:t>s á</w:t>
      </w:r>
      <w:r>
        <w:rPr>
          <w:rFonts w:cs="Arial"/>
          <w:lang w:val="es-ES"/>
        </w:rPr>
        <w:t>mbito</w:t>
      </w:r>
      <w:r w:rsidRPr="00526311">
        <w:rPr>
          <w:rFonts w:cs="Arial"/>
          <w:lang w:val="es-ES"/>
        </w:rPr>
        <w:t>s de gestión de programas y proyectos</w:t>
      </w:r>
      <w:r>
        <w:rPr>
          <w:rFonts w:cs="Arial"/>
          <w:lang w:val="es-ES"/>
        </w:rPr>
        <w:t>, por ejemplo</w:t>
      </w:r>
      <w:r w:rsidRPr="00526311">
        <w:rPr>
          <w:rFonts w:cs="Arial"/>
          <w:lang w:val="es-ES"/>
        </w:rPr>
        <w:t xml:space="preserve"> la gestión por resultados, la gestión de los datos, la seguridad </w:t>
      </w:r>
      <w:r>
        <w:rPr>
          <w:rFonts w:cs="Arial"/>
          <w:lang w:val="es-ES"/>
        </w:rPr>
        <w:t>y vigilancia</w:t>
      </w:r>
      <w:r w:rsidRPr="00526311">
        <w:rPr>
          <w:rFonts w:cs="Arial"/>
          <w:lang w:val="es-ES"/>
        </w:rPr>
        <w:t xml:space="preserve">, </w:t>
      </w:r>
      <w:r>
        <w:rPr>
          <w:rFonts w:cs="Arial"/>
          <w:lang w:val="es-ES"/>
        </w:rPr>
        <w:t xml:space="preserve">las recompensas y el reconocimiento, </w:t>
      </w:r>
      <w:r w:rsidRPr="00526311">
        <w:rPr>
          <w:rFonts w:cs="Arial"/>
          <w:lang w:val="es-ES"/>
        </w:rPr>
        <w:t>la gestión de los conocimientos</w:t>
      </w:r>
      <w:r>
        <w:rPr>
          <w:rFonts w:cs="Arial"/>
          <w:lang w:val="es-ES"/>
        </w:rPr>
        <w:t>, la gestión de actos oficiales y</w:t>
      </w:r>
      <w:r w:rsidRPr="00526311">
        <w:rPr>
          <w:rFonts w:cs="Arial"/>
          <w:lang w:val="es-ES"/>
        </w:rPr>
        <w:t xml:space="preserve"> la </w:t>
      </w:r>
      <w:r>
        <w:rPr>
          <w:rFonts w:cs="Arial"/>
          <w:lang w:val="es-ES"/>
        </w:rPr>
        <w:t>gestión de activos</w:t>
      </w:r>
      <w:r w:rsidRPr="00A37592">
        <w:rPr>
          <w:rFonts w:cs="Arial"/>
          <w:lang w:val="es-ES"/>
        </w:rPr>
        <w:t xml:space="preserve"> </w:t>
      </w:r>
      <w:r w:rsidRPr="00526311">
        <w:rPr>
          <w:rFonts w:cs="Arial"/>
          <w:lang w:val="es-ES"/>
        </w:rPr>
        <w:t>en la Organización.</w:t>
      </w:r>
    </w:p>
    <w:p w:rsidR="00221F0B" w:rsidRPr="00526311" w:rsidRDefault="00221F0B" w:rsidP="00DC1333">
      <w:pPr>
        <w:tabs>
          <w:tab w:val="left" w:pos="709"/>
        </w:tabs>
        <w:jc w:val="both"/>
      </w:pPr>
    </w:p>
    <w:p w:rsidR="00221F0B" w:rsidRDefault="00221F0B" w:rsidP="00EB45DE">
      <w:pPr>
        <w:pStyle w:val="ListParagraph"/>
        <w:numPr>
          <w:ilvl w:val="0"/>
          <w:numId w:val="114"/>
        </w:numPr>
        <w:tabs>
          <w:tab w:val="left" w:pos="0"/>
        </w:tabs>
        <w:ind w:left="0" w:firstLine="0"/>
        <w:jc w:val="both"/>
        <w:rPr>
          <w:rFonts w:cs="Arial"/>
          <w:lang w:val="es-ES"/>
        </w:rPr>
      </w:pPr>
      <w:r>
        <w:rPr>
          <w:rFonts w:cs="Arial"/>
          <w:lang w:val="es-ES"/>
        </w:rPr>
        <w:t>Durante el bienio 2014/15 la DSI registró 53</w:t>
      </w:r>
      <w:r w:rsidRPr="00526311">
        <w:rPr>
          <w:rFonts w:cs="Arial"/>
          <w:lang w:val="es-ES"/>
        </w:rPr>
        <w:t xml:space="preserve"> casos de investigación y dio por concluidos </w:t>
      </w:r>
      <w:r>
        <w:rPr>
          <w:rFonts w:cs="Arial"/>
          <w:lang w:val="es-ES"/>
        </w:rPr>
        <w:t>43</w:t>
      </w:r>
      <w:r w:rsidRPr="00526311">
        <w:rPr>
          <w:rFonts w:cs="Arial"/>
          <w:lang w:val="es-ES"/>
        </w:rPr>
        <w:t>.  En general, todos los casos se concluyeron dentro de los plazos establecidos en la Política de Investigación de la OMPI.  Más del 50% de los casos se relacionaban con hostigamiento, declaraciones y actividades incompatibles con las obligaciones de los funcionarios públicos internacionales, así como con fraudes re</w:t>
      </w:r>
      <w:r>
        <w:rPr>
          <w:rFonts w:cs="Arial"/>
          <w:lang w:val="es-ES"/>
        </w:rPr>
        <w:t>lacionados con las prestaciones o</w:t>
      </w:r>
      <w:r w:rsidRPr="00526311">
        <w:rPr>
          <w:rFonts w:cs="Arial"/>
          <w:lang w:val="es-ES"/>
        </w:rPr>
        <w:t xml:space="preserve"> derechos del personal.</w:t>
      </w:r>
    </w:p>
    <w:p w:rsidR="00221F0B" w:rsidRPr="00A37592" w:rsidRDefault="00221F0B" w:rsidP="00DC1333">
      <w:pPr>
        <w:pStyle w:val="ListParagraph"/>
        <w:ind w:left="0"/>
        <w:rPr>
          <w:rFonts w:cs="Arial"/>
          <w:lang w:val="es-ES"/>
        </w:rPr>
      </w:pPr>
    </w:p>
    <w:p w:rsidR="00221F0B" w:rsidRPr="00526311" w:rsidRDefault="00221F0B" w:rsidP="00EB45DE">
      <w:pPr>
        <w:pStyle w:val="ListParagraph"/>
        <w:numPr>
          <w:ilvl w:val="0"/>
          <w:numId w:val="114"/>
        </w:numPr>
        <w:tabs>
          <w:tab w:val="left" w:pos="0"/>
        </w:tabs>
        <w:ind w:left="0" w:firstLine="0"/>
        <w:jc w:val="both"/>
        <w:rPr>
          <w:rFonts w:cs="Arial"/>
          <w:lang w:val="es-ES"/>
        </w:rPr>
      </w:pPr>
      <w:r>
        <w:rPr>
          <w:lang w:val="es-ES"/>
        </w:rPr>
        <w:t xml:space="preserve">En 2015 se organizó un seminario de evaluación de la OMPI con el objetivo de crear y fortalecer una cultura del aprendizaje y un compromiso firme con la rendición de cuentas </w:t>
      </w:r>
      <w:r w:rsidRPr="00A37592">
        <w:rPr>
          <w:lang w:val="es-ES"/>
        </w:rPr>
        <w:t>que</w:t>
      </w:r>
      <w:r>
        <w:rPr>
          <w:lang w:val="es-ES"/>
        </w:rPr>
        <w:t xml:space="preserve"> promuevan</w:t>
      </w:r>
      <w:r w:rsidRPr="00A37592">
        <w:rPr>
          <w:lang w:val="es-ES"/>
        </w:rPr>
        <w:t xml:space="preserve"> la mejora de los procesos y operaciones de la Organización</w:t>
      </w:r>
      <w:r>
        <w:rPr>
          <w:lang w:val="es-ES"/>
        </w:rPr>
        <w:t>.  El seminario obtuvo una buena acogida general entre los participantes.</w:t>
      </w:r>
    </w:p>
    <w:p w:rsidR="00221F0B" w:rsidRPr="00526311" w:rsidRDefault="00221F0B" w:rsidP="00DC1333">
      <w:pPr>
        <w:tabs>
          <w:tab w:val="left" w:pos="709"/>
        </w:tabs>
        <w:jc w:val="both"/>
      </w:pPr>
    </w:p>
    <w:p w:rsidR="00221F0B" w:rsidRPr="00526311" w:rsidRDefault="00221F0B" w:rsidP="00EB45DE">
      <w:pPr>
        <w:pStyle w:val="ListParagraph"/>
        <w:numPr>
          <w:ilvl w:val="0"/>
          <w:numId w:val="114"/>
        </w:numPr>
        <w:tabs>
          <w:tab w:val="left" w:pos="0"/>
        </w:tabs>
        <w:ind w:left="0" w:firstLine="0"/>
        <w:jc w:val="both"/>
        <w:rPr>
          <w:rFonts w:cs="Arial"/>
          <w:lang w:val="es-ES"/>
        </w:rPr>
      </w:pPr>
      <w:r w:rsidRPr="00526311">
        <w:rPr>
          <w:rFonts w:cs="Arial"/>
          <w:lang w:val="es-ES"/>
        </w:rPr>
        <w:t xml:space="preserve">Para comprender mejor las expectativas de los colegas y recabar sus opiniones acerca de la labor de supervisión, la DSI siguió realizando las encuestas de satisfacción de los clientes que inició en 2013.  Dichas encuestas, que mostraron que el índice medio de satisfacción era del 84%, permitieron a la DSI calibrar mejor las expectativas de las partes interesadas respecto de su rendimiento e identificar </w:t>
      </w:r>
      <w:r>
        <w:rPr>
          <w:rFonts w:cs="Arial"/>
          <w:lang w:val="es-ES"/>
        </w:rPr>
        <w:t xml:space="preserve">mejor </w:t>
      </w:r>
      <w:r w:rsidRPr="00526311">
        <w:rPr>
          <w:rFonts w:cs="Arial"/>
          <w:lang w:val="es-ES"/>
        </w:rPr>
        <w:t>los aspectos que requerían mejoras</w:t>
      </w:r>
      <w:r>
        <w:rPr>
          <w:rFonts w:cs="Arial"/>
          <w:lang w:val="es-ES"/>
        </w:rPr>
        <w:t>, a fin de seguir perfeccionando la calidad de su trabajo</w:t>
      </w:r>
      <w:r w:rsidRPr="00526311">
        <w:rPr>
          <w:rFonts w:cs="Arial"/>
          <w:lang w:val="es-ES"/>
        </w:rPr>
        <w:t>.</w:t>
      </w:r>
    </w:p>
    <w:p w:rsidR="00221F0B" w:rsidRPr="00526311" w:rsidRDefault="00221F0B" w:rsidP="00DC1333">
      <w:pPr>
        <w:tabs>
          <w:tab w:val="left" w:pos="709"/>
        </w:tabs>
        <w:jc w:val="both"/>
      </w:pPr>
    </w:p>
    <w:p w:rsidR="00221F0B" w:rsidRPr="00526311" w:rsidRDefault="00221F0B" w:rsidP="00EB45DE">
      <w:pPr>
        <w:pStyle w:val="ListParagraph"/>
        <w:numPr>
          <w:ilvl w:val="0"/>
          <w:numId w:val="114"/>
        </w:numPr>
        <w:ind w:left="0" w:firstLine="0"/>
        <w:jc w:val="both"/>
        <w:rPr>
          <w:rFonts w:cs="Arial"/>
          <w:lang w:val="es-ES"/>
        </w:rPr>
      </w:pPr>
      <w:r>
        <w:rPr>
          <w:rFonts w:cs="Arial"/>
          <w:lang w:val="es-ES"/>
        </w:rPr>
        <w:t>Durante el bienio</w:t>
      </w:r>
      <w:r w:rsidRPr="00526311">
        <w:rPr>
          <w:rFonts w:cs="Arial"/>
          <w:lang w:val="es-ES"/>
        </w:rPr>
        <w:t xml:space="preserve"> la DSI continuó </w:t>
      </w:r>
      <w:r>
        <w:rPr>
          <w:rFonts w:cs="Arial"/>
          <w:lang w:val="es-ES"/>
        </w:rPr>
        <w:t>estableciendo contactos</w:t>
      </w:r>
      <w:r w:rsidRPr="00526311">
        <w:rPr>
          <w:rFonts w:cs="Arial"/>
          <w:lang w:val="es-ES"/>
        </w:rPr>
        <w:t xml:space="preserve"> con el personal, la dirección y los Estados miembros a través de diversas presentaciones y la publicación de </w:t>
      </w:r>
      <w:r>
        <w:rPr>
          <w:rFonts w:cs="Arial"/>
          <w:lang w:val="es-ES"/>
        </w:rPr>
        <w:t>cuatro</w:t>
      </w:r>
      <w:r w:rsidRPr="00526311">
        <w:rPr>
          <w:rFonts w:cs="Arial"/>
          <w:lang w:val="es-ES"/>
        </w:rPr>
        <w:t xml:space="preserve"> boletines de </w:t>
      </w:r>
      <w:r w:rsidRPr="00526311">
        <w:rPr>
          <w:rFonts w:cs="Arial"/>
          <w:lang w:val="es-ES"/>
        </w:rPr>
        <w:lastRenderedPageBreak/>
        <w:t xml:space="preserve">información.  La DSI también organizó la reunión anual de los jefes de servicios de auditoría interna </w:t>
      </w:r>
      <w:r>
        <w:rPr>
          <w:rFonts w:cs="Arial"/>
          <w:lang w:val="es-ES"/>
        </w:rPr>
        <w:t>de</w:t>
      </w:r>
      <w:r w:rsidRPr="00526311">
        <w:rPr>
          <w:rFonts w:cs="Arial"/>
          <w:lang w:val="es-ES"/>
        </w:rPr>
        <w:t xml:space="preserve"> las organizaciones </w:t>
      </w:r>
      <w:r>
        <w:rPr>
          <w:rFonts w:cs="Arial"/>
          <w:lang w:val="es-ES"/>
        </w:rPr>
        <w:t xml:space="preserve">internacionales </w:t>
      </w:r>
      <w:r w:rsidRPr="00526311">
        <w:rPr>
          <w:rFonts w:cs="Arial"/>
          <w:lang w:val="es-ES"/>
        </w:rPr>
        <w:t>con sede en Europa.</w:t>
      </w:r>
    </w:p>
    <w:p w:rsidR="00221F0B" w:rsidRPr="00526311" w:rsidRDefault="00221F0B" w:rsidP="00DC1333">
      <w:pPr>
        <w:jc w:val="both"/>
      </w:pPr>
    </w:p>
    <w:p w:rsidR="00221F0B" w:rsidRPr="00526311" w:rsidRDefault="00221F0B" w:rsidP="00EB45DE">
      <w:pPr>
        <w:pStyle w:val="ListParagraph"/>
        <w:numPr>
          <w:ilvl w:val="0"/>
          <w:numId w:val="114"/>
        </w:numPr>
        <w:ind w:left="0" w:firstLine="0"/>
        <w:jc w:val="both"/>
        <w:rPr>
          <w:rFonts w:cs="Arial"/>
          <w:lang w:val="es-ES"/>
        </w:rPr>
      </w:pPr>
      <w:r w:rsidRPr="00526311">
        <w:rPr>
          <w:rFonts w:cs="Arial"/>
          <w:lang w:val="es-ES"/>
        </w:rPr>
        <w:t xml:space="preserve">La DSI dio seguimiento a las recomendaciones de supervisión formuladas en años anteriores para determinar si la dirección las había puesto en marcha efectivamente y confirmó la ejecución de </w:t>
      </w:r>
      <w:r>
        <w:rPr>
          <w:rFonts w:cs="Arial"/>
          <w:lang w:val="es-ES"/>
        </w:rPr>
        <w:t>186</w:t>
      </w:r>
      <w:r w:rsidRPr="00526311">
        <w:rPr>
          <w:rFonts w:cs="Arial"/>
          <w:lang w:val="es-ES"/>
        </w:rPr>
        <w:t xml:space="preserve"> recomendaciones </w:t>
      </w:r>
      <w:r>
        <w:rPr>
          <w:rFonts w:cs="Arial"/>
          <w:lang w:val="es-ES"/>
        </w:rPr>
        <w:t xml:space="preserve">de supervisión </w:t>
      </w:r>
      <w:r w:rsidRPr="00526311">
        <w:rPr>
          <w:rFonts w:cs="Arial"/>
          <w:lang w:val="es-ES"/>
        </w:rPr>
        <w:t xml:space="preserve">en </w:t>
      </w:r>
      <w:r>
        <w:rPr>
          <w:rFonts w:cs="Arial"/>
          <w:lang w:val="es-ES"/>
        </w:rPr>
        <w:t xml:space="preserve">total (94 en </w:t>
      </w:r>
      <w:r w:rsidRPr="00526311">
        <w:rPr>
          <w:rFonts w:cs="Arial"/>
          <w:lang w:val="es-ES"/>
        </w:rPr>
        <w:t>2014</w:t>
      </w:r>
      <w:r>
        <w:rPr>
          <w:rFonts w:cs="Arial"/>
          <w:lang w:val="es-ES"/>
        </w:rPr>
        <w:t xml:space="preserve"> y 92 en 2015)</w:t>
      </w:r>
      <w:r w:rsidRPr="00526311">
        <w:rPr>
          <w:rFonts w:cs="Arial"/>
          <w:lang w:val="es-ES"/>
        </w:rPr>
        <w:t>.</w:t>
      </w:r>
      <w:r>
        <w:rPr>
          <w:rStyle w:val="FootnoteReference"/>
          <w:rFonts w:cs="Arial"/>
          <w:lang w:val="es-ES"/>
        </w:rPr>
        <w:footnoteReference w:id="145"/>
      </w:r>
      <w:r w:rsidRPr="00526311">
        <w:rPr>
          <w:rFonts w:cs="Arial"/>
          <w:lang w:val="es-ES"/>
        </w:rPr>
        <w:t xml:space="preserve">  La DSI continuó brindando asesoramiento profesional y retroinformación al equipo directivo de la OMPI en relación con</w:t>
      </w:r>
      <w:r>
        <w:rPr>
          <w:rFonts w:cs="Arial"/>
          <w:lang w:val="es-ES"/>
        </w:rPr>
        <w:t xml:space="preserve"> la gobernanza, la gestión de riesgos,</w:t>
      </w:r>
      <w:r w:rsidRPr="00526311">
        <w:rPr>
          <w:rFonts w:cs="Arial"/>
          <w:lang w:val="es-ES"/>
        </w:rPr>
        <w:t xml:space="preserve"> los controles internos </w:t>
      </w:r>
      <w:r>
        <w:rPr>
          <w:rFonts w:cs="Arial"/>
          <w:lang w:val="es-ES"/>
        </w:rPr>
        <w:t>y otras cuestiones</w:t>
      </w:r>
      <w:r w:rsidRPr="00526311">
        <w:rPr>
          <w:rFonts w:cs="Arial"/>
          <w:lang w:val="es-ES"/>
        </w:rPr>
        <w:t xml:space="preserve"> como la elaboración o revisión de políticas</w:t>
      </w:r>
      <w:r>
        <w:rPr>
          <w:rFonts w:cs="Arial"/>
          <w:lang w:val="es-ES"/>
        </w:rPr>
        <w:t>,</w:t>
      </w:r>
      <w:r w:rsidRPr="00526311">
        <w:rPr>
          <w:rFonts w:cs="Arial"/>
          <w:lang w:val="es-ES"/>
        </w:rPr>
        <w:t xml:space="preserve"> </w:t>
      </w:r>
      <w:r>
        <w:rPr>
          <w:rFonts w:cs="Arial"/>
          <w:lang w:val="es-ES"/>
        </w:rPr>
        <w:t xml:space="preserve">órdenes de servicio o directrices </w:t>
      </w:r>
      <w:r w:rsidRPr="00526311">
        <w:rPr>
          <w:rFonts w:cs="Arial"/>
          <w:lang w:val="es-ES"/>
        </w:rPr>
        <w:t>y la preparación de exámenes externos.</w:t>
      </w:r>
    </w:p>
    <w:p w:rsidR="00221F0B" w:rsidRPr="00526311" w:rsidRDefault="00221F0B" w:rsidP="00DC1333">
      <w:pPr>
        <w:jc w:val="both"/>
      </w:pPr>
    </w:p>
    <w:p w:rsidR="00221F0B" w:rsidRPr="00526311" w:rsidRDefault="00221F0B" w:rsidP="00EB45DE">
      <w:pPr>
        <w:pStyle w:val="ListParagraph"/>
        <w:numPr>
          <w:ilvl w:val="0"/>
          <w:numId w:val="114"/>
        </w:numPr>
        <w:ind w:left="0" w:firstLine="0"/>
        <w:jc w:val="both"/>
        <w:rPr>
          <w:rFonts w:cs="Arial"/>
          <w:sz w:val="22"/>
          <w:lang w:val="es-ES"/>
        </w:rPr>
      </w:pPr>
      <w:r w:rsidRPr="00526311">
        <w:rPr>
          <w:rFonts w:cs="Arial"/>
          <w:lang w:val="es-ES"/>
        </w:rPr>
        <w:t>La CCIS siguió examinando detenidamente la labor de la DSI.  La DSI se benefició de las orientaciones de la CCIS para la aplicación de su plan de supervisión.</w:t>
      </w:r>
    </w:p>
    <w:p w:rsidR="00221F0B" w:rsidRPr="00526311" w:rsidRDefault="00221F0B" w:rsidP="00DC1333">
      <w:pPr>
        <w:pStyle w:val="ListParagraph"/>
        <w:ind w:left="0"/>
        <w:jc w:val="both"/>
        <w:rPr>
          <w:rFonts w:cs="Arial"/>
          <w:sz w:val="22"/>
          <w:lang w:val="es-ES"/>
        </w:rPr>
      </w:pPr>
    </w:p>
    <w:p w:rsidR="00221F0B" w:rsidRPr="00526311" w:rsidRDefault="00221F0B" w:rsidP="00DC1333">
      <w:pPr>
        <w:pStyle w:val="ListParagraph"/>
        <w:ind w:left="0"/>
        <w:jc w:val="both"/>
        <w:rPr>
          <w:rFonts w:cs="Arial"/>
          <w:sz w:val="22"/>
          <w:lang w:val="es-ES"/>
        </w:rPr>
      </w:pPr>
    </w:p>
    <w:p w:rsidR="00221F0B" w:rsidRPr="00526311" w:rsidRDefault="008F7CBE" w:rsidP="00DC1333">
      <w:pPr>
        <w:jc w:val="both"/>
      </w:pPr>
      <w:r w:rsidRPr="008F7CBE">
        <w:rPr>
          <w:sz w:val="20"/>
        </w:rPr>
        <w:t>DATOS SOBRE EL RENDIMIENTO</w:t>
      </w:r>
    </w:p>
    <w:p w:rsidR="00221F0B" w:rsidRPr="00526311" w:rsidRDefault="00221F0B" w:rsidP="00DC1333">
      <w:pPr>
        <w:jc w:val="both"/>
      </w:pP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12"/>
        <w:gridCol w:w="2109"/>
        <w:gridCol w:w="1968"/>
        <w:gridCol w:w="1828"/>
        <w:gridCol w:w="421"/>
        <w:gridCol w:w="1133"/>
      </w:tblGrid>
      <w:tr w:rsidR="00221F0B" w:rsidRPr="00526311" w:rsidTr="00DC1333">
        <w:tc>
          <w:tcPr>
            <w:tcW w:w="5000" w:type="pct"/>
            <w:gridSpan w:val="6"/>
            <w:tcBorders>
              <w:top w:val="single" w:sz="4" w:space="0" w:color="auto"/>
              <w:bottom w:val="single" w:sz="4" w:space="0" w:color="auto"/>
            </w:tcBorders>
            <w:shd w:val="clear" w:color="auto" w:fill="C6D9F1" w:themeFill="text2" w:themeFillTint="33"/>
            <w:vAlign w:val="center"/>
          </w:tcPr>
          <w:p w:rsidR="00221F0B" w:rsidRPr="00526311" w:rsidRDefault="00221F0B" w:rsidP="00DC1333">
            <w:pPr>
              <w:keepNext/>
              <w:keepLines/>
              <w:spacing w:before="120" w:after="120"/>
              <w:ind w:left="2019" w:hanging="2019"/>
              <w:rPr>
                <w:b/>
                <w:bCs/>
                <w:sz w:val="16"/>
                <w:szCs w:val="16"/>
              </w:rPr>
            </w:pPr>
            <w:r w:rsidRPr="00526311">
              <w:rPr>
                <w:b/>
                <w:bCs/>
                <w:sz w:val="16"/>
                <w:szCs w:val="16"/>
              </w:rPr>
              <w:t>Resultado previsto:</w:t>
            </w:r>
            <w:r w:rsidRPr="00526311">
              <w:rPr>
                <w:b/>
                <w:bCs/>
                <w:sz w:val="16"/>
                <w:szCs w:val="16"/>
              </w:rPr>
              <w:tab/>
            </w:r>
            <w:r w:rsidRPr="00526311">
              <w:rPr>
                <w:sz w:val="16"/>
                <w:szCs w:val="16"/>
                <w:lang w:bidi="th-TH"/>
              </w:rPr>
              <w:t>IX.8 Mejor rendición de cuentas, aprendizaje institucional, uso óptimo de los recursos, administración, control interno y buen gobierno gracias a la asistencia que proporciona una supervisión eficaz e independiente</w:t>
            </w:r>
          </w:p>
        </w:tc>
      </w:tr>
      <w:tr w:rsidR="00221F0B" w:rsidRPr="00526311" w:rsidTr="00DC1333">
        <w:tc>
          <w:tcPr>
            <w:tcW w:w="1103" w:type="pct"/>
            <w:tcBorders>
              <w:top w:val="single" w:sz="4" w:space="0" w:color="auto"/>
              <w:left w:val="single" w:sz="4" w:space="0" w:color="auto"/>
              <w:bottom w:val="nil"/>
            </w:tcBorders>
            <w:shd w:val="clear" w:color="auto" w:fill="auto"/>
            <w:vAlign w:val="center"/>
          </w:tcPr>
          <w:p w:rsidR="00221F0B" w:rsidRPr="00526311" w:rsidRDefault="00221F0B" w:rsidP="00DC1333">
            <w:pPr>
              <w:rPr>
                <w:sz w:val="16"/>
                <w:szCs w:val="16"/>
              </w:rPr>
            </w:pPr>
            <w:r w:rsidRPr="00526311">
              <w:rPr>
                <w:b/>
                <w:sz w:val="16"/>
                <w:szCs w:val="16"/>
              </w:rPr>
              <w:t>Indicadores de rendimiento</w:t>
            </w:r>
          </w:p>
        </w:tc>
        <w:tc>
          <w:tcPr>
            <w:tcW w:w="1102" w:type="pct"/>
            <w:tcBorders>
              <w:top w:val="single" w:sz="4" w:space="0" w:color="auto"/>
              <w:bottom w:val="nil"/>
            </w:tcBorders>
            <w:shd w:val="clear" w:color="auto" w:fill="auto"/>
            <w:vAlign w:val="center"/>
          </w:tcPr>
          <w:p w:rsidR="00221F0B" w:rsidRPr="00526311" w:rsidRDefault="00221F0B" w:rsidP="00DC1333">
            <w:pPr>
              <w:rPr>
                <w:b/>
                <w:bCs/>
                <w:sz w:val="16"/>
                <w:szCs w:val="16"/>
              </w:rPr>
            </w:pPr>
            <w:r w:rsidRPr="00526311">
              <w:rPr>
                <w:b/>
                <w:bCs/>
                <w:sz w:val="16"/>
                <w:szCs w:val="16"/>
              </w:rPr>
              <w:t>Referencia</w:t>
            </w:r>
          </w:p>
        </w:tc>
        <w:tc>
          <w:tcPr>
            <w:tcW w:w="1028" w:type="pct"/>
            <w:tcBorders>
              <w:top w:val="single" w:sz="4" w:space="0" w:color="auto"/>
              <w:bottom w:val="nil"/>
            </w:tcBorders>
            <w:shd w:val="clear" w:color="auto" w:fill="auto"/>
            <w:tcMar>
              <w:top w:w="110" w:type="dxa"/>
            </w:tcMar>
            <w:vAlign w:val="center"/>
          </w:tcPr>
          <w:p w:rsidR="00221F0B" w:rsidRPr="00526311" w:rsidRDefault="00221F0B" w:rsidP="00DC1333">
            <w:pPr>
              <w:rPr>
                <w:b/>
                <w:sz w:val="16"/>
                <w:szCs w:val="16"/>
              </w:rPr>
            </w:pPr>
            <w:r w:rsidRPr="00526311">
              <w:rPr>
                <w:b/>
                <w:sz w:val="16"/>
                <w:szCs w:val="16"/>
              </w:rPr>
              <w:t>Objetivos</w:t>
            </w:r>
          </w:p>
        </w:tc>
        <w:tc>
          <w:tcPr>
            <w:tcW w:w="955" w:type="pct"/>
            <w:tcBorders>
              <w:top w:val="single" w:sz="4" w:space="0" w:color="auto"/>
              <w:bottom w:val="nil"/>
            </w:tcBorders>
            <w:shd w:val="clear" w:color="auto" w:fill="FFFFFF"/>
            <w:tcMar>
              <w:top w:w="110" w:type="dxa"/>
            </w:tcMar>
            <w:vAlign w:val="center"/>
          </w:tcPr>
          <w:p w:rsidR="00221F0B" w:rsidRPr="00526311" w:rsidRDefault="00221F0B" w:rsidP="00DC1333">
            <w:pPr>
              <w:rPr>
                <w:sz w:val="16"/>
                <w:szCs w:val="16"/>
              </w:rPr>
            </w:pPr>
            <w:r w:rsidRPr="00526311">
              <w:rPr>
                <w:b/>
                <w:sz w:val="16"/>
                <w:szCs w:val="16"/>
              </w:rPr>
              <w:t>Datos sobre el rendimiento</w:t>
            </w:r>
          </w:p>
        </w:tc>
        <w:tc>
          <w:tcPr>
            <w:tcW w:w="812" w:type="pct"/>
            <w:gridSpan w:val="2"/>
            <w:tcBorders>
              <w:top w:val="single" w:sz="4" w:space="0" w:color="auto"/>
              <w:bottom w:val="nil"/>
              <w:right w:val="single" w:sz="4" w:space="0" w:color="auto"/>
            </w:tcBorders>
            <w:shd w:val="clear" w:color="auto" w:fill="auto"/>
            <w:tcMar>
              <w:top w:w="110" w:type="dxa"/>
            </w:tcMar>
            <w:vAlign w:val="center"/>
          </w:tcPr>
          <w:p w:rsidR="00221F0B" w:rsidRPr="00526311" w:rsidRDefault="00221F0B" w:rsidP="00DC1333">
            <w:pPr>
              <w:keepNext/>
              <w:keepLines/>
              <w:jc w:val="center"/>
              <w:rPr>
                <w:b/>
                <w:bCs/>
                <w:sz w:val="16"/>
                <w:szCs w:val="16"/>
              </w:rPr>
            </w:pPr>
            <w:r w:rsidRPr="00526311">
              <w:rPr>
                <w:b/>
                <w:bCs/>
                <w:sz w:val="16"/>
                <w:szCs w:val="16"/>
              </w:rPr>
              <w:t>Clave de colores</w:t>
            </w:r>
          </w:p>
        </w:tc>
      </w:tr>
      <w:tr w:rsidR="00221F0B" w:rsidRPr="00526311" w:rsidTr="003F4FD4">
        <w:tc>
          <w:tcPr>
            <w:tcW w:w="1103" w:type="pct"/>
            <w:tcBorders>
              <w:top w:val="nil"/>
              <w:left w:val="single" w:sz="4" w:space="0" w:color="auto"/>
              <w:bottom w:val="nil"/>
            </w:tcBorders>
            <w:shd w:val="clear" w:color="auto" w:fill="auto"/>
          </w:tcPr>
          <w:p w:rsidR="00221F0B" w:rsidRPr="00526311" w:rsidRDefault="00221F0B" w:rsidP="00DC1333">
            <w:pPr>
              <w:keepNext/>
              <w:keepLines/>
              <w:rPr>
                <w:sz w:val="16"/>
                <w:szCs w:val="16"/>
                <w:lang w:bidi="th-TH"/>
              </w:rPr>
            </w:pPr>
            <w:r w:rsidRPr="00526311">
              <w:rPr>
                <w:sz w:val="16"/>
                <w:szCs w:val="16"/>
                <w:lang w:bidi="th-TH"/>
              </w:rPr>
              <w:t>Número de interferencias y grado de independencia percibido por las principales partes interesadas</w:t>
            </w:r>
          </w:p>
        </w:tc>
        <w:tc>
          <w:tcPr>
            <w:tcW w:w="1102" w:type="pct"/>
            <w:tcBorders>
              <w:top w:val="nil"/>
              <w:bottom w:val="nil"/>
            </w:tcBorders>
            <w:shd w:val="clear" w:color="auto" w:fill="auto"/>
          </w:tcPr>
          <w:p w:rsidR="00221F0B" w:rsidRPr="00526311" w:rsidRDefault="00221F0B" w:rsidP="00DC1333">
            <w:pPr>
              <w:keepNext/>
              <w:keepLines/>
              <w:rPr>
                <w:i/>
                <w:color w:val="002060"/>
                <w:sz w:val="8"/>
                <w:szCs w:val="8"/>
              </w:rPr>
            </w:pPr>
            <w:r w:rsidRPr="00526311">
              <w:rPr>
                <w:i/>
                <w:iCs/>
                <w:color w:val="002060"/>
                <w:sz w:val="16"/>
                <w:szCs w:val="16"/>
              </w:rPr>
              <w:t>Referencia actualizada a fines de 2013</w:t>
            </w:r>
            <w:proofErr w:type="gramStart"/>
            <w:r w:rsidRPr="00526311">
              <w:rPr>
                <w:i/>
                <w:color w:val="002060"/>
                <w:sz w:val="16"/>
                <w:szCs w:val="16"/>
              </w:rPr>
              <w:t xml:space="preserve">:  </w:t>
            </w:r>
            <w:r w:rsidRPr="00526311">
              <w:rPr>
                <w:sz w:val="16"/>
                <w:szCs w:val="16"/>
                <w:lang w:bidi="th-TH"/>
              </w:rPr>
              <w:t>no</w:t>
            </w:r>
            <w:proofErr w:type="gramEnd"/>
            <w:r w:rsidRPr="00526311">
              <w:rPr>
                <w:sz w:val="16"/>
                <w:szCs w:val="16"/>
                <w:lang w:bidi="th-TH"/>
              </w:rPr>
              <w:t xml:space="preserve"> hay interferencias en la labor de la DSI.</w:t>
            </w:r>
          </w:p>
          <w:p w:rsidR="00221F0B" w:rsidRPr="00526311" w:rsidRDefault="00221F0B" w:rsidP="00DC1333">
            <w:pPr>
              <w:keepNext/>
              <w:keepLines/>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no hay interferencias en la labor de la DSI</w:t>
            </w:r>
          </w:p>
        </w:tc>
        <w:tc>
          <w:tcPr>
            <w:tcW w:w="1028" w:type="pct"/>
            <w:tcBorders>
              <w:top w:val="nil"/>
              <w:bottom w:val="nil"/>
            </w:tcBorders>
            <w:shd w:val="clear" w:color="auto" w:fill="auto"/>
            <w:tcMar>
              <w:top w:w="110" w:type="dxa"/>
            </w:tcMar>
          </w:tcPr>
          <w:p w:rsidR="00221F0B" w:rsidRPr="00526311" w:rsidRDefault="00221F0B" w:rsidP="00DC1333">
            <w:pPr>
              <w:keepNext/>
              <w:keepLines/>
              <w:rPr>
                <w:sz w:val="16"/>
                <w:szCs w:val="16"/>
                <w:lang w:bidi="th-TH"/>
              </w:rPr>
            </w:pPr>
            <w:r w:rsidRPr="00526311">
              <w:rPr>
                <w:sz w:val="16"/>
                <w:szCs w:val="16"/>
                <w:lang w:bidi="th-TH"/>
              </w:rPr>
              <w:t>Las principales partes interesadas (Clientes/CCIS/Estados miembros) perciben un grado de independencia total</w:t>
            </w:r>
          </w:p>
        </w:tc>
        <w:tc>
          <w:tcPr>
            <w:tcW w:w="955" w:type="pct"/>
            <w:tcBorders>
              <w:top w:val="nil"/>
              <w:bottom w:val="nil"/>
            </w:tcBorders>
            <w:shd w:val="clear" w:color="auto" w:fill="FFFFFF"/>
            <w:tcMar>
              <w:top w:w="110" w:type="dxa"/>
            </w:tcMar>
          </w:tcPr>
          <w:p w:rsidR="00221F0B" w:rsidRDefault="00221F0B" w:rsidP="00DC1333">
            <w:pPr>
              <w:rPr>
                <w:sz w:val="16"/>
                <w:szCs w:val="16"/>
                <w:lang w:bidi="th-TH"/>
              </w:rPr>
            </w:pPr>
            <w:r w:rsidRPr="00526311">
              <w:rPr>
                <w:sz w:val="16"/>
                <w:szCs w:val="16"/>
                <w:lang w:bidi="th-TH"/>
              </w:rPr>
              <w:t>No hay interferencias en la labo</w:t>
            </w:r>
            <w:r>
              <w:rPr>
                <w:sz w:val="16"/>
                <w:szCs w:val="16"/>
                <w:lang w:bidi="th-TH"/>
              </w:rPr>
              <w:t xml:space="preserve">r de la DSI como se refleja en </w:t>
            </w:r>
            <w:r w:rsidRPr="00526311">
              <w:rPr>
                <w:sz w:val="16"/>
                <w:szCs w:val="16"/>
                <w:lang w:bidi="th-TH"/>
              </w:rPr>
              <w:t>l</w:t>
            </w:r>
            <w:r>
              <w:rPr>
                <w:sz w:val="16"/>
                <w:szCs w:val="16"/>
                <w:lang w:bidi="th-TH"/>
              </w:rPr>
              <w:t>os</w:t>
            </w:r>
            <w:r w:rsidRPr="00526311">
              <w:rPr>
                <w:sz w:val="16"/>
                <w:szCs w:val="16"/>
                <w:lang w:bidi="th-TH"/>
              </w:rPr>
              <w:t xml:space="preserve"> informe</w:t>
            </w:r>
            <w:r>
              <w:rPr>
                <w:sz w:val="16"/>
                <w:szCs w:val="16"/>
                <w:lang w:bidi="th-TH"/>
              </w:rPr>
              <w:t>s</w:t>
            </w:r>
            <w:r w:rsidRPr="00526311">
              <w:rPr>
                <w:sz w:val="16"/>
                <w:szCs w:val="16"/>
                <w:lang w:bidi="th-TH"/>
              </w:rPr>
              <w:t xml:space="preserve"> anual</w:t>
            </w:r>
            <w:r>
              <w:rPr>
                <w:sz w:val="16"/>
                <w:szCs w:val="16"/>
                <w:lang w:bidi="th-TH"/>
              </w:rPr>
              <w:t>es</w:t>
            </w:r>
            <w:r w:rsidRPr="00526311">
              <w:rPr>
                <w:sz w:val="16"/>
                <w:szCs w:val="16"/>
                <w:lang w:bidi="th-TH"/>
              </w:rPr>
              <w:t xml:space="preserve"> (WO/PBC/22/4</w:t>
            </w:r>
            <w:r>
              <w:rPr>
                <w:sz w:val="16"/>
                <w:szCs w:val="16"/>
                <w:lang w:bidi="th-TH"/>
              </w:rPr>
              <w:t xml:space="preserve"> y WO/PBC/24/6</w:t>
            </w:r>
            <w:r w:rsidRPr="00526311">
              <w:rPr>
                <w:sz w:val="16"/>
                <w:szCs w:val="16"/>
                <w:lang w:bidi="th-TH"/>
              </w:rPr>
              <w:t>)</w:t>
            </w:r>
            <w:r>
              <w:rPr>
                <w:sz w:val="16"/>
                <w:szCs w:val="16"/>
                <w:lang w:bidi="th-TH"/>
              </w:rPr>
              <w:t>.</w:t>
            </w:r>
          </w:p>
          <w:p w:rsidR="00221F0B" w:rsidRPr="00526311" w:rsidRDefault="00221F0B" w:rsidP="00DC1333">
            <w:pPr>
              <w:rPr>
                <w:sz w:val="16"/>
                <w:szCs w:val="16"/>
                <w:lang w:bidi="th-TH"/>
              </w:rPr>
            </w:pPr>
          </w:p>
          <w:p w:rsidR="00221F0B" w:rsidRDefault="00221F0B" w:rsidP="00DC1333">
            <w:pPr>
              <w:rPr>
                <w:sz w:val="16"/>
                <w:szCs w:val="16"/>
                <w:lang w:bidi="th-TH"/>
              </w:rPr>
            </w:pPr>
            <w:r>
              <w:rPr>
                <w:sz w:val="16"/>
                <w:szCs w:val="16"/>
                <w:lang w:bidi="th-TH"/>
              </w:rPr>
              <w:t>El Director de la DSI se reunió con regularidad con el Director General, la CCIS y con los representantes de los Estados miembros que los solicitaron.</w:t>
            </w:r>
          </w:p>
          <w:p w:rsidR="00221F0B" w:rsidRPr="00526311" w:rsidRDefault="00221F0B" w:rsidP="00DC1333">
            <w:pPr>
              <w:rPr>
                <w:sz w:val="16"/>
                <w:szCs w:val="16"/>
                <w:lang w:bidi="th-TH"/>
              </w:rPr>
            </w:pPr>
          </w:p>
          <w:p w:rsidR="00221F0B" w:rsidRPr="00526311" w:rsidRDefault="00221F0B" w:rsidP="00DC1333">
            <w:pPr>
              <w:rPr>
                <w:sz w:val="16"/>
                <w:szCs w:val="16"/>
                <w:lang w:bidi="th-TH"/>
              </w:rPr>
            </w:pPr>
            <w:r>
              <w:rPr>
                <w:sz w:val="16"/>
                <w:szCs w:val="16"/>
                <w:lang w:bidi="th-TH"/>
              </w:rPr>
              <w:t>Los c</w:t>
            </w:r>
            <w:r w:rsidRPr="00526311">
              <w:rPr>
                <w:sz w:val="16"/>
                <w:szCs w:val="16"/>
                <w:lang w:bidi="th-TH"/>
              </w:rPr>
              <w:t xml:space="preserve">asos de presunta falta de independencia </w:t>
            </w:r>
            <w:r>
              <w:rPr>
                <w:sz w:val="16"/>
                <w:szCs w:val="16"/>
                <w:lang w:bidi="th-TH"/>
              </w:rPr>
              <w:t>se sometieron</w:t>
            </w:r>
            <w:r w:rsidRPr="00526311">
              <w:rPr>
                <w:sz w:val="16"/>
                <w:szCs w:val="16"/>
                <w:lang w:bidi="th-TH"/>
              </w:rPr>
              <w:t xml:space="preserve"> a la </w:t>
            </w:r>
            <w:r>
              <w:rPr>
                <w:sz w:val="16"/>
                <w:szCs w:val="16"/>
                <w:lang w:bidi="th-TH"/>
              </w:rPr>
              <w:t>CCIS,</w:t>
            </w:r>
            <w:r w:rsidRPr="00526311">
              <w:rPr>
                <w:sz w:val="16"/>
                <w:szCs w:val="16"/>
                <w:lang w:bidi="th-TH"/>
              </w:rPr>
              <w:t xml:space="preserve"> según lo previsto en el párrafo 18 de la Carta.</w:t>
            </w:r>
          </w:p>
        </w:tc>
        <w:tc>
          <w:tcPr>
            <w:tcW w:w="812" w:type="pct"/>
            <w:gridSpan w:val="2"/>
            <w:tcBorders>
              <w:top w:val="nil"/>
              <w:bottom w:val="nil"/>
              <w:right w:val="single" w:sz="4" w:space="0" w:color="auto"/>
            </w:tcBorders>
            <w:shd w:val="clear" w:color="auto" w:fill="auto"/>
            <w:tcMar>
              <w:top w:w="110" w:type="dxa"/>
            </w:tcMar>
          </w:tcPr>
          <w:p w:rsidR="00221F0B" w:rsidRPr="00526311" w:rsidRDefault="00221F0B" w:rsidP="00DC1333">
            <w:pPr>
              <w:keepNext/>
              <w:keepLines/>
              <w:ind w:left="-107"/>
              <w:jc w:val="center"/>
              <w:rPr>
                <w:b/>
                <w:bCs/>
                <w:color w:val="00B050"/>
                <w:sz w:val="16"/>
                <w:szCs w:val="16"/>
              </w:rPr>
            </w:pPr>
            <w:r>
              <w:rPr>
                <w:b/>
                <w:color w:val="00B050"/>
                <w:sz w:val="16"/>
                <w:szCs w:val="16"/>
              </w:rPr>
              <w:t>Plenamente logrado</w:t>
            </w:r>
          </w:p>
        </w:tc>
      </w:tr>
      <w:tr w:rsidR="00221F0B" w:rsidRPr="00526311" w:rsidTr="003F4FD4">
        <w:tc>
          <w:tcPr>
            <w:tcW w:w="1103" w:type="pct"/>
            <w:tcBorders>
              <w:top w:val="nil"/>
              <w:left w:val="single" w:sz="4" w:space="0" w:color="auto"/>
              <w:bottom w:val="single" w:sz="4" w:space="0" w:color="auto"/>
            </w:tcBorders>
            <w:shd w:val="clear" w:color="auto" w:fill="auto"/>
          </w:tcPr>
          <w:p w:rsidR="00221F0B" w:rsidRPr="00526311" w:rsidRDefault="00221F0B" w:rsidP="00DC1333">
            <w:pPr>
              <w:rPr>
                <w:sz w:val="16"/>
                <w:szCs w:val="16"/>
                <w:lang w:bidi="th-TH"/>
              </w:rPr>
            </w:pPr>
            <w:r w:rsidRPr="00526311">
              <w:rPr>
                <w:sz w:val="16"/>
                <w:szCs w:val="16"/>
                <w:lang w:bidi="th-TH"/>
              </w:rPr>
              <w:t>Porcentaje de EFICACIA de la labor de la DSI que abarca esferas de alto riesgo y gran pertinencia</w:t>
            </w:r>
          </w:p>
        </w:tc>
        <w:tc>
          <w:tcPr>
            <w:tcW w:w="1102" w:type="pct"/>
            <w:tcBorders>
              <w:top w:val="nil"/>
              <w:bottom w:val="single" w:sz="4" w:space="0" w:color="auto"/>
            </w:tcBorders>
            <w:shd w:val="clear" w:color="auto" w:fill="auto"/>
          </w:tcPr>
          <w:p w:rsidR="00221F0B" w:rsidRPr="00526311" w:rsidRDefault="00221F0B" w:rsidP="00DC1333">
            <w:pPr>
              <w:keepNext/>
              <w:keepLines/>
              <w:rPr>
                <w:i/>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i/>
                <w:sz w:val="16"/>
                <w:szCs w:val="16"/>
              </w:rPr>
              <w:t xml:space="preserve"> </w:t>
            </w:r>
            <w:r w:rsidRPr="00526311">
              <w:rPr>
                <w:sz w:val="16"/>
                <w:szCs w:val="16"/>
              </w:rPr>
              <w:t>toda la labor</w:t>
            </w:r>
            <w:r w:rsidRPr="00526311">
              <w:rPr>
                <w:sz w:val="16"/>
                <w:szCs w:val="16"/>
                <w:lang w:bidi="th-TH"/>
              </w:rPr>
              <w:t xml:space="preserve"> (100%) abarca esferas de alto riesgo y gran pertinencia</w:t>
            </w:r>
          </w:p>
          <w:p w:rsidR="00221F0B" w:rsidRPr="00526311" w:rsidRDefault="00221F0B" w:rsidP="00DC1333">
            <w:pPr>
              <w:keepNext/>
              <w:keepLines/>
              <w:rPr>
                <w:i/>
                <w:color w:val="002060"/>
                <w:sz w:val="8"/>
                <w:szCs w:val="8"/>
              </w:rPr>
            </w:pPr>
          </w:p>
          <w:p w:rsidR="00221F0B" w:rsidRPr="00526311" w:rsidRDefault="00221F0B" w:rsidP="00DC1333">
            <w:pPr>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toda la labor (100%) abarca esferas de alto riesgo y gran pertinencia</w:t>
            </w:r>
          </w:p>
        </w:tc>
        <w:tc>
          <w:tcPr>
            <w:tcW w:w="1028" w:type="pct"/>
            <w:tcBorders>
              <w:top w:val="nil"/>
              <w:bottom w:val="single" w:sz="4" w:space="0" w:color="auto"/>
            </w:tcBorders>
            <w:shd w:val="clear" w:color="auto" w:fill="auto"/>
            <w:tcMar>
              <w:top w:w="110" w:type="dxa"/>
            </w:tcMar>
          </w:tcPr>
          <w:p w:rsidR="00221F0B" w:rsidRPr="00526311" w:rsidRDefault="00221F0B" w:rsidP="00DC1333">
            <w:pPr>
              <w:rPr>
                <w:sz w:val="16"/>
                <w:szCs w:val="16"/>
                <w:lang w:bidi="th-TH"/>
              </w:rPr>
            </w:pPr>
            <w:r w:rsidRPr="00526311">
              <w:rPr>
                <w:sz w:val="16"/>
                <w:szCs w:val="16"/>
                <w:lang w:bidi="th-TH"/>
              </w:rPr>
              <w:t>Toda la labor (100%) abarca esferas de alto riesgo y gran pertinencia</w:t>
            </w:r>
          </w:p>
        </w:tc>
        <w:tc>
          <w:tcPr>
            <w:tcW w:w="955" w:type="pct"/>
            <w:tcBorders>
              <w:top w:val="nil"/>
              <w:bottom w:val="single" w:sz="4" w:space="0" w:color="auto"/>
            </w:tcBorders>
            <w:shd w:val="clear" w:color="auto" w:fill="FFFFFF"/>
            <w:tcMar>
              <w:top w:w="110" w:type="dxa"/>
            </w:tcMar>
          </w:tcPr>
          <w:p w:rsidR="00221F0B" w:rsidRPr="00526311" w:rsidRDefault="00221F0B" w:rsidP="00DC1333">
            <w:pPr>
              <w:rPr>
                <w:sz w:val="16"/>
                <w:szCs w:val="16"/>
              </w:rPr>
            </w:pPr>
            <w:r w:rsidRPr="00526311">
              <w:rPr>
                <w:sz w:val="16"/>
                <w:szCs w:val="16"/>
              </w:rPr>
              <w:t>Toda la labor (100%) abarca esferas de alto riesgo y gran pertinencia</w:t>
            </w:r>
          </w:p>
        </w:tc>
        <w:tc>
          <w:tcPr>
            <w:tcW w:w="812" w:type="pct"/>
            <w:gridSpan w:val="2"/>
            <w:tcBorders>
              <w:top w:val="nil"/>
              <w:bottom w:val="single" w:sz="4" w:space="0" w:color="auto"/>
              <w:right w:val="single" w:sz="4" w:space="0" w:color="auto"/>
            </w:tcBorders>
            <w:shd w:val="clear" w:color="auto" w:fill="auto"/>
            <w:tcMar>
              <w:top w:w="110" w:type="dxa"/>
            </w:tcMar>
          </w:tcPr>
          <w:p w:rsidR="00221F0B" w:rsidRPr="00526311" w:rsidRDefault="00221F0B" w:rsidP="00DC1333">
            <w:pPr>
              <w:keepNext/>
              <w:keepLines/>
              <w:ind w:left="-107"/>
              <w:jc w:val="center"/>
              <w:rPr>
                <w:bCs/>
                <w:color w:val="00B050"/>
                <w:sz w:val="16"/>
                <w:szCs w:val="16"/>
              </w:rPr>
            </w:pPr>
            <w:r>
              <w:rPr>
                <w:b/>
                <w:color w:val="00B050"/>
                <w:sz w:val="16"/>
                <w:szCs w:val="16"/>
              </w:rPr>
              <w:t>Plenamente logrado</w:t>
            </w:r>
          </w:p>
        </w:tc>
      </w:tr>
      <w:tr w:rsidR="00221F0B" w:rsidRPr="00526311" w:rsidTr="003F4FD4">
        <w:tc>
          <w:tcPr>
            <w:tcW w:w="1103" w:type="pct"/>
            <w:tcBorders>
              <w:top w:val="single" w:sz="4" w:space="0" w:color="auto"/>
              <w:left w:val="single" w:sz="4" w:space="0" w:color="auto"/>
              <w:bottom w:val="nil"/>
            </w:tcBorders>
            <w:shd w:val="clear" w:color="auto" w:fill="auto"/>
          </w:tcPr>
          <w:p w:rsidR="00221F0B" w:rsidRPr="00526311" w:rsidRDefault="00221F0B" w:rsidP="003F4FD4">
            <w:pPr>
              <w:keepNext/>
              <w:rPr>
                <w:sz w:val="16"/>
                <w:szCs w:val="16"/>
                <w:lang w:bidi="th-TH"/>
              </w:rPr>
            </w:pPr>
            <w:r w:rsidRPr="00526311">
              <w:rPr>
                <w:sz w:val="16"/>
                <w:szCs w:val="16"/>
                <w:lang w:bidi="th-TH"/>
              </w:rPr>
              <w:lastRenderedPageBreak/>
              <w:t>EFICIENCIA:  a) Finalización puntual y de calidad de los informes de supervisión;  b) Número de auditorías y evaluaciones ejecutadas en relación con el plan de trabajo en materia de supervisión;  c) Número de denuncias/notificaciones de posible conducta indebida que se han tramitado</w:t>
            </w:r>
          </w:p>
        </w:tc>
        <w:tc>
          <w:tcPr>
            <w:tcW w:w="1102" w:type="pct"/>
            <w:tcBorders>
              <w:top w:val="single" w:sz="4" w:space="0" w:color="auto"/>
              <w:bottom w:val="nil"/>
            </w:tcBorders>
            <w:shd w:val="clear" w:color="auto" w:fill="auto"/>
          </w:tcPr>
          <w:p w:rsidR="00221F0B" w:rsidRPr="00526311" w:rsidRDefault="00221F0B" w:rsidP="003F4FD4">
            <w:pPr>
              <w:keepNext/>
              <w:keepLines/>
              <w:rPr>
                <w:color w:val="002060"/>
                <w:sz w:val="16"/>
                <w:szCs w:val="16"/>
              </w:rPr>
            </w:pPr>
            <w:r w:rsidRPr="00526311">
              <w:rPr>
                <w:i/>
                <w:iCs/>
                <w:color w:val="002060"/>
                <w:sz w:val="16"/>
                <w:szCs w:val="16"/>
              </w:rPr>
              <w:t>Referencia actualizada a fines de 2013</w:t>
            </w:r>
            <w:r w:rsidRPr="00526311">
              <w:rPr>
                <w:i/>
                <w:color w:val="002060"/>
                <w:sz w:val="16"/>
                <w:szCs w:val="16"/>
              </w:rPr>
              <w:t xml:space="preserve">:  </w:t>
            </w:r>
            <w:r w:rsidRPr="00526311">
              <w:rPr>
                <w:color w:val="002060"/>
                <w:sz w:val="16"/>
                <w:szCs w:val="16"/>
              </w:rPr>
              <w:t xml:space="preserve">a) </w:t>
            </w:r>
            <w:r w:rsidRPr="00526311">
              <w:rPr>
                <w:bCs/>
                <w:color w:val="002060"/>
                <w:sz w:val="16"/>
                <w:szCs w:val="16"/>
              </w:rPr>
              <w:t>las investigaciones se finalizan como media en tres meses</w:t>
            </w:r>
            <w:r w:rsidRPr="00526311">
              <w:rPr>
                <w:color w:val="002060"/>
                <w:sz w:val="16"/>
                <w:szCs w:val="16"/>
              </w:rPr>
              <w:t>;</w:t>
            </w:r>
          </w:p>
          <w:p w:rsidR="00221F0B" w:rsidRPr="00526311" w:rsidRDefault="00221F0B" w:rsidP="003F4FD4">
            <w:pPr>
              <w:keepNext/>
              <w:keepLines/>
              <w:rPr>
                <w:color w:val="002060"/>
                <w:sz w:val="16"/>
                <w:szCs w:val="16"/>
              </w:rPr>
            </w:pPr>
          </w:p>
          <w:p w:rsidR="00221F0B" w:rsidRPr="00526311" w:rsidRDefault="00221F0B" w:rsidP="003F4FD4">
            <w:pPr>
              <w:keepNext/>
              <w:keepLines/>
              <w:rPr>
                <w:color w:val="002060"/>
                <w:sz w:val="16"/>
                <w:szCs w:val="16"/>
              </w:rPr>
            </w:pPr>
            <w:r w:rsidRPr="00526311">
              <w:rPr>
                <w:color w:val="002060"/>
                <w:sz w:val="16"/>
                <w:szCs w:val="16"/>
              </w:rPr>
              <w:t>b) siete auditorías y dos evaluaciones;</w:t>
            </w:r>
          </w:p>
          <w:p w:rsidR="00221F0B" w:rsidRPr="00526311" w:rsidRDefault="00221F0B" w:rsidP="003F4FD4">
            <w:pPr>
              <w:keepNext/>
              <w:keepLines/>
              <w:rPr>
                <w:color w:val="002060"/>
                <w:sz w:val="16"/>
                <w:szCs w:val="16"/>
              </w:rPr>
            </w:pPr>
          </w:p>
          <w:p w:rsidR="00221F0B" w:rsidRPr="00526311" w:rsidRDefault="00221F0B" w:rsidP="003F4FD4">
            <w:pPr>
              <w:keepNext/>
              <w:keepLines/>
              <w:rPr>
                <w:color w:val="002060"/>
                <w:sz w:val="16"/>
                <w:szCs w:val="16"/>
              </w:rPr>
            </w:pPr>
            <w:r w:rsidRPr="00526311">
              <w:rPr>
                <w:color w:val="002060"/>
                <w:sz w:val="16"/>
                <w:szCs w:val="16"/>
              </w:rPr>
              <w:t>c) 19 investigaciones;</w:t>
            </w:r>
          </w:p>
          <w:p w:rsidR="00221F0B" w:rsidRPr="00526311" w:rsidRDefault="00221F0B" w:rsidP="003F4FD4">
            <w:pPr>
              <w:keepNext/>
              <w:keepLines/>
              <w:rPr>
                <w:color w:val="002060"/>
                <w:sz w:val="16"/>
                <w:szCs w:val="16"/>
              </w:rPr>
            </w:pPr>
          </w:p>
          <w:p w:rsidR="00221F0B" w:rsidRPr="00526311" w:rsidRDefault="00221F0B" w:rsidP="003F4FD4">
            <w:pPr>
              <w:keepNext/>
              <w:keepLines/>
              <w:rPr>
                <w:color w:val="002060"/>
                <w:sz w:val="16"/>
                <w:szCs w:val="16"/>
              </w:rPr>
            </w:pPr>
          </w:p>
          <w:p w:rsidR="00221F0B" w:rsidRPr="00526311" w:rsidRDefault="00221F0B" w:rsidP="003F4FD4">
            <w:pPr>
              <w:keepNext/>
              <w:keepLines/>
              <w:rPr>
                <w:color w:val="002060"/>
                <w:sz w:val="16"/>
                <w:szCs w:val="16"/>
              </w:rPr>
            </w:pPr>
            <w:r w:rsidRPr="00526311">
              <w:rPr>
                <w:color w:val="002060"/>
                <w:sz w:val="16"/>
                <w:szCs w:val="16"/>
              </w:rPr>
              <w:t>d) toda la labor de supervisión se ejecuta conforme a las normas</w:t>
            </w:r>
          </w:p>
          <w:p w:rsidR="00221F0B" w:rsidRPr="00526311" w:rsidRDefault="00221F0B" w:rsidP="003F4FD4">
            <w:pPr>
              <w:keepNext/>
              <w:keepLines/>
              <w:rPr>
                <w:i/>
                <w:color w:val="002060"/>
                <w:sz w:val="8"/>
                <w:szCs w:val="8"/>
              </w:rPr>
            </w:pPr>
          </w:p>
          <w:p w:rsidR="00221F0B" w:rsidRPr="00526311" w:rsidRDefault="00221F0B" w:rsidP="003F4FD4">
            <w:pPr>
              <w:keepNext/>
              <w:rPr>
                <w:sz w:val="16"/>
                <w:szCs w:val="16"/>
                <w:lang w:bidi="th-TH"/>
              </w:rPr>
            </w:pPr>
            <w:r w:rsidRPr="00526311">
              <w:rPr>
                <w:sz w:val="16"/>
                <w:szCs w:val="16"/>
                <w:lang w:bidi="th-TH"/>
              </w:rPr>
              <w:br/>
            </w:r>
          </w:p>
        </w:tc>
        <w:tc>
          <w:tcPr>
            <w:tcW w:w="1028" w:type="pct"/>
            <w:tcBorders>
              <w:top w:val="single" w:sz="4" w:space="0" w:color="auto"/>
              <w:bottom w:val="nil"/>
            </w:tcBorders>
            <w:shd w:val="clear" w:color="auto" w:fill="auto"/>
            <w:tcMar>
              <w:top w:w="110" w:type="dxa"/>
            </w:tcMar>
          </w:tcPr>
          <w:p w:rsidR="00221F0B" w:rsidRPr="00526311" w:rsidRDefault="00221F0B" w:rsidP="003F4FD4">
            <w:pPr>
              <w:keepNext/>
              <w:autoSpaceDE w:val="0"/>
              <w:autoSpaceDN w:val="0"/>
              <w:adjustRightInd w:val="0"/>
              <w:rPr>
                <w:sz w:val="16"/>
                <w:szCs w:val="16"/>
              </w:rPr>
            </w:pPr>
            <w:r w:rsidRPr="00526311">
              <w:rPr>
                <w:sz w:val="16"/>
                <w:szCs w:val="16"/>
              </w:rPr>
              <w:t xml:space="preserve">a) </w:t>
            </w:r>
            <w:r w:rsidRPr="00526311">
              <w:rPr>
                <w:bCs/>
                <w:sz w:val="16"/>
                <w:szCs w:val="16"/>
              </w:rPr>
              <w:t>Las investigaciones se finalizan como media en seis meses, las auditorías y evaluaciones, en cinco meses;</w:t>
            </w:r>
            <w:r w:rsidRPr="00526311">
              <w:rPr>
                <w:sz w:val="16"/>
                <w:szCs w:val="16"/>
              </w:rPr>
              <w:t xml:space="preserve"> </w:t>
            </w:r>
          </w:p>
          <w:p w:rsidR="00221F0B" w:rsidRPr="00526311" w:rsidRDefault="00221F0B" w:rsidP="003F4FD4">
            <w:pPr>
              <w:keepNext/>
              <w:autoSpaceDE w:val="0"/>
              <w:autoSpaceDN w:val="0"/>
              <w:adjustRightInd w:val="0"/>
              <w:rPr>
                <w:sz w:val="16"/>
                <w:szCs w:val="16"/>
              </w:rPr>
            </w:pPr>
          </w:p>
          <w:p w:rsidR="00221F0B" w:rsidRPr="00526311" w:rsidRDefault="00221F0B" w:rsidP="003F4FD4">
            <w:pPr>
              <w:keepNext/>
              <w:autoSpaceDE w:val="0"/>
              <w:autoSpaceDN w:val="0"/>
              <w:adjustRightInd w:val="0"/>
              <w:ind w:right="-107"/>
              <w:rPr>
                <w:sz w:val="16"/>
                <w:szCs w:val="16"/>
              </w:rPr>
            </w:pPr>
            <w:r>
              <w:rPr>
                <w:sz w:val="16"/>
                <w:szCs w:val="16"/>
              </w:rPr>
              <w:t>b) 12 auditorías y 6</w:t>
            </w:r>
            <w:r w:rsidRPr="00526311">
              <w:rPr>
                <w:sz w:val="16"/>
                <w:szCs w:val="16"/>
              </w:rPr>
              <w:t xml:space="preserve"> evaluaciones finalizadas;</w:t>
            </w:r>
            <w:r w:rsidRPr="00526311">
              <w:rPr>
                <w:sz w:val="16"/>
                <w:szCs w:val="16"/>
              </w:rPr>
              <w:br/>
            </w:r>
          </w:p>
          <w:p w:rsidR="00221F0B" w:rsidRPr="00526311" w:rsidRDefault="00221F0B" w:rsidP="003F4FD4">
            <w:pPr>
              <w:keepNext/>
              <w:autoSpaceDE w:val="0"/>
              <w:autoSpaceDN w:val="0"/>
              <w:adjustRightInd w:val="0"/>
              <w:rPr>
                <w:sz w:val="16"/>
                <w:szCs w:val="16"/>
              </w:rPr>
            </w:pPr>
            <w:r w:rsidRPr="00526311">
              <w:rPr>
                <w:sz w:val="16"/>
                <w:szCs w:val="16"/>
              </w:rPr>
              <w:t>c) 15 investigaciones concluidas como mín.;</w:t>
            </w:r>
          </w:p>
          <w:p w:rsidR="00221F0B" w:rsidRPr="00526311" w:rsidRDefault="00221F0B" w:rsidP="003F4FD4">
            <w:pPr>
              <w:keepNext/>
              <w:autoSpaceDE w:val="0"/>
              <w:autoSpaceDN w:val="0"/>
              <w:adjustRightInd w:val="0"/>
              <w:rPr>
                <w:sz w:val="16"/>
                <w:szCs w:val="16"/>
              </w:rPr>
            </w:pPr>
          </w:p>
          <w:p w:rsidR="00221F0B" w:rsidRPr="00526311" w:rsidRDefault="00221F0B" w:rsidP="003F4FD4">
            <w:pPr>
              <w:keepNext/>
              <w:autoSpaceDE w:val="0"/>
              <w:autoSpaceDN w:val="0"/>
              <w:adjustRightInd w:val="0"/>
              <w:rPr>
                <w:sz w:val="16"/>
                <w:szCs w:val="16"/>
              </w:rPr>
            </w:pPr>
            <w:r w:rsidRPr="00526311">
              <w:rPr>
                <w:sz w:val="16"/>
                <w:szCs w:val="16"/>
              </w:rPr>
              <w:t>d) cumplimiento de las normas</w:t>
            </w:r>
          </w:p>
        </w:tc>
        <w:tc>
          <w:tcPr>
            <w:tcW w:w="955" w:type="pct"/>
            <w:tcBorders>
              <w:top w:val="single" w:sz="4" w:space="0" w:color="auto"/>
              <w:bottom w:val="nil"/>
            </w:tcBorders>
            <w:shd w:val="clear" w:color="auto" w:fill="FFFFFF"/>
            <w:tcMar>
              <w:top w:w="110" w:type="dxa"/>
            </w:tcMar>
          </w:tcPr>
          <w:p w:rsidR="00221F0B" w:rsidRDefault="00221F0B" w:rsidP="003F4FD4">
            <w:pPr>
              <w:keepNext/>
              <w:ind w:right="-107"/>
              <w:rPr>
                <w:sz w:val="16"/>
                <w:szCs w:val="16"/>
                <w:lang w:bidi="th-TH"/>
              </w:rPr>
            </w:pPr>
            <w:r>
              <w:rPr>
                <w:sz w:val="16"/>
                <w:szCs w:val="16"/>
                <w:lang w:bidi="th-TH"/>
              </w:rPr>
              <w:t>En 2014/15:</w:t>
            </w:r>
          </w:p>
          <w:p w:rsidR="00221F0B" w:rsidRDefault="00221F0B" w:rsidP="003F4FD4">
            <w:pPr>
              <w:keepNext/>
              <w:ind w:right="-107"/>
              <w:rPr>
                <w:sz w:val="16"/>
                <w:szCs w:val="16"/>
                <w:lang w:bidi="th-TH"/>
              </w:rPr>
            </w:pPr>
          </w:p>
          <w:p w:rsidR="00221F0B" w:rsidRPr="00526311" w:rsidRDefault="00221F0B" w:rsidP="003F4FD4">
            <w:pPr>
              <w:keepNext/>
              <w:ind w:right="-107"/>
              <w:rPr>
                <w:sz w:val="16"/>
                <w:szCs w:val="16"/>
                <w:lang w:bidi="th-TH"/>
              </w:rPr>
            </w:pPr>
            <w:r w:rsidRPr="00526311">
              <w:rPr>
                <w:sz w:val="16"/>
                <w:szCs w:val="16"/>
                <w:lang w:bidi="th-TH"/>
              </w:rPr>
              <w:t>a) las</w:t>
            </w:r>
            <w:r w:rsidRPr="00526311">
              <w:rPr>
                <w:bCs/>
                <w:sz w:val="16"/>
                <w:szCs w:val="16"/>
                <w:lang w:bidi="th-TH"/>
              </w:rPr>
              <w:t xml:space="preserve"> investigaciones </w:t>
            </w:r>
            <w:r>
              <w:rPr>
                <w:bCs/>
                <w:sz w:val="16"/>
                <w:szCs w:val="16"/>
                <w:lang w:bidi="th-TH"/>
              </w:rPr>
              <w:t>iniciadas y concluidas durante el período se finalizaron por lo general</w:t>
            </w:r>
            <w:r w:rsidRPr="00526311">
              <w:rPr>
                <w:bCs/>
                <w:sz w:val="16"/>
                <w:szCs w:val="16"/>
                <w:lang w:bidi="th-TH"/>
              </w:rPr>
              <w:t xml:space="preserve"> en un plazo </w:t>
            </w:r>
            <w:r>
              <w:rPr>
                <w:bCs/>
                <w:sz w:val="16"/>
                <w:szCs w:val="16"/>
                <w:lang w:bidi="th-TH"/>
              </w:rPr>
              <w:t>inferior a cinco meses</w:t>
            </w:r>
            <w:r>
              <w:rPr>
                <w:sz w:val="16"/>
                <w:szCs w:val="16"/>
                <w:lang w:bidi="th-TH"/>
              </w:rPr>
              <w:t>;</w:t>
            </w:r>
          </w:p>
          <w:p w:rsidR="00221F0B" w:rsidRPr="00526311" w:rsidRDefault="00221F0B" w:rsidP="003F4FD4">
            <w:pPr>
              <w:keepNext/>
              <w:rPr>
                <w:sz w:val="16"/>
                <w:szCs w:val="16"/>
                <w:lang w:bidi="th-TH"/>
              </w:rPr>
            </w:pPr>
          </w:p>
          <w:p w:rsidR="00221F0B" w:rsidRPr="00526311" w:rsidRDefault="00221F0B" w:rsidP="003F4FD4">
            <w:pPr>
              <w:keepNext/>
              <w:rPr>
                <w:sz w:val="16"/>
                <w:szCs w:val="16"/>
                <w:lang w:bidi="th-TH"/>
              </w:rPr>
            </w:pPr>
            <w:r w:rsidRPr="00526311">
              <w:rPr>
                <w:sz w:val="16"/>
                <w:szCs w:val="16"/>
                <w:lang w:bidi="th-TH"/>
              </w:rPr>
              <w:t xml:space="preserve">b) finalización de </w:t>
            </w:r>
            <w:r>
              <w:rPr>
                <w:sz w:val="16"/>
                <w:szCs w:val="16"/>
                <w:lang w:bidi="th-TH"/>
              </w:rPr>
              <w:t>13</w:t>
            </w:r>
            <w:r w:rsidRPr="00526311">
              <w:rPr>
                <w:sz w:val="16"/>
                <w:szCs w:val="16"/>
                <w:lang w:bidi="th-TH"/>
              </w:rPr>
              <w:t xml:space="preserve"> informes de auditoría, </w:t>
            </w:r>
            <w:r>
              <w:rPr>
                <w:sz w:val="16"/>
                <w:szCs w:val="16"/>
                <w:lang w:bidi="th-TH"/>
              </w:rPr>
              <w:t>7</w:t>
            </w:r>
            <w:r w:rsidRPr="00526311">
              <w:rPr>
                <w:sz w:val="16"/>
                <w:szCs w:val="16"/>
                <w:lang w:bidi="th-TH"/>
              </w:rPr>
              <w:t xml:space="preserve"> informes de evaluación y el informe de validación del </w:t>
            </w:r>
            <w:r>
              <w:rPr>
                <w:color w:val="000000"/>
                <w:sz w:val="16"/>
                <w:szCs w:val="16"/>
              </w:rPr>
              <w:t>Informe sobre el rendimiento de los programas en</w:t>
            </w:r>
            <w:r w:rsidRPr="00526311">
              <w:rPr>
                <w:sz w:val="16"/>
                <w:szCs w:val="16"/>
                <w:lang w:bidi="th-TH"/>
              </w:rPr>
              <w:t xml:space="preserve"> 2012/13;</w:t>
            </w:r>
          </w:p>
          <w:p w:rsidR="00221F0B" w:rsidRPr="00526311" w:rsidRDefault="00221F0B" w:rsidP="003F4FD4">
            <w:pPr>
              <w:keepNext/>
              <w:rPr>
                <w:sz w:val="16"/>
                <w:szCs w:val="16"/>
                <w:lang w:bidi="th-TH"/>
              </w:rPr>
            </w:pPr>
          </w:p>
        </w:tc>
        <w:tc>
          <w:tcPr>
            <w:tcW w:w="812" w:type="pct"/>
            <w:gridSpan w:val="2"/>
            <w:tcBorders>
              <w:top w:val="single" w:sz="4" w:space="0" w:color="auto"/>
              <w:bottom w:val="nil"/>
              <w:right w:val="single" w:sz="4" w:space="0" w:color="auto"/>
            </w:tcBorders>
            <w:shd w:val="clear" w:color="auto" w:fill="auto"/>
            <w:tcMar>
              <w:top w:w="110" w:type="dxa"/>
            </w:tcMar>
          </w:tcPr>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r>
              <w:rPr>
                <w:b/>
                <w:color w:val="00B050"/>
                <w:sz w:val="16"/>
                <w:szCs w:val="16"/>
              </w:rPr>
              <w:t>Plenamente logrado</w:t>
            </w: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r>
              <w:rPr>
                <w:b/>
                <w:color w:val="00B050"/>
                <w:sz w:val="16"/>
                <w:szCs w:val="16"/>
              </w:rPr>
              <w:t>Plenamente logrado</w:t>
            </w: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Pr="00526311" w:rsidRDefault="00221F0B" w:rsidP="003F4FD4">
            <w:pPr>
              <w:keepNext/>
              <w:keepLines/>
              <w:ind w:left="-107"/>
              <w:jc w:val="center"/>
              <w:rPr>
                <w:bCs/>
                <w:color w:val="808080"/>
                <w:sz w:val="16"/>
                <w:szCs w:val="16"/>
              </w:rPr>
            </w:pPr>
          </w:p>
        </w:tc>
      </w:tr>
      <w:tr w:rsidR="00221F0B" w:rsidRPr="00526311" w:rsidTr="003F4FD4">
        <w:tc>
          <w:tcPr>
            <w:tcW w:w="1103" w:type="pct"/>
            <w:tcBorders>
              <w:top w:val="nil"/>
              <w:left w:val="single" w:sz="4" w:space="0" w:color="auto"/>
              <w:bottom w:val="nil"/>
            </w:tcBorders>
            <w:shd w:val="clear" w:color="auto" w:fill="auto"/>
            <w:vAlign w:val="center"/>
          </w:tcPr>
          <w:p w:rsidR="00221F0B" w:rsidRPr="00526311" w:rsidRDefault="00221F0B" w:rsidP="003F4FD4">
            <w:pPr>
              <w:keepNext/>
              <w:rPr>
                <w:sz w:val="16"/>
                <w:szCs w:val="16"/>
              </w:rPr>
            </w:pPr>
          </w:p>
        </w:tc>
        <w:tc>
          <w:tcPr>
            <w:tcW w:w="1102" w:type="pct"/>
            <w:tcBorders>
              <w:top w:val="nil"/>
              <w:bottom w:val="nil"/>
            </w:tcBorders>
            <w:shd w:val="clear" w:color="auto" w:fill="auto"/>
            <w:vAlign w:val="center"/>
          </w:tcPr>
          <w:p w:rsidR="00221F0B" w:rsidRPr="00526311" w:rsidRDefault="00221F0B" w:rsidP="003F4FD4">
            <w:pPr>
              <w:keepNext/>
              <w:rPr>
                <w:sz w:val="16"/>
                <w:szCs w:val="16"/>
                <w:lang w:bidi="th-TH"/>
              </w:rPr>
            </w:pPr>
            <w:r w:rsidRPr="00526311">
              <w:rPr>
                <w:i/>
                <w:iCs/>
                <w:sz w:val="16"/>
                <w:szCs w:val="16"/>
              </w:rPr>
              <w:t xml:space="preserve">Referencia original en el </w:t>
            </w:r>
            <w:r w:rsidRPr="00526311">
              <w:rPr>
                <w:i/>
                <w:iCs/>
                <w:sz w:val="16"/>
                <w:szCs w:val="16"/>
              </w:rPr>
              <w:br/>
              <w:t>presupuesto de 2014/15</w:t>
            </w:r>
            <w:r w:rsidRPr="00526311">
              <w:rPr>
                <w:i/>
                <w:sz w:val="16"/>
                <w:szCs w:val="16"/>
              </w:rPr>
              <w:t>:</w:t>
            </w:r>
            <w:r w:rsidRPr="00526311">
              <w:rPr>
                <w:sz w:val="16"/>
                <w:szCs w:val="16"/>
              </w:rPr>
              <w:br/>
            </w:r>
            <w:r w:rsidRPr="00526311">
              <w:rPr>
                <w:sz w:val="16"/>
                <w:szCs w:val="16"/>
                <w:lang w:bidi="th-TH"/>
              </w:rPr>
              <w:t xml:space="preserve">a) las investigaciones, auditorías y evaluaciones se </w:t>
            </w:r>
            <w:r>
              <w:rPr>
                <w:sz w:val="16"/>
                <w:szCs w:val="16"/>
                <w:lang w:bidi="th-TH"/>
              </w:rPr>
              <w:t>llevan a cabo, como media, en diez</w:t>
            </w:r>
            <w:r w:rsidRPr="00526311">
              <w:rPr>
                <w:sz w:val="16"/>
                <w:szCs w:val="16"/>
                <w:lang w:bidi="th-TH"/>
              </w:rPr>
              <w:t xml:space="preserve"> y cinco meses en 2012; </w:t>
            </w:r>
          </w:p>
          <w:p w:rsidR="00221F0B" w:rsidRPr="00526311" w:rsidRDefault="00221F0B" w:rsidP="003F4FD4">
            <w:pPr>
              <w:keepNext/>
              <w:rPr>
                <w:sz w:val="16"/>
                <w:szCs w:val="16"/>
                <w:lang w:bidi="th-TH"/>
              </w:rPr>
            </w:pPr>
            <w:r w:rsidRPr="00526311">
              <w:rPr>
                <w:sz w:val="16"/>
                <w:szCs w:val="16"/>
                <w:lang w:bidi="th-TH"/>
              </w:rPr>
              <w:t xml:space="preserve">b) tres auditorías y cinco evaluaciones realizadas en 2012; </w:t>
            </w:r>
          </w:p>
          <w:p w:rsidR="00221F0B" w:rsidRPr="00526311" w:rsidRDefault="00221F0B" w:rsidP="003F4FD4">
            <w:pPr>
              <w:keepNext/>
              <w:rPr>
                <w:sz w:val="16"/>
                <w:szCs w:val="16"/>
                <w:lang w:bidi="th-TH"/>
              </w:rPr>
            </w:pPr>
            <w:r w:rsidRPr="00526311">
              <w:rPr>
                <w:sz w:val="16"/>
                <w:szCs w:val="16"/>
                <w:lang w:bidi="th-TH"/>
              </w:rPr>
              <w:t xml:space="preserve">c) 15 investigaciones concluidas en 2011 y 23 en 2012; </w:t>
            </w:r>
          </w:p>
          <w:p w:rsidR="00221F0B" w:rsidRPr="00526311" w:rsidRDefault="00221F0B" w:rsidP="003F4FD4">
            <w:pPr>
              <w:keepNext/>
              <w:rPr>
                <w:b/>
                <w:bCs/>
                <w:sz w:val="16"/>
                <w:szCs w:val="16"/>
              </w:rPr>
            </w:pPr>
            <w:r w:rsidRPr="00526311">
              <w:rPr>
                <w:sz w:val="16"/>
                <w:szCs w:val="16"/>
                <w:lang w:bidi="th-TH"/>
              </w:rPr>
              <w:t>d) toda la labor de supervisión se ejecuta conforme a las normas</w:t>
            </w:r>
          </w:p>
        </w:tc>
        <w:tc>
          <w:tcPr>
            <w:tcW w:w="1028" w:type="pct"/>
            <w:tcBorders>
              <w:top w:val="nil"/>
              <w:bottom w:val="nil"/>
            </w:tcBorders>
            <w:shd w:val="clear" w:color="auto" w:fill="auto"/>
            <w:tcMar>
              <w:top w:w="110" w:type="dxa"/>
            </w:tcMar>
            <w:vAlign w:val="center"/>
          </w:tcPr>
          <w:p w:rsidR="00221F0B" w:rsidRPr="00526311" w:rsidRDefault="00221F0B" w:rsidP="003F4FD4">
            <w:pPr>
              <w:keepNext/>
              <w:rPr>
                <w:b/>
                <w:sz w:val="16"/>
                <w:szCs w:val="16"/>
              </w:rPr>
            </w:pPr>
          </w:p>
        </w:tc>
        <w:tc>
          <w:tcPr>
            <w:tcW w:w="955" w:type="pct"/>
            <w:tcBorders>
              <w:top w:val="nil"/>
              <w:bottom w:val="nil"/>
            </w:tcBorders>
            <w:shd w:val="clear" w:color="auto" w:fill="FFFFFF"/>
            <w:tcMar>
              <w:top w:w="110" w:type="dxa"/>
            </w:tcMar>
            <w:vAlign w:val="center"/>
          </w:tcPr>
          <w:p w:rsidR="00221F0B" w:rsidRPr="00526311" w:rsidRDefault="00221F0B" w:rsidP="003F4FD4">
            <w:pPr>
              <w:keepNext/>
              <w:rPr>
                <w:sz w:val="16"/>
                <w:szCs w:val="16"/>
                <w:lang w:bidi="th-TH"/>
              </w:rPr>
            </w:pPr>
            <w:r w:rsidRPr="00526311">
              <w:rPr>
                <w:sz w:val="16"/>
                <w:szCs w:val="16"/>
                <w:lang w:bidi="th-TH"/>
              </w:rPr>
              <w:t xml:space="preserve">c) </w:t>
            </w:r>
            <w:r>
              <w:rPr>
                <w:sz w:val="16"/>
                <w:szCs w:val="16"/>
                <w:lang w:bidi="th-TH"/>
              </w:rPr>
              <w:t>43 investigaciones concluidas durante el período</w:t>
            </w:r>
            <w:r w:rsidRPr="00526311">
              <w:rPr>
                <w:sz w:val="16"/>
                <w:szCs w:val="16"/>
                <w:lang w:bidi="th-TH"/>
              </w:rPr>
              <w:t>;</w:t>
            </w:r>
          </w:p>
          <w:p w:rsidR="00221F0B" w:rsidRPr="00526311" w:rsidRDefault="00221F0B" w:rsidP="003F4FD4">
            <w:pPr>
              <w:keepNext/>
              <w:rPr>
                <w:sz w:val="16"/>
                <w:szCs w:val="16"/>
                <w:lang w:bidi="th-TH"/>
              </w:rPr>
            </w:pPr>
          </w:p>
          <w:p w:rsidR="00221F0B" w:rsidRPr="00526311" w:rsidRDefault="00221F0B" w:rsidP="003F4FD4">
            <w:pPr>
              <w:keepNext/>
              <w:rPr>
                <w:sz w:val="16"/>
                <w:szCs w:val="16"/>
              </w:rPr>
            </w:pPr>
            <w:r w:rsidRPr="00526311">
              <w:rPr>
                <w:sz w:val="16"/>
                <w:szCs w:val="16"/>
                <w:lang w:bidi="th-TH"/>
              </w:rPr>
              <w:t xml:space="preserve">d) cumplimiento </w:t>
            </w:r>
            <w:r>
              <w:rPr>
                <w:sz w:val="16"/>
                <w:szCs w:val="16"/>
                <w:lang w:bidi="th-TH"/>
              </w:rPr>
              <w:t xml:space="preserve">en general </w:t>
            </w:r>
            <w:r w:rsidRPr="00526311">
              <w:rPr>
                <w:sz w:val="16"/>
                <w:szCs w:val="16"/>
                <w:lang w:bidi="th-TH"/>
              </w:rPr>
              <w:t xml:space="preserve">de las normas confirmado por las evaluaciones </w:t>
            </w:r>
            <w:r>
              <w:rPr>
                <w:sz w:val="16"/>
                <w:szCs w:val="16"/>
                <w:lang w:bidi="th-TH"/>
              </w:rPr>
              <w:t>externas de la calidad de las tres funciones</w:t>
            </w:r>
          </w:p>
        </w:tc>
        <w:tc>
          <w:tcPr>
            <w:tcW w:w="812" w:type="pct"/>
            <w:gridSpan w:val="2"/>
            <w:tcBorders>
              <w:top w:val="nil"/>
              <w:bottom w:val="nil"/>
              <w:right w:val="single" w:sz="4" w:space="0" w:color="auto"/>
            </w:tcBorders>
            <w:shd w:val="clear" w:color="auto" w:fill="auto"/>
            <w:tcMar>
              <w:top w:w="110" w:type="dxa"/>
            </w:tcMar>
            <w:vAlign w:val="center"/>
          </w:tcPr>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r>
              <w:rPr>
                <w:b/>
                <w:color w:val="00B050"/>
                <w:sz w:val="16"/>
                <w:szCs w:val="16"/>
              </w:rPr>
              <w:t>Plenamente logrado</w:t>
            </w: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Default="00221F0B" w:rsidP="003F4FD4">
            <w:pPr>
              <w:keepNext/>
              <w:keepLines/>
              <w:ind w:left="-107"/>
              <w:jc w:val="center"/>
              <w:rPr>
                <w:b/>
                <w:color w:val="00B050"/>
                <w:sz w:val="16"/>
                <w:szCs w:val="16"/>
              </w:rPr>
            </w:pPr>
          </w:p>
          <w:p w:rsidR="00221F0B" w:rsidRPr="00526311" w:rsidRDefault="00221F0B" w:rsidP="003F4FD4">
            <w:pPr>
              <w:keepNext/>
              <w:keepLines/>
              <w:jc w:val="center"/>
              <w:rPr>
                <w:b/>
                <w:bCs/>
                <w:sz w:val="16"/>
                <w:szCs w:val="16"/>
              </w:rPr>
            </w:pPr>
            <w:r>
              <w:rPr>
                <w:b/>
                <w:color w:val="00B050"/>
                <w:sz w:val="16"/>
                <w:szCs w:val="16"/>
              </w:rPr>
              <w:t>Plenamente logrado</w:t>
            </w:r>
          </w:p>
        </w:tc>
      </w:tr>
      <w:tr w:rsidR="00221F0B" w:rsidRPr="00526311" w:rsidTr="00DC1333">
        <w:tc>
          <w:tcPr>
            <w:tcW w:w="1103" w:type="pct"/>
            <w:tcBorders>
              <w:top w:val="nil"/>
              <w:left w:val="single" w:sz="4" w:space="0" w:color="auto"/>
              <w:bottom w:val="nil"/>
            </w:tcBorders>
            <w:shd w:val="clear" w:color="auto" w:fill="auto"/>
          </w:tcPr>
          <w:p w:rsidR="00221F0B" w:rsidRPr="00526311" w:rsidRDefault="00221F0B" w:rsidP="00DC1333">
            <w:pPr>
              <w:rPr>
                <w:sz w:val="16"/>
                <w:szCs w:val="16"/>
                <w:lang w:bidi="th-TH"/>
              </w:rPr>
            </w:pPr>
            <w:r w:rsidRPr="00526311">
              <w:rPr>
                <w:sz w:val="16"/>
                <w:szCs w:val="16"/>
                <w:lang w:bidi="th-TH"/>
              </w:rPr>
              <w:t>PERTINENCIA, VALOR AÑADIDO Y ADMINISTRACIÓN - Ahorros o mejoras tangibles en los procedimientos y sistemas</w:t>
            </w:r>
          </w:p>
        </w:tc>
        <w:tc>
          <w:tcPr>
            <w:tcW w:w="1102" w:type="pct"/>
            <w:tcBorders>
              <w:top w:val="nil"/>
              <w:bottom w:val="nil"/>
            </w:tcBorders>
            <w:shd w:val="clear" w:color="auto" w:fill="auto"/>
          </w:tcPr>
          <w:p w:rsidR="00221F0B" w:rsidRPr="00526311" w:rsidRDefault="00221F0B" w:rsidP="00DC1333">
            <w:pPr>
              <w:keepNext/>
              <w:keepLines/>
              <w:rPr>
                <w:i/>
                <w:color w:val="002060"/>
                <w:sz w:val="16"/>
                <w:szCs w:val="16"/>
              </w:rPr>
            </w:pPr>
            <w:r>
              <w:rPr>
                <w:sz w:val="16"/>
                <w:szCs w:val="16"/>
                <w:lang w:bidi="th-TH"/>
              </w:rPr>
              <w:t>Las recomendaciones de la DSI dieron lugar a la publicación de diez órdenes de servicio o circulares informativas a fin de mejorar los controles internos, los procesos y las operaciones institucionales</w:t>
            </w:r>
          </w:p>
        </w:tc>
        <w:tc>
          <w:tcPr>
            <w:tcW w:w="1028" w:type="pct"/>
            <w:tcBorders>
              <w:top w:val="nil"/>
              <w:bottom w:val="nil"/>
            </w:tcBorders>
            <w:shd w:val="clear" w:color="auto" w:fill="auto"/>
            <w:tcMar>
              <w:top w:w="110" w:type="dxa"/>
            </w:tcMar>
          </w:tcPr>
          <w:p w:rsidR="00221F0B" w:rsidRPr="00526311" w:rsidRDefault="00221F0B" w:rsidP="00DC1333">
            <w:pPr>
              <w:autoSpaceDE w:val="0"/>
              <w:autoSpaceDN w:val="0"/>
              <w:adjustRightInd w:val="0"/>
              <w:rPr>
                <w:sz w:val="16"/>
                <w:szCs w:val="16"/>
              </w:rPr>
            </w:pPr>
            <w:r w:rsidRPr="00526311">
              <w:rPr>
                <w:sz w:val="16"/>
                <w:szCs w:val="16"/>
              </w:rPr>
              <w:t>Por determinar</w:t>
            </w:r>
          </w:p>
        </w:tc>
        <w:tc>
          <w:tcPr>
            <w:tcW w:w="1175" w:type="pct"/>
            <w:gridSpan w:val="2"/>
            <w:tcBorders>
              <w:top w:val="nil"/>
              <w:bottom w:val="nil"/>
            </w:tcBorders>
            <w:shd w:val="clear" w:color="auto" w:fill="FFFFFF"/>
            <w:tcMar>
              <w:top w:w="110" w:type="dxa"/>
            </w:tcMar>
          </w:tcPr>
          <w:p w:rsidR="00221F0B" w:rsidRPr="00526311" w:rsidRDefault="00221F0B" w:rsidP="00DC1333">
            <w:pPr>
              <w:rPr>
                <w:sz w:val="16"/>
                <w:szCs w:val="16"/>
                <w:lang w:bidi="th-TH"/>
              </w:rPr>
            </w:pPr>
            <w:r>
              <w:rPr>
                <w:sz w:val="16"/>
                <w:szCs w:val="16"/>
                <w:lang w:bidi="th-TH"/>
              </w:rPr>
              <w:t>Las recomendaciones de la DSI dieron lugar a la publicación de diez órdenes de servicio o circulares informativas a fin de mejorar los controles internos, los procesos y las operaciones institucionales</w:t>
            </w:r>
          </w:p>
        </w:tc>
        <w:tc>
          <w:tcPr>
            <w:tcW w:w="592" w:type="pct"/>
            <w:tcBorders>
              <w:top w:val="nil"/>
              <w:bottom w:val="nil"/>
              <w:right w:val="single" w:sz="4" w:space="0" w:color="auto"/>
            </w:tcBorders>
            <w:shd w:val="clear" w:color="auto" w:fill="auto"/>
            <w:tcMar>
              <w:top w:w="110" w:type="dxa"/>
            </w:tcMar>
          </w:tcPr>
          <w:p w:rsidR="00221F0B" w:rsidRPr="00526311" w:rsidRDefault="00221F0B" w:rsidP="00DC1333">
            <w:pPr>
              <w:keepNext/>
              <w:keepLines/>
              <w:ind w:left="-109"/>
              <w:jc w:val="center"/>
              <w:rPr>
                <w:b/>
                <w:bCs/>
                <w:color w:val="808080"/>
                <w:sz w:val="16"/>
                <w:szCs w:val="16"/>
              </w:rPr>
            </w:pPr>
            <w:r w:rsidRPr="00526311">
              <w:rPr>
                <w:b/>
                <w:bCs/>
                <w:color w:val="A6A6A6" w:themeColor="background1" w:themeShade="A6"/>
                <w:sz w:val="16"/>
                <w:szCs w:val="16"/>
              </w:rPr>
              <w:t>No mensurable</w:t>
            </w:r>
          </w:p>
        </w:tc>
      </w:tr>
      <w:tr w:rsidR="00221F0B" w:rsidRPr="00526311" w:rsidTr="00DC1333">
        <w:trPr>
          <w:trHeight w:val="1546"/>
        </w:trPr>
        <w:tc>
          <w:tcPr>
            <w:tcW w:w="1103" w:type="pct"/>
            <w:tcBorders>
              <w:top w:val="nil"/>
              <w:left w:val="single" w:sz="4" w:space="0" w:color="auto"/>
              <w:bottom w:val="single" w:sz="4" w:space="0" w:color="auto"/>
            </w:tcBorders>
            <w:shd w:val="clear" w:color="auto" w:fill="auto"/>
          </w:tcPr>
          <w:p w:rsidR="00221F0B" w:rsidRPr="00526311" w:rsidRDefault="00221F0B" w:rsidP="00DC1333">
            <w:pPr>
              <w:rPr>
                <w:sz w:val="16"/>
                <w:szCs w:val="16"/>
                <w:lang w:bidi="th-TH"/>
              </w:rPr>
            </w:pPr>
            <w:r w:rsidRPr="00526311">
              <w:rPr>
                <w:sz w:val="16"/>
                <w:szCs w:val="16"/>
                <w:lang w:bidi="th-TH"/>
              </w:rPr>
              <w:t>APRENDIZAJE INSTITUCIONAL:   Adopción de enseñanzas y recomendaciones extraídas de los procesos de supervisión</w:t>
            </w:r>
          </w:p>
        </w:tc>
        <w:tc>
          <w:tcPr>
            <w:tcW w:w="1102" w:type="pct"/>
            <w:tcBorders>
              <w:top w:val="nil"/>
              <w:bottom w:val="single" w:sz="4" w:space="0" w:color="auto"/>
            </w:tcBorders>
            <w:shd w:val="clear" w:color="auto" w:fill="auto"/>
          </w:tcPr>
          <w:p w:rsidR="00221F0B" w:rsidRPr="00526311" w:rsidRDefault="00221F0B" w:rsidP="00DC1333">
            <w:pPr>
              <w:keepNext/>
              <w:keepLines/>
              <w:rPr>
                <w:i/>
                <w:color w:val="002060"/>
                <w:sz w:val="16"/>
                <w:szCs w:val="16"/>
              </w:rPr>
            </w:pPr>
            <w:r w:rsidRPr="00526311">
              <w:rPr>
                <w:sz w:val="16"/>
                <w:szCs w:val="16"/>
                <w:lang w:bidi="th-TH"/>
              </w:rPr>
              <w:t>90% de las recomendaciones aceptadas y 90% de las recomendaciones aplicadas en un plazo de dos años</w:t>
            </w:r>
          </w:p>
        </w:tc>
        <w:tc>
          <w:tcPr>
            <w:tcW w:w="1028" w:type="pct"/>
            <w:tcBorders>
              <w:top w:val="nil"/>
              <w:bottom w:val="single" w:sz="4" w:space="0" w:color="auto"/>
            </w:tcBorders>
            <w:shd w:val="clear" w:color="auto" w:fill="auto"/>
            <w:tcMar>
              <w:top w:w="110" w:type="dxa"/>
            </w:tcMar>
          </w:tcPr>
          <w:p w:rsidR="00221F0B" w:rsidRPr="00526311" w:rsidRDefault="00221F0B" w:rsidP="00DC1333">
            <w:pPr>
              <w:autoSpaceDE w:val="0"/>
              <w:autoSpaceDN w:val="0"/>
              <w:adjustRightInd w:val="0"/>
              <w:rPr>
                <w:sz w:val="16"/>
                <w:szCs w:val="16"/>
              </w:rPr>
            </w:pPr>
            <w:r w:rsidRPr="00526311">
              <w:rPr>
                <w:sz w:val="16"/>
                <w:szCs w:val="16"/>
              </w:rPr>
              <w:t>90% de las recomendaciones aceptadas y 90% de las recomendaciones aplicadas en dos años</w:t>
            </w:r>
          </w:p>
        </w:tc>
        <w:tc>
          <w:tcPr>
            <w:tcW w:w="955" w:type="pct"/>
            <w:tcBorders>
              <w:top w:val="nil"/>
              <w:bottom w:val="single" w:sz="4" w:space="0" w:color="auto"/>
            </w:tcBorders>
            <w:shd w:val="clear" w:color="auto" w:fill="FFFFFF"/>
            <w:tcMar>
              <w:top w:w="110" w:type="dxa"/>
            </w:tcMar>
          </w:tcPr>
          <w:p w:rsidR="00221F0B" w:rsidRDefault="00221F0B" w:rsidP="00DC1333">
            <w:pPr>
              <w:rPr>
                <w:sz w:val="16"/>
                <w:szCs w:val="16"/>
                <w:lang w:bidi="th-TH"/>
              </w:rPr>
            </w:pPr>
            <w:r>
              <w:rPr>
                <w:sz w:val="16"/>
                <w:szCs w:val="16"/>
                <w:lang w:bidi="th-TH"/>
              </w:rPr>
              <w:t xml:space="preserve">Más del 95% </w:t>
            </w:r>
            <w:r w:rsidRPr="00526311">
              <w:rPr>
                <w:sz w:val="16"/>
                <w:szCs w:val="16"/>
                <w:lang w:bidi="th-TH"/>
              </w:rPr>
              <w:t xml:space="preserve">de las recomendaciones </w:t>
            </w:r>
            <w:r>
              <w:rPr>
                <w:sz w:val="16"/>
                <w:szCs w:val="16"/>
                <w:lang w:bidi="th-TH"/>
              </w:rPr>
              <w:t>han sido aceptadas</w:t>
            </w:r>
          </w:p>
          <w:p w:rsidR="00221F0B" w:rsidRDefault="00221F0B" w:rsidP="00DC1333">
            <w:pPr>
              <w:rPr>
                <w:sz w:val="16"/>
                <w:szCs w:val="16"/>
                <w:lang w:bidi="th-TH"/>
              </w:rPr>
            </w:pPr>
          </w:p>
          <w:p w:rsidR="00221F0B" w:rsidRPr="00526311" w:rsidRDefault="00221F0B" w:rsidP="00DC1333">
            <w:pPr>
              <w:rPr>
                <w:sz w:val="16"/>
                <w:szCs w:val="16"/>
                <w:lang w:bidi="th-TH"/>
              </w:rPr>
            </w:pPr>
            <w:r>
              <w:rPr>
                <w:sz w:val="16"/>
                <w:szCs w:val="16"/>
                <w:lang w:bidi="th-TH"/>
              </w:rPr>
              <w:t>El 40% se han aplicado</w:t>
            </w:r>
            <w:r w:rsidRPr="00526311">
              <w:rPr>
                <w:sz w:val="16"/>
                <w:szCs w:val="16"/>
                <w:lang w:bidi="th-TH"/>
              </w:rPr>
              <w:t xml:space="preserve"> en un plazo de dos años</w:t>
            </w:r>
            <w:r>
              <w:rPr>
                <w:sz w:val="16"/>
                <w:szCs w:val="16"/>
                <w:lang w:bidi="th-TH"/>
              </w:rPr>
              <w:t>.</w:t>
            </w:r>
          </w:p>
        </w:tc>
        <w:tc>
          <w:tcPr>
            <w:tcW w:w="812" w:type="pct"/>
            <w:gridSpan w:val="2"/>
            <w:tcBorders>
              <w:top w:val="nil"/>
              <w:bottom w:val="single" w:sz="4" w:space="0" w:color="auto"/>
              <w:right w:val="single" w:sz="4" w:space="0" w:color="auto"/>
            </w:tcBorders>
            <w:shd w:val="clear" w:color="auto" w:fill="auto"/>
            <w:tcMar>
              <w:top w:w="110" w:type="dxa"/>
            </w:tcMar>
          </w:tcPr>
          <w:p w:rsidR="00221F0B" w:rsidRDefault="00221F0B" w:rsidP="00DC1333">
            <w:pPr>
              <w:keepNext/>
              <w:keepLines/>
              <w:ind w:left="-107"/>
              <w:jc w:val="center"/>
              <w:rPr>
                <w:b/>
                <w:color w:val="00B050"/>
                <w:sz w:val="16"/>
                <w:szCs w:val="16"/>
              </w:rPr>
            </w:pPr>
            <w:r>
              <w:rPr>
                <w:b/>
                <w:color w:val="00B050"/>
                <w:sz w:val="16"/>
                <w:szCs w:val="16"/>
              </w:rPr>
              <w:t>Plenamente logrado</w:t>
            </w:r>
          </w:p>
          <w:p w:rsidR="00221F0B" w:rsidRDefault="00221F0B" w:rsidP="00DC1333">
            <w:pPr>
              <w:keepNext/>
              <w:keepLines/>
              <w:ind w:left="-107"/>
              <w:jc w:val="center"/>
              <w:rPr>
                <w:b/>
                <w:color w:val="00B050"/>
                <w:sz w:val="16"/>
                <w:szCs w:val="16"/>
              </w:rPr>
            </w:pPr>
          </w:p>
          <w:p w:rsidR="00221F0B" w:rsidRDefault="00221F0B" w:rsidP="00DC1333">
            <w:pPr>
              <w:keepNext/>
              <w:keepLines/>
              <w:ind w:left="-107"/>
              <w:jc w:val="center"/>
              <w:rPr>
                <w:b/>
                <w:color w:val="00B050"/>
                <w:sz w:val="16"/>
                <w:szCs w:val="16"/>
              </w:rPr>
            </w:pPr>
          </w:p>
          <w:p w:rsidR="00221F0B" w:rsidRPr="00E26524" w:rsidRDefault="00221F0B" w:rsidP="00DC1333">
            <w:pPr>
              <w:keepNext/>
              <w:keepLines/>
              <w:jc w:val="center"/>
              <w:rPr>
                <w:b/>
                <w:bCs/>
                <w:color w:val="E36C0A" w:themeColor="accent6" w:themeShade="BF"/>
                <w:sz w:val="16"/>
                <w:szCs w:val="16"/>
              </w:rPr>
            </w:pPr>
            <w:r>
              <w:rPr>
                <w:b/>
                <w:bCs/>
                <w:color w:val="E36C0A" w:themeColor="accent6" w:themeShade="BF"/>
                <w:sz w:val="16"/>
                <w:szCs w:val="16"/>
              </w:rPr>
              <w:t>Parcialmente logrado</w:t>
            </w:r>
          </w:p>
        </w:tc>
      </w:tr>
    </w:tbl>
    <w:p w:rsidR="00221F0B" w:rsidRDefault="00221F0B" w:rsidP="00DC1333">
      <w:pPr>
        <w:rPr>
          <w:color w:val="000000"/>
        </w:rPr>
      </w:pPr>
    </w:p>
    <w:p w:rsidR="00221F0B" w:rsidRPr="00526311" w:rsidRDefault="00221F0B" w:rsidP="00DC1333">
      <w:pPr>
        <w:rPr>
          <w:color w:val="000000"/>
        </w:rPr>
      </w:pPr>
    </w:p>
    <w:p w:rsidR="00221F0B" w:rsidRPr="00BB185D" w:rsidRDefault="008F7CBE" w:rsidP="00DC1333">
      <w:pPr>
        <w:keepNext/>
        <w:keepLines/>
        <w:rPr>
          <w:color w:val="000000"/>
          <w:szCs w:val="22"/>
        </w:rPr>
      </w:pPr>
      <w:r w:rsidRPr="008F7CBE">
        <w:rPr>
          <w:color w:val="000000"/>
          <w:sz w:val="20"/>
          <w:szCs w:val="22"/>
        </w:rPr>
        <w:t>INFORMACIÓN SOBRE LOS RIESGOS PLANTEADOS EN EL BIENIO</w:t>
      </w:r>
    </w:p>
    <w:p w:rsidR="00221F0B" w:rsidRPr="00BB185D" w:rsidRDefault="00221F0B" w:rsidP="00DC1333">
      <w:pPr>
        <w:keepNext/>
        <w:keepLines/>
        <w:rPr>
          <w:sz w:val="18"/>
        </w:rPr>
      </w:pP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0"/>
        <w:gridCol w:w="1959"/>
        <w:gridCol w:w="2603"/>
        <w:gridCol w:w="2461"/>
      </w:tblGrid>
      <w:tr w:rsidR="00221F0B" w:rsidRPr="00E17358" w:rsidTr="00DC1333">
        <w:trPr>
          <w:trHeight w:val="424"/>
        </w:trPr>
        <w:tc>
          <w:tcPr>
            <w:tcW w:w="253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E17358" w:rsidRDefault="00221F0B" w:rsidP="00DC1333">
            <w:pPr>
              <w:jc w:val="center"/>
              <w:rPr>
                <w:b/>
                <w:sz w:val="18"/>
                <w:szCs w:val="18"/>
              </w:rPr>
            </w:pPr>
            <w:r w:rsidRPr="00D10B62">
              <w:rPr>
                <w:b/>
                <w:bCs/>
                <w:iCs/>
                <w:sz w:val="18"/>
                <w:szCs w:val="18"/>
              </w:rPr>
              <w:t>Riesgos en el logro de los resultados del programa</w:t>
            </w:r>
          </w:p>
        </w:tc>
        <w:tc>
          <w:tcPr>
            <w:tcW w:w="2006"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E17358" w:rsidRDefault="00221F0B" w:rsidP="00DC1333">
            <w:pPr>
              <w:jc w:val="center"/>
              <w:rPr>
                <w:b/>
                <w:sz w:val="18"/>
                <w:szCs w:val="18"/>
              </w:rPr>
            </w:pPr>
            <w:r w:rsidRPr="00D10B62">
              <w:rPr>
                <w:b/>
                <w:bCs/>
                <w:iCs/>
                <w:sz w:val="18"/>
                <w:szCs w:val="18"/>
              </w:rPr>
              <w:t>Planes de mitigación ejecutados o en ejecución</w:t>
            </w:r>
          </w:p>
        </w:tc>
        <w:tc>
          <w:tcPr>
            <w:tcW w:w="2694" w:type="dxa"/>
            <w:tcBorders>
              <w:top w:val="single" w:sz="4" w:space="0" w:color="auto"/>
              <w:bottom w:val="single" w:sz="4" w:space="0" w:color="auto"/>
            </w:tcBorders>
            <w:shd w:val="clear" w:color="auto" w:fill="C6D9F1" w:themeFill="text2" w:themeFillTint="33"/>
          </w:tcPr>
          <w:p w:rsidR="00221F0B" w:rsidRPr="00E17358" w:rsidRDefault="00221F0B" w:rsidP="00DC1333">
            <w:pPr>
              <w:jc w:val="center"/>
              <w:rPr>
                <w:b/>
                <w:bCs/>
                <w:sz w:val="18"/>
                <w:szCs w:val="18"/>
              </w:rPr>
            </w:pPr>
            <w:r w:rsidRPr="00D10B62">
              <w:rPr>
                <w:b/>
                <w:bCs/>
                <w:iCs/>
                <w:sz w:val="18"/>
                <w:szCs w:val="18"/>
              </w:rPr>
              <w:t>Evolución de los riesgos y estrategias de mitigación durante el bienio</w:t>
            </w:r>
          </w:p>
        </w:tc>
        <w:tc>
          <w:tcPr>
            <w:tcW w:w="2551" w:type="dxa"/>
            <w:tcBorders>
              <w:top w:val="single" w:sz="4" w:space="0" w:color="auto"/>
              <w:bottom w:val="single" w:sz="4" w:space="0" w:color="auto"/>
            </w:tcBorders>
            <w:shd w:val="clear" w:color="auto" w:fill="C6D9F1" w:themeFill="text2" w:themeFillTint="33"/>
          </w:tcPr>
          <w:p w:rsidR="00221F0B" w:rsidRPr="00E17358" w:rsidRDefault="00221F0B" w:rsidP="00DC1333">
            <w:pPr>
              <w:jc w:val="center"/>
              <w:rPr>
                <w:b/>
                <w:bCs/>
                <w:sz w:val="18"/>
                <w:szCs w:val="18"/>
              </w:rPr>
            </w:pPr>
            <w:r w:rsidRPr="004520ED">
              <w:rPr>
                <w:b/>
                <w:bCs/>
                <w:sz w:val="18"/>
                <w:szCs w:val="18"/>
              </w:rPr>
              <w:t>Incidencia en el rendimiento del programa</w:t>
            </w:r>
          </w:p>
        </w:tc>
      </w:tr>
      <w:tr w:rsidR="00221F0B" w:rsidRPr="00B63825" w:rsidTr="00DC1333">
        <w:trPr>
          <w:trHeight w:val="799"/>
        </w:trPr>
        <w:tc>
          <w:tcPr>
            <w:tcW w:w="2530" w:type="dxa"/>
            <w:tcBorders>
              <w:top w:val="single" w:sz="4" w:space="0" w:color="auto"/>
            </w:tcBorders>
            <w:shd w:val="clear" w:color="auto" w:fill="auto"/>
            <w:tcMar>
              <w:top w:w="113" w:type="dxa"/>
              <w:bottom w:w="85" w:type="dxa"/>
            </w:tcMar>
          </w:tcPr>
          <w:p w:rsidR="00221F0B" w:rsidRPr="00E5288B" w:rsidRDefault="00221F0B" w:rsidP="00DC1333">
            <w:pPr>
              <w:rPr>
                <w:bCs/>
                <w:i/>
                <w:iCs/>
                <w:sz w:val="16"/>
                <w:szCs w:val="16"/>
              </w:rPr>
            </w:pPr>
            <w:r w:rsidRPr="00E17358">
              <w:rPr>
                <w:sz w:val="16"/>
                <w:szCs w:val="16"/>
              </w:rPr>
              <w:t>La actividad de supervisión interna no es inde</w:t>
            </w:r>
            <w:r>
              <w:rPr>
                <w:sz w:val="16"/>
                <w:szCs w:val="16"/>
              </w:rPr>
              <w:t>pendiente y el personal de la D</w:t>
            </w:r>
            <w:r w:rsidRPr="00E17358">
              <w:rPr>
                <w:sz w:val="16"/>
                <w:szCs w:val="16"/>
              </w:rPr>
              <w:t>SI no actúa con objetividad al cumplir con su labor.  Estarían en peligro la imparcialidad y la credibilidad de la labor ejecutada.  Se menoscabaría la confianza en la función de supervisión.</w:t>
            </w:r>
          </w:p>
        </w:tc>
        <w:tc>
          <w:tcPr>
            <w:tcW w:w="2006" w:type="dxa"/>
            <w:tcBorders>
              <w:top w:val="single" w:sz="4" w:space="0" w:color="auto"/>
            </w:tcBorders>
            <w:shd w:val="clear" w:color="auto" w:fill="auto"/>
            <w:tcMar>
              <w:top w:w="113" w:type="dxa"/>
              <w:bottom w:w="85" w:type="dxa"/>
            </w:tcMar>
          </w:tcPr>
          <w:p w:rsidR="00221F0B" w:rsidRPr="00D50388" w:rsidRDefault="00221F0B" w:rsidP="00DC1333">
            <w:pPr>
              <w:rPr>
                <w:bCs/>
                <w:i/>
                <w:iCs/>
                <w:sz w:val="16"/>
                <w:szCs w:val="16"/>
              </w:rPr>
            </w:pPr>
            <w:r>
              <w:rPr>
                <w:sz w:val="16"/>
                <w:szCs w:val="16"/>
              </w:rPr>
              <w:t>La D</w:t>
            </w:r>
            <w:r w:rsidRPr="00D50388">
              <w:rPr>
                <w:sz w:val="16"/>
                <w:szCs w:val="16"/>
              </w:rPr>
              <w:t>SI y su personal observarán la Carta de Supervisión Interna, presentará</w:t>
            </w:r>
            <w:r>
              <w:rPr>
                <w:sz w:val="16"/>
                <w:szCs w:val="16"/>
              </w:rPr>
              <w:t>n informes periódicos a la CCIS</w:t>
            </w:r>
            <w:r w:rsidRPr="00D50388">
              <w:rPr>
                <w:sz w:val="16"/>
                <w:szCs w:val="16"/>
              </w:rPr>
              <w:t xml:space="preserve"> e informes anuales sobre su independencia a</w:t>
            </w:r>
            <w:r>
              <w:rPr>
                <w:sz w:val="16"/>
                <w:szCs w:val="16"/>
              </w:rPr>
              <w:t xml:space="preserve"> la Asamblea General de la OMPI</w:t>
            </w:r>
          </w:p>
        </w:tc>
        <w:tc>
          <w:tcPr>
            <w:tcW w:w="2694" w:type="dxa"/>
            <w:tcBorders>
              <w:top w:val="single" w:sz="4" w:space="0" w:color="auto"/>
            </w:tcBorders>
          </w:tcPr>
          <w:p w:rsidR="00221F0B" w:rsidRPr="0009299D" w:rsidRDefault="00221F0B" w:rsidP="00DC1333">
            <w:pPr>
              <w:rPr>
                <w:sz w:val="16"/>
                <w:szCs w:val="16"/>
              </w:rPr>
            </w:pPr>
            <w:r>
              <w:rPr>
                <w:sz w:val="16"/>
                <w:szCs w:val="16"/>
              </w:rPr>
              <w:t>La DSI y su personal observa</w:t>
            </w:r>
            <w:r w:rsidRPr="00D50388">
              <w:rPr>
                <w:sz w:val="16"/>
                <w:szCs w:val="16"/>
              </w:rPr>
              <w:t>n la Carta de Supervisión Interna</w:t>
            </w:r>
            <w:r w:rsidRPr="00B228D9">
              <w:rPr>
                <w:sz w:val="16"/>
                <w:szCs w:val="16"/>
              </w:rPr>
              <w:t xml:space="preserve"> y los c</w:t>
            </w:r>
            <w:r>
              <w:rPr>
                <w:sz w:val="16"/>
                <w:szCs w:val="16"/>
              </w:rPr>
              <w:t xml:space="preserve">ódigos de conducta profesional, según corresponda.  Durante el bienio, los casos en que el Director o el personal de la DSI percibieron que podía haber conflicto de intereses se remitieron a la CCIS, de conformidad con el párrafo 18 de </w:t>
            </w:r>
            <w:r>
              <w:rPr>
                <w:sz w:val="16"/>
                <w:szCs w:val="16"/>
              </w:rPr>
              <w:lastRenderedPageBreak/>
              <w:t>la Carta, a fin de que los asesorara sobre la manera de proceder.</w:t>
            </w:r>
          </w:p>
        </w:tc>
        <w:tc>
          <w:tcPr>
            <w:tcW w:w="2551" w:type="dxa"/>
            <w:tcBorders>
              <w:top w:val="single" w:sz="4" w:space="0" w:color="auto"/>
            </w:tcBorders>
          </w:tcPr>
          <w:p w:rsidR="00221F0B" w:rsidRPr="00B63825" w:rsidRDefault="00221F0B" w:rsidP="00DC1333">
            <w:pPr>
              <w:rPr>
                <w:sz w:val="16"/>
                <w:szCs w:val="16"/>
              </w:rPr>
            </w:pPr>
            <w:r w:rsidRPr="00B63825">
              <w:rPr>
                <w:sz w:val="16"/>
                <w:szCs w:val="16"/>
              </w:rPr>
              <w:lastRenderedPageBreak/>
              <w:t>Los planes de mitigación ejecutados permitieron reducir al mínimo la incidencia en el logro de los resultados previstos del programa</w:t>
            </w:r>
          </w:p>
        </w:tc>
      </w:tr>
      <w:tr w:rsidR="00221F0B" w:rsidRPr="00B63825" w:rsidTr="00DC1333">
        <w:trPr>
          <w:trHeight w:val="937"/>
        </w:trPr>
        <w:tc>
          <w:tcPr>
            <w:tcW w:w="2530" w:type="dxa"/>
            <w:shd w:val="clear" w:color="auto" w:fill="auto"/>
            <w:tcMar>
              <w:top w:w="113" w:type="dxa"/>
              <w:bottom w:w="85" w:type="dxa"/>
            </w:tcMar>
          </w:tcPr>
          <w:p w:rsidR="00221F0B" w:rsidRPr="00D50388" w:rsidRDefault="00221F0B" w:rsidP="00DC1333">
            <w:pPr>
              <w:rPr>
                <w:sz w:val="16"/>
                <w:szCs w:val="16"/>
              </w:rPr>
            </w:pPr>
            <w:r>
              <w:rPr>
                <w:sz w:val="16"/>
                <w:szCs w:val="16"/>
              </w:rPr>
              <w:lastRenderedPageBreak/>
              <w:t>La labor de la D</w:t>
            </w:r>
            <w:r w:rsidRPr="00D50388">
              <w:rPr>
                <w:sz w:val="16"/>
                <w:szCs w:val="16"/>
              </w:rPr>
              <w:t>SI no es pertinente y no ayuda a la consecución de los</w:t>
            </w:r>
            <w:r>
              <w:rPr>
                <w:sz w:val="16"/>
                <w:szCs w:val="16"/>
              </w:rPr>
              <w:t xml:space="preserve"> resultados de la Organización.  </w:t>
            </w:r>
            <w:r w:rsidRPr="00D50388">
              <w:rPr>
                <w:sz w:val="16"/>
                <w:szCs w:val="16"/>
              </w:rPr>
              <w:t>El plan de supervisión no comprende esferas de interés para la Organizació</w:t>
            </w:r>
            <w:r>
              <w:rPr>
                <w:sz w:val="16"/>
                <w:szCs w:val="16"/>
              </w:rPr>
              <w:t xml:space="preserve">n en el logro de sus objetivos.  </w:t>
            </w:r>
            <w:r w:rsidRPr="00D50388">
              <w:rPr>
                <w:sz w:val="16"/>
                <w:szCs w:val="16"/>
              </w:rPr>
              <w:t>Las investigaciones no se llevan a cabo de manera puntual.</w:t>
            </w:r>
          </w:p>
        </w:tc>
        <w:tc>
          <w:tcPr>
            <w:tcW w:w="2006" w:type="dxa"/>
            <w:shd w:val="clear" w:color="auto" w:fill="auto"/>
            <w:tcMar>
              <w:top w:w="113" w:type="dxa"/>
              <w:bottom w:w="85" w:type="dxa"/>
            </w:tcMar>
          </w:tcPr>
          <w:p w:rsidR="00221F0B" w:rsidRPr="00D50388" w:rsidRDefault="00221F0B" w:rsidP="00DC1333">
            <w:pPr>
              <w:rPr>
                <w:sz w:val="16"/>
                <w:szCs w:val="16"/>
              </w:rPr>
            </w:pPr>
            <w:r w:rsidRPr="00D50388">
              <w:rPr>
                <w:sz w:val="16"/>
                <w:szCs w:val="16"/>
              </w:rPr>
              <w:t xml:space="preserve">Planificación profesional de las auditorías, evaluaciones e investigaciones; </w:t>
            </w:r>
            <w:r>
              <w:rPr>
                <w:sz w:val="16"/>
                <w:szCs w:val="16"/>
              </w:rPr>
              <w:t xml:space="preserve"> </w:t>
            </w:r>
            <w:r w:rsidRPr="00D50388">
              <w:rPr>
                <w:sz w:val="16"/>
                <w:szCs w:val="16"/>
              </w:rPr>
              <w:t xml:space="preserve">aportaciones del Director General, el personal directivo superior, y los Estados miembros al plan de supervisión; </w:t>
            </w:r>
            <w:r>
              <w:rPr>
                <w:sz w:val="16"/>
                <w:szCs w:val="16"/>
              </w:rPr>
              <w:t xml:space="preserve"> </w:t>
            </w:r>
            <w:r w:rsidRPr="00D50388">
              <w:rPr>
                <w:sz w:val="16"/>
                <w:szCs w:val="16"/>
              </w:rPr>
              <w:t>coordinación con otros sectores.</w:t>
            </w:r>
          </w:p>
        </w:tc>
        <w:tc>
          <w:tcPr>
            <w:tcW w:w="2694" w:type="dxa"/>
          </w:tcPr>
          <w:p w:rsidR="00221F0B" w:rsidRPr="00F001D5" w:rsidRDefault="00221F0B" w:rsidP="00DC1333">
            <w:pPr>
              <w:rPr>
                <w:sz w:val="16"/>
                <w:szCs w:val="16"/>
              </w:rPr>
            </w:pPr>
            <w:r w:rsidRPr="00F001D5">
              <w:rPr>
                <w:sz w:val="16"/>
                <w:szCs w:val="16"/>
              </w:rPr>
              <w:t>El plan de supervisión de la DSI fue elaborado sobre la base de su metodología de evaluación de riesgos y los registros de riesgos institucionales de la OMPI, teniendo en cuenta las entidades operativas de la OMPI y los correspondientes procesos de trabajo, así como la información recibida de los Estados miembros, la CCIS, el personal directiv</w:t>
            </w:r>
            <w:r>
              <w:rPr>
                <w:sz w:val="16"/>
                <w:szCs w:val="16"/>
              </w:rPr>
              <w:t>o superior y el Auditor Externo.</w:t>
            </w:r>
          </w:p>
          <w:p w:rsidR="00221F0B" w:rsidRPr="00F001D5" w:rsidRDefault="00221F0B" w:rsidP="00DC1333">
            <w:pPr>
              <w:rPr>
                <w:sz w:val="16"/>
                <w:szCs w:val="16"/>
              </w:rPr>
            </w:pPr>
          </w:p>
          <w:p w:rsidR="00221F0B" w:rsidRPr="00F001D5" w:rsidRDefault="00221F0B" w:rsidP="00DC1333">
            <w:pPr>
              <w:rPr>
                <w:sz w:val="16"/>
                <w:szCs w:val="16"/>
              </w:rPr>
            </w:pPr>
            <w:r w:rsidRPr="00F001D5">
              <w:rPr>
                <w:sz w:val="16"/>
                <w:szCs w:val="16"/>
              </w:rPr>
              <w:t xml:space="preserve">Durante el bienio 2014/15 la DSI </w:t>
            </w:r>
            <w:r>
              <w:rPr>
                <w:sz w:val="16"/>
                <w:szCs w:val="16"/>
              </w:rPr>
              <w:t>tuvo</w:t>
            </w:r>
            <w:r w:rsidRPr="00F001D5">
              <w:rPr>
                <w:sz w:val="16"/>
                <w:szCs w:val="16"/>
              </w:rPr>
              <w:t xml:space="preserve"> dificultades para </w:t>
            </w:r>
            <w:r>
              <w:rPr>
                <w:sz w:val="16"/>
                <w:szCs w:val="16"/>
              </w:rPr>
              <w:t>finaliza</w:t>
            </w:r>
            <w:r w:rsidRPr="00F001D5">
              <w:rPr>
                <w:sz w:val="16"/>
                <w:szCs w:val="16"/>
              </w:rPr>
              <w:t>r las investigaciones de forma puntual debido a</w:t>
            </w:r>
            <w:proofErr w:type="gramStart"/>
            <w:r w:rsidRPr="00F001D5">
              <w:rPr>
                <w:sz w:val="16"/>
                <w:szCs w:val="16"/>
              </w:rPr>
              <w:t>:  i</w:t>
            </w:r>
            <w:proofErr w:type="gramEnd"/>
            <w:r w:rsidRPr="00F001D5">
              <w:rPr>
                <w:sz w:val="16"/>
                <w:szCs w:val="16"/>
              </w:rPr>
              <w:t>) un aumento del número de investigaciones, ii) falta de cooperación por parte de miembros del personal, así como ii</w:t>
            </w:r>
            <w:r>
              <w:rPr>
                <w:sz w:val="16"/>
                <w:szCs w:val="16"/>
              </w:rPr>
              <w:t>i</w:t>
            </w:r>
            <w:r w:rsidRPr="00F001D5">
              <w:rPr>
                <w:sz w:val="16"/>
                <w:szCs w:val="16"/>
              </w:rPr>
              <w:t xml:space="preserve">) </w:t>
            </w:r>
            <w:r>
              <w:rPr>
                <w:sz w:val="16"/>
                <w:szCs w:val="16"/>
              </w:rPr>
              <w:t xml:space="preserve">escasez de personal para hacer frente al aumento del volumen de trabajo.  </w:t>
            </w:r>
            <w:r w:rsidRPr="00F001D5">
              <w:rPr>
                <w:sz w:val="16"/>
                <w:szCs w:val="16"/>
              </w:rPr>
              <w:t>Para mitigar el riesgo se recurrió a modalidades flexibles de contratación</w:t>
            </w:r>
            <w:r>
              <w:rPr>
                <w:sz w:val="16"/>
                <w:szCs w:val="16"/>
              </w:rPr>
              <w:t>,</w:t>
            </w:r>
            <w:r w:rsidRPr="00F001D5">
              <w:rPr>
                <w:sz w:val="16"/>
                <w:szCs w:val="16"/>
              </w:rPr>
              <w:t xml:space="preserve"> a fin de administrar el aumento del volumen de trabajo de investigación</w:t>
            </w:r>
          </w:p>
        </w:tc>
        <w:tc>
          <w:tcPr>
            <w:tcW w:w="2551" w:type="dxa"/>
          </w:tcPr>
          <w:p w:rsidR="00221F0B" w:rsidRPr="00B63825" w:rsidRDefault="00221F0B" w:rsidP="00DC1333">
            <w:pPr>
              <w:rPr>
                <w:sz w:val="16"/>
                <w:szCs w:val="16"/>
              </w:rPr>
            </w:pPr>
            <w:r w:rsidRPr="00B63825">
              <w:rPr>
                <w:sz w:val="16"/>
                <w:szCs w:val="16"/>
              </w:rPr>
              <w:t>A</w:t>
            </w:r>
            <w:r>
              <w:rPr>
                <w:sz w:val="16"/>
                <w:szCs w:val="16"/>
              </w:rPr>
              <w:t xml:space="preserve"> pesar del aumento del plazo medio de finalización de las investigaciones en comparación con la referencia de 2013,</w:t>
            </w:r>
            <w:r w:rsidRPr="00B63825">
              <w:rPr>
                <w:sz w:val="16"/>
                <w:szCs w:val="16"/>
              </w:rPr>
              <w:t xml:space="preserve"> todos los casos de investigación se concluyeron dentro de los plazos establecidos en la Política de Investigación de la OMPI</w:t>
            </w:r>
            <w:r>
              <w:rPr>
                <w:sz w:val="16"/>
                <w:szCs w:val="16"/>
              </w:rPr>
              <w:t xml:space="preserve"> y se logró plenamente la meta fijada para el bienio</w:t>
            </w:r>
            <w:r w:rsidRPr="00B63825">
              <w:rPr>
                <w:sz w:val="16"/>
                <w:szCs w:val="16"/>
              </w:rPr>
              <w:t>.</w:t>
            </w:r>
          </w:p>
        </w:tc>
      </w:tr>
    </w:tbl>
    <w:p w:rsidR="00221F0B" w:rsidRDefault="00221F0B" w:rsidP="00DC1333"/>
    <w:p w:rsidR="00221F0B" w:rsidRPr="00B63825" w:rsidRDefault="00221F0B" w:rsidP="00DC1333"/>
    <w:p w:rsidR="00221F0B" w:rsidRPr="00526311" w:rsidRDefault="00403D2C" w:rsidP="00DC1333">
      <w:pPr>
        <w:rPr>
          <w:b/>
          <w:szCs w:val="22"/>
        </w:rPr>
      </w:pPr>
      <w:r w:rsidRPr="00403D2C">
        <w:rPr>
          <w:sz w:val="20"/>
          <w:szCs w:val="22"/>
        </w:rPr>
        <w:t>UTILIZACIÓN DE LOS RECURSOS</w:t>
      </w:r>
    </w:p>
    <w:p w:rsidR="00221F0B" w:rsidRPr="00526311" w:rsidRDefault="00221F0B" w:rsidP="00DC1333"/>
    <w:p w:rsidR="00221F0B" w:rsidRPr="00526311" w:rsidRDefault="00221F0B" w:rsidP="00DC1333">
      <w:pPr>
        <w:pStyle w:val="NormalWeb"/>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221F0B" w:rsidRPr="00526311" w:rsidRDefault="00221F0B"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221F0B" w:rsidRPr="00526311" w:rsidRDefault="00221F0B" w:rsidP="00DC1333">
      <w:pPr>
        <w:pStyle w:val="NormalWeb"/>
        <w:spacing w:before="0" w:beforeAutospacing="0" w:after="0" w:afterAutospacing="0"/>
        <w:jc w:val="center"/>
        <w:rPr>
          <w:sz w:val="20"/>
          <w:szCs w:val="20"/>
          <w:lang w:val="es-ES"/>
        </w:rPr>
      </w:pPr>
    </w:p>
    <w:p w:rsidR="00221F0B" w:rsidRPr="00526311" w:rsidRDefault="00221F0B" w:rsidP="00DC1333">
      <w:pPr>
        <w:jc w:val="center"/>
      </w:pPr>
      <w:bookmarkStart w:id="197" w:name="Bm26"/>
      <w:bookmarkStart w:id="198" w:name="Punto26"/>
      <w:r>
        <w:rPr>
          <w:noProof/>
          <w:lang w:val="en-US" w:eastAsia="en-US"/>
        </w:rPr>
        <w:drawing>
          <wp:inline distT="0" distB="0" distL="0" distR="0" wp14:anchorId="7FE5F893" wp14:editId="347E29A5">
            <wp:extent cx="5676900" cy="1362075"/>
            <wp:effectExtent l="0" t="0" r="0" b="9525"/>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676900" cy="1362075"/>
                    </a:xfrm>
                    <a:prstGeom prst="rect">
                      <a:avLst/>
                    </a:prstGeom>
                    <a:noFill/>
                    <a:ln>
                      <a:noFill/>
                    </a:ln>
                  </pic:spPr>
                </pic:pic>
              </a:graphicData>
            </a:graphic>
          </wp:inline>
        </w:drawing>
      </w:r>
      <w:bookmarkEnd w:id="197"/>
      <w:bookmarkEnd w:id="198"/>
    </w:p>
    <w:p w:rsidR="00221F0B" w:rsidRPr="00526311" w:rsidRDefault="00221F0B" w:rsidP="00DC1333"/>
    <w:p w:rsidR="00221F0B" w:rsidRPr="00526311" w:rsidRDefault="00221F0B" w:rsidP="00DC1333">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221F0B" w:rsidRPr="00526311" w:rsidRDefault="00221F0B"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221F0B" w:rsidRPr="00526311" w:rsidRDefault="00221F0B" w:rsidP="00DC1333">
      <w:pPr>
        <w:pStyle w:val="NormalWeb"/>
        <w:spacing w:before="0" w:beforeAutospacing="0" w:after="0" w:afterAutospacing="0"/>
        <w:jc w:val="center"/>
        <w:rPr>
          <w:lang w:val="es-ES"/>
        </w:rPr>
      </w:pPr>
    </w:p>
    <w:p w:rsidR="00221F0B" w:rsidRPr="00526311" w:rsidRDefault="00221F0B" w:rsidP="00DC1333">
      <w:pPr>
        <w:jc w:val="center"/>
      </w:pPr>
      <w:bookmarkStart w:id="199" w:name="Point26"/>
      <w:r>
        <w:rPr>
          <w:noProof/>
          <w:lang w:val="en-US" w:eastAsia="en-US"/>
        </w:rPr>
        <w:drawing>
          <wp:inline distT="0" distB="0" distL="0" distR="0" wp14:anchorId="67107DB9" wp14:editId="7EB419CA">
            <wp:extent cx="5940425" cy="1038940"/>
            <wp:effectExtent l="0" t="0" r="3175" b="889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940425" cy="1038940"/>
                    </a:xfrm>
                    <a:prstGeom prst="rect">
                      <a:avLst/>
                    </a:prstGeom>
                    <a:noFill/>
                    <a:ln>
                      <a:noFill/>
                    </a:ln>
                  </pic:spPr>
                </pic:pic>
              </a:graphicData>
            </a:graphic>
          </wp:inline>
        </w:drawing>
      </w:r>
      <w:bookmarkEnd w:id="199"/>
    </w:p>
    <w:p w:rsidR="00221F0B" w:rsidRPr="00526311" w:rsidRDefault="00221F0B" w:rsidP="00DC1333">
      <w:pPr>
        <w:autoSpaceDE w:val="0"/>
        <w:autoSpaceDN w:val="0"/>
        <w:adjustRightInd w:val="0"/>
        <w:rPr>
          <w:sz w:val="20"/>
        </w:rPr>
      </w:pPr>
    </w:p>
    <w:p w:rsidR="00221F0B" w:rsidRPr="00526311" w:rsidRDefault="00403D2C" w:rsidP="00D02BF6">
      <w:pPr>
        <w:keepNext/>
        <w:tabs>
          <w:tab w:val="left" w:pos="709"/>
        </w:tabs>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221F0B" w:rsidRPr="00526311" w:rsidRDefault="00221F0B" w:rsidP="009E4D02">
      <w:pPr>
        <w:keepNext/>
        <w:jc w:val="both"/>
        <w:rPr>
          <w:sz w:val="20"/>
          <w:u w:val="single"/>
          <w:lang w:eastAsia="ko-KR"/>
        </w:rPr>
      </w:pPr>
    </w:p>
    <w:p w:rsidR="00221F0B" w:rsidRPr="00526311" w:rsidRDefault="00221F0B" w:rsidP="00EB45DE">
      <w:pPr>
        <w:pStyle w:val="ListParagraph"/>
        <w:keepNext/>
        <w:numPr>
          <w:ilvl w:val="0"/>
          <w:numId w:val="114"/>
        </w:numPr>
        <w:tabs>
          <w:tab w:val="left" w:pos="709"/>
        </w:tabs>
        <w:ind w:left="0" w:firstLine="0"/>
        <w:jc w:val="both"/>
        <w:rPr>
          <w:rFonts w:ascii="Calibri" w:hAnsi="Calibri"/>
          <w:lang w:val="es-ES"/>
        </w:rPr>
      </w:pPr>
      <w:r w:rsidRPr="00526311">
        <w:rPr>
          <w:rFonts w:cs="Arial"/>
          <w:iCs/>
          <w:lang w:val="es-ES"/>
        </w:rPr>
        <w:t xml:space="preserve">El presupuesto </w:t>
      </w:r>
      <w:r>
        <w:rPr>
          <w:rFonts w:cs="Arial"/>
          <w:iCs/>
          <w:lang w:val="es-ES"/>
        </w:rPr>
        <w:t xml:space="preserve">final </w:t>
      </w:r>
      <w:r w:rsidRPr="00526311">
        <w:rPr>
          <w:rFonts w:cs="Arial"/>
          <w:iCs/>
          <w:lang w:val="es-ES"/>
        </w:rPr>
        <w:t>de 2014/15 tras las transferencias refleja los leves ajustes a la baja efectuados para aumentar la eficacia en función de los costos</w:t>
      </w:r>
      <w:r w:rsidRPr="00526311">
        <w:rPr>
          <w:rFonts w:cs="Arial"/>
          <w:lang w:val="es-ES"/>
        </w:rPr>
        <w:t>.</w:t>
      </w:r>
    </w:p>
    <w:p w:rsidR="00221F0B" w:rsidRPr="00526311" w:rsidRDefault="00221F0B" w:rsidP="009E4D02">
      <w:pPr>
        <w:keepNext/>
        <w:jc w:val="both"/>
        <w:rPr>
          <w:sz w:val="20"/>
          <w:lang w:eastAsia="ko-KR"/>
        </w:rPr>
      </w:pPr>
    </w:p>
    <w:p w:rsidR="00221F0B" w:rsidRPr="00526311" w:rsidRDefault="00403D2C" w:rsidP="00D02BF6">
      <w:pPr>
        <w:keepNext/>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01752B" w:rsidRDefault="00221F0B" w:rsidP="009E4D02">
      <w:pPr>
        <w:pStyle w:val="ListParagraph"/>
        <w:keepNext/>
        <w:tabs>
          <w:tab w:val="left" w:pos="567"/>
        </w:tabs>
        <w:ind w:left="0"/>
        <w:jc w:val="both"/>
        <w:rPr>
          <w:rFonts w:cs="Arial"/>
          <w:lang w:val="es-ES"/>
        </w:rPr>
      </w:pPr>
    </w:p>
    <w:p w:rsidR="00221F0B" w:rsidRDefault="00221F0B" w:rsidP="00D02BF6">
      <w:pPr>
        <w:keepNext/>
        <w:tabs>
          <w:tab w:val="left" w:pos="709"/>
        </w:tabs>
        <w:jc w:val="both"/>
        <w:rPr>
          <w:sz w:val="20"/>
          <w:lang w:eastAsia="ko-KR"/>
        </w:rPr>
      </w:pPr>
      <w:r w:rsidRPr="00E06CAF">
        <w:rPr>
          <w:sz w:val="20"/>
          <w:lang w:eastAsia="ko-KR"/>
        </w:rPr>
        <w:t>26.11</w:t>
      </w:r>
      <w:r w:rsidRPr="00E06CAF">
        <w:rPr>
          <w:sz w:val="20"/>
          <w:lang w:eastAsia="ko-KR"/>
        </w:rPr>
        <w:tab/>
        <w:t xml:space="preserve">La utilización del presupuesto </w:t>
      </w:r>
      <w:r>
        <w:rPr>
          <w:sz w:val="20"/>
          <w:lang w:eastAsia="ko-KR"/>
        </w:rPr>
        <w:t>destinado a recursos de personal fue ligeramente inferior a lo previsto debido fundamentalmente a la marcha del Director de la DSI al final de abril de 2015.  La utilización de los recursos no relativos a personal refleja el aplazamiento hasta 2016 del pago de una investigación importante subcontratada a un tercero, que inicialmente estaba previsto para 2015.</w:t>
      </w:r>
    </w:p>
    <w:p w:rsidR="004334DE" w:rsidRDefault="004334DE">
      <w:pPr>
        <w:rPr>
          <w:b/>
          <w:bCs/>
          <w:iCs/>
          <w:caps/>
          <w:szCs w:val="28"/>
        </w:rPr>
      </w:pPr>
      <w:bookmarkStart w:id="200" w:name="_Toc422927441"/>
      <w:r>
        <w:rPr>
          <w:b/>
        </w:rPr>
        <w:br w:type="page"/>
      </w:r>
    </w:p>
    <w:p w:rsidR="00221F0B" w:rsidRPr="00B449F8" w:rsidRDefault="00221F0B" w:rsidP="00DC1333">
      <w:pPr>
        <w:pStyle w:val="Heading2"/>
        <w:keepNext w:val="0"/>
        <w:tabs>
          <w:tab w:val="left" w:pos="2410"/>
        </w:tabs>
        <w:jc w:val="both"/>
        <w:rPr>
          <w:b/>
        </w:rPr>
      </w:pPr>
      <w:bookmarkStart w:id="201" w:name="_Toc455159109"/>
      <w:r w:rsidRPr="00B449F8">
        <w:rPr>
          <w:b/>
        </w:rPr>
        <w:lastRenderedPageBreak/>
        <w:t>PROGRAMA 27</w:t>
      </w:r>
      <w:r w:rsidRPr="00B449F8">
        <w:rPr>
          <w:b/>
        </w:rPr>
        <w:tab/>
        <w:t>SERVICIOS DE CONFERENCIAS Y LINGÜÍSTICOS</w:t>
      </w:r>
      <w:bookmarkEnd w:id="200"/>
      <w:bookmarkEnd w:id="201"/>
    </w:p>
    <w:p w:rsidR="00221F0B" w:rsidRPr="00B449F8" w:rsidRDefault="00221F0B" w:rsidP="00DC1333">
      <w:pPr>
        <w:jc w:val="both"/>
        <w:rPr>
          <w:sz w:val="20"/>
        </w:rPr>
      </w:pPr>
    </w:p>
    <w:p w:rsidR="00221F0B" w:rsidRPr="00B449F8" w:rsidRDefault="00221F0B" w:rsidP="00DC1333">
      <w:pPr>
        <w:tabs>
          <w:tab w:val="left" w:pos="2410"/>
        </w:tabs>
        <w:jc w:val="both"/>
        <w:rPr>
          <w:b/>
          <w:sz w:val="20"/>
        </w:rPr>
      </w:pPr>
      <w:r w:rsidRPr="00B449F8">
        <w:rPr>
          <w:b/>
          <w:sz w:val="20"/>
        </w:rPr>
        <w:t>Director de programa</w:t>
      </w:r>
      <w:r w:rsidRPr="00B449F8">
        <w:rPr>
          <w:sz w:val="20"/>
        </w:rPr>
        <w:tab/>
      </w:r>
      <w:r w:rsidRPr="00B449F8">
        <w:rPr>
          <w:b/>
          <w:sz w:val="20"/>
        </w:rPr>
        <w:t>Sr. A. Sundaram</w:t>
      </w:r>
    </w:p>
    <w:p w:rsidR="00221F0B" w:rsidRPr="00B449F8" w:rsidRDefault="00221F0B" w:rsidP="00DC1333">
      <w:pPr>
        <w:jc w:val="both"/>
        <w:rPr>
          <w:sz w:val="20"/>
        </w:rPr>
      </w:pPr>
    </w:p>
    <w:p w:rsidR="00221F0B" w:rsidRPr="00B449F8" w:rsidRDefault="00221F0B" w:rsidP="00DC1333">
      <w:pPr>
        <w:jc w:val="both"/>
        <w:rPr>
          <w:sz w:val="20"/>
        </w:rPr>
      </w:pPr>
    </w:p>
    <w:p w:rsidR="00221F0B" w:rsidRPr="00B449F8" w:rsidRDefault="008F7CBE" w:rsidP="00DC1333">
      <w:pPr>
        <w:jc w:val="both"/>
        <w:rPr>
          <w:bCs/>
          <w:szCs w:val="22"/>
        </w:rPr>
      </w:pPr>
      <w:r w:rsidRPr="008F7CBE">
        <w:rPr>
          <w:bCs/>
          <w:sz w:val="20"/>
          <w:szCs w:val="22"/>
        </w:rPr>
        <w:t>LOGROS ALCANZADOS EN EL BIENIO 2014/15</w:t>
      </w:r>
    </w:p>
    <w:p w:rsidR="00221F0B" w:rsidRPr="00B449F8" w:rsidRDefault="00221F0B" w:rsidP="00DC1333">
      <w:pPr>
        <w:jc w:val="both"/>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Durante el bienio la Secretaría siguió aplicando eficazmente la Política lingüística de la OMPI al incluir los grupos de trabajo en la cobertura lingüística que se ofrece en seis idiomas, mediante un enfoque gradual y eficaz en función de los costos.  Con arreglo al calendario establecido por los Estados miembros, durante el bienio 2014/15 se amplió la cobertura para dar cabida a:  i) el Grupo de Trabajo del PCT;  ii) el Grupo de Trabajo sobre el Desarrollo Jurídico del Sistema de La Haya para el Registro Internacional de Dibujos y Modelos Industriales;  iii) el Grupo de Trabajo sobre el Desarrollo Jurídico del Sistema de Madrid para el Registro Internacional de Marcas, y iv) el Grupo de Trabajo sobre la Revisión de la CIP.</w:t>
      </w:r>
    </w:p>
    <w:p w:rsidR="00221F0B" w:rsidRPr="00B449F8" w:rsidRDefault="00221F0B" w:rsidP="00DC1333">
      <w:pPr>
        <w:tabs>
          <w:tab w:val="left" w:pos="709"/>
        </w:tabs>
        <w:jc w:val="both"/>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Durante el bienio los servicios lingüísticos siguieron recurriendo en gran medida a la subcontratación de los servicios de traducción, y el 59% y el 54% del volumen de trabajo se subcontrató a profesionales autónomos y empresas de traducción en 2014 y 2015 respectivamente, en comparación con el 56% de 2013.  A fin de velar por la calidad de la traducción, se fomentaron las medidas de control de calidad gracias a la contribución del equipo básico interno de traduct</w:t>
      </w:r>
      <w:r>
        <w:rPr>
          <w:rFonts w:cs="Arial"/>
          <w:bCs/>
          <w:lang w:val="es-ES" w:eastAsia="zh-CN"/>
        </w:rPr>
        <w:t>ores y revisores.  En el bienio </w:t>
      </w:r>
      <w:r w:rsidRPr="00B449F8">
        <w:rPr>
          <w:rFonts w:cs="Arial"/>
          <w:bCs/>
          <w:lang w:val="es-ES" w:eastAsia="zh-CN"/>
        </w:rPr>
        <w:t>2014/15 se establecieron nuevas medidas y procedimientos de trabajo agilizados en todos los idiomas.</w:t>
      </w:r>
    </w:p>
    <w:p w:rsidR="00221F0B" w:rsidRPr="00B449F8" w:rsidRDefault="00221F0B" w:rsidP="00DC1333">
      <w:pPr>
        <w:tabs>
          <w:tab w:val="left" w:pos="709"/>
        </w:tabs>
        <w:jc w:val="both"/>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Además, durante el bienio se siguieron intensificando los procedimientos de control de la calidad de las traducciones, con inclusión del concepto de “calidad en el origen” mediante la revisión general de las relaciones contractuales con los traductores externos.  A la vez que se mantuvo la relación exclusivamente con los traductores que cumplían con los patrones establecidos, se contrataron nuevos traductores por cuenta propia únicamente después de llevar a cabo un proceso de examen intensivo.  Además, se introdujeron sistemas de vinculación de los pagos con la calidad y la entrega puntual de las traducciones subcontratadas.  Gracias a ello, el índice general de traducciones sometidas a revisión para controlar la calidad ascendió de menos del 10% antes de la aplicación de la Política lingüística (a finales de 2011) al 39% en 2014 y el 60% al finalizar el bienio.</w:t>
      </w:r>
    </w:p>
    <w:p w:rsidR="00221F0B" w:rsidRPr="00B449F8" w:rsidRDefault="00221F0B" w:rsidP="00DC1333">
      <w:pPr>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Se seleccionaron asimismo otras agencias de traducción mediante licitaciones internacionales para las traducciones al árabe, al chino y al ruso, tomando en consideración la experiencia adquirida en la subcontratación de traducciones al español y al francés.</w:t>
      </w:r>
    </w:p>
    <w:p w:rsidR="00221F0B" w:rsidRPr="00B449F8" w:rsidRDefault="00221F0B" w:rsidP="00DC1333">
      <w:pPr>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Haciendo uso de las herramientas de terminología y traducción asistida por computadora, que se introdujeron en 2014, el programa emprendió un proyecto destinado a publicar terminología, por primera vez, en los seis idiomas de las Naciones Unidas mediante la plataforma de terminología WIPO Pearl puesta en marcha recientemente, que actualmente solo contiene las entradas terminológicas del PCT.  En 2015 se llevó a cabo una labor considerable para crear, validar y ampliar su base de datos terminológica.  Al final del bienio se había efectuado una validación previa de 12.704 términos en los seis idiomas de las Naciones Unidas, para su publicación en la plataforma terminológica común, con sujeción a que se ultimaran las labores de diseño técnico y pruebas.</w:t>
      </w:r>
    </w:p>
    <w:p w:rsidR="00221F0B" w:rsidRPr="00B449F8" w:rsidRDefault="00221F0B" w:rsidP="00DC1333">
      <w:pPr>
        <w:pStyle w:val="ListParagraph"/>
        <w:ind w:left="0"/>
        <w:rPr>
          <w:rFonts w:cs="Arial"/>
          <w:bCs/>
          <w:lang w:val="es-ES" w:eastAsia="zh-CN"/>
        </w:rPr>
      </w:pPr>
    </w:p>
    <w:p w:rsidR="00221F0B" w:rsidRDefault="00221F0B" w:rsidP="00EB45DE">
      <w:pPr>
        <w:pStyle w:val="ListParagraph"/>
        <w:numPr>
          <w:ilvl w:val="0"/>
          <w:numId w:val="115"/>
        </w:numPr>
        <w:tabs>
          <w:tab w:val="left" w:pos="709"/>
        </w:tabs>
        <w:ind w:left="0" w:firstLine="0"/>
        <w:jc w:val="both"/>
        <w:rPr>
          <w:rFonts w:cs="Arial"/>
          <w:bCs/>
          <w:lang w:val="es-ES" w:eastAsia="zh-CN"/>
        </w:rPr>
      </w:pPr>
      <w:r w:rsidRPr="00B449F8">
        <w:rPr>
          <w:rFonts w:cs="Arial"/>
          <w:bCs/>
          <w:lang w:val="es-ES" w:eastAsia="zh-CN"/>
        </w:rPr>
        <w:t>Por último, al seguir aplicando rigurosamente durante el bienio las medidas de racionalización y control al número y al tamaño de los documentos de todas las reuniones, el volumen de traducción disminuyó un 8,5% (30,35 millones de palabras durante el bieni</w:t>
      </w:r>
      <w:r>
        <w:rPr>
          <w:rFonts w:cs="Arial"/>
          <w:bCs/>
          <w:lang w:val="es-ES" w:eastAsia="zh-CN"/>
        </w:rPr>
        <w:t>o 2014/15 en comparación con lo</w:t>
      </w:r>
      <w:r w:rsidRPr="00B449F8">
        <w:rPr>
          <w:rFonts w:cs="Arial"/>
          <w:bCs/>
          <w:lang w:val="es-ES" w:eastAsia="zh-CN"/>
        </w:rPr>
        <w:t xml:space="preserve">s 33,17 millones de palabras traducidas durante el bienio 2012/13), a pesar de que durante el bienio se amplió la cobertura lingüística a cuatro grupos de trabajo importantes.  Esas medidas e iniciativas contribuyeron a lograr una mayor eficacia en función de los costos durante el bienio, y se redujo considerablemente el costo por palabra traducida, que pasó de 0,63 francos suizos en 2013 a 0,59 y 0,57 </w:t>
      </w:r>
      <w:r>
        <w:rPr>
          <w:rFonts w:cs="Arial"/>
          <w:bCs/>
          <w:lang w:val="es-ES" w:eastAsia="zh-CN"/>
        </w:rPr>
        <w:t>francos suizos en </w:t>
      </w:r>
      <w:r w:rsidRPr="00B449F8">
        <w:rPr>
          <w:rFonts w:cs="Arial"/>
          <w:bCs/>
          <w:lang w:val="es-ES" w:eastAsia="zh-CN"/>
        </w:rPr>
        <w:t>2014 y 2015 respectivamente.</w:t>
      </w:r>
    </w:p>
    <w:p w:rsidR="00221F0B" w:rsidRDefault="00221F0B" w:rsidP="00DC1333">
      <w:pPr>
        <w:pStyle w:val="ListParagraph"/>
        <w:tabs>
          <w:tab w:val="left" w:pos="709"/>
        </w:tabs>
        <w:ind w:left="0"/>
        <w:jc w:val="both"/>
        <w:rPr>
          <w:rFonts w:cs="Arial"/>
          <w:bCs/>
          <w:lang w:val="es-ES" w:eastAsia="zh-CN"/>
        </w:rPr>
      </w:pPr>
    </w:p>
    <w:p w:rsidR="00221F0B" w:rsidRPr="0011118D" w:rsidRDefault="00221F0B" w:rsidP="00DC1333">
      <w:pPr>
        <w:pStyle w:val="ListParagraph"/>
        <w:keepNext/>
        <w:jc w:val="center"/>
        <w:rPr>
          <w:rFonts w:cs="Arial"/>
          <w:bCs/>
          <w:lang w:val="es-ES" w:eastAsia="zh-CN"/>
        </w:rPr>
      </w:pPr>
      <w:r w:rsidRPr="0011118D">
        <w:rPr>
          <w:i/>
          <w:sz w:val="16"/>
          <w:szCs w:val="16"/>
          <w:lang w:val="es-ES"/>
        </w:rPr>
        <w:lastRenderedPageBreak/>
        <w:t>Volumen de traducción 2012-2015</w:t>
      </w:r>
      <w:r w:rsidRPr="0011118D">
        <w:rPr>
          <w:lang w:val="es-ES"/>
        </w:rPr>
        <w:tab/>
      </w:r>
      <w:r w:rsidRPr="0011118D">
        <w:rPr>
          <w:i/>
          <w:sz w:val="16"/>
          <w:szCs w:val="16"/>
          <w:lang w:val="es-ES"/>
        </w:rPr>
        <w:t>Costo por palabra traducida 2013-2015</w:t>
      </w:r>
    </w:p>
    <w:p w:rsidR="00221F0B" w:rsidRPr="0011118D" w:rsidRDefault="00221F0B" w:rsidP="00DC1333">
      <w:pPr>
        <w:pStyle w:val="ListParagraph"/>
        <w:keepNext/>
        <w:tabs>
          <w:tab w:val="left" w:pos="709"/>
        </w:tabs>
        <w:ind w:left="0"/>
        <w:jc w:val="center"/>
        <w:rPr>
          <w:rFonts w:cs="Arial"/>
          <w:bCs/>
          <w:lang w:val="es-ES" w:eastAsia="zh-CN"/>
        </w:rPr>
      </w:pPr>
      <w:r w:rsidRPr="00705631">
        <w:rPr>
          <w:noProof/>
        </w:rPr>
        <w:drawing>
          <wp:inline distT="0" distB="0" distL="0" distR="0" wp14:anchorId="5E4E56B0" wp14:editId="7E6084F6">
            <wp:extent cx="5216683" cy="1604729"/>
            <wp:effectExtent l="0" t="0" r="317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217531" cy="1604990"/>
                    </a:xfrm>
                    <a:prstGeom prst="rect">
                      <a:avLst/>
                    </a:prstGeom>
                    <a:noFill/>
                    <a:ln>
                      <a:noFill/>
                    </a:ln>
                  </pic:spPr>
                </pic:pic>
              </a:graphicData>
            </a:graphic>
          </wp:inline>
        </w:drawing>
      </w:r>
    </w:p>
    <w:p w:rsidR="00221F0B" w:rsidRPr="0011118D" w:rsidRDefault="00221F0B" w:rsidP="00DC1333">
      <w:pPr>
        <w:keepNext/>
        <w:tabs>
          <w:tab w:val="left" w:pos="709"/>
        </w:tabs>
        <w:jc w:val="both"/>
        <w:rPr>
          <w:bCs/>
        </w:rPr>
      </w:pPr>
    </w:p>
    <w:p w:rsidR="00221F0B" w:rsidRPr="00B449F8" w:rsidRDefault="00221F0B" w:rsidP="00EB45DE">
      <w:pPr>
        <w:pStyle w:val="ListParagraph"/>
        <w:numPr>
          <w:ilvl w:val="0"/>
          <w:numId w:val="115"/>
        </w:numPr>
        <w:tabs>
          <w:tab w:val="left" w:pos="709"/>
        </w:tabs>
        <w:ind w:left="0" w:firstLine="0"/>
        <w:jc w:val="both"/>
        <w:rPr>
          <w:rFonts w:cs="Arial"/>
          <w:bCs/>
          <w:lang w:val="es-ES"/>
        </w:rPr>
      </w:pPr>
      <w:r w:rsidRPr="00B449F8">
        <w:rPr>
          <w:rFonts w:cs="Arial"/>
          <w:bCs/>
          <w:lang w:val="es-ES" w:eastAsia="zh-CN"/>
        </w:rPr>
        <w:t>Se continuó suministrando servicios de interpretación eficaces y de calidad para todas las reuniones de la OMPI y otras actividades llevadas a cabo en la sede y en otras ubicaciones, según las necesidades.</w:t>
      </w:r>
    </w:p>
    <w:p w:rsidR="00221F0B" w:rsidRPr="00B449F8" w:rsidRDefault="00221F0B" w:rsidP="00DC1333">
      <w:pPr>
        <w:tabs>
          <w:tab w:val="left" w:pos="709"/>
        </w:tabs>
        <w:jc w:val="both"/>
        <w:rPr>
          <w:bCs/>
        </w:rPr>
      </w:pPr>
    </w:p>
    <w:p w:rsidR="00221F0B" w:rsidRPr="00B449F8" w:rsidRDefault="00221F0B" w:rsidP="00EB45DE">
      <w:pPr>
        <w:pStyle w:val="ListParagraph"/>
        <w:numPr>
          <w:ilvl w:val="0"/>
          <w:numId w:val="115"/>
        </w:numPr>
        <w:tabs>
          <w:tab w:val="left" w:pos="709"/>
        </w:tabs>
        <w:ind w:left="0" w:firstLine="0"/>
        <w:jc w:val="both"/>
        <w:rPr>
          <w:lang w:val="es-ES"/>
        </w:rPr>
      </w:pPr>
      <w:r w:rsidRPr="00B449F8">
        <w:rPr>
          <w:lang w:val="es-ES"/>
        </w:rPr>
        <w:t xml:space="preserve">Tras varios años de acusado crecimiento, durante el bienio 2014/15 se estabilizó el número de reuniones organizadas en Ginebra, con 209 reuniones principales, incluida la conferencia diplomática para la adopción de una nueva Acta del Arreglo de Lisboa para la Protección de las Denominaciones de Origen y su Registro Internacional, en comparación con las 260 celebradas durante el bienio anterior.  También se prestó apoyo anualmente a una media de 5.600 (unas 5.400 en 2014 y 5.800 en 2015) reuniones </w:t>
      </w:r>
      <w:r w:rsidRPr="00B449F8">
        <w:rPr>
          <w:i/>
          <w:lang w:val="es-ES"/>
        </w:rPr>
        <w:t>ad hoc</w:t>
      </w:r>
      <w:r w:rsidRPr="00B449F8">
        <w:rPr>
          <w:lang w:val="es-ES"/>
        </w:rPr>
        <w:t xml:space="preserve"> (consultas informales, reuniones bilaterales, presentación de ponencias, actos paralelos, visitas oficiales y reuniones internas) en las instalaciones de la OMPI en Ginebra;  cifra que se mantiene estable en relación con las 11.200 registradas en el bienio 2012/13.  Alrededor de 140 de esas reuniones se atendieron fuera del horario normal, es decir, después de las 18.30 horas o en fines de semana, mientras que en el bienio anterior la cifra fue 167.</w:t>
      </w:r>
    </w:p>
    <w:p w:rsidR="00221F0B" w:rsidRPr="00B449F8" w:rsidRDefault="00221F0B" w:rsidP="00DC1333">
      <w:pPr>
        <w:pStyle w:val="ListParagraph"/>
        <w:ind w:left="0"/>
        <w:rPr>
          <w:lang w:val="es-ES"/>
        </w:rPr>
      </w:pPr>
    </w:p>
    <w:p w:rsidR="00221F0B" w:rsidRPr="00B449F8" w:rsidRDefault="00221F0B" w:rsidP="00EB45DE">
      <w:pPr>
        <w:pStyle w:val="Default"/>
        <w:numPr>
          <w:ilvl w:val="0"/>
          <w:numId w:val="115"/>
        </w:numPr>
        <w:tabs>
          <w:tab w:val="left" w:pos="709"/>
        </w:tabs>
        <w:ind w:left="0" w:firstLine="0"/>
        <w:jc w:val="both"/>
        <w:rPr>
          <w:sz w:val="20"/>
          <w:szCs w:val="20"/>
          <w:lang w:val="es-ES"/>
        </w:rPr>
      </w:pPr>
      <w:r w:rsidRPr="00B449F8">
        <w:rPr>
          <w:sz w:val="20"/>
          <w:szCs w:val="20"/>
          <w:lang w:val="es-ES"/>
        </w:rPr>
        <w:t>Cabe destacar especialmente del bienio la transición sin dificultades a las nuevas instalaciones de conferencias e infraestructuras relacionadas con la inscripción, inaugu</w:t>
      </w:r>
      <w:r>
        <w:rPr>
          <w:sz w:val="20"/>
          <w:szCs w:val="20"/>
          <w:lang w:val="es-ES"/>
        </w:rPr>
        <w:t>radas en el último trimestre de </w:t>
      </w:r>
      <w:r w:rsidRPr="00B449F8">
        <w:rPr>
          <w:sz w:val="20"/>
          <w:szCs w:val="20"/>
          <w:lang w:val="es-ES"/>
        </w:rPr>
        <w:t>2014.  En 2015, tras efectuar varias consultas con partes interesadas internas pertinentes, se establecieron las condiciones de uso para el alquiler a los Estados miembros o entidades externas de la nueva sala de conferencias de la OMPI y las instalaciones adyacentes para llevar a cabo actividades distintas de las reuniones de la Organización, y se acogieron cinco actividades de ese tipo.</w:t>
      </w:r>
      <w:r w:rsidRPr="00B449F8">
        <w:rPr>
          <w:rStyle w:val="FootnoteReference"/>
          <w:sz w:val="20"/>
          <w:szCs w:val="20"/>
          <w:lang w:val="es-ES"/>
        </w:rPr>
        <w:footnoteReference w:id="146"/>
      </w:r>
    </w:p>
    <w:p w:rsidR="00221F0B" w:rsidRPr="00B449F8" w:rsidRDefault="00221F0B" w:rsidP="00DC1333">
      <w:pPr>
        <w:pStyle w:val="ListParagraph"/>
        <w:ind w:left="0"/>
        <w:rPr>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rFonts w:cs="Arial"/>
          <w:lang w:val="es-ES"/>
        </w:rPr>
        <w:t>En lo que atañe a la disponibilidad puntual de los documentos de reuniones, la supervisión de las fechas de publicación aplicada en 2014 y los mecanismos de seguimiento puestos en marcha en colaboración con las secretarías de las reuniones resultaron eficaces para mejorar la puntualidad a lo largo del bienio, llegando a registrarse una mejora de 28 puntos porcentuales en 2015 (69% de los documentos publicados dos meses antes de las reuniones pertinente</w:t>
      </w:r>
      <w:r>
        <w:rPr>
          <w:rFonts w:cs="Arial"/>
          <w:lang w:val="es-ES"/>
        </w:rPr>
        <w:t>s, en comparación con el 41% de </w:t>
      </w:r>
      <w:r w:rsidRPr="00B449F8">
        <w:rPr>
          <w:rFonts w:cs="Arial"/>
          <w:lang w:val="es-ES"/>
        </w:rPr>
        <w:t>2014).</w:t>
      </w:r>
    </w:p>
    <w:p w:rsidR="00221F0B" w:rsidRPr="00B449F8" w:rsidRDefault="00221F0B" w:rsidP="00DC1333"/>
    <w:p w:rsidR="00221F0B" w:rsidRPr="00B449F8" w:rsidRDefault="00221F0B" w:rsidP="00EB45DE">
      <w:pPr>
        <w:pStyle w:val="ListParagraph"/>
        <w:numPr>
          <w:ilvl w:val="0"/>
          <w:numId w:val="115"/>
        </w:numPr>
        <w:tabs>
          <w:tab w:val="left" w:pos="709"/>
        </w:tabs>
        <w:ind w:left="0" w:firstLine="0"/>
        <w:jc w:val="both"/>
        <w:rPr>
          <w:lang w:val="es-ES"/>
        </w:rPr>
      </w:pPr>
      <w:r w:rsidRPr="00B449F8">
        <w:rPr>
          <w:lang w:val="es-ES"/>
        </w:rPr>
        <w:t xml:space="preserve">Tras la adopción de la Política de gestión de los expedientes y archivos en el bienio anterior, durante el bienio 2014/15 se consiguieron avances positivos en relación con el establecimiento de los calendarios de conservación de los expedientes y la mejora de la gestión de los expedientes y archivos.  A tal efecto, en 2015 se actualizó con éxito LiveLink, el </w:t>
      </w:r>
      <w:r w:rsidRPr="00B449F8">
        <w:rPr>
          <w:i/>
          <w:lang w:val="es-ES"/>
        </w:rPr>
        <w:t>software</w:t>
      </w:r>
      <w:r w:rsidRPr="00B449F8">
        <w:rPr>
          <w:lang w:val="es-ES"/>
        </w:rPr>
        <w:t xml:space="preserve"> que se utiliza para gestionar los expedientes y archivos, garantizándose de este modo</w:t>
      </w:r>
      <w:proofErr w:type="gramStart"/>
      <w:r w:rsidRPr="00B449F8">
        <w:rPr>
          <w:lang w:val="es-ES"/>
        </w:rPr>
        <w:t>:  i</w:t>
      </w:r>
      <w:proofErr w:type="gramEnd"/>
      <w:r w:rsidRPr="00B449F8">
        <w:rPr>
          <w:lang w:val="es-ES"/>
        </w:rPr>
        <w:t>) la compatibilidad con Windows 7 y Windows Server 2012;  ii) la continuidad de las operaciones de registro y almacenamiento de los expedientes y archivos de la OMPI, y iii) una solución mejor para archivar los documentos de varios sectores.</w:t>
      </w:r>
    </w:p>
    <w:p w:rsidR="00221F0B" w:rsidRPr="00B449F8" w:rsidRDefault="00221F0B" w:rsidP="00DC1333">
      <w:pPr>
        <w:pStyle w:val="ListParagraph"/>
        <w:tabs>
          <w:tab w:val="left" w:pos="709"/>
        </w:tabs>
        <w:ind w:left="0"/>
        <w:jc w:val="both"/>
        <w:rPr>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rFonts w:cs="Arial"/>
          <w:lang w:val="es-ES"/>
        </w:rPr>
        <w:t xml:space="preserve">En el marco del programa prosiguieron los esfuerzos a fin de reducir los costos de envío de los documentos negociando las tarifas con los proveedores externos de servicios de correo, aumentando la utilización de opciones más eficaces en función de los costos para enviar lo documentos (por ejemplo, por correo certificado en lugar de urgente) y mediante la introducción de un sistema para agrupar las direcciones, lo que dio lugar a una reducción del 4% en el número de documentos enviados en 2015 en comparación con 2014.  En conjunto, gracias a estos esfuerzos concertados se consiguió una reducción </w:t>
      </w:r>
      <w:r w:rsidRPr="00B449F8">
        <w:rPr>
          <w:rFonts w:cs="Arial"/>
          <w:lang w:val="es-ES"/>
        </w:rPr>
        <w:lastRenderedPageBreak/>
        <w:t>general del 7,2% en los costos de envío de los documentos en comparación con 2014, y un 11% en comparación con 2013.</w:t>
      </w:r>
    </w:p>
    <w:p w:rsidR="00221F0B" w:rsidRPr="00B449F8" w:rsidRDefault="00221F0B" w:rsidP="00DC1333">
      <w:pPr>
        <w:pStyle w:val="ListParagraph"/>
        <w:rPr>
          <w:rFonts w:cs="Arial"/>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lang w:val="es-ES"/>
        </w:rPr>
        <w:t>A lo largo del bienio la OMPI siguió proporcionando servicios de impresión de manera eficaz y puntual.  El volumen de impresión permaneció en niveles similares los dos años del bienio.  Además, la disminución del 25% en el costo de impresión por página conseguida en 2014 después de renegociar los servicios de arrendamiento, se mantuvo en 0,15 francos suizos en 2015, e</w:t>
      </w:r>
      <w:r>
        <w:rPr>
          <w:lang w:val="es-ES"/>
        </w:rPr>
        <w:t>n comparación con la cifra de </w:t>
      </w:r>
      <w:r w:rsidRPr="00B449F8">
        <w:rPr>
          <w:lang w:val="es-ES"/>
        </w:rPr>
        <w:t>0,20</w:t>
      </w:r>
      <w:r w:rsidRPr="00B449F8">
        <w:rPr>
          <w:rStyle w:val="FootnoteReference"/>
          <w:lang w:val="es-ES"/>
        </w:rPr>
        <w:footnoteReference w:id="147"/>
      </w:r>
      <w:r w:rsidRPr="00B449F8">
        <w:rPr>
          <w:lang w:val="es-ES"/>
        </w:rPr>
        <w:t xml:space="preserve"> francos suizos registrada a finales de 2013.</w:t>
      </w:r>
    </w:p>
    <w:p w:rsidR="00221F0B" w:rsidRDefault="00221F0B" w:rsidP="00DC1333">
      <w:pPr>
        <w:jc w:val="both"/>
      </w:pPr>
    </w:p>
    <w:p w:rsidR="00221F0B" w:rsidRPr="00B449F8" w:rsidRDefault="00221F0B" w:rsidP="00DC1333">
      <w:pPr>
        <w:jc w:val="both"/>
      </w:pPr>
    </w:p>
    <w:p w:rsidR="00221F0B" w:rsidRPr="00B449F8" w:rsidRDefault="008F7CBE" w:rsidP="00DC1333">
      <w:pPr>
        <w:rPr>
          <w:szCs w:val="22"/>
        </w:rPr>
      </w:pPr>
      <w:r w:rsidRPr="008F7CBE">
        <w:rPr>
          <w:sz w:val="20"/>
          <w:szCs w:val="22"/>
        </w:rPr>
        <w:t>DATOS SOBRE EL RENDIMIENTO</w:t>
      </w:r>
    </w:p>
    <w:p w:rsidR="00221F0B" w:rsidRPr="00B449F8" w:rsidRDefault="00221F0B" w:rsidP="00DC1333">
      <w:pPr>
        <w:jc w:val="both"/>
        <w:rPr>
          <w:sz w:val="24"/>
        </w:rPr>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8"/>
        <w:gridCol w:w="2128"/>
        <w:gridCol w:w="1560"/>
        <w:gridCol w:w="2407"/>
        <w:gridCol w:w="1268"/>
      </w:tblGrid>
      <w:tr w:rsidR="00221F0B" w:rsidRPr="00B449F8"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221F0B" w:rsidRPr="00B449F8" w:rsidRDefault="00221F0B" w:rsidP="00DC1333">
            <w:pPr>
              <w:spacing w:before="120" w:after="120"/>
              <w:ind w:left="2019" w:hanging="2019"/>
              <w:rPr>
                <w:b/>
                <w:bCs/>
                <w:sz w:val="16"/>
                <w:szCs w:val="16"/>
              </w:rPr>
            </w:pPr>
            <w:r w:rsidRPr="00B449F8">
              <w:rPr>
                <w:b/>
                <w:bCs/>
                <w:sz w:val="16"/>
                <w:szCs w:val="16"/>
              </w:rPr>
              <w:t>Resultado previsto:</w:t>
            </w:r>
            <w:r w:rsidRPr="00B449F8">
              <w:rPr>
                <w:b/>
                <w:bCs/>
                <w:sz w:val="16"/>
                <w:szCs w:val="16"/>
              </w:rPr>
              <w:tab/>
            </w:r>
            <w:r w:rsidRPr="00B449F8">
              <w:rPr>
                <w:bCs/>
                <w:sz w:val="16"/>
                <w:szCs w:val="16"/>
              </w:rPr>
              <w:t>IX.1 Servicios de apoyo eficaces, eficientes, de calidad y orientados al cliente, tanto a los clientes internos como a las partes interesadas externas</w:t>
            </w:r>
          </w:p>
        </w:tc>
      </w:tr>
      <w:tr w:rsidR="00221F0B" w:rsidRPr="00B449F8" w:rsidTr="00DC1333">
        <w:trPr>
          <w:cantSplit/>
        </w:trPr>
        <w:tc>
          <w:tcPr>
            <w:tcW w:w="1121" w:type="pct"/>
            <w:tcBorders>
              <w:top w:val="single" w:sz="4" w:space="0" w:color="auto"/>
              <w:bottom w:val="nil"/>
              <w:right w:val="nil"/>
            </w:tcBorders>
            <w:shd w:val="clear" w:color="auto" w:fill="auto"/>
            <w:vAlign w:val="center"/>
          </w:tcPr>
          <w:p w:rsidR="00221F0B" w:rsidRPr="00B449F8" w:rsidRDefault="00221F0B" w:rsidP="00DC1333">
            <w:pPr>
              <w:rPr>
                <w:sz w:val="16"/>
                <w:szCs w:val="16"/>
              </w:rPr>
            </w:pPr>
            <w:r w:rsidRPr="00B449F8">
              <w:rPr>
                <w:b/>
                <w:sz w:val="16"/>
                <w:szCs w:val="16"/>
              </w:rPr>
              <w:t>Indicadores de rendimiento</w:t>
            </w:r>
          </w:p>
        </w:tc>
        <w:tc>
          <w:tcPr>
            <w:tcW w:w="1121" w:type="pct"/>
            <w:tcBorders>
              <w:top w:val="single" w:sz="4" w:space="0" w:color="auto"/>
              <w:left w:val="nil"/>
              <w:bottom w:val="nil"/>
              <w:right w:val="nil"/>
            </w:tcBorders>
            <w:shd w:val="clear" w:color="auto" w:fill="auto"/>
            <w:vAlign w:val="center"/>
          </w:tcPr>
          <w:p w:rsidR="00221F0B" w:rsidRPr="00B449F8" w:rsidRDefault="00221F0B" w:rsidP="00DC1333">
            <w:pPr>
              <w:rPr>
                <w:b/>
                <w:bCs/>
                <w:sz w:val="16"/>
                <w:szCs w:val="16"/>
              </w:rPr>
            </w:pPr>
            <w:r w:rsidRPr="00B449F8">
              <w:rPr>
                <w:b/>
                <w:bCs/>
                <w:sz w:val="16"/>
                <w:szCs w:val="16"/>
              </w:rPr>
              <w:t>Referencia</w:t>
            </w:r>
          </w:p>
        </w:tc>
        <w:tc>
          <w:tcPr>
            <w:tcW w:w="822" w:type="pct"/>
            <w:tcBorders>
              <w:top w:val="single" w:sz="4" w:space="0" w:color="auto"/>
              <w:left w:val="nil"/>
              <w:bottom w:val="nil"/>
              <w:right w:val="nil"/>
            </w:tcBorders>
            <w:shd w:val="clear" w:color="auto" w:fill="auto"/>
            <w:tcMar>
              <w:top w:w="110" w:type="dxa"/>
            </w:tcMar>
            <w:vAlign w:val="center"/>
          </w:tcPr>
          <w:p w:rsidR="00221F0B" w:rsidRPr="00B449F8" w:rsidRDefault="00221F0B" w:rsidP="00DC1333">
            <w:pPr>
              <w:rPr>
                <w:b/>
                <w:sz w:val="16"/>
                <w:szCs w:val="16"/>
              </w:rPr>
            </w:pPr>
            <w:r w:rsidRPr="00B449F8">
              <w:rPr>
                <w:b/>
                <w:sz w:val="16"/>
                <w:szCs w:val="16"/>
              </w:rPr>
              <w:t>Objetivos</w:t>
            </w:r>
          </w:p>
        </w:tc>
        <w:tc>
          <w:tcPr>
            <w:tcW w:w="1268" w:type="pct"/>
            <w:tcBorders>
              <w:top w:val="single" w:sz="4" w:space="0" w:color="auto"/>
              <w:left w:val="nil"/>
              <w:bottom w:val="nil"/>
              <w:right w:val="nil"/>
            </w:tcBorders>
            <w:shd w:val="clear" w:color="auto" w:fill="FFFFFF"/>
            <w:tcMar>
              <w:top w:w="110" w:type="dxa"/>
            </w:tcMar>
            <w:vAlign w:val="center"/>
          </w:tcPr>
          <w:p w:rsidR="00221F0B" w:rsidRPr="00B449F8" w:rsidRDefault="00221F0B" w:rsidP="00DC1333">
            <w:pPr>
              <w:rPr>
                <w:sz w:val="16"/>
                <w:szCs w:val="16"/>
              </w:rPr>
            </w:pPr>
            <w:r w:rsidRPr="00B449F8">
              <w:rPr>
                <w:b/>
                <w:sz w:val="16"/>
                <w:szCs w:val="16"/>
              </w:rPr>
              <w:t>Datos sobre el rendimiento</w:t>
            </w:r>
          </w:p>
        </w:tc>
        <w:tc>
          <w:tcPr>
            <w:tcW w:w="668" w:type="pct"/>
            <w:tcBorders>
              <w:top w:val="single" w:sz="4" w:space="0" w:color="auto"/>
              <w:left w:val="nil"/>
              <w:bottom w:val="nil"/>
            </w:tcBorders>
            <w:shd w:val="clear" w:color="auto" w:fill="auto"/>
            <w:tcMar>
              <w:top w:w="110" w:type="dxa"/>
            </w:tcMar>
            <w:vAlign w:val="center"/>
          </w:tcPr>
          <w:p w:rsidR="00221F0B" w:rsidRPr="00B449F8" w:rsidRDefault="00221F0B" w:rsidP="00DC1333">
            <w:pPr>
              <w:jc w:val="center"/>
              <w:rPr>
                <w:b/>
                <w:bCs/>
                <w:sz w:val="16"/>
                <w:szCs w:val="16"/>
              </w:rPr>
            </w:pPr>
            <w:r w:rsidRPr="00B449F8">
              <w:rPr>
                <w:b/>
                <w:bCs/>
                <w:sz w:val="16"/>
                <w:szCs w:val="16"/>
              </w:rPr>
              <w:t>Clave de colores</w:t>
            </w:r>
          </w:p>
        </w:tc>
      </w:tr>
      <w:tr w:rsidR="00221F0B" w:rsidRPr="00B449F8" w:rsidTr="00DC1333">
        <w:trPr>
          <w:cantSplit/>
        </w:trPr>
        <w:tc>
          <w:tcPr>
            <w:tcW w:w="1121" w:type="pct"/>
            <w:tcBorders>
              <w:top w:val="nil"/>
            </w:tcBorders>
            <w:shd w:val="clear" w:color="auto" w:fill="auto"/>
          </w:tcPr>
          <w:p w:rsidR="00221F0B" w:rsidRPr="00B449F8" w:rsidRDefault="00221F0B" w:rsidP="00DC1333">
            <w:pPr>
              <w:ind w:leftChars="-1" w:left="1" w:hangingChars="2" w:hanging="3"/>
              <w:rPr>
                <w:sz w:val="16"/>
                <w:szCs w:val="16"/>
              </w:rPr>
            </w:pPr>
            <w:r w:rsidRPr="00B449F8">
              <w:rPr>
                <w:sz w:val="16"/>
                <w:szCs w:val="16"/>
              </w:rPr>
              <w:t>Porcentaje de usuarios internos y externos satisfechos de los Servicios de Conferencias de la OMPI</w:t>
            </w:r>
          </w:p>
        </w:tc>
        <w:tc>
          <w:tcPr>
            <w:tcW w:w="1121" w:type="pct"/>
            <w:tcBorders>
              <w:top w:val="nil"/>
            </w:tcBorders>
            <w:shd w:val="clear" w:color="auto" w:fill="auto"/>
          </w:tcPr>
          <w:p w:rsidR="00221F0B" w:rsidRPr="00B449F8" w:rsidRDefault="00221F0B" w:rsidP="00DC1333">
            <w:pPr>
              <w:rPr>
                <w:rFonts w:eastAsia="Batang"/>
                <w:sz w:val="16"/>
                <w:szCs w:val="16"/>
                <w:lang w:eastAsia="ja-JP"/>
              </w:rPr>
            </w:pPr>
            <w:r w:rsidRPr="00B449F8">
              <w:rPr>
                <w:i/>
                <w:color w:val="002060"/>
                <w:sz w:val="16"/>
                <w:szCs w:val="16"/>
              </w:rPr>
              <w:t>Referencia actualizada a fines de 2013</w:t>
            </w:r>
            <w:proofErr w:type="gramStart"/>
            <w:r w:rsidRPr="00B449F8">
              <w:rPr>
                <w:i/>
                <w:color w:val="002060"/>
                <w:sz w:val="16"/>
                <w:szCs w:val="16"/>
              </w:rPr>
              <w:t>:</w:t>
            </w:r>
            <w:r w:rsidRPr="00B449F8">
              <w:rPr>
                <w:i/>
                <w:sz w:val="16"/>
                <w:szCs w:val="16"/>
              </w:rPr>
              <w:t xml:space="preserve">  </w:t>
            </w:r>
            <w:r w:rsidRPr="00B449F8">
              <w:rPr>
                <w:rFonts w:eastAsia="Batang"/>
                <w:sz w:val="16"/>
                <w:szCs w:val="16"/>
                <w:lang w:eastAsia="ja-JP"/>
              </w:rPr>
              <w:t>Los</w:t>
            </w:r>
            <w:proofErr w:type="gramEnd"/>
            <w:r w:rsidRPr="00B449F8">
              <w:rPr>
                <w:rFonts w:eastAsia="Batang"/>
                <w:sz w:val="16"/>
                <w:szCs w:val="16"/>
                <w:lang w:eastAsia="ja-JP"/>
              </w:rPr>
              <w:t xml:space="preserve"> resultados de las encuestas de satisfacción realizadas en 2013 indican que el 98% de los usuarios consideró que la calidad general de los servicios de conferencias de la OMPI es excelente (64%) o buena (34%).</w:t>
            </w:r>
          </w:p>
          <w:p w:rsidR="00221F0B" w:rsidRPr="00B449F8" w:rsidRDefault="00221F0B" w:rsidP="00DC1333">
            <w:pPr>
              <w:rPr>
                <w:rFonts w:eastAsia="Batang"/>
                <w:sz w:val="16"/>
                <w:szCs w:val="16"/>
                <w:lang w:eastAsia="ja-JP"/>
              </w:rPr>
            </w:pPr>
          </w:p>
          <w:p w:rsidR="00221F0B" w:rsidRPr="00B449F8" w:rsidRDefault="00221F0B" w:rsidP="00DC1333">
            <w:pPr>
              <w:rPr>
                <w:sz w:val="16"/>
                <w:szCs w:val="16"/>
              </w:rPr>
            </w:pPr>
            <w:r w:rsidRPr="00B449F8">
              <w:rPr>
                <w:i/>
                <w:sz w:val="16"/>
                <w:szCs w:val="16"/>
              </w:rPr>
              <w:t>Referencia original en el presupuesto de 2014/15:</w:t>
            </w:r>
            <w:r w:rsidRPr="00B449F8">
              <w:rPr>
                <w:sz w:val="16"/>
                <w:szCs w:val="16"/>
              </w:rPr>
              <w:t xml:space="preserve"> Porcentaje a fines de 2013</w:t>
            </w:r>
            <w:r w:rsidRPr="00B449F8">
              <w:rPr>
                <w:sz w:val="16"/>
                <w:szCs w:val="16"/>
              </w:rPr>
              <w:br/>
            </w:r>
          </w:p>
        </w:tc>
        <w:tc>
          <w:tcPr>
            <w:tcW w:w="822" w:type="pct"/>
            <w:tcBorders>
              <w:top w:val="nil"/>
            </w:tcBorders>
            <w:shd w:val="clear" w:color="auto" w:fill="auto"/>
            <w:tcMar>
              <w:top w:w="110" w:type="dxa"/>
            </w:tcMar>
          </w:tcPr>
          <w:p w:rsidR="00221F0B" w:rsidRPr="00B449F8" w:rsidRDefault="00221F0B" w:rsidP="00DC1333">
            <w:pPr>
              <w:rPr>
                <w:sz w:val="16"/>
                <w:szCs w:val="16"/>
              </w:rPr>
            </w:pPr>
            <w:r w:rsidRPr="00B449F8">
              <w:rPr>
                <w:sz w:val="16"/>
                <w:szCs w:val="16"/>
              </w:rPr>
              <w:t>Aumento del 10% antes de 2015</w:t>
            </w:r>
          </w:p>
        </w:tc>
        <w:tc>
          <w:tcPr>
            <w:tcW w:w="1268" w:type="pct"/>
            <w:tcBorders>
              <w:top w:val="nil"/>
            </w:tcBorders>
            <w:shd w:val="clear" w:color="auto" w:fill="FFFFFF"/>
            <w:tcMar>
              <w:top w:w="110" w:type="dxa"/>
            </w:tcMar>
          </w:tcPr>
          <w:p w:rsidR="00221F0B" w:rsidRPr="00B449F8" w:rsidRDefault="00221F0B" w:rsidP="00DC1333">
            <w:pPr>
              <w:rPr>
                <w:sz w:val="16"/>
                <w:szCs w:val="16"/>
              </w:rPr>
            </w:pPr>
            <w:r w:rsidRPr="00B449F8">
              <w:rPr>
                <w:sz w:val="16"/>
                <w:szCs w:val="16"/>
              </w:rPr>
              <w:t>Los resultados de las encuestas de satisfacción realizadas en 2014 y 2015 indican que el 97% de los usuarios consideró que la calidad general de los servicios de conferencias de la OMPI fue excelente o buena en ambos años:</w:t>
            </w:r>
          </w:p>
          <w:p w:rsidR="00221F0B" w:rsidRPr="00B449F8" w:rsidRDefault="00221F0B" w:rsidP="00EB45DE">
            <w:pPr>
              <w:pStyle w:val="ListParagraph"/>
              <w:numPr>
                <w:ilvl w:val="0"/>
                <w:numId w:val="116"/>
              </w:numPr>
              <w:rPr>
                <w:rFonts w:eastAsia="Batang" w:cs="Arial"/>
                <w:sz w:val="16"/>
                <w:szCs w:val="16"/>
                <w:lang w:val="es-ES" w:eastAsia="ja-JP"/>
              </w:rPr>
            </w:pPr>
            <w:r w:rsidRPr="00B449F8">
              <w:rPr>
                <w:rFonts w:eastAsia="Batang" w:cs="Arial"/>
                <w:sz w:val="16"/>
                <w:szCs w:val="16"/>
                <w:lang w:val="es-ES" w:eastAsia="ja-JP"/>
              </w:rPr>
              <w:t>2014</w:t>
            </w:r>
            <w:proofErr w:type="gramStart"/>
            <w:r w:rsidRPr="00B449F8">
              <w:rPr>
                <w:rFonts w:eastAsia="Batang" w:cs="Arial"/>
                <w:sz w:val="16"/>
                <w:szCs w:val="16"/>
                <w:lang w:val="es-ES" w:eastAsia="ja-JP"/>
              </w:rPr>
              <w:t>:  excelente</w:t>
            </w:r>
            <w:proofErr w:type="gramEnd"/>
            <w:r w:rsidRPr="00B449F8">
              <w:rPr>
                <w:rFonts w:eastAsia="Batang" w:cs="Arial"/>
                <w:sz w:val="16"/>
                <w:szCs w:val="16"/>
                <w:lang w:val="es-ES" w:eastAsia="ja-JP"/>
              </w:rPr>
              <w:t xml:space="preserve"> (48%) o buena (49%);</w:t>
            </w:r>
          </w:p>
          <w:p w:rsidR="00221F0B" w:rsidRPr="00B449F8" w:rsidRDefault="00221F0B" w:rsidP="00EB45DE">
            <w:pPr>
              <w:pStyle w:val="ListParagraph"/>
              <w:numPr>
                <w:ilvl w:val="0"/>
                <w:numId w:val="116"/>
              </w:numPr>
              <w:rPr>
                <w:rFonts w:eastAsia="Batang" w:cs="Arial"/>
                <w:color w:val="002060"/>
                <w:sz w:val="16"/>
                <w:szCs w:val="16"/>
                <w:lang w:val="es-ES" w:eastAsia="ja-JP"/>
              </w:rPr>
            </w:pPr>
            <w:r w:rsidRPr="00B449F8">
              <w:rPr>
                <w:rFonts w:eastAsia="Batang" w:cs="Arial"/>
                <w:sz w:val="16"/>
                <w:szCs w:val="16"/>
                <w:lang w:val="es-ES" w:eastAsia="ja-JP"/>
              </w:rPr>
              <w:t>2015</w:t>
            </w:r>
            <w:proofErr w:type="gramStart"/>
            <w:r w:rsidRPr="00B449F8">
              <w:rPr>
                <w:rFonts w:eastAsia="Batang" w:cs="Arial"/>
                <w:sz w:val="16"/>
                <w:szCs w:val="16"/>
                <w:lang w:val="es-ES" w:eastAsia="ja-JP"/>
              </w:rPr>
              <w:t>:  excelente</w:t>
            </w:r>
            <w:proofErr w:type="gramEnd"/>
            <w:r w:rsidRPr="00B449F8">
              <w:rPr>
                <w:rFonts w:eastAsia="Batang" w:cs="Arial"/>
                <w:sz w:val="16"/>
                <w:szCs w:val="16"/>
                <w:lang w:val="es-ES" w:eastAsia="ja-JP"/>
              </w:rPr>
              <w:t xml:space="preserve"> (60%) o buena (37%).</w:t>
            </w:r>
          </w:p>
          <w:p w:rsidR="00221F0B" w:rsidRPr="00B449F8" w:rsidRDefault="00221F0B" w:rsidP="00DC1333">
            <w:pPr>
              <w:rPr>
                <w:sz w:val="16"/>
                <w:szCs w:val="16"/>
              </w:rPr>
            </w:pPr>
          </w:p>
        </w:tc>
        <w:tc>
          <w:tcPr>
            <w:tcW w:w="668" w:type="pct"/>
            <w:tcBorders>
              <w:top w:val="nil"/>
            </w:tcBorders>
            <w:shd w:val="clear" w:color="auto" w:fill="auto"/>
            <w:tcMar>
              <w:top w:w="110" w:type="dxa"/>
            </w:tcMar>
          </w:tcPr>
          <w:p w:rsidR="00221F0B" w:rsidRPr="00B449F8" w:rsidRDefault="00221F0B" w:rsidP="00DC1333">
            <w:pPr>
              <w:ind w:left="-108"/>
              <w:jc w:val="center"/>
              <w:rPr>
                <w:b/>
                <w:bCs/>
                <w:sz w:val="16"/>
                <w:szCs w:val="16"/>
              </w:rPr>
            </w:pPr>
            <w:r w:rsidRPr="00B449F8">
              <w:rPr>
                <w:b/>
                <w:color w:val="00B050"/>
                <w:sz w:val="16"/>
                <w:szCs w:val="16"/>
              </w:rPr>
              <w:t>Plenamente logrado</w:t>
            </w:r>
          </w:p>
        </w:tc>
      </w:tr>
      <w:tr w:rsidR="00221F0B" w:rsidRPr="00B449F8" w:rsidTr="00DC1333">
        <w:trPr>
          <w:cantSplit/>
        </w:trPr>
        <w:tc>
          <w:tcPr>
            <w:tcW w:w="1121" w:type="pct"/>
            <w:shd w:val="clear" w:color="auto" w:fill="auto"/>
          </w:tcPr>
          <w:p w:rsidR="00221F0B" w:rsidRPr="00B449F8" w:rsidRDefault="00221F0B" w:rsidP="00DC1333">
            <w:pPr>
              <w:rPr>
                <w:sz w:val="16"/>
                <w:szCs w:val="16"/>
              </w:rPr>
            </w:pPr>
            <w:r w:rsidRPr="00B449F8">
              <w:rPr>
                <w:sz w:val="16"/>
                <w:szCs w:val="16"/>
              </w:rPr>
              <w:t>Aplicación eficaz de la Política lingüística de la OMPI</w:t>
            </w:r>
          </w:p>
        </w:tc>
        <w:tc>
          <w:tcPr>
            <w:tcW w:w="1121" w:type="pct"/>
            <w:shd w:val="clear" w:color="auto" w:fill="auto"/>
          </w:tcPr>
          <w:p w:rsidR="00221F0B" w:rsidRPr="00B449F8" w:rsidRDefault="00221F0B" w:rsidP="00DC1333">
            <w:pPr>
              <w:rPr>
                <w:i/>
                <w:color w:val="002060"/>
                <w:sz w:val="16"/>
                <w:szCs w:val="16"/>
              </w:rPr>
            </w:pPr>
            <w:r w:rsidRPr="00B449F8">
              <w:rPr>
                <w:i/>
                <w:color w:val="002060"/>
                <w:sz w:val="16"/>
                <w:szCs w:val="16"/>
              </w:rPr>
              <w:t xml:space="preserve">Referencia actualizada a fines de 2013: </w:t>
            </w:r>
          </w:p>
          <w:p w:rsidR="00221F0B" w:rsidRPr="00B449F8" w:rsidRDefault="00221F0B" w:rsidP="00DC1333">
            <w:pPr>
              <w:rPr>
                <w:i/>
                <w:sz w:val="16"/>
                <w:szCs w:val="16"/>
              </w:rPr>
            </w:pPr>
            <w:r w:rsidRPr="00B449F8">
              <w:rPr>
                <w:sz w:val="16"/>
                <w:szCs w:val="16"/>
              </w:rPr>
              <w:t>La Política lingüística se amplió a todos los comités permanentes y órganos principales de la OMPI</w:t>
            </w:r>
          </w:p>
          <w:p w:rsidR="00221F0B" w:rsidRPr="00B449F8" w:rsidRDefault="00221F0B" w:rsidP="00DC1333">
            <w:pPr>
              <w:rPr>
                <w:i/>
                <w:sz w:val="16"/>
                <w:szCs w:val="16"/>
              </w:rPr>
            </w:pPr>
          </w:p>
          <w:p w:rsidR="00221F0B" w:rsidRPr="00B449F8" w:rsidRDefault="00221F0B" w:rsidP="00DC1333">
            <w:pPr>
              <w:autoSpaceDE w:val="0"/>
              <w:autoSpaceDN w:val="0"/>
              <w:adjustRightInd w:val="0"/>
              <w:rPr>
                <w:sz w:val="16"/>
                <w:szCs w:val="16"/>
              </w:rPr>
            </w:pPr>
            <w:r w:rsidRPr="00B449F8">
              <w:rPr>
                <w:i/>
                <w:sz w:val="16"/>
                <w:szCs w:val="16"/>
              </w:rPr>
              <w:t>Referencia original en el presupuesto de 2014/15:</w:t>
            </w:r>
            <w:r w:rsidRPr="00B449F8">
              <w:rPr>
                <w:sz w:val="16"/>
                <w:szCs w:val="16"/>
              </w:rPr>
              <w:br/>
              <w:t>Cobertura de idiomas</w:t>
            </w:r>
          </w:p>
          <w:p w:rsidR="00221F0B" w:rsidRPr="00B449F8" w:rsidRDefault="00221F0B" w:rsidP="00DC1333">
            <w:pPr>
              <w:autoSpaceDE w:val="0"/>
              <w:autoSpaceDN w:val="0"/>
              <w:adjustRightInd w:val="0"/>
              <w:rPr>
                <w:sz w:val="16"/>
                <w:szCs w:val="16"/>
              </w:rPr>
            </w:pPr>
            <w:r w:rsidRPr="00B449F8">
              <w:rPr>
                <w:sz w:val="16"/>
                <w:szCs w:val="16"/>
              </w:rPr>
              <w:t>limitada a determinados</w:t>
            </w:r>
          </w:p>
          <w:p w:rsidR="00221F0B" w:rsidRPr="00B449F8" w:rsidRDefault="00221F0B" w:rsidP="00DC1333">
            <w:pPr>
              <w:autoSpaceDE w:val="0"/>
              <w:autoSpaceDN w:val="0"/>
              <w:adjustRightInd w:val="0"/>
              <w:rPr>
                <w:sz w:val="16"/>
                <w:szCs w:val="16"/>
              </w:rPr>
            </w:pPr>
            <w:r w:rsidRPr="00B449F8">
              <w:rPr>
                <w:sz w:val="16"/>
                <w:szCs w:val="16"/>
              </w:rPr>
              <w:t>Comités/órganos principales; Documentos de longitud</w:t>
            </w:r>
          </w:p>
          <w:p w:rsidR="00221F0B" w:rsidRPr="00B449F8" w:rsidRDefault="00221F0B" w:rsidP="00DC1333">
            <w:pPr>
              <w:rPr>
                <w:sz w:val="16"/>
                <w:szCs w:val="16"/>
              </w:rPr>
            </w:pPr>
            <w:r w:rsidRPr="00B449F8">
              <w:rPr>
                <w:sz w:val="16"/>
                <w:szCs w:val="16"/>
              </w:rPr>
              <w:t>Variable</w:t>
            </w:r>
          </w:p>
        </w:tc>
        <w:tc>
          <w:tcPr>
            <w:tcW w:w="822" w:type="pct"/>
            <w:shd w:val="clear" w:color="auto" w:fill="auto"/>
            <w:tcMar>
              <w:top w:w="110" w:type="dxa"/>
            </w:tcMar>
          </w:tcPr>
          <w:p w:rsidR="00221F0B" w:rsidRPr="00B449F8" w:rsidRDefault="00221F0B" w:rsidP="00DC1333">
            <w:pPr>
              <w:autoSpaceDE w:val="0"/>
              <w:autoSpaceDN w:val="0"/>
              <w:adjustRightInd w:val="0"/>
              <w:rPr>
                <w:sz w:val="16"/>
                <w:szCs w:val="16"/>
              </w:rPr>
            </w:pPr>
            <w:r w:rsidRPr="00B449F8">
              <w:rPr>
                <w:sz w:val="16"/>
                <w:szCs w:val="16"/>
              </w:rPr>
              <w:t>Traducciones de calidad disponibles para todos los Comités/órganos principales;</w:t>
            </w:r>
          </w:p>
          <w:p w:rsidR="00221F0B" w:rsidRPr="00B449F8" w:rsidRDefault="00221F0B" w:rsidP="00DC1333">
            <w:pPr>
              <w:autoSpaceDE w:val="0"/>
              <w:autoSpaceDN w:val="0"/>
              <w:adjustRightInd w:val="0"/>
              <w:rPr>
                <w:sz w:val="16"/>
                <w:szCs w:val="16"/>
              </w:rPr>
            </w:pPr>
          </w:p>
          <w:p w:rsidR="00221F0B" w:rsidRPr="00B449F8" w:rsidRDefault="00221F0B" w:rsidP="00DC1333">
            <w:pPr>
              <w:rPr>
                <w:sz w:val="16"/>
                <w:szCs w:val="16"/>
              </w:rPr>
            </w:pPr>
          </w:p>
        </w:tc>
        <w:tc>
          <w:tcPr>
            <w:tcW w:w="1268" w:type="pct"/>
            <w:shd w:val="clear" w:color="auto" w:fill="FFFFFF"/>
            <w:tcMar>
              <w:top w:w="110" w:type="dxa"/>
            </w:tcMar>
          </w:tcPr>
          <w:p w:rsidR="00221F0B" w:rsidRPr="00B449F8" w:rsidRDefault="00221F0B" w:rsidP="00DC1333">
            <w:pPr>
              <w:rPr>
                <w:sz w:val="16"/>
                <w:szCs w:val="16"/>
                <w:lang w:bidi="th-TH"/>
              </w:rPr>
            </w:pPr>
            <w:r w:rsidRPr="00B449F8">
              <w:rPr>
                <w:sz w:val="16"/>
                <w:szCs w:val="16"/>
                <w:lang w:bidi="th-TH"/>
              </w:rPr>
              <w:t xml:space="preserve">En 2014/15 la cobertura en seis idiomas se amplió, además de a todos los comités u órganos principales, a cuatro grupos de trabajo:  i) el Grupo de Trabajo del PCT;  ii) el Grupo de Trabajo sobre el  Desarrollo Jurídico del Sistema de La Haya para el Registro Internacional de Dibujos y Modelos Industriales;  iii) </w:t>
            </w:r>
            <w:r w:rsidRPr="00B449F8">
              <w:rPr>
                <w:bCs/>
                <w:sz w:val="16"/>
                <w:szCs w:val="16"/>
                <w:lang w:bidi="th-TH"/>
              </w:rPr>
              <w:t>el Grupo de Trabajo sobre el Desarrollo Jurídico del Sistema de Madrid para el Registro Internacional de Marcas, y iv) el Grupo de Trabajo sobre la Revisión de la CIP.</w:t>
            </w:r>
          </w:p>
          <w:p w:rsidR="00221F0B" w:rsidRPr="00B449F8" w:rsidRDefault="00221F0B" w:rsidP="00DC1333">
            <w:pPr>
              <w:rPr>
                <w:sz w:val="16"/>
                <w:szCs w:val="16"/>
                <w:lang w:bidi="th-TH"/>
              </w:rPr>
            </w:pPr>
          </w:p>
          <w:p w:rsidR="00221F0B" w:rsidRPr="00B449F8" w:rsidRDefault="00221F0B" w:rsidP="00DC1333">
            <w:pPr>
              <w:rPr>
                <w:sz w:val="16"/>
                <w:szCs w:val="16"/>
              </w:rPr>
            </w:pPr>
          </w:p>
        </w:tc>
        <w:tc>
          <w:tcPr>
            <w:tcW w:w="668" w:type="pct"/>
            <w:shd w:val="clear" w:color="auto" w:fill="auto"/>
            <w:tcMar>
              <w:top w:w="110" w:type="dxa"/>
            </w:tcMar>
          </w:tcPr>
          <w:p w:rsidR="00221F0B" w:rsidRPr="00B449F8" w:rsidRDefault="00221F0B" w:rsidP="00DC1333">
            <w:pPr>
              <w:ind w:left="-112"/>
              <w:jc w:val="center"/>
              <w:rPr>
                <w:b/>
                <w:bCs/>
                <w:color w:val="00B050"/>
                <w:sz w:val="16"/>
                <w:szCs w:val="16"/>
              </w:rPr>
            </w:pPr>
            <w:r w:rsidRPr="00B449F8">
              <w:rPr>
                <w:b/>
                <w:color w:val="00B050"/>
                <w:sz w:val="16"/>
                <w:szCs w:val="16"/>
              </w:rPr>
              <w:t>Plenamente logrado</w:t>
            </w: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p w:rsidR="00221F0B" w:rsidRPr="00B449F8" w:rsidRDefault="00221F0B" w:rsidP="00DC1333">
            <w:pPr>
              <w:jc w:val="center"/>
              <w:rPr>
                <w:b/>
                <w:bCs/>
                <w:color w:val="00B050"/>
                <w:sz w:val="16"/>
                <w:szCs w:val="16"/>
              </w:rPr>
            </w:pPr>
          </w:p>
        </w:tc>
      </w:tr>
      <w:tr w:rsidR="00E11BBF" w:rsidRPr="00B449F8" w:rsidTr="00DC1333">
        <w:trPr>
          <w:cantSplit/>
        </w:trPr>
        <w:tc>
          <w:tcPr>
            <w:tcW w:w="1121" w:type="pct"/>
            <w:shd w:val="clear" w:color="auto" w:fill="auto"/>
          </w:tcPr>
          <w:p w:rsidR="00E11BBF" w:rsidRPr="00B449F8" w:rsidRDefault="00E11BBF" w:rsidP="00E11BBF">
            <w:pPr>
              <w:rPr>
                <w:sz w:val="16"/>
                <w:szCs w:val="16"/>
              </w:rPr>
            </w:pPr>
          </w:p>
        </w:tc>
        <w:tc>
          <w:tcPr>
            <w:tcW w:w="1121" w:type="pct"/>
            <w:shd w:val="clear" w:color="auto" w:fill="auto"/>
          </w:tcPr>
          <w:p w:rsidR="00E11BBF" w:rsidRPr="00B449F8" w:rsidRDefault="00E11BBF" w:rsidP="00E11BBF">
            <w:pPr>
              <w:rPr>
                <w:i/>
                <w:color w:val="002060"/>
                <w:sz w:val="16"/>
                <w:szCs w:val="16"/>
              </w:rPr>
            </w:pPr>
          </w:p>
        </w:tc>
        <w:tc>
          <w:tcPr>
            <w:tcW w:w="822" w:type="pct"/>
            <w:shd w:val="clear" w:color="auto" w:fill="auto"/>
            <w:tcMar>
              <w:top w:w="110" w:type="dxa"/>
            </w:tcMar>
          </w:tcPr>
          <w:p w:rsidR="00E11BBF" w:rsidRPr="00B449F8" w:rsidRDefault="00E11BBF" w:rsidP="00E11BBF">
            <w:pPr>
              <w:rPr>
                <w:rFonts w:eastAsia="Batang"/>
                <w:i/>
                <w:color w:val="002060"/>
                <w:sz w:val="16"/>
                <w:szCs w:val="16"/>
                <w:lang w:eastAsia="ja-JP"/>
              </w:rPr>
            </w:pPr>
            <w:r w:rsidRPr="00B449F8">
              <w:rPr>
                <w:sz w:val="16"/>
                <w:szCs w:val="16"/>
              </w:rPr>
              <w:t>La longitud de los documentos de los Comités/órganos principales se reduce a 3.300 palabras</w:t>
            </w:r>
          </w:p>
        </w:tc>
        <w:tc>
          <w:tcPr>
            <w:tcW w:w="1268" w:type="pct"/>
            <w:shd w:val="clear" w:color="auto" w:fill="FFFFFF"/>
            <w:tcMar>
              <w:top w:w="110" w:type="dxa"/>
            </w:tcMar>
          </w:tcPr>
          <w:p w:rsidR="00E11BBF" w:rsidRPr="00B449F8" w:rsidRDefault="00E11BBF" w:rsidP="00E11BBF">
            <w:pPr>
              <w:rPr>
                <w:sz w:val="16"/>
                <w:szCs w:val="16"/>
              </w:rPr>
            </w:pPr>
            <w:r w:rsidRPr="00B449F8">
              <w:rPr>
                <w:sz w:val="16"/>
                <w:szCs w:val="16"/>
                <w:lang w:bidi="th-TH"/>
              </w:rPr>
              <w:t>Aproximadamente el 87% de los documentos recibidos para traducción (3.489 de un total de 4.030 documentos) se mantuvieron por debajo de las 3.300 palabras.  El resto, que excedió este límite de palabras, eran principalmente publicaciones, actas literales u otros informes anuales, documentos que contienen recopilaciones de prácticas en los Estados miembros y documentos preparados en respuesta a solicitudes concretas de los Estados miembros, que no están sujetos a esa limitación de extensión.</w:t>
            </w:r>
          </w:p>
        </w:tc>
        <w:tc>
          <w:tcPr>
            <w:tcW w:w="668" w:type="pct"/>
            <w:shd w:val="clear" w:color="auto" w:fill="auto"/>
            <w:tcMar>
              <w:top w:w="110" w:type="dxa"/>
            </w:tcMar>
          </w:tcPr>
          <w:p w:rsidR="00E11BBF" w:rsidRPr="00B449F8" w:rsidRDefault="00E11BBF" w:rsidP="00E11BBF">
            <w:pPr>
              <w:ind w:left="-112"/>
              <w:jc w:val="center"/>
              <w:rPr>
                <w:b/>
                <w:color w:val="00B050"/>
                <w:sz w:val="16"/>
                <w:szCs w:val="16"/>
              </w:rPr>
            </w:pPr>
            <w:r w:rsidRPr="00B449F8">
              <w:rPr>
                <w:b/>
                <w:color w:val="00B050"/>
                <w:sz w:val="16"/>
                <w:szCs w:val="16"/>
              </w:rPr>
              <w:t>Plenamente logrado</w:t>
            </w:r>
          </w:p>
        </w:tc>
      </w:tr>
      <w:tr w:rsidR="00221F0B" w:rsidRPr="00B449F8" w:rsidTr="00DC1333">
        <w:trPr>
          <w:cantSplit/>
        </w:trPr>
        <w:tc>
          <w:tcPr>
            <w:tcW w:w="1121" w:type="pct"/>
            <w:shd w:val="clear" w:color="auto" w:fill="auto"/>
          </w:tcPr>
          <w:p w:rsidR="00221F0B" w:rsidRPr="00B449F8" w:rsidRDefault="00221F0B" w:rsidP="00E11BBF">
            <w:pPr>
              <w:rPr>
                <w:sz w:val="16"/>
                <w:szCs w:val="16"/>
              </w:rPr>
            </w:pPr>
            <w:r w:rsidRPr="00B449F8">
              <w:rPr>
                <w:sz w:val="16"/>
                <w:szCs w:val="16"/>
              </w:rPr>
              <w:t>Costo por palabra traducida</w:t>
            </w:r>
          </w:p>
        </w:tc>
        <w:tc>
          <w:tcPr>
            <w:tcW w:w="1121" w:type="pct"/>
            <w:shd w:val="clear" w:color="auto" w:fill="auto"/>
          </w:tcPr>
          <w:p w:rsidR="00221F0B" w:rsidRPr="00B449F8" w:rsidRDefault="00221F0B" w:rsidP="00E11BBF">
            <w:pPr>
              <w:rPr>
                <w:i/>
                <w:color w:val="002060"/>
                <w:sz w:val="16"/>
                <w:szCs w:val="16"/>
              </w:rPr>
            </w:pPr>
            <w:r w:rsidRPr="00B449F8">
              <w:rPr>
                <w:i/>
                <w:color w:val="002060"/>
                <w:sz w:val="16"/>
                <w:szCs w:val="16"/>
              </w:rPr>
              <w:t xml:space="preserve">Referencia actualizada a fines de 2013: </w:t>
            </w:r>
          </w:p>
          <w:p w:rsidR="00221F0B" w:rsidRPr="00B449F8" w:rsidRDefault="00221F0B" w:rsidP="00E11BBF">
            <w:pPr>
              <w:autoSpaceDE w:val="0"/>
              <w:autoSpaceDN w:val="0"/>
              <w:adjustRightInd w:val="0"/>
              <w:rPr>
                <w:rFonts w:eastAsia="Batang"/>
                <w:color w:val="002060"/>
                <w:sz w:val="16"/>
                <w:szCs w:val="16"/>
                <w:lang w:eastAsia="ja-JP"/>
              </w:rPr>
            </w:pPr>
            <w:r w:rsidRPr="00B449F8">
              <w:rPr>
                <w:color w:val="002060"/>
                <w:sz w:val="16"/>
                <w:szCs w:val="16"/>
              </w:rPr>
              <w:t xml:space="preserve">0,63 francos suizos por palabra de media </w:t>
            </w:r>
          </w:p>
          <w:p w:rsidR="00221F0B" w:rsidRPr="00B449F8" w:rsidRDefault="00221F0B" w:rsidP="00E11BBF">
            <w:pPr>
              <w:rPr>
                <w:i/>
                <w:sz w:val="8"/>
                <w:szCs w:val="8"/>
              </w:rPr>
            </w:pPr>
          </w:p>
          <w:p w:rsidR="00221F0B" w:rsidRPr="00B449F8" w:rsidRDefault="00221F0B" w:rsidP="00E11BBF">
            <w:pPr>
              <w:rPr>
                <w:sz w:val="16"/>
                <w:szCs w:val="16"/>
              </w:rPr>
            </w:pPr>
            <w:r w:rsidRPr="00B449F8">
              <w:rPr>
                <w:i/>
                <w:sz w:val="16"/>
                <w:szCs w:val="16"/>
              </w:rPr>
              <w:t xml:space="preserve">Referencia original en el presupuesto de 2014/15: </w:t>
            </w:r>
            <w:r w:rsidRPr="00B449F8">
              <w:rPr>
                <w:sz w:val="16"/>
                <w:szCs w:val="16"/>
              </w:rPr>
              <w:t>Por determinar</w:t>
            </w:r>
          </w:p>
          <w:p w:rsidR="00221F0B" w:rsidRPr="00B449F8" w:rsidRDefault="00221F0B" w:rsidP="00E11BBF">
            <w:pPr>
              <w:rPr>
                <w:sz w:val="16"/>
                <w:szCs w:val="16"/>
              </w:rPr>
            </w:pPr>
          </w:p>
        </w:tc>
        <w:tc>
          <w:tcPr>
            <w:tcW w:w="822" w:type="pct"/>
            <w:shd w:val="clear" w:color="auto" w:fill="auto"/>
            <w:tcMar>
              <w:top w:w="110" w:type="dxa"/>
            </w:tcMar>
          </w:tcPr>
          <w:p w:rsidR="00221F0B" w:rsidRPr="00B449F8" w:rsidRDefault="00221F0B" w:rsidP="00E11BBF">
            <w:pPr>
              <w:rPr>
                <w:rFonts w:eastAsia="Batang"/>
                <w:color w:val="002060"/>
                <w:sz w:val="16"/>
                <w:szCs w:val="16"/>
                <w:lang w:eastAsia="ja-JP"/>
              </w:rPr>
            </w:pPr>
            <w:r w:rsidRPr="00B449F8">
              <w:rPr>
                <w:rFonts w:eastAsia="Batang"/>
                <w:i/>
                <w:color w:val="002060"/>
                <w:sz w:val="16"/>
                <w:szCs w:val="16"/>
                <w:lang w:eastAsia="ja-JP"/>
              </w:rPr>
              <w:t xml:space="preserve">Objetivo definido: Mantener la media de traducción </w:t>
            </w:r>
          </w:p>
          <w:p w:rsidR="00221F0B" w:rsidRPr="00B449F8" w:rsidRDefault="00221F0B" w:rsidP="00E11BBF">
            <w:pPr>
              <w:rPr>
                <w:rFonts w:eastAsia="Batang"/>
                <w:color w:val="002060"/>
                <w:sz w:val="16"/>
                <w:szCs w:val="16"/>
                <w:lang w:eastAsia="ja-JP"/>
              </w:rPr>
            </w:pPr>
          </w:p>
          <w:p w:rsidR="00221F0B" w:rsidRPr="00B449F8" w:rsidRDefault="00221F0B" w:rsidP="00E11BBF">
            <w:pPr>
              <w:rPr>
                <w:sz w:val="16"/>
                <w:szCs w:val="16"/>
              </w:rPr>
            </w:pPr>
            <w:r w:rsidRPr="00B449F8">
              <w:rPr>
                <w:rFonts w:eastAsia="Batang"/>
                <w:i/>
                <w:sz w:val="16"/>
                <w:szCs w:val="16"/>
                <w:lang w:eastAsia="ja-JP"/>
              </w:rPr>
              <w:t xml:space="preserve">Objetivo original en el presup. 2014/15: </w:t>
            </w:r>
            <w:r w:rsidRPr="00B449F8">
              <w:rPr>
                <w:rFonts w:eastAsia="Batang"/>
                <w:sz w:val="16"/>
                <w:szCs w:val="16"/>
                <w:lang w:eastAsia="ja-JP"/>
              </w:rPr>
              <w:t>por determinar</w:t>
            </w:r>
          </w:p>
        </w:tc>
        <w:tc>
          <w:tcPr>
            <w:tcW w:w="1268" w:type="pct"/>
            <w:shd w:val="clear" w:color="auto" w:fill="FFFFFF"/>
            <w:tcMar>
              <w:top w:w="110" w:type="dxa"/>
            </w:tcMar>
          </w:tcPr>
          <w:p w:rsidR="00221F0B" w:rsidRPr="00B449F8" w:rsidRDefault="00221F0B" w:rsidP="00E11BBF">
            <w:pPr>
              <w:rPr>
                <w:sz w:val="16"/>
                <w:szCs w:val="16"/>
              </w:rPr>
            </w:pPr>
            <w:r w:rsidRPr="00B449F8">
              <w:rPr>
                <w:sz w:val="16"/>
                <w:szCs w:val="16"/>
              </w:rPr>
              <w:t>El costo por palabra traducida fue:</w:t>
            </w:r>
          </w:p>
          <w:p w:rsidR="00221F0B" w:rsidRPr="00B449F8" w:rsidRDefault="00221F0B" w:rsidP="00E11BBF">
            <w:pPr>
              <w:rPr>
                <w:sz w:val="16"/>
                <w:szCs w:val="16"/>
              </w:rPr>
            </w:pPr>
            <w:r w:rsidRPr="00B449F8">
              <w:rPr>
                <w:sz w:val="16"/>
                <w:szCs w:val="16"/>
              </w:rPr>
              <w:t>- 0,59 francos suizos en 2014 (reducción del 6,3% en comparación con 2013)</w:t>
            </w:r>
          </w:p>
          <w:p w:rsidR="00221F0B" w:rsidRPr="00B449F8" w:rsidRDefault="00221F0B" w:rsidP="00E11BBF">
            <w:pPr>
              <w:rPr>
                <w:sz w:val="16"/>
                <w:szCs w:val="16"/>
              </w:rPr>
            </w:pPr>
            <w:r w:rsidRPr="00B449F8">
              <w:rPr>
                <w:sz w:val="16"/>
                <w:szCs w:val="16"/>
              </w:rPr>
              <w:t>- 0,57 francos suizos en 2015 (reducción del 3,4% en comparación con 2014)</w:t>
            </w:r>
          </w:p>
          <w:p w:rsidR="00221F0B" w:rsidRPr="00B449F8" w:rsidRDefault="00221F0B" w:rsidP="00E11BBF">
            <w:pPr>
              <w:rPr>
                <w:sz w:val="16"/>
                <w:szCs w:val="16"/>
              </w:rPr>
            </w:pPr>
          </w:p>
          <w:p w:rsidR="00221F0B" w:rsidRPr="00B449F8" w:rsidRDefault="00221F0B" w:rsidP="00E11BBF">
            <w:pPr>
              <w:rPr>
                <w:sz w:val="16"/>
                <w:szCs w:val="16"/>
              </w:rPr>
            </w:pPr>
          </w:p>
          <w:p w:rsidR="00221F0B" w:rsidRPr="00B449F8" w:rsidRDefault="00221F0B" w:rsidP="00E11BBF">
            <w:pPr>
              <w:rPr>
                <w:sz w:val="16"/>
                <w:szCs w:val="16"/>
              </w:rPr>
            </w:pPr>
            <w:r w:rsidRPr="00B449F8">
              <w:rPr>
                <w:sz w:val="16"/>
                <w:szCs w:val="16"/>
              </w:rPr>
              <w:t>En 2014 se tradujeron un total de 15,03 millones de palabras (45.537 páginas estándar de las Naciones Unidas), y 15,32 millones de palabras (46.420 páginas) en 2015.</w:t>
            </w:r>
          </w:p>
        </w:tc>
        <w:tc>
          <w:tcPr>
            <w:tcW w:w="668" w:type="pct"/>
            <w:shd w:val="clear" w:color="auto" w:fill="auto"/>
            <w:tcMar>
              <w:top w:w="110" w:type="dxa"/>
            </w:tcMar>
          </w:tcPr>
          <w:p w:rsidR="00221F0B" w:rsidRPr="00B449F8" w:rsidRDefault="00221F0B" w:rsidP="00E11BBF">
            <w:pPr>
              <w:ind w:left="-112"/>
              <w:jc w:val="center"/>
              <w:rPr>
                <w:bCs/>
                <w:color w:val="808080"/>
                <w:sz w:val="16"/>
                <w:szCs w:val="16"/>
              </w:rPr>
            </w:pPr>
            <w:r w:rsidRPr="00B449F8">
              <w:rPr>
                <w:b/>
                <w:color w:val="00B050"/>
                <w:sz w:val="16"/>
                <w:szCs w:val="16"/>
              </w:rPr>
              <w:t>Plenamente logrado</w:t>
            </w:r>
          </w:p>
        </w:tc>
      </w:tr>
      <w:tr w:rsidR="00221F0B" w:rsidRPr="00B449F8" w:rsidTr="00DC1333">
        <w:trPr>
          <w:cantSplit/>
        </w:trPr>
        <w:tc>
          <w:tcPr>
            <w:tcW w:w="1121" w:type="pct"/>
            <w:shd w:val="clear" w:color="auto" w:fill="auto"/>
          </w:tcPr>
          <w:p w:rsidR="00221F0B" w:rsidRPr="00B449F8" w:rsidRDefault="00221F0B" w:rsidP="00DC1333">
            <w:pPr>
              <w:rPr>
                <w:sz w:val="16"/>
                <w:szCs w:val="16"/>
              </w:rPr>
            </w:pPr>
            <w:r w:rsidRPr="00B449F8">
              <w:rPr>
                <w:sz w:val="16"/>
                <w:szCs w:val="16"/>
              </w:rPr>
              <w:t>Calidad de las traducciones</w:t>
            </w:r>
          </w:p>
        </w:tc>
        <w:tc>
          <w:tcPr>
            <w:tcW w:w="1121" w:type="pct"/>
            <w:shd w:val="clear" w:color="auto" w:fill="auto"/>
          </w:tcPr>
          <w:p w:rsidR="00221F0B" w:rsidRPr="00B449F8" w:rsidRDefault="00221F0B" w:rsidP="00DC1333">
            <w:pPr>
              <w:rPr>
                <w:i/>
                <w:color w:val="002060"/>
                <w:sz w:val="16"/>
                <w:szCs w:val="16"/>
              </w:rPr>
            </w:pPr>
            <w:r w:rsidRPr="00B449F8">
              <w:rPr>
                <w:i/>
                <w:color w:val="002060"/>
                <w:sz w:val="16"/>
                <w:szCs w:val="16"/>
              </w:rPr>
              <w:t xml:space="preserve">Referencia actualizada a fines de 2013: </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96% de documentos que</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respetan los criterios</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 xml:space="preserve">de calidad </w:t>
            </w:r>
          </w:p>
          <w:p w:rsidR="00221F0B" w:rsidRPr="00B449F8" w:rsidRDefault="00221F0B" w:rsidP="00DC1333">
            <w:pPr>
              <w:keepNext/>
              <w:rPr>
                <w:i/>
                <w:sz w:val="8"/>
                <w:szCs w:val="8"/>
              </w:rPr>
            </w:pPr>
          </w:p>
          <w:p w:rsidR="00221F0B" w:rsidRPr="00B449F8" w:rsidRDefault="00221F0B" w:rsidP="00DC1333">
            <w:pPr>
              <w:rPr>
                <w:sz w:val="16"/>
                <w:szCs w:val="16"/>
              </w:rPr>
            </w:pPr>
            <w:r w:rsidRPr="00B449F8">
              <w:rPr>
                <w:i/>
                <w:sz w:val="16"/>
                <w:szCs w:val="16"/>
              </w:rPr>
              <w:t xml:space="preserve">Referencia original en el presupuesto de 2014/15: </w:t>
            </w:r>
            <w:r w:rsidRPr="00B449F8">
              <w:rPr>
                <w:sz w:val="16"/>
                <w:szCs w:val="16"/>
              </w:rPr>
              <w:t>Porcentaje de documentos que respetan los criterios</w:t>
            </w:r>
          </w:p>
          <w:p w:rsidR="00221F0B" w:rsidRPr="00B449F8" w:rsidRDefault="00221F0B" w:rsidP="00DC1333">
            <w:pPr>
              <w:rPr>
                <w:sz w:val="16"/>
                <w:szCs w:val="16"/>
              </w:rPr>
            </w:pPr>
            <w:r w:rsidRPr="00B449F8">
              <w:rPr>
                <w:sz w:val="16"/>
                <w:szCs w:val="16"/>
              </w:rPr>
              <w:t>de calidad</w:t>
            </w:r>
          </w:p>
        </w:tc>
        <w:tc>
          <w:tcPr>
            <w:tcW w:w="822" w:type="pct"/>
            <w:shd w:val="clear" w:color="auto" w:fill="auto"/>
            <w:tcMar>
              <w:top w:w="110" w:type="dxa"/>
            </w:tcMar>
          </w:tcPr>
          <w:p w:rsidR="00221F0B" w:rsidRPr="00B449F8" w:rsidRDefault="00221F0B" w:rsidP="00DC1333">
            <w:pPr>
              <w:autoSpaceDE w:val="0"/>
              <w:autoSpaceDN w:val="0"/>
              <w:adjustRightInd w:val="0"/>
              <w:rPr>
                <w:rFonts w:eastAsia="Batang"/>
                <w:sz w:val="16"/>
                <w:szCs w:val="16"/>
                <w:lang w:eastAsia="ja-JP"/>
              </w:rPr>
            </w:pPr>
            <w:r w:rsidRPr="00B449F8">
              <w:rPr>
                <w:rFonts w:eastAsia="Batang"/>
                <w:sz w:val="16"/>
                <w:szCs w:val="16"/>
                <w:lang w:eastAsia="ja-JP"/>
              </w:rPr>
              <w:t>Porcentaje de documentos que respetan los criterios de calidad</w:t>
            </w:r>
          </w:p>
          <w:p w:rsidR="00221F0B" w:rsidRPr="00B449F8" w:rsidRDefault="00221F0B" w:rsidP="00DC1333">
            <w:pPr>
              <w:autoSpaceDE w:val="0"/>
              <w:autoSpaceDN w:val="0"/>
              <w:adjustRightInd w:val="0"/>
              <w:rPr>
                <w:rFonts w:eastAsia="Batang"/>
                <w:sz w:val="16"/>
                <w:szCs w:val="16"/>
                <w:lang w:eastAsia="ja-JP"/>
              </w:rPr>
            </w:pPr>
          </w:p>
        </w:tc>
        <w:tc>
          <w:tcPr>
            <w:tcW w:w="1268" w:type="pct"/>
            <w:shd w:val="clear" w:color="auto" w:fill="FFFFFF"/>
            <w:tcMar>
              <w:top w:w="110" w:type="dxa"/>
            </w:tcMar>
          </w:tcPr>
          <w:p w:rsidR="00221F0B" w:rsidRPr="00B449F8" w:rsidRDefault="00221F0B" w:rsidP="00DC1333">
            <w:pPr>
              <w:rPr>
                <w:sz w:val="16"/>
                <w:szCs w:val="16"/>
              </w:rPr>
            </w:pPr>
            <w:r w:rsidRPr="00B449F8">
              <w:rPr>
                <w:sz w:val="16"/>
                <w:szCs w:val="16"/>
              </w:rPr>
              <w:t>En 2014/15 el grado de satisfacción de los usuarios en relación con la calidad de las traducciones fue del 96%</w:t>
            </w:r>
          </w:p>
        </w:tc>
        <w:tc>
          <w:tcPr>
            <w:tcW w:w="668" w:type="pct"/>
            <w:shd w:val="clear" w:color="auto" w:fill="auto"/>
            <w:tcMar>
              <w:top w:w="110" w:type="dxa"/>
            </w:tcMar>
          </w:tcPr>
          <w:p w:rsidR="00221F0B" w:rsidRPr="00B449F8" w:rsidRDefault="00221F0B" w:rsidP="00DC1333">
            <w:pPr>
              <w:keepNext/>
              <w:keepLines/>
              <w:jc w:val="center"/>
              <w:rPr>
                <w:bCs/>
                <w:color w:val="808080" w:themeColor="background1" w:themeShade="80"/>
                <w:sz w:val="16"/>
                <w:szCs w:val="16"/>
              </w:rPr>
            </w:pPr>
            <w:r w:rsidRPr="00B449F8">
              <w:rPr>
                <w:bCs/>
                <w:color w:val="808080" w:themeColor="background1" w:themeShade="80"/>
                <w:sz w:val="16"/>
                <w:szCs w:val="16"/>
              </w:rPr>
              <w:t xml:space="preserve">No </w:t>
            </w:r>
          </w:p>
          <w:p w:rsidR="00221F0B" w:rsidRPr="00B449F8" w:rsidRDefault="00221F0B" w:rsidP="00DC1333">
            <w:pPr>
              <w:keepNext/>
              <w:keepLines/>
              <w:rPr>
                <w:bCs/>
                <w:color w:val="808080"/>
                <w:sz w:val="12"/>
                <w:szCs w:val="12"/>
              </w:rPr>
            </w:pPr>
            <w:r w:rsidRPr="00B449F8">
              <w:rPr>
                <w:bCs/>
                <w:color w:val="808080" w:themeColor="background1" w:themeShade="80"/>
                <w:sz w:val="16"/>
                <w:szCs w:val="16"/>
              </w:rPr>
              <w:t>mensurable</w:t>
            </w:r>
          </w:p>
        </w:tc>
      </w:tr>
      <w:tr w:rsidR="00221F0B" w:rsidRPr="00B449F8" w:rsidTr="00DC1333">
        <w:trPr>
          <w:cantSplit/>
        </w:trPr>
        <w:tc>
          <w:tcPr>
            <w:tcW w:w="1121" w:type="pct"/>
            <w:shd w:val="clear" w:color="auto" w:fill="auto"/>
          </w:tcPr>
          <w:p w:rsidR="00221F0B" w:rsidRPr="00B449F8" w:rsidRDefault="00221F0B" w:rsidP="00DC1333">
            <w:pPr>
              <w:rPr>
                <w:sz w:val="16"/>
                <w:szCs w:val="16"/>
              </w:rPr>
            </w:pPr>
            <w:r w:rsidRPr="00B449F8">
              <w:rPr>
                <w:sz w:val="16"/>
                <w:szCs w:val="16"/>
              </w:rPr>
              <w:t>Disminución de los costos de impresión (por página)</w:t>
            </w:r>
          </w:p>
        </w:tc>
        <w:tc>
          <w:tcPr>
            <w:tcW w:w="1121" w:type="pct"/>
            <w:shd w:val="clear" w:color="auto" w:fill="auto"/>
          </w:tcPr>
          <w:p w:rsidR="00221F0B" w:rsidRPr="00B449F8" w:rsidRDefault="00221F0B" w:rsidP="00DC1333">
            <w:pPr>
              <w:rPr>
                <w:i/>
                <w:color w:val="002060"/>
                <w:sz w:val="16"/>
                <w:szCs w:val="16"/>
              </w:rPr>
            </w:pPr>
            <w:r w:rsidRPr="00B449F8">
              <w:rPr>
                <w:i/>
                <w:color w:val="002060"/>
                <w:sz w:val="16"/>
                <w:szCs w:val="16"/>
              </w:rPr>
              <w:t xml:space="preserve">Referencia actualizada a fines de 2013: </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0,20 francos suizos de media por página en 2013</w:t>
            </w:r>
            <w:r w:rsidRPr="00B449F8">
              <w:rPr>
                <w:rStyle w:val="FootnoteReference"/>
                <w:rFonts w:eastAsia="Batang"/>
                <w:color w:val="002060"/>
                <w:sz w:val="16"/>
                <w:szCs w:val="16"/>
                <w:lang w:eastAsia="ja-JP"/>
              </w:rPr>
              <w:footnoteReference w:id="148"/>
            </w:r>
          </w:p>
          <w:p w:rsidR="00221F0B" w:rsidRPr="00B449F8" w:rsidRDefault="00221F0B" w:rsidP="00DC1333">
            <w:pPr>
              <w:keepNext/>
              <w:rPr>
                <w:i/>
                <w:sz w:val="8"/>
                <w:szCs w:val="8"/>
              </w:rPr>
            </w:pPr>
          </w:p>
          <w:p w:rsidR="00221F0B" w:rsidRPr="00B449F8" w:rsidRDefault="00221F0B" w:rsidP="00DC1333">
            <w:pPr>
              <w:rPr>
                <w:sz w:val="16"/>
                <w:szCs w:val="16"/>
              </w:rPr>
            </w:pPr>
            <w:r w:rsidRPr="00B449F8">
              <w:rPr>
                <w:i/>
                <w:sz w:val="16"/>
                <w:szCs w:val="16"/>
              </w:rPr>
              <w:t xml:space="preserve">Referencia original en el presupuesto de 2014/15: </w:t>
            </w:r>
            <w:r w:rsidRPr="00B449F8">
              <w:rPr>
                <w:sz w:val="16"/>
                <w:szCs w:val="16"/>
              </w:rPr>
              <w:t>Por determinar</w:t>
            </w:r>
          </w:p>
        </w:tc>
        <w:tc>
          <w:tcPr>
            <w:tcW w:w="822" w:type="pct"/>
            <w:shd w:val="clear" w:color="auto" w:fill="auto"/>
            <w:tcMar>
              <w:top w:w="110" w:type="dxa"/>
            </w:tcMar>
          </w:tcPr>
          <w:p w:rsidR="00221F0B" w:rsidRPr="00B449F8" w:rsidRDefault="00221F0B" w:rsidP="00DC1333">
            <w:pPr>
              <w:rPr>
                <w:rFonts w:eastAsia="Batang"/>
                <w:color w:val="002060"/>
                <w:sz w:val="16"/>
                <w:szCs w:val="16"/>
                <w:lang w:eastAsia="ja-JP"/>
              </w:rPr>
            </w:pPr>
            <w:r w:rsidRPr="00B449F8">
              <w:rPr>
                <w:rFonts w:eastAsia="Batang"/>
                <w:i/>
                <w:color w:val="002060"/>
                <w:sz w:val="16"/>
                <w:szCs w:val="16"/>
                <w:lang w:eastAsia="ja-JP"/>
              </w:rPr>
              <w:t xml:space="preserve">Objetivo definido: </w:t>
            </w:r>
            <w:r w:rsidRPr="00B449F8">
              <w:rPr>
                <w:rFonts w:eastAsia="Batang"/>
                <w:color w:val="002060"/>
                <w:sz w:val="16"/>
                <w:szCs w:val="16"/>
                <w:lang w:eastAsia="ja-JP"/>
              </w:rPr>
              <w:t xml:space="preserve">reducción del 5% en el costo medio por página </w:t>
            </w:r>
          </w:p>
          <w:p w:rsidR="00221F0B" w:rsidRPr="00B449F8" w:rsidRDefault="00221F0B" w:rsidP="00DC1333">
            <w:pPr>
              <w:rPr>
                <w:sz w:val="16"/>
                <w:szCs w:val="16"/>
              </w:rPr>
            </w:pPr>
          </w:p>
          <w:p w:rsidR="00221F0B" w:rsidRPr="00B449F8" w:rsidRDefault="00221F0B" w:rsidP="00DC1333">
            <w:pPr>
              <w:rPr>
                <w:sz w:val="16"/>
                <w:szCs w:val="16"/>
              </w:rPr>
            </w:pPr>
            <w:r w:rsidRPr="00B449F8">
              <w:rPr>
                <w:rFonts w:eastAsia="Batang"/>
                <w:i/>
                <w:sz w:val="16"/>
                <w:szCs w:val="16"/>
                <w:lang w:eastAsia="ja-JP"/>
              </w:rPr>
              <w:t xml:space="preserve">Objetivo original en el presup. 2014/15: </w:t>
            </w:r>
            <w:r w:rsidRPr="00B449F8">
              <w:rPr>
                <w:rFonts w:eastAsia="Batang"/>
                <w:sz w:val="16"/>
                <w:szCs w:val="16"/>
                <w:lang w:eastAsia="ja-JP"/>
              </w:rPr>
              <w:t>por determinar</w:t>
            </w:r>
            <w:r w:rsidRPr="00B449F8">
              <w:rPr>
                <w:rFonts w:eastAsia="Batang"/>
                <w:i/>
                <w:sz w:val="16"/>
                <w:szCs w:val="16"/>
                <w:lang w:eastAsia="ja-JP"/>
              </w:rPr>
              <w:t xml:space="preserve"> </w:t>
            </w:r>
          </w:p>
        </w:tc>
        <w:tc>
          <w:tcPr>
            <w:tcW w:w="1268" w:type="pct"/>
            <w:shd w:val="clear" w:color="auto" w:fill="FFFFFF"/>
            <w:tcMar>
              <w:top w:w="110" w:type="dxa"/>
            </w:tcMar>
          </w:tcPr>
          <w:p w:rsidR="00221F0B" w:rsidRPr="00B449F8" w:rsidRDefault="00221F0B" w:rsidP="00DC1333">
            <w:pPr>
              <w:rPr>
                <w:sz w:val="16"/>
                <w:szCs w:val="16"/>
              </w:rPr>
            </w:pPr>
            <w:r w:rsidRPr="00B449F8">
              <w:rPr>
                <w:sz w:val="16"/>
                <w:szCs w:val="16"/>
                <w:lang w:bidi="th-TH"/>
              </w:rPr>
              <w:t>El costo medio por página tanto en 2014</w:t>
            </w:r>
            <w:r w:rsidRPr="00B449F8">
              <w:rPr>
                <w:rStyle w:val="FootnoteReference"/>
                <w:sz w:val="16"/>
                <w:szCs w:val="16"/>
                <w:lang w:bidi="th-TH"/>
              </w:rPr>
              <w:footnoteReference w:id="149"/>
            </w:r>
            <w:r w:rsidRPr="00B449F8">
              <w:rPr>
                <w:sz w:val="16"/>
                <w:szCs w:val="16"/>
                <w:lang w:bidi="th-TH"/>
              </w:rPr>
              <w:t xml:space="preserve"> como en 2015 fue 0,15 francos suizos (reducción del 25%)</w:t>
            </w:r>
          </w:p>
        </w:tc>
        <w:tc>
          <w:tcPr>
            <w:tcW w:w="668" w:type="pct"/>
            <w:shd w:val="clear" w:color="auto" w:fill="auto"/>
            <w:tcMar>
              <w:top w:w="110" w:type="dxa"/>
            </w:tcMar>
          </w:tcPr>
          <w:p w:rsidR="00221F0B" w:rsidRPr="00B449F8" w:rsidRDefault="00221F0B" w:rsidP="00DC1333">
            <w:pPr>
              <w:keepNext/>
              <w:keepLines/>
              <w:ind w:left="-112"/>
              <w:jc w:val="center"/>
              <w:rPr>
                <w:bCs/>
                <w:color w:val="00B050"/>
                <w:sz w:val="16"/>
                <w:szCs w:val="16"/>
              </w:rPr>
            </w:pPr>
            <w:r w:rsidRPr="00B449F8">
              <w:rPr>
                <w:b/>
                <w:color w:val="00B050"/>
                <w:sz w:val="16"/>
                <w:szCs w:val="16"/>
              </w:rPr>
              <w:t>Plenamente logrado</w:t>
            </w:r>
          </w:p>
        </w:tc>
      </w:tr>
      <w:tr w:rsidR="00221F0B" w:rsidRPr="00B449F8" w:rsidTr="00DC1333">
        <w:trPr>
          <w:cantSplit/>
        </w:trPr>
        <w:tc>
          <w:tcPr>
            <w:tcW w:w="1121" w:type="pct"/>
            <w:shd w:val="clear" w:color="auto" w:fill="auto"/>
          </w:tcPr>
          <w:p w:rsidR="00221F0B" w:rsidRPr="00B449F8" w:rsidRDefault="00221F0B" w:rsidP="00DC1333">
            <w:pPr>
              <w:rPr>
                <w:sz w:val="16"/>
                <w:szCs w:val="16"/>
              </w:rPr>
            </w:pPr>
            <w:r w:rsidRPr="00B449F8">
              <w:rPr>
                <w:sz w:val="16"/>
                <w:szCs w:val="16"/>
              </w:rPr>
              <w:t>Publicación a tiempo de los documentos para los comités y grupos de  trabajo</w:t>
            </w:r>
          </w:p>
        </w:tc>
        <w:tc>
          <w:tcPr>
            <w:tcW w:w="1121" w:type="pct"/>
            <w:shd w:val="clear" w:color="auto" w:fill="auto"/>
          </w:tcPr>
          <w:p w:rsidR="00221F0B" w:rsidRPr="00B449F8" w:rsidRDefault="00221F0B" w:rsidP="00DC1333">
            <w:pPr>
              <w:rPr>
                <w:i/>
                <w:color w:val="002060"/>
                <w:sz w:val="16"/>
                <w:szCs w:val="16"/>
              </w:rPr>
            </w:pPr>
            <w:r w:rsidRPr="00B449F8">
              <w:rPr>
                <w:i/>
                <w:color w:val="002060"/>
                <w:sz w:val="16"/>
                <w:szCs w:val="16"/>
              </w:rPr>
              <w:t xml:space="preserve">Referencia actualizada a fines de 2013: </w:t>
            </w:r>
          </w:p>
          <w:p w:rsidR="00221F0B" w:rsidRPr="00B449F8" w:rsidRDefault="00221F0B" w:rsidP="00DC1333">
            <w:pPr>
              <w:autoSpaceDE w:val="0"/>
              <w:autoSpaceDN w:val="0"/>
              <w:adjustRightInd w:val="0"/>
              <w:rPr>
                <w:rFonts w:eastAsia="Batang"/>
                <w:color w:val="002060"/>
                <w:sz w:val="16"/>
                <w:szCs w:val="16"/>
                <w:lang w:eastAsia="ja-JP"/>
              </w:rPr>
            </w:pPr>
            <w:r w:rsidRPr="00B449F8">
              <w:rPr>
                <w:rFonts w:eastAsia="Batang"/>
                <w:color w:val="002060"/>
                <w:sz w:val="16"/>
                <w:szCs w:val="16"/>
                <w:lang w:eastAsia="ja-JP"/>
              </w:rPr>
              <w:t xml:space="preserve">26% de los documentos en todos los idiomas publicados dos meses antes de las reuniones pertinentes </w:t>
            </w:r>
          </w:p>
          <w:p w:rsidR="00221F0B" w:rsidRPr="00B449F8" w:rsidRDefault="00221F0B" w:rsidP="00DC1333">
            <w:pPr>
              <w:keepNext/>
              <w:rPr>
                <w:i/>
                <w:sz w:val="8"/>
                <w:szCs w:val="8"/>
              </w:rPr>
            </w:pPr>
          </w:p>
          <w:p w:rsidR="00221F0B" w:rsidRPr="00B449F8" w:rsidRDefault="00221F0B" w:rsidP="00DC1333">
            <w:pPr>
              <w:autoSpaceDE w:val="0"/>
              <w:autoSpaceDN w:val="0"/>
              <w:adjustRightInd w:val="0"/>
              <w:rPr>
                <w:sz w:val="16"/>
                <w:szCs w:val="16"/>
              </w:rPr>
            </w:pPr>
            <w:r w:rsidRPr="00B449F8">
              <w:rPr>
                <w:i/>
                <w:sz w:val="16"/>
                <w:szCs w:val="16"/>
              </w:rPr>
              <w:t xml:space="preserve">Referencia original en el presupuesto de 2014/15: </w:t>
            </w:r>
            <w:r w:rsidRPr="00B449F8">
              <w:rPr>
                <w:sz w:val="16"/>
                <w:szCs w:val="16"/>
              </w:rPr>
              <w:t>Porcentaje de documentos publicados dos meses antes del evento (por determinar)</w:t>
            </w:r>
            <w:r w:rsidRPr="00B449F8">
              <w:rPr>
                <w:sz w:val="16"/>
                <w:szCs w:val="16"/>
              </w:rPr>
              <w:br/>
            </w:r>
          </w:p>
        </w:tc>
        <w:tc>
          <w:tcPr>
            <w:tcW w:w="822" w:type="pct"/>
            <w:shd w:val="clear" w:color="auto" w:fill="auto"/>
            <w:tcMar>
              <w:top w:w="110" w:type="dxa"/>
            </w:tcMar>
          </w:tcPr>
          <w:p w:rsidR="00221F0B" w:rsidRPr="00B449F8" w:rsidRDefault="00221F0B" w:rsidP="00DC1333">
            <w:pPr>
              <w:rPr>
                <w:sz w:val="16"/>
                <w:szCs w:val="16"/>
              </w:rPr>
            </w:pPr>
            <w:r w:rsidRPr="00B449F8">
              <w:rPr>
                <w:sz w:val="16"/>
                <w:szCs w:val="16"/>
              </w:rPr>
              <w:t>65% de los documentos publicados dos meses antes del evento</w:t>
            </w:r>
          </w:p>
        </w:tc>
        <w:tc>
          <w:tcPr>
            <w:tcW w:w="1268" w:type="pct"/>
            <w:shd w:val="clear" w:color="auto" w:fill="FFFFFF"/>
            <w:tcMar>
              <w:top w:w="110" w:type="dxa"/>
            </w:tcMar>
          </w:tcPr>
          <w:p w:rsidR="00221F0B" w:rsidRPr="00B449F8" w:rsidRDefault="00221F0B" w:rsidP="00DC1333">
            <w:pPr>
              <w:rPr>
                <w:rFonts w:eastAsiaTheme="minorHAnsi"/>
                <w:sz w:val="16"/>
                <w:szCs w:val="16"/>
              </w:rPr>
            </w:pPr>
            <w:r w:rsidRPr="00B449F8">
              <w:rPr>
                <w:rFonts w:eastAsiaTheme="minorHAnsi"/>
                <w:sz w:val="16"/>
                <w:szCs w:val="16"/>
              </w:rPr>
              <w:t>En 2014/15 el 52,6% de los documentos para los comités más importantes se publicaron en todos los idiomas dos meses antes de las reuniones pertinentes</w:t>
            </w:r>
          </w:p>
          <w:p w:rsidR="00221F0B" w:rsidRPr="00B449F8" w:rsidRDefault="00221F0B" w:rsidP="00EB45DE">
            <w:pPr>
              <w:pStyle w:val="ListParagraph"/>
              <w:numPr>
                <w:ilvl w:val="0"/>
                <w:numId w:val="117"/>
              </w:numPr>
              <w:rPr>
                <w:rFonts w:eastAsiaTheme="minorHAnsi"/>
                <w:sz w:val="16"/>
                <w:szCs w:val="16"/>
                <w:lang w:val="es-ES"/>
              </w:rPr>
            </w:pPr>
            <w:r w:rsidRPr="00B449F8">
              <w:rPr>
                <w:rFonts w:eastAsiaTheme="minorHAnsi"/>
                <w:sz w:val="16"/>
                <w:szCs w:val="16"/>
                <w:lang w:val="es-ES"/>
              </w:rPr>
              <w:t>2014:  41%</w:t>
            </w:r>
          </w:p>
          <w:p w:rsidR="00221F0B" w:rsidRPr="00B449F8" w:rsidRDefault="00221F0B" w:rsidP="00EB45DE">
            <w:pPr>
              <w:pStyle w:val="ListParagraph"/>
              <w:numPr>
                <w:ilvl w:val="0"/>
                <w:numId w:val="117"/>
              </w:numPr>
              <w:rPr>
                <w:rFonts w:eastAsiaTheme="minorHAnsi"/>
                <w:sz w:val="16"/>
                <w:szCs w:val="16"/>
                <w:lang w:val="es-ES"/>
              </w:rPr>
            </w:pPr>
            <w:r w:rsidRPr="00B449F8">
              <w:rPr>
                <w:rFonts w:eastAsiaTheme="minorHAnsi"/>
                <w:sz w:val="16"/>
                <w:szCs w:val="16"/>
                <w:lang w:val="es-ES"/>
              </w:rPr>
              <w:t>2015:  69%</w:t>
            </w:r>
          </w:p>
        </w:tc>
        <w:tc>
          <w:tcPr>
            <w:tcW w:w="668" w:type="pct"/>
            <w:shd w:val="clear" w:color="auto" w:fill="auto"/>
            <w:tcMar>
              <w:top w:w="110" w:type="dxa"/>
            </w:tcMar>
          </w:tcPr>
          <w:p w:rsidR="00221F0B" w:rsidRPr="00B449F8" w:rsidRDefault="00221F0B" w:rsidP="00DC1333">
            <w:pPr>
              <w:keepNext/>
              <w:keepLines/>
              <w:ind w:left="-108"/>
              <w:jc w:val="center"/>
              <w:rPr>
                <w:b/>
                <w:bCs/>
                <w:color w:val="FF0000"/>
                <w:sz w:val="16"/>
                <w:szCs w:val="16"/>
              </w:rPr>
            </w:pPr>
            <w:r w:rsidRPr="00B449F8">
              <w:rPr>
                <w:b/>
                <w:color w:val="00B050"/>
                <w:sz w:val="16"/>
                <w:szCs w:val="16"/>
              </w:rPr>
              <w:t>Plenamente logrado</w:t>
            </w:r>
          </w:p>
        </w:tc>
      </w:tr>
    </w:tbl>
    <w:p w:rsidR="00221F0B" w:rsidRPr="00B449F8" w:rsidRDefault="00221F0B" w:rsidP="00DC1333">
      <w:pPr>
        <w:rPr>
          <w:color w:val="000000"/>
          <w:szCs w:val="22"/>
        </w:rPr>
      </w:pPr>
    </w:p>
    <w:p w:rsidR="00221F0B" w:rsidRPr="00B449F8" w:rsidRDefault="008F7CBE" w:rsidP="00DC1333">
      <w:pPr>
        <w:keepNext/>
        <w:rPr>
          <w:color w:val="000000"/>
          <w:szCs w:val="22"/>
        </w:rPr>
      </w:pPr>
      <w:r w:rsidRPr="008F7CBE">
        <w:rPr>
          <w:color w:val="000000"/>
          <w:sz w:val="20"/>
          <w:szCs w:val="22"/>
        </w:rPr>
        <w:t>INFORMACIÓN SOBRE LOS RIESGOS PLANTEADOS EN EL BIENIO</w:t>
      </w:r>
    </w:p>
    <w:p w:rsidR="00221F0B" w:rsidRPr="00B449F8" w:rsidRDefault="00221F0B" w:rsidP="00DC1333">
      <w:pPr>
        <w:keepNext/>
      </w:pPr>
    </w:p>
    <w:tbl>
      <w:tblPr>
        <w:tblW w:w="9498"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94"/>
        <w:gridCol w:w="1987"/>
        <w:gridCol w:w="2382"/>
        <w:gridCol w:w="2835"/>
      </w:tblGrid>
      <w:tr w:rsidR="00221F0B" w:rsidRPr="00B449F8" w:rsidTr="00DC1333">
        <w:trPr>
          <w:trHeight w:val="380"/>
        </w:trPr>
        <w:tc>
          <w:tcPr>
            <w:tcW w:w="2294"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449F8" w:rsidRDefault="00221F0B" w:rsidP="00DC1333">
            <w:pPr>
              <w:keepNext/>
              <w:autoSpaceDE w:val="0"/>
              <w:autoSpaceDN w:val="0"/>
              <w:adjustRightInd w:val="0"/>
              <w:ind w:right="-59"/>
              <w:jc w:val="center"/>
              <w:rPr>
                <w:b/>
                <w:bCs/>
                <w:sz w:val="18"/>
                <w:szCs w:val="18"/>
              </w:rPr>
            </w:pPr>
            <w:r w:rsidRPr="00B449F8">
              <w:rPr>
                <w:b/>
                <w:bCs/>
                <w:iCs/>
                <w:sz w:val="18"/>
                <w:szCs w:val="18"/>
              </w:rPr>
              <w:t>Riesgos en el logro de los resultados del programa</w:t>
            </w:r>
          </w:p>
        </w:tc>
        <w:tc>
          <w:tcPr>
            <w:tcW w:w="1987"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449F8" w:rsidRDefault="00221F0B" w:rsidP="00DC1333">
            <w:pPr>
              <w:keepNext/>
              <w:autoSpaceDE w:val="0"/>
              <w:autoSpaceDN w:val="0"/>
              <w:adjustRightInd w:val="0"/>
              <w:ind w:right="-59"/>
              <w:jc w:val="center"/>
              <w:rPr>
                <w:b/>
                <w:bCs/>
                <w:sz w:val="18"/>
                <w:szCs w:val="18"/>
              </w:rPr>
            </w:pPr>
            <w:r w:rsidRPr="00B449F8">
              <w:rPr>
                <w:b/>
                <w:bCs/>
                <w:iCs/>
                <w:sz w:val="18"/>
                <w:szCs w:val="18"/>
              </w:rPr>
              <w:t>Planes de mitigación ejecutados o en ejecución</w:t>
            </w:r>
          </w:p>
        </w:tc>
        <w:tc>
          <w:tcPr>
            <w:tcW w:w="2382" w:type="dxa"/>
            <w:tcBorders>
              <w:top w:val="single" w:sz="4" w:space="0" w:color="auto"/>
              <w:bottom w:val="single" w:sz="4" w:space="0" w:color="auto"/>
            </w:tcBorders>
            <w:shd w:val="clear" w:color="auto" w:fill="C6D9F1" w:themeFill="text2" w:themeFillTint="33"/>
          </w:tcPr>
          <w:p w:rsidR="00221F0B" w:rsidRPr="00B449F8" w:rsidRDefault="00221F0B" w:rsidP="00DC1333">
            <w:pPr>
              <w:keepNext/>
              <w:jc w:val="center"/>
              <w:rPr>
                <w:b/>
                <w:bCs/>
                <w:sz w:val="18"/>
                <w:szCs w:val="18"/>
              </w:rPr>
            </w:pPr>
            <w:r w:rsidRPr="00B449F8">
              <w:rPr>
                <w:b/>
                <w:bCs/>
                <w:iCs/>
                <w:sz w:val="18"/>
                <w:szCs w:val="18"/>
              </w:rPr>
              <w:t>Evolución de los riesgos y estrategias de mitigación durante el bienio</w:t>
            </w:r>
          </w:p>
        </w:tc>
        <w:tc>
          <w:tcPr>
            <w:tcW w:w="2835" w:type="dxa"/>
            <w:tcBorders>
              <w:top w:val="single" w:sz="4" w:space="0" w:color="auto"/>
              <w:bottom w:val="single" w:sz="4" w:space="0" w:color="auto"/>
            </w:tcBorders>
            <w:shd w:val="clear" w:color="auto" w:fill="C6D9F1" w:themeFill="text2" w:themeFillTint="33"/>
          </w:tcPr>
          <w:p w:rsidR="00221F0B" w:rsidRPr="00B449F8" w:rsidRDefault="00221F0B" w:rsidP="00DC1333">
            <w:pPr>
              <w:keepNext/>
              <w:jc w:val="center"/>
              <w:rPr>
                <w:b/>
                <w:bCs/>
                <w:sz w:val="18"/>
                <w:szCs w:val="18"/>
              </w:rPr>
            </w:pPr>
            <w:r w:rsidRPr="00B449F8">
              <w:rPr>
                <w:b/>
                <w:bCs/>
                <w:sz w:val="18"/>
                <w:szCs w:val="18"/>
              </w:rPr>
              <w:t>Incidencia en el rendimiento del programa</w:t>
            </w:r>
          </w:p>
        </w:tc>
      </w:tr>
      <w:tr w:rsidR="00221F0B" w:rsidRPr="00B449F8" w:rsidTr="00DC1333">
        <w:tc>
          <w:tcPr>
            <w:tcW w:w="2294" w:type="dxa"/>
            <w:tcBorders>
              <w:top w:val="single" w:sz="4" w:space="0" w:color="auto"/>
            </w:tcBorders>
            <w:shd w:val="clear" w:color="auto" w:fill="auto"/>
            <w:tcMar>
              <w:top w:w="113" w:type="dxa"/>
              <w:bottom w:w="85" w:type="dxa"/>
            </w:tcMar>
          </w:tcPr>
          <w:p w:rsidR="00221F0B" w:rsidRPr="00B449F8" w:rsidRDefault="00221F0B" w:rsidP="00DC1333">
            <w:pPr>
              <w:keepNext/>
              <w:rPr>
                <w:iCs/>
                <w:sz w:val="16"/>
                <w:szCs w:val="16"/>
              </w:rPr>
            </w:pPr>
            <w:r w:rsidRPr="00B449F8">
              <w:rPr>
                <w:iCs/>
                <w:sz w:val="16"/>
                <w:szCs w:val="16"/>
              </w:rPr>
              <w:t>Aplicación inadecuada de la Política Lingüística.</w:t>
            </w:r>
          </w:p>
          <w:p w:rsidR="00221F0B" w:rsidRPr="00B449F8" w:rsidRDefault="00221F0B" w:rsidP="00DC1333">
            <w:pPr>
              <w:keepNext/>
              <w:rPr>
                <w:iCs/>
                <w:sz w:val="16"/>
                <w:szCs w:val="16"/>
              </w:rPr>
            </w:pPr>
          </w:p>
          <w:p w:rsidR="00221F0B" w:rsidRPr="00B449F8" w:rsidRDefault="00221F0B" w:rsidP="00DC1333">
            <w:pPr>
              <w:keepNext/>
              <w:rPr>
                <w:sz w:val="16"/>
                <w:szCs w:val="16"/>
              </w:rPr>
            </w:pPr>
            <w:r w:rsidRPr="00B449F8">
              <w:rPr>
                <w:iCs/>
                <w:sz w:val="16"/>
                <w:szCs w:val="16"/>
              </w:rPr>
              <w:t>Debido a las peticiones crecientes de traducciones y a que no se respetan los límites prescritos, el volumen de traducción aumenta significativamente, lo que da lugar a desequilibrios presupuestarios</w:t>
            </w:r>
          </w:p>
        </w:tc>
        <w:tc>
          <w:tcPr>
            <w:tcW w:w="1987" w:type="dxa"/>
            <w:tcBorders>
              <w:top w:val="single" w:sz="4" w:space="0" w:color="auto"/>
            </w:tcBorders>
            <w:shd w:val="clear" w:color="auto" w:fill="auto"/>
            <w:tcMar>
              <w:top w:w="113" w:type="dxa"/>
              <w:bottom w:w="85" w:type="dxa"/>
            </w:tcMar>
          </w:tcPr>
          <w:p w:rsidR="00221F0B" w:rsidRPr="00B449F8" w:rsidRDefault="00221F0B" w:rsidP="00DC1333">
            <w:pPr>
              <w:keepNext/>
              <w:rPr>
                <w:sz w:val="16"/>
                <w:szCs w:val="16"/>
              </w:rPr>
            </w:pPr>
            <w:r w:rsidRPr="00B449F8">
              <w:rPr>
                <w:sz w:val="16"/>
                <w:szCs w:val="16"/>
              </w:rPr>
              <w:t>Supervisar el número y el tamaño de los documentos;  aplicar estrictamente medidas de racionalización y control;  alentar a los sectores interesados a evitar textos repetitivos en los documentos</w:t>
            </w:r>
          </w:p>
        </w:tc>
        <w:tc>
          <w:tcPr>
            <w:tcW w:w="2382" w:type="dxa"/>
            <w:tcBorders>
              <w:top w:val="single" w:sz="4" w:space="0" w:color="auto"/>
            </w:tcBorders>
          </w:tcPr>
          <w:p w:rsidR="00221F0B" w:rsidRPr="00B449F8" w:rsidRDefault="00221F0B" w:rsidP="00DC1333">
            <w:pPr>
              <w:keepNext/>
              <w:rPr>
                <w:sz w:val="16"/>
                <w:szCs w:val="16"/>
              </w:rPr>
            </w:pPr>
            <w:r w:rsidRPr="00B449F8">
              <w:rPr>
                <w:sz w:val="16"/>
                <w:szCs w:val="16"/>
              </w:rPr>
              <w:t>Mediante la realización de controles más específicos y la adopción de medidas proactivas de racionalización, se consiguió alentar a los sectores de actividades a ser más conscientes de la importancia de que la documentación sea concisa, con lo que el volumen de traducción se puede controlar de manera más eficaz.  En cuanto a la aplicación eficaz de la Política Lingüística, entre las medidas de mitigación empleadas se incluye un enfoque de aplicación gradual y una utilización cada vez mayor de la subcontratación y las tecnologías de traducción.</w:t>
            </w:r>
          </w:p>
        </w:tc>
        <w:tc>
          <w:tcPr>
            <w:tcW w:w="2835" w:type="dxa"/>
            <w:tcBorders>
              <w:top w:val="single" w:sz="4" w:space="0" w:color="auto"/>
            </w:tcBorders>
          </w:tcPr>
          <w:p w:rsidR="00221F0B" w:rsidRPr="00B449F8" w:rsidRDefault="00221F0B" w:rsidP="00DC1333">
            <w:pPr>
              <w:keepNext/>
              <w:rPr>
                <w:sz w:val="16"/>
                <w:szCs w:val="16"/>
              </w:rPr>
            </w:pPr>
            <w:r w:rsidRPr="00B449F8">
              <w:rPr>
                <w:sz w:val="16"/>
                <w:szCs w:val="16"/>
              </w:rPr>
              <w:t xml:space="preserve">El riesgo se mitigó de manera eficaz, por lo que no se produjo incidencia alguna en el rendimiento del programa en 2014/15. </w:t>
            </w:r>
          </w:p>
        </w:tc>
      </w:tr>
    </w:tbl>
    <w:p w:rsidR="00221F0B" w:rsidRDefault="00221F0B" w:rsidP="00DC1333">
      <w:pPr>
        <w:keepNext/>
        <w:rPr>
          <w:color w:val="000000"/>
          <w:szCs w:val="22"/>
        </w:rPr>
      </w:pPr>
    </w:p>
    <w:p w:rsidR="00221F0B" w:rsidRPr="00B449F8" w:rsidRDefault="00221F0B" w:rsidP="00DC1333">
      <w:pPr>
        <w:keepNext/>
        <w:rPr>
          <w:color w:val="000000"/>
          <w:szCs w:val="22"/>
        </w:rPr>
      </w:pPr>
    </w:p>
    <w:p w:rsidR="00221F0B" w:rsidRPr="00B449F8" w:rsidRDefault="00403D2C" w:rsidP="00DC1333">
      <w:pPr>
        <w:keepNext/>
        <w:rPr>
          <w:b/>
          <w:sz w:val="18"/>
          <w:szCs w:val="18"/>
        </w:rPr>
      </w:pPr>
      <w:r w:rsidRPr="00403D2C">
        <w:rPr>
          <w:sz w:val="20"/>
          <w:szCs w:val="22"/>
        </w:rPr>
        <w:t>UTILIZACIÓN DE LOS RECURSOS</w:t>
      </w:r>
    </w:p>
    <w:p w:rsidR="00221F0B" w:rsidRPr="00B449F8" w:rsidRDefault="00221F0B" w:rsidP="00DC1333">
      <w:pPr>
        <w:keepNext/>
      </w:pPr>
    </w:p>
    <w:p w:rsidR="00221F0B" w:rsidRPr="00B449F8" w:rsidRDefault="00221F0B" w:rsidP="00DC1333">
      <w:pPr>
        <w:pStyle w:val="NormalWeb"/>
        <w:keepNext/>
        <w:spacing w:before="0" w:beforeAutospacing="0" w:after="0" w:afterAutospacing="0"/>
        <w:jc w:val="center"/>
        <w:rPr>
          <w:sz w:val="20"/>
          <w:szCs w:val="20"/>
          <w:lang w:val="es-ES"/>
        </w:rPr>
      </w:pPr>
      <w:r w:rsidRPr="00B449F8">
        <w:rPr>
          <w:sz w:val="20"/>
          <w:szCs w:val="20"/>
          <w:lang w:val="es-ES"/>
        </w:rPr>
        <w:t>Presupuesto y gastos reales (por resultado)</w:t>
      </w:r>
    </w:p>
    <w:p w:rsidR="00221F0B" w:rsidRPr="00B449F8" w:rsidRDefault="00221F0B" w:rsidP="00DC1333">
      <w:pPr>
        <w:pStyle w:val="NormalWeb"/>
        <w:keepNext/>
        <w:spacing w:before="0" w:beforeAutospacing="0" w:after="0" w:afterAutospacing="0"/>
        <w:jc w:val="center"/>
        <w:rPr>
          <w:i/>
          <w:iCs/>
          <w:sz w:val="20"/>
          <w:szCs w:val="20"/>
          <w:lang w:val="es-ES"/>
        </w:rPr>
      </w:pPr>
      <w:r w:rsidRPr="00B449F8">
        <w:rPr>
          <w:i/>
          <w:iCs/>
          <w:sz w:val="20"/>
          <w:szCs w:val="20"/>
          <w:lang w:val="es-ES"/>
        </w:rPr>
        <w:t>(</w:t>
      </w:r>
      <w:proofErr w:type="gramStart"/>
      <w:r w:rsidRPr="00B449F8">
        <w:rPr>
          <w:i/>
          <w:iCs/>
          <w:sz w:val="20"/>
          <w:szCs w:val="20"/>
          <w:lang w:val="es-ES"/>
        </w:rPr>
        <w:t>en</w:t>
      </w:r>
      <w:proofErr w:type="gramEnd"/>
      <w:r w:rsidRPr="00B449F8">
        <w:rPr>
          <w:i/>
          <w:iCs/>
          <w:sz w:val="20"/>
          <w:szCs w:val="20"/>
          <w:lang w:val="es-ES"/>
        </w:rPr>
        <w:t xml:space="preserve"> miles de francos suizos)</w:t>
      </w:r>
    </w:p>
    <w:p w:rsidR="00221F0B" w:rsidRPr="00B449F8" w:rsidRDefault="00221F0B" w:rsidP="00DC1333">
      <w:pPr>
        <w:pStyle w:val="NormalWeb"/>
        <w:keepNext/>
        <w:spacing w:before="0" w:beforeAutospacing="0" w:after="0" w:afterAutospacing="0"/>
        <w:jc w:val="center"/>
        <w:rPr>
          <w:sz w:val="20"/>
          <w:szCs w:val="20"/>
          <w:lang w:val="es-ES"/>
        </w:rPr>
      </w:pPr>
    </w:p>
    <w:p w:rsidR="00221F0B" w:rsidRPr="00B449F8" w:rsidRDefault="00221F0B" w:rsidP="00DC1333">
      <w:pPr>
        <w:jc w:val="center"/>
      </w:pPr>
      <w:bookmarkStart w:id="202" w:name="Bm27"/>
      <w:bookmarkStart w:id="203" w:name="Punto27"/>
      <w:r>
        <w:rPr>
          <w:noProof/>
          <w:lang w:val="en-US" w:eastAsia="en-US"/>
        </w:rPr>
        <w:drawing>
          <wp:inline distT="0" distB="0" distL="0" distR="0" wp14:anchorId="57D9C834" wp14:editId="58E24FE0">
            <wp:extent cx="5753100" cy="1533525"/>
            <wp:effectExtent l="0" t="0" r="0" b="9525"/>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bookmarkEnd w:id="202"/>
      <w:bookmarkEnd w:id="203"/>
    </w:p>
    <w:p w:rsidR="00221F0B" w:rsidRPr="00B449F8" w:rsidRDefault="00221F0B" w:rsidP="00DC1333"/>
    <w:p w:rsidR="00221F0B" w:rsidRPr="00B449F8" w:rsidRDefault="00221F0B" w:rsidP="00DC1333"/>
    <w:p w:rsidR="00221F0B" w:rsidRPr="00B449F8" w:rsidRDefault="00221F0B" w:rsidP="00DC1333">
      <w:pPr>
        <w:pStyle w:val="NormalWeb"/>
        <w:spacing w:before="0" w:beforeAutospacing="0" w:after="0" w:afterAutospacing="0"/>
        <w:jc w:val="center"/>
        <w:rPr>
          <w:sz w:val="20"/>
          <w:szCs w:val="20"/>
          <w:lang w:val="es-ES"/>
        </w:rPr>
      </w:pPr>
      <w:r w:rsidRPr="00B449F8">
        <w:rPr>
          <w:sz w:val="20"/>
          <w:szCs w:val="20"/>
          <w:lang w:val="es-ES"/>
        </w:rPr>
        <w:t xml:space="preserve">Presupuesto y gastos reales (de personal y no relativos a personal) </w:t>
      </w:r>
    </w:p>
    <w:p w:rsidR="00221F0B" w:rsidRPr="00B449F8" w:rsidRDefault="00221F0B" w:rsidP="00DC1333">
      <w:pPr>
        <w:pStyle w:val="NormalWeb"/>
        <w:spacing w:before="0" w:beforeAutospacing="0" w:after="0" w:afterAutospacing="0"/>
        <w:jc w:val="center"/>
        <w:rPr>
          <w:i/>
          <w:iCs/>
          <w:sz w:val="20"/>
          <w:szCs w:val="20"/>
          <w:lang w:val="es-ES"/>
        </w:rPr>
      </w:pPr>
      <w:r w:rsidRPr="00B449F8">
        <w:rPr>
          <w:i/>
          <w:iCs/>
          <w:sz w:val="20"/>
          <w:szCs w:val="20"/>
          <w:lang w:val="es-ES"/>
        </w:rPr>
        <w:t>(</w:t>
      </w:r>
      <w:proofErr w:type="gramStart"/>
      <w:r w:rsidRPr="00B449F8">
        <w:rPr>
          <w:i/>
          <w:iCs/>
          <w:sz w:val="20"/>
          <w:szCs w:val="20"/>
          <w:lang w:val="es-ES"/>
        </w:rPr>
        <w:t>en</w:t>
      </w:r>
      <w:proofErr w:type="gramEnd"/>
      <w:r w:rsidRPr="00B449F8">
        <w:rPr>
          <w:i/>
          <w:iCs/>
          <w:sz w:val="20"/>
          <w:szCs w:val="20"/>
          <w:lang w:val="es-ES"/>
        </w:rPr>
        <w:t xml:space="preserve"> miles de francos suizos)</w:t>
      </w:r>
    </w:p>
    <w:p w:rsidR="00221F0B" w:rsidRPr="00B449F8" w:rsidRDefault="00221F0B" w:rsidP="00DC1333">
      <w:pPr>
        <w:pStyle w:val="NormalWeb"/>
        <w:spacing w:before="0" w:beforeAutospacing="0" w:after="0" w:afterAutospacing="0"/>
        <w:jc w:val="center"/>
        <w:rPr>
          <w:lang w:val="es-ES"/>
        </w:rPr>
      </w:pPr>
    </w:p>
    <w:p w:rsidR="00221F0B" w:rsidRPr="00B449F8" w:rsidRDefault="00221F0B" w:rsidP="00DC1333">
      <w:pPr>
        <w:jc w:val="center"/>
      </w:pPr>
      <w:bookmarkStart w:id="204" w:name="Point27"/>
      <w:r>
        <w:rPr>
          <w:noProof/>
          <w:lang w:val="en-US" w:eastAsia="en-US"/>
        </w:rPr>
        <w:drawing>
          <wp:inline distT="0" distB="0" distL="0" distR="0" wp14:anchorId="7D1F2E2C" wp14:editId="303B3A1B">
            <wp:extent cx="5940425" cy="1045921"/>
            <wp:effectExtent l="0" t="0" r="3175" b="1905"/>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1045921"/>
                    </a:xfrm>
                    <a:prstGeom prst="rect">
                      <a:avLst/>
                    </a:prstGeom>
                    <a:noFill/>
                    <a:ln>
                      <a:noFill/>
                    </a:ln>
                  </pic:spPr>
                </pic:pic>
              </a:graphicData>
            </a:graphic>
          </wp:inline>
        </w:drawing>
      </w:r>
      <w:bookmarkEnd w:id="204"/>
    </w:p>
    <w:p w:rsidR="00221F0B" w:rsidRDefault="00221F0B" w:rsidP="00DC1333">
      <w:pPr>
        <w:widowControl w:val="0"/>
        <w:autoSpaceDE w:val="0"/>
        <w:autoSpaceDN w:val="0"/>
        <w:adjustRightInd w:val="0"/>
        <w:rPr>
          <w:sz w:val="20"/>
        </w:rPr>
      </w:pPr>
    </w:p>
    <w:p w:rsidR="00221F0B" w:rsidRPr="00B449F8" w:rsidRDefault="00221F0B" w:rsidP="00DC1333">
      <w:pPr>
        <w:widowControl w:val="0"/>
        <w:autoSpaceDE w:val="0"/>
        <w:autoSpaceDN w:val="0"/>
        <w:adjustRightInd w:val="0"/>
        <w:rPr>
          <w:sz w:val="20"/>
        </w:rPr>
      </w:pPr>
    </w:p>
    <w:p w:rsidR="00221F0B" w:rsidRPr="00B449F8" w:rsidRDefault="00403D2C" w:rsidP="009C4D7F">
      <w:pPr>
        <w:keepNext/>
        <w:keepLines/>
        <w:jc w:val="both"/>
        <w:rPr>
          <w:sz w:val="20"/>
          <w:u w:val="single"/>
        </w:rPr>
      </w:pPr>
      <w:r w:rsidRPr="00403D2C">
        <w:rPr>
          <w:sz w:val="20"/>
        </w:rPr>
        <w:lastRenderedPageBreak/>
        <w:t>A.</w:t>
      </w:r>
      <w:r w:rsidRPr="00403D2C">
        <w:rPr>
          <w:sz w:val="20"/>
        </w:rPr>
        <w:tab/>
      </w:r>
      <w:r w:rsidRPr="00403D2C">
        <w:rPr>
          <w:sz w:val="20"/>
          <w:u w:val="single"/>
        </w:rPr>
        <w:t>Presupuesto final de 2014/15 tras las transferencias</w:t>
      </w:r>
    </w:p>
    <w:p w:rsidR="00221F0B" w:rsidRPr="00B449F8" w:rsidRDefault="00221F0B" w:rsidP="009C4D7F">
      <w:pPr>
        <w:keepNext/>
        <w:keepLines/>
        <w:jc w:val="both"/>
        <w:rPr>
          <w:sz w:val="20"/>
          <w:u w:val="single"/>
        </w:rPr>
      </w:pPr>
    </w:p>
    <w:p w:rsidR="00221F0B" w:rsidRPr="00B449F8" w:rsidRDefault="00221F0B" w:rsidP="00EB45DE">
      <w:pPr>
        <w:pStyle w:val="ListParagraph"/>
        <w:keepNext/>
        <w:keepLines/>
        <w:numPr>
          <w:ilvl w:val="0"/>
          <w:numId w:val="115"/>
        </w:numPr>
        <w:tabs>
          <w:tab w:val="left" w:pos="709"/>
        </w:tabs>
        <w:ind w:left="0" w:firstLine="0"/>
        <w:jc w:val="both"/>
        <w:rPr>
          <w:rFonts w:cs="Arial"/>
          <w:lang w:val="es-ES"/>
        </w:rPr>
      </w:pPr>
      <w:r w:rsidRPr="00B449F8">
        <w:rPr>
          <w:rFonts w:cs="Arial"/>
          <w:lang w:val="es-ES"/>
        </w:rPr>
        <w:t xml:space="preserve">En el presupuesto final tras las transferencias (recursos no relativos a personal) se refleja un ligero ajuste a la baja efectuado para aumentar la eficacia en </w:t>
      </w:r>
      <w:r w:rsidRPr="00B449F8">
        <w:rPr>
          <w:rFonts w:cs="Arial"/>
          <w:lang w:val="es-ES" w:eastAsia="ko-KR"/>
        </w:rPr>
        <w:t>función</w:t>
      </w:r>
      <w:r w:rsidRPr="00B449F8">
        <w:rPr>
          <w:rFonts w:cs="Arial"/>
          <w:lang w:val="es-ES"/>
        </w:rPr>
        <w:t xml:space="preserve"> de los costos, lo que se ve compensado por la reasignación de recursos de personal como no relativos a personal a fin de contratar asistencia administrativa temporal para los servicios de conferencia e impresión.</w:t>
      </w:r>
    </w:p>
    <w:p w:rsidR="00221F0B" w:rsidRPr="00B449F8" w:rsidRDefault="00221F0B" w:rsidP="00DC1333">
      <w:pPr>
        <w:pStyle w:val="ListParagraph"/>
        <w:tabs>
          <w:tab w:val="left" w:pos="709"/>
        </w:tabs>
        <w:ind w:left="0"/>
        <w:jc w:val="both"/>
        <w:rPr>
          <w:rFonts w:cs="Arial"/>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rFonts w:cs="Arial"/>
          <w:lang w:val="es-ES"/>
        </w:rPr>
        <w:t>La reducción del presupuesto final tras las transferencias (recursos de personal) se debió principalmente a la reasignación de recursos para</w:t>
      </w:r>
      <w:proofErr w:type="gramStart"/>
      <w:r w:rsidRPr="00B449F8">
        <w:rPr>
          <w:rFonts w:cs="Arial"/>
          <w:lang w:val="es-ES"/>
        </w:rPr>
        <w:t>:  i</w:t>
      </w:r>
      <w:proofErr w:type="gramEnd"/>
      <w:r w:rsidRPr="00B449F8">
        <w:rPr>
          <w:rFonts w:cs="Arial"/>
          <w:lang w:val="es-ES"/>
        </w:rPr>
        <w:t>) reforzar los servicios administrativos de la Academia de la OMPI (programa 11);  ii) fortalecer los servicios en materia de infraestructura de locales (programa 24), y iii) las transferencias a recursos no relativos a personal reseñadas con anterioridad.</w:t>
      </w:r>
    </w:p>
    <w:p w:rsidR="00221F0B" w:rsidRPr="00B449F8" w:rsidRDefault="00221F0B" w:rsidP="00DC1333">
      <w:pPr>
        <w:pStyle w:val="ListParagraph"/>
        <w:tabs>
          <w:tab w:val="left" w:pos="709"/>
        </w:tabs>
        <w:ind w:left="0"/>
        <w:jc w:val="both"/>
        <w:rPr>
          <w:rFonts w:cs="Arial"/>
          <w:lang w:val="es-ES"/>
        </w:rPr>
      </w:pPr>
    </w:p>
    <w:p w:rsidR="00221F0B" w:rsidRPr="00B449F8" w:rsidRDefault="00403D2C" w:rsidP="00DC1333">
      <w:pPr>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B449F8" w:rsidRDefault="00221F0B" w:rsidP="00DC1333">
      <w:pPr>
        <w:pStyle w:val="ListParagraph"/>
        <w:tabs>
          <w:tab w:val="left" w:pos="709"/>
        </w:tabs>
        <w:ind w:left="0"/>
        <w:jc w:val="both"/>
        <w:rPr>
          <w:rFonts w:cs="Arial"/>
          <w:lang w:val="es-ES"/>
        </w:rPr>
      </w:pPr>
    </w:p>
    <w:p w:rsidR="00221F0B" w:rsidRPr="00B449F8" w:rsidRDefault="00221F0B" w:rsidP="00EB45DE">
      <w:pPr>
        <w:pStyle w:val="ListParagraph"/>
        <w:numPr>
          <w:ilvl w:val="0"/>
          <w:numId w:val="115"/>
        </w:numPr>
        <w:tabs>
          <w:tab w:val="left" w:pos="709"/>
        </w:tabs>
        <w:ind w:left="0" w:firstLine="0"/>
        <w:jc w:val="both"/>
        <w:rPr>
          <w:rFonts w:cs="Arial"/>
          <w:lang w:val="es-ES"/>
        </w:rPr>
      </w:pPr>
      <w:r w:rsidRPr="00B449F8">
        <w:rPr>
          <w:rFonts w:cs="Arial"/>
          <w:lang w:val="es-ES" w:eastAsia="ko-KR"/>
        </w:rPr>
        <w:t>La infrautilización de los recursos no relativos a personal se debió principalmente a un aumento de la eficacia en función de los costos conseguido mediante la reducción de:  i) los costos de traducción, gracias a la renegociación de los contratos con los traductores externos;  ii) los costos de impresión, a raíz de la renegociación de los contratos de arrendamiento de las impresoras;  iii) los costos de envío de los documentos, debido a la negociación de tarifas más bajas con los proveedores externos de correo, y iv) la transferencia de recursos no relativos a personal correspondientes a un pasante (al programa 23 que gestiona las pasantías).</w:t>
      </w:r>
    </w:p>
    <w:p w:rsidR="00221F0B" w:rsidRDefault="00221F0B"/>
    <w:p w:rsidR="00221F0B" w:rsidRPr="00B449F8" w:rsidRDefault="00221F0B"/>
    <w:p w:rsidR="004334DE" w:rsidRDefault="004334DE">
      <w:pPr>
        <w:rPr>
          <w:b/>
          <w:bCs/>
          <w:iCs/>
          <w:caps/>
          <w:szCs w:val="22"/>
        </w:rPr>
      </w:pPr>
      <w:bookmarkStart w:id="205" w:name="_Toc422927442"/>
      <w:r>
        <w:rPr>
          <w:b/>
          <w:szCs w:val="22"/>
        </w:rPr>
        <w:br w:type="page"/>
      </w:r>
    </w:p>
    <w:p w:rsidR="00221F0B" w:rsidRPr="002C21E9" w:rsidRDefault="00221F0B" w:rsidP="00DC1333">
      <w:pPr>
        <w:pStyle w:val="Heading2"/>
        <w:tabs>
          <w:tab w:val="left" w:pos="2410"/>
        </w:tabs>
        <w:rPr>
          <w:b/>
          <w:szCs w:val="22"/>
        </w:rPr>
      </w:pPr>
      <w:bookmarkStart w:id="206" w:name="_Toc455159110"/>
      <w:r w:rsidRPr="002C21E9">
        <w:rPr>
          <w:b/>
          <w:szCs w:val="22"/>
        </w:rPr>
        <w:lastRenderedPageBreak/>
        <w:t>PROGRAMA 28</w:t>
      </w:r>
      <w:r w:rsidRPr="002C21E9">
        <w:rPr>
          <w:b/>
          <w:szCs w:val="22"/>
        </w:rPr>
        <w:tab/>
        <w:t>SEGURIDAD Y VIGILANCIA</w:t>
      </w:r>
      <w:bookmarkEnd w:id="205"/>
      <w:bookmarkEnd w:id="206"/>
    </w:p>
    <w:p w:rsidR="00221F0B" w:rsidRPr="002C21E9" w:rsidRDefault="00221F0B" w:rsidP="00DC1333">
      <w:pPr>
        <w:rPr>
          <w:sz w:val="20"/>
        </w:rPr>
      </w:pPr>
    </w:p>
    <w:p w:rsidR="00221F0B" w:rsidRPr="002C21E9" w:rsidRDefault="00221F0B" w:rsidP="00DC1333">
      <w:pPr>
        <w:tabs>
          <w:tab w:val="left" w:pos="2410"/>
        </w:tabs>
        <w:rPr>
          <w:b/>
          <w:sz w:val="20"/>
        </w:rPr>
      </w:pPr>
      <w:r w:rsidRPr="002C21E9">
        <w:rPr>
          <w:b/>
          <w:sz w:val="20"/>
        </w:rPr>
        <w:t>Director de programa</w:t>
      </w:r>
      <w:r w:rsidRPr="002C21E9">
        <w:rPr>
          <w:sz w:val="20"/>
        </w:rPr>
        <w:tab/>
      </w:r>
      <w:r w:rsidRPr="002C21E9">
        <w:rPr>
          <w:b/>
          <w:sz w:val="20"/>
        </w:rPr>
        <w:t>Sr. A. Sundaram</w:t>
      </w:r>
    </w:p>
    <w:p w:rsidR="00221F0B" w:rsidRPr="002C21E9" w:rsidRDefault="00221F0B" w:rsidP="00DC1333">
      <w:pPr>
        <w:rPr>
          <w:sz w:val="20"/>
        </w:rPr>
      </w:pPr>
    </w:p>
    <w:p w:rsidR="00221F0B" w:rsidRPr="002C21E9" w:rsidRDefault="00221F0B" w:rsidP="00DC1333">
      <w:pPr>
        <w:rPr>
          <w:sz w:val="20"/>
        </w:rPr>
      </w:pPr>
    </w:p>
    <w:p w:rsidR="00221F0B" w:rsidRPr="002C21E9" w:rsidRDefault="008F7CBE" w:rsidP="00DC1333">
      <w:pPr>
        <w:rPr>
          <w:bCs/>
          <w:szCs w:val="22"/>
        </w:rPr>
      </w:pPr>
      <w:r w:rsidRPr="008F7CBE">
        <w:rPr>
          <w:bCs/>
          <w:sz w:val="20"/>
          <w:szCs w:val="22"/>
        </w:rPr>
        <w:t>LOGROS ALCANZADOS EN EL BIENIO 2014/15</w:t>
      </w:r>
    </w:p>
    <w:p w:rsidR="00221F0B" w:rsidRPr="002C21E9" w:rsidRDefault="00221F0B" w:rsidP="00DC1333">
      <w:pPr>
        <w:rPr>
          <w:bCs/>
        </w:rPr>
      </w:pPr>
    </w:p>
    <w:p w:rsidR="00221F0B" w:rsidRPr="002C21E9" w:rsidRDefault="00221F0B" w:rsidP="00EB45DE">
      <w:pPr>
        <w:pStyle w:val="ListParagraph"/>
        <w:numPr>
          <w:ilvl w:val="0"/>
          <w:numId w:val="118"/>
        </w:numPr>
        <w:tabs>
          <w:tab w:val="left" w:pos="0"/>
        </w:tabs>
        <w:ind w:left="0" w:firstLine="0"/>
        <w:jc w:val="both"/>
        <w:rPr>
          <w:bCs/>
          <w:lang w:val="es-ES"/>
        </w:rPr>
      </w:pPr>
      <w:r w:rsidRPr="002C21E9">
        <w:rPr>
          <w:bCs/>
          <w:lang w:val="es-ES"/>
        </w:rPr>
        <w:t>El contexto de seguridad y vigilancia en el que la OMPI llevó a ca</w:t>
      </w:r>
      <w:r w:rsidR="00E046BA">
        <w:rPr>
          <w:bCs/>
          <w:lang w:val="es-ES"/>
        </w:rPr>
        <w:t>bo sus actividades en el bienio </w:t>
      </w:r>
      <w:r w:rsidRPr="002C21E9">
        <w:rPr>
          <w:bCs/>
          <w:lang w:val="es-ES"/>
        </w:rPr>
        <w:t>2014/15 siguió siendo complejo a nivel mundial, pero al mismo tiempo se mantuvo estable por lo general en los países en los que la Organización está presente.  Se siguieron gestionando en el marco del programa todos los sistemas de seguridad y vigilancia de la Organización a lo largo del bienio, incluidos los de las instalaciones de la nueva sala de conferencias de la OMPI, inauguradas en septiembre de 2014.</w:t>
      </w:r>
    </w:p>
    <w:p w:rsidR="00221F0B" w:rsidRPr="002C21E9" w:rsidRDefault="00221F0B" w:rsidP="00DC1333">
      <w:pPr>
        <w:pStyle w:val="ListParagraph"/>
        <w:tabs>
          <w:tab w:val="left" w:pos="0"/>
        </w:tabs>
        <w:ind w:left="0"/>
        <w:jc w:val="both"/>
        <w:rPr>
          <w:bCs/>
          <w:lang w:val="es-ES"/>
        </w:rPr>
      </w:pPr>
    </w:p>
    <w:p w:rsidR="00221F0B" w:rsidRPr="002C21E9" w:rsidRDefault="00221F0B" w:rsidP="00EB45DE">
      <w:pPr>
        <w:pStyle w:val="ListParagraph"/>
        <w:numPr>
          <w:ilvl w:val="0"/>
          <w:numId w:val="118"/>
        </w:numPr>
        <w:tabs>
          <w:tab w:val="left" w:pos="0"/>
        </w:tabs>
        <w:ind w:left="0" w:firstLine="0"/>
        <w:jc w:val="both"/>
        <w:rPr>
          <w:bCs/>
          <w:lang w:val="es-ES"/>
        </w:rPr>
      </w:pPr>
      <w:r w:rsidRPr="002C21E9">
        <w:rPr>
          <w:bCs/>
          <w:lang w:val="es-ES"/>
        </w:rPr>
        <w:t xml:space="preserve">La seguridad de los viajes internacionales de los miembros del personal de la OMPI siguió centrando la atención durante el bienio, ya que en varias de las regiones visitadas se produjeron incidentes relacionados con la inestabilidad y la seguridad, en especial hacia finales de 2015.  Los lamentables actos terroristas perpetrados en París (Francia) en noviembre de 2015 incidieron en los procedimientos de seguridad y vigilancia de la OMPI, que puso en práctica medidas adicionales de seguridad, entre ellas el fortalecimiento de la colaboración con el Gobierno anfitrión.  Estas iniciativas permitieron a la OMPI cumplir sus compromisos de participar en actos y conferencias como la 21ª sesión de la </w:t>
      </w:r>
      <w:r w:rsidRPr="002C21E9">
        <w:rPr>
          <w:rStyle w:val="admitted"/>
          <w:lang w:val="es-ES"/>
        </w:rPr>
        <w:t>Conferencia de las Partes en la Convención Marco de las Naciones Unidas sobre el Cambio Climático (COP 21), que se celebró en París los días 7 y 8 de diciembre de 2015.</w:t>
      </w:r>
    </w:p>
    <w:p w:rsidR="00221F0B" w:rsidRPr="002C21E9" w:rsidRDefault="00221F0B" w:rsidP="00DC1333">
      <w:pPr>
        <w:tabs>
          <w:tab w:val="left" w:pos="709"/>
        </w:tabs>
        <w:jc w:val="both"/>
        <w:rPr>
          <w:bCs/>
        </w:rPr>
      </w:pPr>
    </w:p>
    <w:p w:rsidR="00221F0B" w:rsidRPr="002C21E9" w:rsidRDefault="00221F0B" w:rsidP="00EB45DE">
      <w:pPr>
        <w:pStyle w:val="ListParagraph"/>
        <w:numPr>
          <w:ilvl w:val="0"/>
          <w:numId w:val="118"/>
        </w:numPr>
        <w:tabs>
          <w:tab w:val="left" w:pos="0"/>
        </w:tabs>
        <w:ind w:left="0" w:firstLine="0"/>
        <w:jc w:val="both"/>
        <w:rPr>
          <w:bCs/>
          <w:lang w:val="es-ES"/>
        </w:rPr>
      </w:pPr>
      <w:r w:rsidRPr="002C21E9">
        <w:rPr>
          <w:bCs/>
          <w:lang w:val="es-ES"/>
        </w:rPr>
        <w:t>Durante el bienio 2014/15 se consiguió culminar y avanzar algunos logros importantes en materia de seguridad y vigilancia, entre los que destacó la apertura del nuevo Centro de Acceso de la OMPI (recepción AB) y del Centro de Operaciones de Coordinación en materia de Seguridad (SCOC) en el plazo previsto para brindar un apoyo eficaz a la celebración de la vigesimosegunda sesión del PBC y las Asambleas de los Estados miembros de la OMPI en 2014, así como más</w:t>
      </w:r>
      <w:r w:rsidR="007252A0">
        <w:rPr>
          <w:bCs/>
          <w:lang w:val="es-ES"/>
        </w:rPr>
        <w:t xml:space="preserve"> de 200 conferencias y actos en </w:t>
      </w:r>
      <w:r w:rsidRPr="002C21E9">
        <w:rPr>
          <w:bCs/>
          <w:lang w:val="es-ES"/>
        </w:rPr>
        <w:t>2015</w:t>
      </w:r>
      <w:r>
        <w:rPr>
          <w:bCs/>
          <w:lang w:val="es-ES"/>
        </w:rPr>
        <w:t>,</w:t>
      </w:r>
      <w:r w:rsidRPr="002C21E9">
        <w:rPr>
          <w:bCs/>
          <w:lang w:val="es-ES"/>
        </w:rPr>
        <w:t xml:space="preserve"> que contaron con la asistencia del personal, delegados, visitantes y público en general.  Por otra parte, en 2015 se finalizó el proyecto de Normas mínimas de seguridad operacional para las sedes de las Naciones Unidas (H-MOSS), lo que se tradujo en mejoras que permitieron fortalecer considerablemente la gestión de la seguridad y vigilancia en todo el recinto de la OMPI, y en particular:  i) la puesta en funcionamiento de un nuevo sistema de control del acceso de vehículos y peatones;  ii)  medidas técnicamente avanzadas para impedir el acceso de intrusos;  iii) un sistema de vigilancia por circuito cerrado de televisión (CCTV);  iv) una red de área local (LAN) segura;  v) un sistema de comunicaciones y de respuesta en situaciones de emergencia, y vi) un sistema de detección y control de incendios y gestión de riesgos.  Además, tras un proceso exhaustivo de concurso, la OMPI seleccionó una nueva empresa de guardias de seguridad, que está previsto que comience a prestar sus servicios a principios de 2016, a fin de aumentar la seguridad y vigilancia internas.</w:t>
      </w:r>
    </w:p>
    <w:p w:rsidR="00221F0B" w:rsidRPr="002C21E9" w:rsidRDefault="00221F0B" w:rsidP="00DC1333">
      <w:pPr>
        <w:tabs>
          <w:tab w:val="left" w:pos="709"/>
        </w:tabs>
        <w:jc w:val="both"/>
        <w:rPr>
          <w:bCs/>
        </w:rPr>
      </w:pPr>
    </w:p>
    <w:p w:rsidR="00221F0B" w:rsidRPr="002C21E9" w:rsidRDefault="00221F0B" w:rsidP="00EB45DE">
      <w:pPr>
        <w:pStyle w:val="ListParagraph"/>
        <w:numPr>
          <w:ilvl w:val="0"/>
          <w:numId w:val="118"/>
        </w:numPr>
        <w:ind w:left="0" w:firstLine="0"/>
        <w:jc w:val="both"/>
        <w:rPr>
          <w:bCs/>
          <w:lang w:val="es-ES"/>
        </w:rPr>
      </w:pPr>
      <w:r w:rsidRPr="002C21E9">
        <w:rPr>
          <w:bCs/>
          <w:lang w:val="es-ES"/>
        </w:rPr>
        <w:t xml:space="preserve">Con el fin de seguir optimizando la capacidad operativa del SCOC y de los nuevos sistemas, </w:t>
      </w:r>
      <w:r w:rsidR="00CB2530">
        <w:rPr>
          <w:bCs/>
          <w:lang w:val="es-ES"/>
        </w:rPr>
        <w:t>en </w:t>
      </w:r>
      <w:r w:rsidRPr="002C21E9">
        <w:rPr>
          <w:bCs/>
          <w:lang w:val="es-ES"/>
        </w:rPr>
        <w:t>2014 y 2015 se impartió formación especializada al personal de vigilancia y seguridad y a los miembros del equipo de guardias de seguridad del recinto de la OMPI.  Durante el bienio se introdujeron además nuevos procedimientos de gestión de la seguridad y se actualizaron los procedimientos operativos estándar y otras políticas específicas actuales.  Asimismo, se elaboraron nuevas medidas sobre el desempeño del personal de seguridad, que fueron incorporadas a los procedimientos operativos estándar con el fin de potenciar la eficacia y la capacidad de respuesta en situaciones de emergencia.  Por último, dentro de la Estrategia de gestión de la continuidad de las operaciones y el Plan de gestión de crisis, en 2015 se siguieron introduciendo varias mejoras de seguridad y vigilancia en el edificio CAM de la OMPI (control de acceso, renovación del muro contra incendios y los detectores, e instalación de un sistema de CCTV) con miras a crear un centro de gestión de crisis en el exterior.</w:t>
      </w:r>
    </w:p>
    <w:p w:rsidR="00221F0B" w:rsidRPr="002C21E9" w:rsidRDefault="00221F0B" w:rsidP="00DC1333">
      <w:pPr>
        <w:tabs>
          <w:tab w:val="left" w:pos="709"/>
        </w:tabs>
        <w:jc w:val="both"/>
        <w:rPr>
          <w:bCs/>
        </w:rPr>
      </w:pPr>
    </w:p>
    <w:p w:rsidR="00221F0B" w:rsidRPr="002C21E9" w:rsidRDefault="00221F0B" w:rsidP="00EB45DE">
      <w:pPr>
        <w:pStyle w:val="ListParagraph"/>
        <w:numPr>
          <w:ilvl w:val="0"/>
          <w:numId w:val="118"/>
        </w:numPr>
        <w:ind w:left="0" w:firstLine="0"/>
        <w:jc w:val="both"/>
        <w:rPr>
          <w:bCs/>
          <w:lang w:val="es-ES"/>
        </w:rPr>
      </w:pPr>
      <w:r w:rsidRPr="002C21E9">
        <w:rPr>
          <w:bCs/>
          <w:lang w:val="es-ES"/>
        </w:rPr>
        <w:t>Con objeto de mejorar la seguridad del personal de la OMPI, proteger mejor los activos de la Organización y asegurar la conformidad con los procedimientos de seguridad y vigilancia de las Naciones Unidas, en el bienio 2014/15 se realizaron auditorías de evaluación de la seguridad y vigilancia de las cinco oficinas de la OMPI en el exterior, y al finalizar el bienio se habían dado por aplicadas más del 90% de las recomendaciones de las auditorías.  Además, se estableció un programa de actividades de divulgación en el marco del SCOC para las oficinas de la OMPI en el exterior, destinado a mejorar la gestión de la seguridad y vigilancia mediante una coordinación concertada y un servicio de asistencia en materia de seguridad disponible día y noche.</w:t>
      </w:r>
    </w:p>
    <w:p w:rsidR="00221F0B" w:rsidRPr="002C21E9" w:rsidRDefault="00221F0B" w:rsidP="00DC1333">
      <w:pPr>
        <w:tabs>
          <w:tab w:val="left" w:pos="709"/>
        </w:tabs>
        <w:jc w:val="both"/>
        <w:rPr>
          <w:bCs/>
        </w:rPr>
      </w:pPr>
    </w:p>
    <w:p w:rsidR="00221F0B" w:rsidRPr="002C21E9" w:rsidRDefault="00221F0B" w:rsidP="00EB45DE">
      <w:pPr>
        <w:pStyle w:val="ListParagraph"/>
        <w:numPr>
          <w:ilvl w:val="0"/>
          <w:numId w:val="118"/>
        </w:numPr>
        <w:tabs>
          <w:tab w:val="left" w:pos="0"/>
        </w:tabs>
        <w:ind w:left="0" w:firstLine="0"/>
        <w:jc w:val="both"/>
        <w:rPr>
          <w:bCs/>
          <w:lang w:val="es-ES"/>
        </w:rPr>
      </w:pPr>
      <w:r w:rsidRPr="002C21E9">
        <w:rPr>
          <w:bCs/>
          <w:lang w:val="es-ES"/>
        </w:rPr>
        <w:t>El número total de incidentes de seguridad y vigilancia notificados durante el bienio siguió siendo bajo, ya que solo se produjeron lesiones en 7 de los 616 incidentes regis</w:t>
      </w:r>
      <w:r w:rsidR="007771F8">
        <w:rPr>
          <w:bCs/>
          <w:lang w:val="es-ES"/>
        </w:rPr>
        <w:t>trados (el 1,1%)</w:t>
      </w:r>
      <w:proofErr w:type="gramStart"/>
      <w:r w:rsidR="007771F8">
        <w:rPr>
          <w:bCs/>
          <w:lang w:val="es-ES"/>
        </w:rPr>
        <w:t>:  2</w:t>
      </w:r>
      <w:proofErr w:type="gramEnd"/>
      <w:r w:rsidR="007771F8">
        <w:rPr>
          <w:bCs/>
          <w:lang w:val="es-ES"/>
        </w:rPr>
        <w:t xml:space="preserve"> de 222 (el </w:t>
      </w:r>
      <w:r w:rsidRPr="002C21E9">
        <w:rPr>
          <w:bCs/>
          <w:lang w:val="es-ES"/>
        </w:rPr>
        <w:t>0,9%) en 2014 y 5 de 394 (el 1,3%) en 2015.</w:t>
      </w:r>
    </w:p>
    <w:p w:rsidR="00221F0B" w:rsidRPr="002C21E9" w:rsidRDefault="00221F0B" w:rsidP="00DC1333">
      <w:pPr>
        <w:jc w:val="both"/>
        <w:rPr>
          <w:bCs/>
        </w:rPr>
      </w:pPr>
    </w:p>
    <w:p w:rsidR="00221F0B" w:rsidRPr="002C21E9" w:rsidRDefault="00221F0B" w:rsidP="00DC1333">
      <w:pPr>
        <w:jc w:val="both"/>
        <w:rPr>
          <w:bCs/>
        </w:rPr>
      </w:pPr>
    </w:p>
    <w:p w:rsidR="00221F0B" w:rsidRPr="002C21E9" w:rsidRDefault="008F7CBE" w:rsidP="008A5245">
      <w:pPr>
        <w:jc w:val="both"/>
        <w:rPr>
          <w:szCs w:val="22"/>
        </w:rPr>
      </w:pPr>
      <w:r w:rsidRPr="008F7CBE">
        <w:rPr>
          <w:sz w:val="20"/>
          <w:szCs w:val="22"/>
        </w:rPr>
        <w:t>DATOS SOBRE EL RENDIMIENTO</w:t>
      </w:r>
    </w:p>
    <w:p w:rsidR="00221F0B" w:rsidRPr="002C21E9" w:rsidRDefault="00221F0B" w:rsidP="008A5245">
      <w:pPr>
        <w:rPr>
          <w:bCs/>
          <w:szCs w:val="22"/>
        </w:rPr>
      </w:pP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2266"/>
        <w:gridCol w:w="1277"/>
        <w:gridCol w:w="2551"/>
        <w:gridCol w:w="1277"/>
      </w:tblGrid>
      <w:tr w:rsidR="00221F0B" w:rsidRPr="002C21E9" w:rsidTr="00DC1333">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221F0B" w:rsidRPr="002C21E9" w:rsidRDefault="00221F0B" w:rsidP="008A5245">
            <w:pPr>
              <w:spacing w:before="120" w:after="120"/>
              <w:ind w:left="2019" w:hanging="2019"/>
              <w:rPr>
                <w:b/>
                <w:bCs/>
                <w:sz w:val="16"/>
                <w:szCs w:val="16"/>
              </w:rPr>
            </w:pPr>
            <w:r w:rsidRPr="002C21E9">
              <w:rPr>
                <w:b/>
                <w:bCs/>
                <w:sz w:val="16"/>
                <w:szCs w:val="16"/>
              </w:rPr>
              <w:t>Resultado previsto:</w:t>
            </w:r>
            <w:r w:rsidRPr="002C21E9">
              <w:rPr>
                <w:b/>
                <w:bCs/>
                <w:sz w:val="16"/>
                <w:szCs w:val="16"/>
              </w:rPr>
              <w:tab/>
            </w:r>
            <w:r w:rsidRPr="002C21E9">
              <w:rPr>
                <w:bCs/>
                <w:sz w:val="16"/>
                <w:szCs w:val="16"/>
              </w:rPr>
              <w:t>IX.4 Una organización responsable con el medio ambiente y la sociedad en la que se garantiza la seguridad de su personal, los delegados, los visitantes, la información y los activos físicos</w:t>
            </w:r>
          </w:p>
        </w:tc>
      </w:tr>
      <w:tr w:rsidR="00221F0B" w:rsidRPr="002C21E9" w:rsidTr="00DC1333">
        <w:trPr>
          <w:cantSplit/>
        </w:trPr>
        <w:tc>
          <w:tcPr>
            <w:tcW w:w="1120" w:type="pct"/>
            <w:tcBorders>
              <w:top w:val="single" w:sz="4" w:space="0" w:color="auto"/>
            </w:tcBorders>
            <w:shd w:val="clear" w:color="auto" w:fill="auto"/>
            <w:vAlign w:val="center"/>
          </w:tcPr>
          <w:p w:rsidR="00221F0B" w:rsidRPr="002C21E9" w:rsidRDefault="00221F0B" w:rsidP="008A5245">
            <w:pPr>
              <w:rPr>
                <w:sz w:val="16"/>
                <w:szCs w:val="16"/>
              </w:rPr>
            </w:pPr>
            <w:r w:rsidRPr="002C21E9">
              <w:rPr>
                <w:b/>
                <w:sz w:val="16"/>
                <w:szCs w:val="16"/>
              </w:rPr>
              <w:t>Indicadores de rendimiento</w:t>
            </w:r>
          </w:p>
        </w:tc>
        <w:tc>
          <w:tcPr>
            <w:tcW w:w="1193" w:type="pct"/>
            <w:tcBorders>
              <w:top w:val="single" w:sz="4" w:space="0" w:color="auto"/>
            </w:tcBorders>
            <w:shd w:val="clear" w:color="auto" w:fill="auto"/>
            <w:vAlign w:val="center"/>
          </w:tcPr>
          <w:p w:rsidR="00221F0B" w:rsidRPr="002C21E9" w:rsidRDefault="00221F0B" w:rsidP="008A5245">
            <w:pPr>
              <w:rPr>
                <w:b/>
                <w:bCs/>
                <w:sz w:val="16"/>
                <w:szCs w:val="16"/>
              </w:rPr>
            </w:pPr>
            <w:r w:rsidRPr="002C21E9">
              <w:rPr>
                <w:b/>
                <w:bCs/>
                <w:sz w:val="16"/>
                <w:szCs w:val="16"/>
              </w:rPr>
              <w:t>Referencia</w:t>
            </w:r>
          </w:p>
        </w:tc>
        <w:tc>
          <w:tcPr>
            <w:tcW w:w="672" w:type="pct"/>
            <w:tcBorders>
              <w:top w:val="single" w:sz="4" w:space="0" w:color="auto"/>
            </w:tcBorders>
            <w:shd w:val="clear" w:color="auto" w:fill="auto"/>
            <w:tcMar>
              <w:top w:w="110" w:type="dxa"/>
            </w:tcMar>
            <w:vAlign w:val="center"/>
          </w:tcPr>
          <w:p w:rsidR="00221F0B" w:rsidRPr="002C21E9" w:rsidRDefault="00221F0B" w:rsidP="008A5245">
            <w:pPr>
              <w:rPr>
                <w:b/>
                <w:sz w:val="16"/>
                <w:szCs w:val="16"/>
              </w:rPr>
            </w:pPr>
            <w:r w:rsidRPr="002C21E9">
              <w:rPr>
                <w:b/>
                <w:sz w:val="16"/>
                <w:szCs w:val="16"/>
              </w:rPr>
              <w:t>Objetivos</w:t>
            </w:r>
          </w:p>
        </w:tc>
        <w:tc>
          <w:tcPr>
            <w:tcW w:w="1343" w:type="pct"/>
            <w:tcBorders>
              <w:top w:val="single" w:sz="4" w:space="0" w:color="auto"/>
            </w:tcBorders>
            <w:shd w:val="clear" w:color="auto" w:fill="FFFFFF"/>
            <w:tcMar>
              <w:top w:w="110" w:type="dxa"/>
            </w:tcMar>
            <w:vAlign w:val="center"/>
          </w:tcPr>
          <w:p w:rsidR="00221F0B" w:rsidRPr="002C21E9" w:rsidRDefault="00221F0B" w:rsidP="008A5245">
            <w:pPr>
              <w:rPr>
                <w:sz w:val="16"/>
                <w:szCs w:val="16"/>
              </w:rPr>
            </w:pPr>
            <w:r w:rsidRPr="002C21E9">
              <w:rPr>
                <w:b/>
                <w:sz w:val="16"/>
                <w:szCs w:val="16"/>
              </w:rPr>
              <w:t>Datos sobre el rendimiento</w:t>
            </w:r>
          </w:p>
        </w:tc>
        <w:tc>
          <w:tcPr>
            <w:tcW w:w="672" w:type="pct"/>
            <w:tcBorders>
              <w:top w:val="single" w:sz="4" w:space="0" w:color="auto"/>
            </w:tcBorders>
            <w:shd w:val="clear" w:color="auto" w:fill="auto"/>
            <w:tcMar>
              <w:top w:w="110" w:type="dxa"/>
            </w:tcMar>
            <w:vAlign w:val="center"/>
          </w:tcPr>
          <w:p w:rsidR="00221F0B" w:rsidRPr="002C21E9" w:rsidRDefault="00221F0B" w:rsidP="008A5245">
            <w:pPr>
              <w:jc w:val="center"/>
              <w:rPr>
                <w:b/>
                <w:bCs/>
                <w:sz w:val="16"/>
                <w:szCs w:val="16"/>
              </w:rPr>
            </w:pPr>
            <w:r w:rsidRPr="002C21E9">
              <w:rPr>
                <w:b/>
                <w:bCs/>
                <w:sz w:val="16"/>
                <w:szCs w:val="16"/>
              </w:rPr>
              <w:t>Clave de colores</w:t>
            </w:r>
          </w:p>
        </w:tc>
      </w:tr>
      <w:tr w:rsidR="00221F0B" w:rsidRPr="002C21E9" w:rsidTr="00DC1333">
        <w:trPr>
          <w:cantSplit/>
        </w:trPr>
        <w:tc>
          <w:tcPr>
            <w:tcW w:w="1120" w:type="pct"/>
            <w:shd w:val="clear" w:color="auto" w:fill="auto"/>
          </w:tcPr>
          <w:p w:rsidR="00221F0B" w:rsidRPr="002C21E9" w:rsidRDefault="00221F0B" w:rsidP="008A5245">
            <w:pPr>
              <w:rPr>
                <w:sz w:val="16"/>
                <w:szCs w:val="16"/>
              </w:rPr>
            </w:pPr>
            <w:r w:rsidRPr="002C21E9">
              <w:rPr>
                <w:sz w:val="16"/>
                <w:szCs w:val="16"/>
              </w:rPr>
              <w:t>Porcentaje de miembros del personal, delegados y visitantes que notifican lesiones o incidentes relacionados con el entorno laboral</w:t>
            </w:r>
          </w:p>
        </w:tc>
        <w:tc>
          <w:tcPr>
            <w:tcW w:w="1193" w:type="pct"/>
            <w:shd w:val="clear" w:color="auto" w:fill="auto"/>
          </w:tcPr>
          <w:p w:rsidR="00221F0B" w:rsidRPr="002C21E9" w:rsidRDefault="00221F0B" w:rsidP="008A5245">
            <w:pPr>
              <w:rPr>
                <w:color w:val="002060"/>
                <w:sz w:val="16"/>
                <w:szCs w:val="16"/>
              </w:rPr>
            </w:pPr>
            <w:r w:rsidRPr="002C21E9">
              <w:rPr>
                <w:i/>
                <w:color w:val="002060"/>
                <w:sz w:val="16"/>
                <w:szCs w:val="16"/>
              </w:rPr>
              <w:t>Referencia actualizada a fines de 2013</w:t>
            </w:r>
            <w:r>
              <w:rPr>
                <w:color w:val="002060"/>
                <w:sz w:val="16"/>
                <w:szCs w:val="16"/>
              </w:rPr>
              <w:t>:  e</w:t>
            </w:r>
            <w:r w:rsidRPr="002C21E9">
              <w:rPr>
                <w:color w:val="002060"/>
                <w:sz w:val="16"/>
                <w:szCs w:val="16"/>
              </w:rPr>
              <w:t>l porcentaje total de incidentes en los que se han visto implicados miembros del personal y se han producido lesiones fue inferior al 2% en 2012/13 (6 en 2012;  4 en 2013)</w:t>
            </w:r>
          </w:p>
          <w:p w:rsidR="00221F0B" w:rsidRPr="002C21E9" w:rsidRDefault="00221F0B" w:rsidP="008A5245">
            <w:pPr>
              <w:rPr>
                <w:sz w:val="16"/>
                <w:szCs w:val="16"/>
              </w:rPr>
            </w:pPr>
          </w:p>
          <w:p w:rsidR="00221F0B" w:rsidRPr="002C21E9" w:rsidRDefault="00221F0B" w:rsidP="008A5245">
            <w:pPr>
              <w:rPr>
                <w:sz w:val="16"/>
                <w:szCs w:val="16"/>
              </w:rPr>
            </w:pPr>
            <w:r w:rsidRPr="002C21E9">
              <w:rPr>
                <w:i/>
                <w:sz w:val="16"/>
                <w:szCs w:val="16"/>
              </w:rPr>
              <w:t xml:space="preserve">Referencia original en el presupuesto de 2014/15:  </w:t>
            </w:r>
            <w:r w:rsidRPr="002C21E9">
              <w:rPr>
                <w:sz w:val="16"/>
                <w:szCs w:val="16"/>
              </w:rPr>
              <w:t>el 2% o un porcentaje menor del total de partes interesadas / clientes notifican lesiones o incidentes relacionados con el entorno laboral</w:t>
            </w:r>
          </w:p>
        </w:tc>
        <w:tc>
          <w:tcPr>
            <w:tcW w:w="672" w:type="pct"/>
            <w:shd w:val="clear" w:color="auto" w:fill="auto"/>
            <w:tcMar>
              <w:top w:w="110" w:type="dxa"/>
            </w:tcMar>
          </w:tcPr>
          <w:p w:rsidR="00221F0B" w:rsidRPr="002C21E9" w:rsidRDefault="00221F0B" w:rsidP="008A5245">
            <w:pPr>
              <w:rPr>
                <w:sz w:val="16"/>
                <w:szCs w:val="16"/>
              </w:rPr>
            </w:pPr>
            <w:r w:rsidRPr="002C21E9">
              <w:rPr>
                <w:sz w:val="16"/>
                <w:szCs w:val="16"/>
              </w:rPr>
              <w:t>2% o menos</w:t>
            </w:r>
          </w:p>
        </w:tc>
        <w:tc>
          <w:tcPr>
            <w:tcW w:w="1343" w:type="pct"/>
            <w:shd w:val="clear" w:color="auto" w:fill="FFFFFF"/>
            <w:tcMar>
              <w:top w:w="110" w:type="dxa"/>
            </w:tcMar>
          </w:tcPr>
          <w:p w:rsidR="00221F0B" w:rsidRPr="002C21E9" w:rsidRDefault="00221F0B" w:rsidP="008A5245">
            <w:pPr>
              <w:rPr>
                <w:sz w:val="16"/>
                <w:szCs w:val="16"/>
              </w:rPr>
            </w:pPr>
            <w:r w:rsidRPr="002C21E9">
              <w:rPr>
                <w:sz w:val="16"/>
                <w:szCs w:val="16"/>
              </w:rPr>
              <w:t xml:space="preserve">El porcentaje total de incidentes relacionados con la seguridad registrados en 2014/15 que provocaron lesiones fue del 1,1%:  </w:t>
            </w:r>
          </w:p>
          <w:p w:rsidR="00221F0B" w:rsidRPr="002C21E9" w:rsidRDefault="00221F0B" w:rsidP="00EB45DE">
            <w:pPr>
              <w:pStyle w:val="ListParagraph"/>
              <w:numPr>
                <w:ilvl w:val="0"/>
                <w:numId w:val="119"/>
              </w:numPr>
              <w:rPr>
                <w:rFonts w:cs="Arial"/>
                <w:sz w:val="16"/>
                <w:szCs w:val="16"/>
                <w:lang w:val="es-ES"/>
              </w:rPr>
            </w:pPr>
            <w:r w:rsidRPr="002C21E9">
              <w:rPr>
                <w:rFonts w:cs="Arial"/>
                <w:sz w:val="16"/>
                <w:szCs w:val="16"/>
                <w:lang w:val="es-ES"/>
              </w:rPr>
              <w:t xml:space="preserve">2 incidentes relacionados con la seguridad (2014) </w:t>
            </w:r>
          </w:p>
          <w:p w:rsidR="00221F0B" w:rsidRPr="002C21E9" w:rsidRDefault="00221F0B" w:rsidP="00EB45DE">
            <w:pPr>
              <w:pStyle w:val="ListParagraph"/>
              <w:numPr>
                <w:ilvl w:val="0"/>
                <w:numId w:val="119"/>
              </w:numPr>
              <w:rPr>
                <w:sz w:val="16"/>
                <w:szCs w:val="16"/>
                <w:lang w:val="es-ES"/>
              </w:rPr>
            </w:pPr>
            <w:r w:rsidRPr="002C21E9">
              <w:rPr>
                <w:rFonts w:cs="Arial"/>
                <w:sz w:val="16"/>
                <w:szCs w:val="16"/>
                <w:lang w:val="es-ES"/>
              </w:rPr>
              <w:t>5 incidentes relacionados con la seguridad (2015)</w:t>
            </w:r>
          </w:p>
        </w:tc>
        <w:tc>
          <w:tcPr>
            <w:tcW w:w="672" w:type="pct"/>
            <w:shd w:val="clear" w:color="auto" w:fill="auto"/>
            <w:tcMar>
              <w:top w:w="110" w:type="dxa"/>
            </w:tcMar>
          </w:tcPr>
          <w:p w:rsidR="00221F0B" w:rsidRPr="002C21E9" w:rsidRDefault="00221F0B" w:rsidP="008A5245">
            <w:pPr>
              <w:rPr>
                <w:b/>
                <w:bCs/>
                <w:color w:val="00B050"/>
                <w:sz w:val="16"/>
                <w:szCs w:val="16"/>
              </w:rPr>
            </w:pPr>
            <w:r w:rsidRPr="002C21E9">
              <w:rPr>
                <w:b/>
                <w:color w:val="00B050"/>
                <w:sz w:val="16"/>
                <w:szCs w:val="16"/>
              </w:rPr>
              <w:t>Plenamente logrado</w:t>
            </w:r>
          </w:p>
        </w:tc>
      </w:tr>
      <w:tr w:rsidR="00221F0B" w:rsidRPr="002C21E9" w:rsidTr="00DC1333">
        <w:trPr>
          <w:cantSplit/>
        </w:trPr>
        <w:tc>
          <w:tcPr>
            <w:tcW w:w="1120" w:type="pct"/>
            <w:shd w:val="clear" w:color="auto" w:fill="auto"/>
          </w:tcPr>
          <w:p w:rsidR="00221F0B" w:rsidRPr="002C21E9" w:rsidRDefault="00221F0B" w:rsidP="00DC1333">
            <w:pPr>
              <w:rPr>
                <w:sz w:val="16"/>
                <w:szCs w:val="16"/>
              </w:rPr>
            </w:pPr>
            <w:r w:rsidRPr="002C21E9">
              <w:rPr>
                <w:sz w:val="16"/>
                <w:szCs w:val="16"/>
              </w:rPr>
              <w:t>Porcentaje de peticiones de asistencia relativas a la seguridad atendidas puntualmente en las conferencias o actividades organizadas en Ginebra</w:t>
            </w:r>
            <w:r>
              <w:rPr>
                <w:sz w:val="16"/>
                <w:szCs w:val="16"/>
              </w:rPr>
              <w:t xml:space="preserve"> o en el exterior</w:t>
            </w:r>
          </w:p>
        </w:tc>
        <w:tc>
          <w:tcPr>
            <w:tcW w:w="1193" w:type="pct"/>
            <w:shd w:val="clear" w:color="auto" w:fill="auto"/>
          </w:tcPr>
          <w:p w:rsidR="00221F0B" w:rsidRPr="002C21E9" w:rsidRDefault="00221F0B" w:rsidP="00DC1333">
            <w:pPr>
              <w:keepNext/>
              <w:keepLines/>
              <w:rPr>
                <w:i/>
                <w:color w:val="002060"/>
                <w:sz w:val="16"/>
                <w:szCs w:val="16"/>
              </w:rPr>
            </w:pPr>
            <w:r w:rsidRPr="002C21E9">
              <w:rPr>
                <w:i/>
                <w:color w:val="002060"/>
                <w:sz w:val="16"/>
                <w:szCs w:val="16"/>
              </w:rPr>
              <w:t xml:space="preserve">Referencia actualizada a fines de 2013: </w:t>
            </w:r>
          </w:p>
          <w:p w:rsidR="00221F0B" w:rsidRPr="002C21E9" w:rsidRDefault="00221F0B" w:rsidP="00DC1333">
            <w:pPr>
              <w:keepNext/>
              <w:keepLines/>
              <w:rPr>
                <w:color w:val="002060"/>
                <w:sz w:val="16"/>
                <w:szCs w:val="16"/>
              </w:rPr>
            </w:pPr>
            <w:r>
              <w:rPr>
                <w:color w:val="002060"/>
                <w:sz w:val="16"/>
                <w:szCs w:val="16"/>
              </w:rPr>
              <w:t>durante el bienio se realizaron</w:t>
            </w:r>
            <w:r w:rsidRPr="002C21E9">
              <w:rPr>
                <w:color w:val="002060"/>
                <w:sz w:val="16"/>
                <w:szCs w:val="16"/>
              </w:rPr>
              <w:t xml:space="preserve"> un total de siete auditorías de eventos externos (conferencias o actividades) con la ayuda de las respectivas oficinas nacionales del Departamento de Seguridad y Vigilancia de las Naciones Unidas, que cumplieron todas las normas del sistema de gestión de seguridad y vigilancia de NN.UU.:</w:t>
            </w:r>
          </w:p>
          <w:p w:rsidR="00221F0B" w:rsidRPr="002C21E9" w:rsidRDefault="00221F0B" w:rsidP="00DC1333">
            <w:pPr>
              <w:keepNext/>
              <w:keepLines/>
              <w:rPr>
                <w:color w:val="002060"/>
                <w:sz w:val="16"/>
                <w:szCs w:val="16"/>
              </w:rPr>
            </w:pPr>
          </w:p>
          <w:p w:rsidR="00221F0B" w:rsidRPr="002C21E9" w:rsidRDefault="00221F0B" w:rsidP="00DC1333">
            <w:pPr>
              <w:keepNext/>
              <w:keepLines/>
              <w:rPr>
                <w:color w:val="002060"/>
                <w:sz w:val="16"/>
                <w:szCs w:val="16"/>
              </w:rPr>
            </w:pPr>
            <w:r w:rsidRPr="002C21E9">
              <w:rPr>
                <w:color w:val="002060"/>
                <w:sz w:val="16"/>
                <w:szCs w:val="16"/>
              </w:rPr>
              <w:t>-  tres (2012)</w:t>
            </w:r>
          </w:p>
          <w:p w:rsidR="00221F0B" w:rsidRPr="002C21E9" w:rsidRDefault="00221F0B" w:rsidP="00DC1333">
            <w:pPr>
              <w:keepNext/>
              <w:keepLines/>
              <w:rPr>
                <w:color w:val="002060"/>
                <w:sz w:val="16"/>
                <w:szCs w:val="16"/>
              </w:rPr>
            </w:pPr>
            <w:r w:rsidRPr="002C21E9">
              <w:rPr>
                <w:color w:val="002060"/>
                <w:sz w:val="16"/>
                <w:szCs w:val="16"/>
              </w:rPr>
              <w:t>-  cuatro (2013)</w:t>
            </w:r>
          </w:p>
          <w:p w:rsidR="00221F0B" w:rsidRPr="002C21E9" w:rsidRDefault="00221F0B" w:rsidP="00DC1333">
            <w:pPr>
              <w:keepNext/>
              <w:keepLines/>
              <w:rPr>
                <w:color w:val="002060"/>
                <w:sz w:val="16"/>
                <w:szCs w:val="16"/>
              </w:rPr>
            </w:pPr>
          </w:p>
          <w:p w:rsidR="00221F0B" w:rsidRPr="002C21E9" w:rsidRDefault="00221F0B" w:rsidP="00DC1333">
            <w:pPr>
              <w:keepNext/>
              <w:keepLines/>
              <w:rPr>
                <w:color w:val="002060"/>
                <w:sz w:val="16"/>
                <w:szCs w:val="16"/>
              </w:rPr>
            </w:pPr>
            <w:r w:rsidRPr="002C21E9">
              <w:rPr>
                <w:color w:val="002060"/>
                <w:sz w:val="16"/>
                <w:szCs w:val="16"/>
              </w:rPr>
              <w:t>Por otra parte, se llevaron a cabo auditorías de dos eventos externos gestionados directamente por la OMPI (el 100% de las peticiones se atendieron puntualmente)</w:t>
            </w:r>
          </w:p>
          <w:p w:rsidR="00221F0B" w:rsidRPr="002C21E9" w:rsidRDefault="00221F0B" w:rsidP="00DC1333">
            <w:pPr>
              <w:keepNext/>
              <w:keepLines/>
              <w:rPr>
                <w:color w:val="002060"/>
                <w:sz w:val="16"/>
                <w:szCs w:val="16"/>
              </w:rPr>
            </w:pPr>
          </w:p>
          <w:p w:rsidR="00221F0B" w:rsidRPr="002C21E9" w:rsidRDefault="00221F0B" w:rsidP="00DC1333">
            <w:pPr>
              <w:keepNext/>
              <w:keepLines/>
              <w:rPr>
                <w:color w:val="002060"/>
                <w:sz w:val="16"/>
                <w:szCs w:val="16"/>
              </w:rPr>
            </w:pPr>
            <w:r w:rsidRPr="002C21E9">
              <w:rPr>
                <w:color w:val="002060"/>
                <w:sz w:val="16"/>
                <w:szCs w:val="16"/>
              </w:rPr>
              <w:t>En 2012, se emprendieron dos auditorías de las instalaciones de las oficinas de la OMPI en el exterior (Singapur y Tokio).</w:t>
            </w:r>
          </w:p>
          <w:p w:rsidR="00221F0B" w:rsidRPr="002C21E9" w:rsidRDefault="00221F0B" w:rsidP="008A5245">
            <w:pPr>
              <w:rPr>
                <w:sz w:val="16"/>
                <w:szCs w:val="16"/>
              </w:rPr>
            </w:pPr>
          </w:p>
        </w:tc>
        <w:tc>
          <w:tcPr>
            <w:tcW w:w="672" w:type="pct"/>
            <w:shd w:val="clear" w:color="auto" w:fill="auto"/>
            <w:tcMar>
              <w:top w:w="110" w:type="dxa"/>
            </w:tcMar>
          </w:tcPr>
          <w:p w:rsidR="00221F0B" w:rsidRPr="002C21E9" w:rsidRDefault="00221F0B" w:rsidP="00DC1333">
            <w:pPr>
              <w:rPr>
                <w:sz w:val="16"/>
                <w:szCs w:val="16"/>
              </w:rPr>
            </w:pPr>
            <w:r w:rsidRPr="002C21E9">
              <w:rPr>
                <w:rFonts w:ascii="ArialMT" w:hAnsi="ArialMT" w:cs="ArialMT"/>
                <w:sz w:val="16"/>
                <w:szCs w:val="16"/>
              </w:rPr>
              <w:t>80% o más</w:t>
            </w:r>
          </w:p>
        </w:tc>
        <w:tc>
          <w:tcPr>
            <w:tcW w:w="1343" w:type="pct"/>
            <w:shd w:val="clear" w:color="auto" w:fill="FFFFFF"/>
            <w:tcMar>
              <w:top w:w="110" w:type="dxa"/>
            </w:tcMar>
          </w:tcPr>
          <w:p w:rsidR="00221F0B" w:rsidRPr="002C21E9" w:rsidRDefault="00221F0B" w:rsidP="00DC1333">
            <w:pPr>
              <w:rPr>
                <w:sz w:val="16"/>
                <w:szCs w:val="16"/>
                <w:lang w:bidi="th-TH"/>
              </w:rPr>
            </w:pPr>
            <w:r w:rsidRPr="002C21E9">
              <w:rPr>
                <w:sz w:val="16"/>
                <w:szCs w:val="16"/>
                <w:lang w:bidi="th-TH"/>
              </w:rPr>
              <w:t>En 2014 y 2015 se atendieron todas (100%) las peticiones de asistencia relativas a la seguridad y vigilancia en las conferencias o actos organizados en Ginebra o en el exterior.</w:t>
            </w:r>
          </w:p>
          <w:p w:rsidR="00221F0B" w:rsidRPr="002C21E9" w:rsidRDefault="00221F0B" w:rsidP="00DC1333">
            <w:pPr>
              <w:rPr>
                <w:sz w:val="16"/>
                <w:szCs w:val="16"/>
                <w:lang w:bidi="th-TH"/>
              </w:rPr>
            </w:pPr>
          </w:p>
          <w:p w:rsidR="00221F0B" w:rsidRPr="002C21E9" w:rsidRDefault="00221F0B" w:rsidP="00DC1333">
            <w:pPr>
              <w:rPr>
                <w:color w:val="002060"/>
                <w:sz w:val="16"/>
                <w:szCs w:val="16"/>
              </w:rPr>
            </w:pPr>
            <w:r w:rsidRPr="002C21E9">
              <w:rPr>
                <w:sz w:val="16"/>
                <w:szCs w:val="16"/>
              </w:rPr>
              <w:t>En 2014/15 se realizaron auditorías de evaluación de la seguridad y vigilancia en todas las oficinas de la OMPI en el exterior, dándose por aplicadas más del 90% de las recomendaciones de las auditorías al finalizar el bienio.</w:t>
            </w:r>
          </w:p>
        </w:tc>
        <w:tc>
          <w:tcPr>
            <w:tcW w:w="672" w:type="pct"/>
            <w:shd w:val="clear" w:color="auto" w:fill="auto"/>
          </w:tcPr>
          <w:p w:rsidR="00221F0B" w:rsidRPr="002C21E9" w:rsidRDefault="00221F0B" w:rsidP="00DC1333">
            <w:pPr>
              <w:keepNext/>
              <w:keepLines/>
              <w:rPr>
                <w:b/>
                <w:color w:val="00B050"/>
                <w:sz w:val="16"/>
                <w:szCs w:val="16"/>
              </w:rPr>
            </w:pPr>
            <w:r w:rsidRPr="002C21E9">
              <w:rPr>
                <w:b/>
                <w:color w:val="00B050"/>
                <w:sz w:val="16"/>
                <w:szCs w:val="16"/>
              </w:rPr>
              <w:t>Plenamente logrado</w:t>
            </w: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color w:val="00B050"/>
                <w:sz w:val="16"/>
                <w:szCs w:val="16"/>
              </w:rPr>
            </w:pPr>
          </w:p>
          <w:p w:rsidR="00221F0B" w:rsidRPr="002C21E9" w:rsidRDefault="00221F0B" w:rsidP="00DC1333">
            <w:pPr>
              <w:keepNext/>
              <w:keepLines/>
              <w:rPr>
                <w:b/>
                <w:bCs/>
                <w:color w:val="00B050"/>
                <w:sz w:val="16"/>
                <w:szCs w:val="16"/>
              </w:rPr>
            </w:pPr>
          </w:p>
        </w:tc>
      </w:tr>
      <w:tr w:rsidR="008A5245" w:rsidRPr="002C21E9" w:rsidTr="00DC1333">
        <w:trPr>
          <w:cantSplit/>
        </w:trPr>
        <w:tc>
          <w:tcPr>
            <w:tcW w:w="1120" w:type="pct"/>
            <w:shd w:val="clear" w:color="auto" w:fill="auto"/>
          </w:tcPr>
          <w:p w:rsidR="008A5245" w:rsidRPr="002C21E9" w:rsidRDefault="008A5245" w:rsidP="00DC1333">
            <w:pPr>
              <w:rPr>
                <w:sz w:val="16"/>
                <w:szCs w:val="16"/>
              </w:rPr>
            </w:pPr>
          </w:p>
        </w:tc>
        <w:tc>
          <w:tcPr>
            <w:tcW w:w="1193" w:type="pct"/>
            <w:shd w:val="clear" w:color="auto" w:fill="auto"/>
          </w:tcPr>
          <w:p w:rsidR="008A5245" w:rsidRPr="002C21E9" w:rsidRDefault="008A5245" w:rsidP="00DC1333">
            <w:pPr>
              <w:keepNext/>
              <w:keepLines/>
              <w:rPr>
                <w:i/>
                <w:color w:val="002060"/>
                <w:sz w:val="16"/>
                <w:szCs w:val="16"/>
              </w:rPr>
            </w:pPr>
            <w:r w:rsidRPr="002C21E9">
              <w:rPr>
                <w:i/>
                <w:sz w:val="16"/>
                <w:szCs w:val="16"/>
              </w:rPr>
              <w:t xml:space="preserve">Referencia original en el presupuesto de 2014/15:  </w:t>
            </w:r>
            <w:r>
              <w:rPr>
                <w:sz w:val="16"/>
                <w:szCs w:val="16"/>
              </w:rPr>
              <w:t>e</w:t>
            </w:r>
            <w:r w:rsidRPr="002C21E9">
              <w:rPr>
                <w:sz w:val="16"/>
                <w:szCs w:val="16"/>
              </w:rPr>
              <w:t>l 65% o un porcentaje mayor del total de partes interesadas / clientes reciben puntualmente asistencia relativa a la seguridad en las conferencias o actividades organizadas en Ginebra o en otros lugares</w:t>
            </w:r>
          </w:p>
        </w:tc>
        <w:tc>
          <w:tcPr>
            <w:tcW w:w="672" w:type="pct"/>
            <w:shd w:val="clear" w:color="auto" w:fill="auto"/>
            <w:tcMar>
              <w:top w:w="110" w:type="dxa"/>
            </w:tcMar>
          </w:tcPr>
          <w:p w:rsidR="008A5245" w:rsidRPr="002C21E9" w:rsidRDefault="008A5245" w:rsidP="00DC1333">
            <w:pPr>
              <w:rPr>
                <w:rFonts w:ascii="ArialMT" w:hAnsi="ArialMT" w:cs="ArialMT"/>
                <w:sz w:val="16"/>
                <w:szCs w:val="16"/>
              </w:rPr>
            </w:pPr>
          </w:p>
        </w:tc>
        <w:tc>
          <w:tcPr>
            <w:tcW w:w="1343" w:type="pct"/>
            <w:shd w:val="clear" w:color="auto" w:fill="FFFFFF"/>
            <w:tcMar>
              <w:top w:w="110" w:type="dxa"/>
            </w:tcMar>
          </w:tcPr>
          <w:p w:rsidR="008A5245" w:rsidRPr="002C21E9" w:rsidRDefault="008A5245" w:rsidP="00DC1333">
            <w:pPr>
              <w:rPr>
                <w:sz w:val="16"/>
                <w:szCs w:val="16"/>
                <w:lang w:bidi="th-TH"/>
              </w:rPr>
            </w:pPr>
          </w:p>
        </w:tc>
        <w:tc>
          <w:tcPr>
            <w:tcW w:w="672" w:type="pct"/>
            <w:shd w:val="clear" w:color="auto" w:fill="auto"/>
          </w:tcPr>
          <w:p w:rsidR="008A5245" w:rsidRPr="002C21E9" w:rsidRDefault="008A5245" w:rsidP="00DC1333">
            <w:pPr>
              <w:keepNext/>
              <w:keepLines/>
              <w:rPr>
                <w:b/>
                <w:color w:val="00B050"/>
                <w:sz w:val="16"/>
                <w:szCs w:val="16"/>
              </w:rPr>
            </w:pPr>
          </w:p>
        </w:tc>
      </w:tr>
    </w:tbl>
    <w:p w:rsidR="00221F0B" w:rsidRDefault="00221F0B" w:rsidP="00DC1333">
      <w:pPr>
        <w:rPr>
          <w:color w:val="000000"/>
          <w:szCs w:val="22"/>
        </w:rPr>
      </w:pPr>
    </w:p>
    <w:p w:rsidR="00221F0B" w:rsidRPr="002C21E9" w:rsidRDefault="00221F0B" w:rsidP="00DC1333">
      <w:pPr>
        <w:rPr>
          <w:color w:val="000000"/>
          <w:szCs w:val="22"/>
        </w:rPr>
      </w:pPr>
    </w:p>
    <w:p w:rsidR="00221F0B" w:rsidRPr="002C21E9" w:rsidRDefault="008F7CBE" w:rsidP="00DC1333">
      <w:pPr>
        <w:keepNext/>
        <w:keepLines/>
        <w:rPr>
          <w:color w:val="000000"/>
          <w:szCs w:val="22"/>
        </w:rPr>
      </w:pPr>
      <w:r w:rsidRPr="008F7CBE">
        <w:rPr>
          <w:sz w:val="20"/>
        </w:rPr>
        <w:t>INFORMACIÓN SOBRE LOS RIESGOS PLANTEADOS EN EL BIENIO</w:t>
      </w:r>
    </w:p>
    <w:p w:rsidR="00221F0B" w:rsidRPr="002C21E9" w:rsidRDefault="00221F0B" w:rsidP="00DC1333">
      <w:pPr>
        <w:keepNext/>
        <w:keepLines/>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3"/>
        <w:gridCol w:w="2110"/>
        <w:gridCol w:w="2436"/>
        <w:gridCol w:w="2582"/>
      </w:tblGrid>
      <w:tr w:rsidR="00221F0B" w:rsidRPr="002C21E9" w:rsidTr="00DC1333">
        <w:trPr>
          <w:trHeight w:val="669"/>
          <w:jc w:val="center"/>
        </w:trPr>
        <w:tc>
          <w:tcPr>
            <w:tcW w:w="2517" w:type="dxa"/>
            <w:tcBorders>
              <w:top w:val="single" w:sz="4" w:space="0" w:color="auto"/>
              <w:bottom w:val="single" w:sz="4" w:space="0" w:color="auto"/>
            </w:tcBorders>
            <w:shd w:val="clear" w:color="auto" w:fill="C6D9F1" w:themeFill="text2" w:themeFillTint="33"/>
            <w:vAlign w:val="center"/>
          </w:tcPr>
          <w:p w:rsidR="00221F0B" w:rsidRPr="002C21E9" w:rsidRDefault="00221F0B" w:rsidP="00DC1333">
            <w:pPr>
              <w:autoSpaceDE w:val="0"/>
              <w:autoSpaceDN w:val="0"/>
              <w:adjustRightInd w:val="0"/>
              <w:ind w:right="-59"/>
              <w:jc w:val="center"/>
              <w:rPr>
                <w:b/>
                <w:sz w:val="18"/>
                <w:szCs w:val="18"/>
              </w:rPr>
            </w:pPr>
            <w:r w:rsidRPr="002C21E9">
              <w:rPr>
                <w:b/>
                <w:bCs/>
                <w:iCs/>
                <w:sz w:val="18"/>
                <w:szCs w:val="18"/>
              </w:rPr>
              <w:t>Riesgos en el logro de los resultados del programa</w:t>
            </w:r>
          </w:p>
        </w:tc>
        <w:tc>
          <w:tcPr>
            <w:tcW w:w="2152" w:type="dxa"/>
            <w:tcBorders>
              <w:top w:val="single" w:sz="4" w:space="0" w:color="auto"/>
              <w:bottom w:val="single" w:sz="4" w:space="0" w:color="auto"/>
            </w:tcBorders>
            <w:shd w:val="clear" w:color="auto" w:fill="C6D9F1" w:themeFill="text2" w:themeFillTint="33"/>
            <w:vAlign w:val="center"/>
          </w:tcPr>
          <w:p w:rsidR="00221F0B" w:rsidRPr="002C21E9" w:rsidRDefault="00221F0B" w:rsidP="00DC1333">
            <w:pPr>
              <w:autoSpaceDE w:val="0"/>
              <w:autoSpaceDN w:val="0"/>
              <w:adjustRightInd w:val="0"/>
              <w:ind w:right="-59"/>
              <w:jc w:val="center"/>
              <w:rPr>
                <w:b/>
                <w:sz w:val="18"/>
                <w:szCs w:val="18"/>
              </w:rPr>
            </w:pPr>
            <w:r w:rsidRPr="002C21E9">
              <w:rPr>
                <w:b/>
                <w:bCs/>
                <w:iCs/>
                <w:sz w:val="18"/>
                <w:szCs w:val="18"/>
              </w:rPr>
              <w:t>Planes de mitigación ejecutados o en ejecución</w:t>
            </w:r>
          </w:p>
        </w:tc>
        <w:tc>
          <w:tcPr>
            <w:tcW w:w="2492" w:type="dxa"/>
            <w:tcBorders>
              <w:top w:val="single" w:sz="4" w:space="0" w:color="auto"/>
              <w:bottom w:val="single" w:sz="4" w:space="0" w:color="auto"/>
            </w:tcBorders>
            <w:shd w:val="clear" w:color="auto" w:fill="C6D9F1" w:themeFill="text2" w:themeFillTint="33"/>
          </w:tcPr>
          <w:p w:rsidR="00221F0B" w:rsidRPr="002C21E9" w:rsidRDefault="00221F0B" w:rsidP="00DC1333">
            <w:pPr>
              <w:jc w:val="center"/>
              <w:rPr>
                <w:b/>
                <w:bCs/>
                <w:sz w:val="18"/>
                <w:szCs w:val="18"/>
              </w:rPr>
            </w:pPr>
            <w:r w:rsidRPr="002C21E9">
              <w:rPr>
                <w:b/>
                <w:bCs/>
                <w:iCs/>
                <w:sz w:val="18"/>
                <w:szCs w:val="18"/>
              </w:rPr>
              <w:t>Evolución de los riesgos y estrategias de mitigación durante el bienio</w:t>
            </w:r>
          </w:p>
        </w:tc>
        <w:tc>
          <w:tcPr>
            <w:tcW w:w="2634" w:type="dxa"/>
            <w:tcBorders>
              <w:top w:val="single" w:sz="4" w:space="0" w:color="auto"/>
              <w:bottom w:val="single" w:sz="4" w:space="0" w:color="auto"/>
            </w:tcBorders>
            <w:shd w:val="clear" w:color="auto" w:fill="C6D9F1" w:themeFill="text2" w:themeFillTint="33"/>
          </w:tcPr>
          <w:p w:rsidR="00221F0B" w:rsidRPr="002C21E9" w:rsidRDefault="00221F0B" w:rsidP="00DC1333">
            <w:pPr>
              <w:jc w:val="center"/>
              <w:rPr>
                <w:b/>
                <w:bCs/>
                <w:sz w:val="18"/>
                <w:szCs w:val="18"/>
              </w:rPr>
            </w:pPr>
            <w:r w:rsidRPr="002C21E9">
              <w:rPr>
                <w:b/>
                <w:bCs/>
                <w:sz w:val="18"/>
                <w:szCs w:val="18"/>
              </w:rPr>
              <w:t>Incidencia en el rendimiento del programa</w:t>
            </w:r>
          </w:p>
        </w:tc>
      </w:tr>
      <w:tr w:rsidR="00221F0B" w:rsidRPr="002C21E9" w:rsidTr="00DC1333">
        <w:trPr>
          <w:trHeight w:val="859"/>
          <w:jc w:val="center"/>
        </w:trPr>
        <w:tc>
          <w:tcPr>
            <w:tcW w:w="2517" w:type="dxa"/>
            <w:tcBorders>
              <w:top w:val="single" w:sz="4" w:space="0" w:color="auto"/>
            </w:tcBorders>
            <w:shd w:val="clear" w:color="auto" w:fill="auto"/>
            <w:tcMar>
              <w:top w:w="113" w:type="dxa"/>
            </w:tcMar>
          </w:tcPr>
          <w:p w:rsidR="00221F0B" w:rsidRPr="002C21E9" w:rsidRDefault="00221F0B" w:rsidP="00DC1333">
            <w:pPr>
              <w:rPr>
                <w:sz w:val="16"/>
                <w:szCs w:val="16"/>
              </w:rPr>
            </w:pPr>
            <w:r w:rsidRPr="002C21E9">
              <w:rPr>
                <w:sz w:val="16"/>
                <w:szCs w:val="16"/>
              </w:rPr>
              <w:t>Si no se sustituyen los sistemas y equipos anticuados u obsoletos de seguridad y vigilancia que están instalados en los locales existentes, pueden producirse incidentes que afecten a la seguridad</w:t>
            </w:r>
          </w:p>
          <w:p w:rsidR="00221F0B" w:rsidRPr="002C21E9" w:rsidRDefault="00221F0B" w:rsidP="00DC1333">
            <w:pPr>
              <w:rPr>
                <w:sz w:val="16"/>
                <w:szCs w:val="16"/>
              </w:rPr>
            </w:pPr>
          </w:p>
          <w:p w:rsidR="00221F0B" w:rsidRPr="002C21E9" w:rsidRDefault="00221F0B" w:rsidP="00DC1333">
            <w:pPr>
              <w:rPr>
                <w:sz w:val="16"/>
                <w:szCs w:val="16"/>
              </w:rPr>
            </w:pPr>
          </w:p>
          <w:p w:rsidR="00221F0B" w:rsidRPr="002C21E9" w:rsidRDefault="00221F0B" w:rsidP="00DC1333">
            <w:pPr>
              <w:rPr>
                <w:sz w:val="16"/>
                <w:szCs w:val="16"/>
              </w:rPr>
            </w:pPr>
          </w:p>
          <w:p w:rsidR="00221F0B" w:rsidRPr="002C21E9" w:rsidRDefault="00221F0B" w:rsidP="00DC1333">
            <w:pPr>
              <w:ind w:firstLine="720"/>
              <w:rPr>
                <w:sz w:val="16"/>
                <w:szCs w:val="16"/>
              </w:rPr>
            </w:pPr>
          </w:p>
        </w:tc>
        <w:tc>
          <w:tcPr>
            <w:tcW w:w="2152" w:type="dxa"/>
            <w:tcBorders>
              <w:top w:val="single" w:sz="4" w:space="0" w:color="auto"/>
            </w:tcBorders>
            <w:shd w:val="clear" w:color="auto" w:fill="auto"/>
            <w:tcMar>
              <w:top w:w="113" w:type="dxa"/>
            </w:tcMar>
          </w:tcPr>
          <w:p w:rsidR="00221F0B" w:rsidRPr="002C21E9" w:rsidRDefault="00221F0B" w:rsidP="00DC1333">
            <w:pPr>
              <w:autoSpaceDE w:val="0"/>
              <w:autoSpaceDN w:val="0"/>
              <w:adjustRightInd w:val="0"/>
              <w:ind w:right="108"/>
              <w:rPr>
                <w:sz w:val="16"/>
                <w:szCs w:val="16"/>
              </w:rPr>
            </w:pPr>
            <w:r w:rsidRPr="002C21E9">
              <w:rPr>
                <w:sz w:val="16"/>
                <w:szCs w:val="16"/>
              </w:rPr>
              <w:t>Gracias al proyecto de mejora de los locales que está en curso de ejecución (2012/13), los sistemas y equipos actuales se irán desactivando gradualmente.  Está previsto que se ejecuten labores de actualización a partir de 2014/15</w:t>
            </w:r>
          </w:p>
        </w:tc>
        <w:tc>
          <w:tcPr>
            <w:tcW w:w="2492" w:type="dxa"/>
            <w:tcBorders>
              <w:top w:val="single" w:sz="4" w:space="0" w:color="auto"/>
            </w:tcBorders>
          </w:tcPr>
          <w:p w:rsidR="00221F0B" w:rsidRPr="002C21E9" w:rsidRDefault="00221F0B" w:rsidP="00DC1333">
            <w:pPr>
              <w:autoSpaceDE w:val="0"/>
              <w:autoSpaceDN w:val="0"/>
              <w:adjustRightInd w:val="0"/>
              <w:ind w:right="108"/>
              <w:rPr>
                <w:sz w:val="16"/>
                <w:szCs w:val="16"/>
              </w:rPr>
            </w:pPr>
            <w:r w:rsidRPr="002C21E9">
              <w:rPr>
                <w:sz w:val="16"/>
                <w:szCs w:val="16"/>
              </w:rPr>
              <w:t>Hacia finales de 2015 se produjo una evolución de la situación de riesgo y amenaza a nivel mundial, regional y local.  No obstante, gracias a la finalización de las actualizaciones de las H</w:t>
            </w:r>
            <w:r w:rsidRPr="002C21E9">
              <w:rPr>
                <w:sz w:val="16"/>
                <w:szCs w:val="16"/>
              </w:rPr>
              <w:noBreakHyphen/>
              <w:t>MOSS y la aplicación de varios sistemas de seguridad y vigilancia se consiguió gestionar los riesgos dentro de un nivel aceptable.</w:t>
            </w:r>
          </w:p>
        </w:tc>
        <w:tc>
          <w:tcPr>
            <w:tcW w:w="2634" w:type="dxa"/>
            <w:tcBorders>
              <w:top w:val="single" w:sz="4" w:space="0" w:color="auto"/>
            </w:tcBorders>
          </w:tcPr>
          <w:p w:rsidR="00221F0B" w:rsidRPr="002C21E9" w:rsidRDefault="00221F0B" w:rsidP="00DC1333">
            <w:pPr>
              <w:autoSpaceDE w:val="0"/>
              <w:autoSpaceDN w:val="0"/>
              <w:adjustRightInd w:val="0"/>
              <w:ind w:right="108"/>
              <w:rPr>
                <w:sz w:val="16"/>
                <w:szCs w:val="16"/>
              </w:rPr>
            </w:pPr>
            <w:r w:rsidRPr="002C21E9">
              <w:rPr>
                <w:sz w:val="16"/>
                <w:szCs w:val="16"/>
              </w:rPr>
              <w:t>En los planes de trabajo y las actividades de registro de riesgos del Servicio de Coordinación en materia de Seguridad y Vigilancia para 2014 y 2015 se abordaba convenientemente la incidencia de los riesgos durante el período objeto del informe.  No hubo ninguna incidencia sustancial en el rendimiento del programa.</w:t>
            </w:r>
          </w:p>
        </w:tc>
      </w:tr>
    </w:tbl>
    <w:p w:rsidR="00221F0B" w:rsidRDefault="00221F0B" w:rsidP="00DC1333">
      <w:pPr>
        <w:keepNext/>
        <w:keepLines/>
        <w:rPr>
          <w:color w:val="000000"/>
          <w:szCs w:val="22"/>
        </w:rPr>
      </w:pPr>
    </w:p>
    <w:p w:rsidR="00221F0B" w:rsidRPr="002C21E9" w:rsidRDefault="00221F0B" w:rsidP="00DC1333">
      <w:pPr>
        <w:keepNext/>
        <w:keepLines/>
        <w:rPr>
          <w:color w:val="000000"/>
          <w:szCs w:val="22"/>
        </w:rPr>
      </w:pPr>
    </w:p>
    <w:p w:rsidR="00221F0B" w:rsidRPr="002C21E9" w:rsidRDefault="00403D2C" w:rsidP="00DC1333">
      <w:pPr>
        <w:keepNext/>
        <w:keepLines/>
        <w:rPr>
          <w:szCs w:val="22"/>
        </w:rPr>
      </w:pPr>
      <w:r w:rsidRPr="00403D2C">
        <w:rPr>
          <w:sz w:val="20"/>
          <w:szCs w:val="22"/>
        </w:rPr>
        <w:t>UTILIZACIÓN DE LOS RECURSOS</w:t>
      </w:r>
    </w:p>
    <w:p w:rsidR="00221F0B" w:rsidRPr="002C21E9" w:rsidRDefault="00221F0B" w:rsidP="00DC1333">
      <w:pPr>
        <w:keepNext/>
        <w:keepLines/>
      </w:pPr>
    </w:p>
    <w:p w:rsidR="00221F0B" w:rsidRPr="002C21E9" w:rsidRDefault="00221F0B" w:rsidP="00DC1333">
      <w:pPr>
        <w:pStyle w:val="NormalWeb"/>
        <w:keepNext/>
        <w:keepLines/>
        <w:spacing w:before="0" w:beforeAutospacing="0" w:after="0" w:afterAutospacing="0"/>
        <w:jc w:val="center"/>
        <w:rPr>
          <w:sz w:val="20"/>
          <w:szCs w:val="20"/>
          <w:lang w:val="es-ES"/>
        </w:rPr>
      </w:pPr>
      <w:r w:rsidRPr="002C21E9">
        <w:rPr>
          <w:sz w:val="20"/>
          <w:szCs w:val="20"/>
          <w:lang w:val="es-ES"/>
        </w:rPr>
        <w:t xml:space="preserve">Presupuesto y gastos reales (por resultado) </w:t>
      </w:r>
    </w:p>
    <w:p w:rsidR="00221F0B" w:rsidRPr="002C21E9" w:rsidRDefault="00221F0B" w:rsidP="00DC1333">
      <w:pPr>
        <w:pStyle w:val="NormalWeb"/>
        <w:keepNext/>
        <w:keepLines/>
        <w:spacing w:before="0" w:beforeAutospacing="0" w:after="0" w:afterAutospacing="0"/>
        <w:jc w:val="center"/>
        <w:rPr>
          <w:i/>
          <w:iCs/>
          <w:sz w:val="20"/>
          <w:szCs w:val="20"/>
          <w:lang w:val="es-ES"/>
        </w:rPr>
      </w:pPr>
      <w:r w:rsidRPr="002C21E9">
        <w:rPr>
          <w:i/>
          <w:iCs/>
          <w:sz w:val="20"/>
          <w:szCs w:val="20"/>
          <w:lang w:val="es-ES"/>
        </w:rPr>
        <w:t>(</w:t>
      </w:r>
      <w:proofErr w:type="gramStart"/>
      <w:r w:rsidRPr="002C21E9">
        <w:rPr>
          <w:i/>
          <w:iCs/>
          <w:sz w:val="20"/>
          <w:szCs w:val="20"/>
          <w:lang w:val="es-ES"/>
        </w:rPr>
        <w:t>en</w:t>
      </w:r>
      <w:proofErr w:type="gramEnd"/>
      <w:r w:rsidRPr="002C21E9">
        <w:rPr>
          <w:i/>
          <w:iCs/>
          <w:sz w:val="20"/>
          <w:szCs w:val="20"/>
          <w:lang w:val="es-ES"/>
        </w:rPr>
        <w:t xml:space="preserve"> miles de francos suizos)</w:t>
      </w:r>
    </w:p>
    <w:p w:rsidR="00221F0B" w:rsidRPr="002C21E9" w:rsidRDefault="00221F0B" w:rsidP="00DC1333">
      <w:pPr>
        <w:pStyle w:val="NormalWeb"/>
        <w:widowControl w:val="0"/>
        <w:spacing w:before="0" w:beforeAutospacing="0" w:after="0" w:afterAutospacing="0"/>
        <w:jc w:val="center"/>
        <w:rPr>
          <w:sz w:val="20"/>
          <w:szCs w:val="20"/>
          <w:lang w:val="es-ES"/>
        </w:rPr>
      </w:pPr>
    </w:p>
    <w:p w:rsidR="00221F0B" w:rsidRPr="002C21E9" w:rsidRDefault="00221F0B" w:rsidP="00DC1333">
      <w:pPr>
        <w:widowControl w:val="0"/>
        <w:jc w:val="center"/>
      </w:pPr>
      <w:bookmarkStart w:id="207" w:name="Bm28"/>
      <w:bookmarkStart w:id="208" w:name="Punto28"/>
      <w:r>
        <w:rPr>
          <w:noProof/>
          <w:lang w:val="en-US" w:eastAsia="en-US"/>
        </w:rPr>
        <w:drawing>
          <wp:inline distT="0" distB="0" distL="0" distR="0" wp14:anchorId="6B30FBD7" wp14:editId="513A65BC">
            <wp:extent cx="5676900" cy="1352550"/>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76900" cy="1352550"/>
                    </a:xfrm>
                    <a:prstGeom prst="rect">
                      <a:avLst/>
                    </a:prstGeom>
                    <a:noFill/>
                    <a:ln>
                      <a:noFill/>
                    </a:ln>
                  </pic:spPr>
                </pic:pic>
              </a:graphicData>
            </a:graphic>
          </wp:inline>
        </w:drawing>
      </w:r>
      <w:bookmarkEnd w:id="207"/>
      <w:bookmarkEnd w:id="208"/>
    </w:p>
    <w:p w:rsidR="00221F0B" w:rsidRDefault="00221F0B" w:rsidP="00DC1333">
      <w:pPr>
        <w:widowControl w:val="0"/>
      </w:pPr>
    </w:p>
    <w:p w:rsidR="00221F0B" w:rsidRPr="002C21E9" w:rsidRDefault="00221F0B" w:rsidP="00DC1333">
      <w:pPr>
        <w:widowControl w:val="0"/>
      </w:pPr>
    </w:p>
    <w:p w:rsidR="00221F0B" w:rsidRPr="002C21E9" w:rsidRDefault="00221F0B" w:rsidP="00DC1333">
      <w:pPr>
        <w:pStyle w:val="NormalWeb"/>
        <w:widowControl w:val="0"/>
        <w:spacing w:before="0" w:beforeAutospacing="0" w:after="0" w:afterAutospacing="0"/>
        <w:jc w:val="center"/>
        <w:rPr>
          <w:sz w:val="20"/>
          <w:szCs w:val="20"/>
          <w:lang w:val="es-ES"/>
        </w:rPr>
      </w:pPr>
      <w:r w:rsidRPr="002C21E9">
        <w:rPr>
          <w:sz w:val="20"/>
          <w:szCs w:val="20"/>
          <w:lang w:val="es-ES"/>
        </w:rPr>
        <w:t xml:space="preserve">Presupuesto y gastos reales (de personal y no relativos a personal) </w:t>
      </w:r>
    </w:p>
    <w:p w:rsidR="00221F0B" w:rsidRPr="002C21E9" w:rsidRDefault="00221F0B" w:rsidP="00DC1333">
      <w:pPr>
        <w:pStyle w:val="NormalWeb"/>
        <w:widowControl w:val="0"/>
        <w:spacing w:before="0" w:beforeAutospacing="0" w:after="0" w:afterAutospacing="0"/>
        <w:jc w:val="center"/>
        <w:rPr>
          <w:i/>
          <w:iCs/>
          <w:sz w:val="20"/>
          <w:szCs w:val="20"/>
          <w:lang w:val="es-ES"/>
        </w:rPr>
      </w:pPr>
      <w:r w:rsidRPr="002C21E9">
        <w:rPr>
          <w:i/>
          <w:iCs/>
          <w:sz w:val="20"/>
          <w:szCs w:val="20"/>
          <w:lang w:val="es-ES"/>
        </w:rPr>
        <w:t>(</w:t>
      </w:r>
      <w:proofErr w:type="gramStart"/>
      <w:r w:rsidRPr="002C21E9">
        <w:rPr>
          <w:i/>
          <w:iCs/>
          <w:sz w:val="20"/>
          <w:szCs w:val="20"/>
          <w:lang w:val="es-ES"/>
        </w:rPr>
        <w:t>en</w:t>
      </w:r>
      <w:proofErr w:type="gramEnd"/>
      <w:r w:rsidRPr="002C21E9">
        <w:rPr>
          <w:i/>
          <w:iCs/>
          <w:sz w:val="20"/>
          <w:szCs w:val="20"/>
          <w:lang w:val="es-ES"/>
        </w:rPr>
        <w:t xml:space="preserve"> miles de francos suizos)</w:t>
      </w:r>
    </w:p>
    <w:p w:rsidR="00221F0B" w:rsidRPr="002C21E9" w:rsidRDefault="00221F0B" w:rsidP="00DC1333">
      <w:pPr>
        <w:pStyle w:val="NormalWeb"/>
        <w:widowControl w:val="0"/>
        <w:spacing w:before="0" w:beforeAutospacing="0" w:after="0" w:afterAutospacing="0"/>
        <w:jc w:val="center"/>
        <w:rPr>
          <w:lang w:val="es-ES"/>
        </w:rPr>
      </w:pPr>
    </w:p>
    <w:p w:rsidR="00221F0B" w:rsidRPr="002C21E9" w:rsidRDefault="00221F0B" w:rsidP="00DC1333">
      <w:pPr>
        <w:widowControl w:val="0"/>
        <w:jc w:val="center"/>
      </w:pPr>
      <w:bookmarkStart w:id="209" w:name="Point28"/>
      <w:r>
        <w:rPr>
          <w:noProof/>
          <w:lang w:val="en-US" w:eastAsia="en-US"/>
        </w:rPr>
        <w:drawing>
          <wp:inline distT="0" distB="0" distL="0" distR="0" wp14:anchorId="485DB616" wp14:editId="4E1F4D32">
            <wp:extent cx="5940425" cy="1024977"/>
            <wp:effectExtent l="0" t="0" r="3175" b="381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0425" cy="1024977"/>
                    </a:xfrm>
                    <a:prstGeom prst="rect">
                      <a:avLst/>
                    </a:prstGeom>
                    <a:noFill/>
                    <a:ln>
                      <a:noFill/>
                    </a:ln>
                  </pic:spPr>
                </pic:pic>
              </a:graphicData>
            </a:graphic>
          </wp:inline>
        </w:drawing>
      </w:r>
      <w:bookmarkEnd w:id="209"/>
    </w:p>
    <w:p w:rsidR="00221F0B" w:rsidRDefault="00221F0B" w:rsidP="00DC1333">
      <w:pPr>
        <w:widowControl w:val="0"/>
        <w:autoSpaceDE w:val="0"/>
        <w:autoSpaceDN w:val="0"/>
        <w:adjustRightInd w:val="0"/>
        <w:rPr>
          <w:sz w:val="20"/>
        </w:rPr>
      </w:pPr>
    </w:p>
    <w:p w:rsidR="00221F0B" w:rsidRPr="002C21E9" w:rsidRDefault="00221F0B" w:rsidP="00DC1333">
      <w:pPr>
        <w:widowControl w:val="0"/>
        <w:autoSpaceDE w:val="0"/>
        <w:autoSpaceDN w:val="0"/>
        <w:adjustRightInd w:val="0"/>
        <w:rPr>
          <w:sz w:val="20"/>
        </w:rPr>
      </w:pPr>
    </w:p>
    <w:p w:rsidR="00221F0B" w:rsidRPr="002C21E9" w:rsidRDefault="00403D2C" w:rsidP="00D451D0">
      <w:pPr>
        <w:widowControl w:val="0"/>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2C21E9" w:rsidRDefault="00221F0B" w:rsidP="00D451D0">
      <w:pPr>
        <w:tabs>
          <w:tab w:val="left" w:pos="709"/>
        </w:tabs>
        <w:rPr>
          <w:sz w:val="20"/>
        </w:rPr>
      </w:pPr>
    </w:p>
    <w:p w:rsidR="00221F0B" w:rsidRPr="002C21E9" w:rsidRDefault="00221F0B" w:rsidP="00D451D0">
      <w:pPr>
        <w:pStyle w:val="ListParagraph"/>
        <w:widowControl w:val="0"/>
        <w:tabs>
          <w:tab w:val="left" w:pos="709"/>
        </w:tabs>
        <w:ind w:left="0"/>
        <w:jc w:val="both"/>
        <w:rPr>
          <w:bCs/>
          <w:lang w:val="es-ES"/>
        </w:rPr>
      </w:pPr>
      <w:r w:rsidRPr="002C21E9">
        <w:rPr>
          <w:lang w:val="es-ES"/>
        </w:rPr>
        <w:t>28.7</w:t>
      </w:r>
      <w:r w:rsidRPr="002C21E9">
        <w:rPr>
          <w:lang w:val="es-ES"/>
        </w:rPr>
        <w:tab/>
        <w:t xml:space="preserve">El aumento neto de los recursos no relativos a personal observado </w:t>
      </w:r>
      <w:r>
        <w:rPr>
          <w:lang w:val="es-ES"/>
        </w:rPr>
        <w:t>en el presupuesto final de </w:t>
      </w:r>
      <w:r w:rsidRPr="002C21E9">
        <w:rPr>
          <w:lang w:val="es-ES"/>
        </w:rPr>
        <w:t xml:space="preserve">2014/15 tras las transferencias se debió principalmente a la asignación de más recursos para cubrir </w:t>
      </w:r>
      <w:r w:rsidRPr="002C21E9">
        <w:rPr>
          <w:lang w:val="es-ES"/>
        </w:rPr>
        <w:lastRenderedPageBreak/>
        <w:t>los costos derivados de:  i) un módulo de supervisión que conecta los sistemas electrónicos de seguridad;  ii) la ampliación del control y vigilancia del edificio CAM de la OMPI (</w:t>
      </w:r>
      <w:r w:rsidRPr="002C21E9">
        <w:rPr>
          <w:bCs/>
          <w:lang w:val="es-ES"/>
        </w:rPr>
        <w:t>control de acceso, renovación del muro contra incendios y los detectores, e instalación de un sistema de CCTV);  iii) aumento de la presencia de seguridad física debido a imprevistos;  iv) mejora de la seguridad y vigilancia en las oficinas de la OMPI en el exterior, y v) instalación de una valla a medida bajo la nueva sala de conferencias para impedir el acceso de intrusos.</w:t>
      </w:r>
    </w:p>
    <w:p w:rsidR="00221F0B" w:rsidRPr="002C21E9" w:rsidRDefault="00221F0B" w:rsidP="00D451D0">
      <w:pPr>
        <w:pStyle w:val="ListParagraph"/>
        <w:widowControl w:val="0"/>
        <w:tabs>
          <w:tab w:val="left" w:pos="567"/>
          <w:tab w:val="left" w:pos="709"/>
        </w:tabs>
        <w:ind w:left="0"/>
        <w:jc w:val="both"/>
        <w:rPr>
          <w:lang w:val="es-ES"/>
        </w:rPr>
      </w:pPr>
    </w:p>
    <w:p w:rsidR="00221F0B" w:rsidRPr="002C21E9" w:rsidRDefault="00221F0B" w:rsidP="00D451D0">
      <w:pPr>
        <w:pStyle w:val="ListParagraph"/>
        <w:widowControl w:val="0"/>
        <w:tabs>
          <w:tab w:val="left" w:pos="709"/>
        </w:tabs>
        <w:ind w:left="0"/>
        <w:jc w:val="both"/>
        <w:rPr>
          <w:lang w:val="es-ES"/>
        </w:rPr>
      </w:pPr>
      <w:r w:rsidRPr="002C21E9">
        <w:rPr>
          <w:lang w:val="es-ES"/>
        </w:rPr>
        <w:t>28.8</w:t>
      </w:r>
      <w:r w:rsidRPr="002C21E9">
        <w:rPr>
          <w:lang w:val="es-ES"/>
        </w:rPr>
        <w:tab/>
        <w:t xml:space="preserve">El aumento general de los recursos de personal observado en el presupuesto final de 2014/15 tras las transferencias se debe, por un lado, a la creación de la función del Oficial de operaciones de Seguridad y una función temporal encargada de apoyar el mantenimiento de los sistemas y equipos relacionados con la seguridad y a la potenciación de las </w:t>
      </w:r>
      <w:r w:rsidRPr="002C21E9">
        <w:rPr>
          <w:bCs/>
          <w:lang w:val="es-ES"/>
        </w:rPr>
        <w:t>normas mínimas de seguridad operacional para las sedes de las Naciones Unidas</w:t>
      </w:r>
      <w:r w:rsidRPr="002C21E9">
        <w:rPr>
          <w:lang w:val="es-ES"/>
        </w:rPr>
        <w:t xml:space="preserve"> y, por otro lado, i) la reclasificación a la baja de un puesto, y ii) el trasvase hacia los recursos no relativos a personal para reforzar la seguridad y vigilancia del Servicio de Coordinación en materia de Seguridad y Vigilancia mediante servicios contractuales individuales.</w:t>
      </w:r>
    </w:p>
    <w:p w:rsidR="00221F0B" w:rsidRPr="002C21E9" w:rsidRDefault="00221F0B" w:rsidP="00D451D0">
      <w:pPr>
        <w:widowControl w:val="0"/>
        <w:tabs>
          <w:tab w:val="left" w:pos="709"/>
        </w:tabs>
        <w:autoSpaceDE w:val="0"/>
        <w:autoSpaceDN w:val="0"/>
        <w:jc w:val="both"/>
        <w:rPr>
          <w:sz w:val="20"/>
          <w:lang w:eastAsia="ko-KR"/>
        </w:rPr>
      </w:pPr>
    </w:p>
    <w:p w:rsidR="00221F0B" w:rsidRPr="002C21E9" w:rsidRDefault="00403D2C" w:rsidP="00D451D0">
      <w:pPr>
        <w:widowControl w:val="0"/>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2C21E9" w:rsidRDefault="00221F0B" w:rsidP="00D451D0">
      <w:pPr>
        <w:widowControl w:val="0"/>
        <w:tabs>
          <w:tab w:val="left" w:pos="709"/>
        </w:tabs>
        <w:jc w:val="both"/>
        <w:rPr>
          <w:sz w:val="20"/>
          <w:u w:val="single"/>
          <w:lang w:eastAsia="ko-KR"/>
        </w:rPr>
      </w:pPr>
    </w:p>
    <w:p w:rsidR="00221F0B" w:rsidRPr="002C21E9" w:rsidRDefault="00221F0B" w:rsidP="00D451D0">
      <w:pPr>
        <w:pStyle w:val="ListParagraph"/>
        <w:widowControl w:val="0"/>
        <w:tabs>
          <w:tab w:val="left" w:pos="709"/>
        </w:tabs>
        <w:ind w:left="0"/>
        <w:jc w:val="both"/>
        <w:rPr>
          <w:lang w:val="es-ES"/>
        </w:rPr>
      </w:pPr>
      <w:r w:rsidRPr="002C21E9">
        <w:rPr>
          <w:lang w:val="es-ES"/>
        </w:rPr>
        <w:t>28.9</w:t>
      </w:r>
      <w:r w:rsidRPr="002C21E9">
        <w:rPr>
          <w:lang w:val="es-ES"/>
        </w:rPr>
        <w:tab/>
        <w:t>La utilización del presupuesto se ha mantenido dentro de los límites establecidos durante el bienio.</w:t>
      </w:r>
    </w:p>
    <w:p w:rsidR="00221F0B" w:rsidRDefault="00221F0B"/>
    <w:p w:rsidR="00221F0B" w:rsidRPr="002C21E9" w:rsidRDefault="00221F0B"/>
    <w:p w:rsidR="00785404" w:rsidRDefault="00785404">
      <w:pPr>
        <w:rPr>
          <w:b/>
          <w:bCs/>
          <w:iCs/>
          <w:caps/>
          <w:szCs w:val="28"/>
        </w:rPr>
      </w:pPr>
      <w:bookmarkStart w:id="210" w:name="_Toc422927443"/>
      <w:r>
        <w:rPr>
          <w:b/>
        </w:rPr>
        <w:br w:type="page"/>
      </w:r>
    </w:p>
    <w:p w:rsidR="00221F0B" w:rsidRPr="00526311" w:rsidRDefault="00221F0B" w:rsidP="00DC1333">
      <w:pPr>
        <w:pStyle w:val="Heading2"/>
        <w:keepNext w:val="0"/>
        <w:ind w:left="2410" w:hanging="2410"/>
        <w:rPr>
          <w:b/>
        </w:rPr>
      </w:pPr>
      <w:bookmarkStart w:id="211" w:name="_Toc455159111"/>
      <w:r w:rsidRPr="00526311">
        <w:rPr>
          <w:b/>
        </w:rPr>
        <w:lastRenderedPageBreak/>
        <w:t>PROGRAMA 29</w:t>
      </w:r>
      <w:r w:rsidRPr="00526311">
        <w:rPr>
          <w:b/>
        </w:rPr>
        <w:tab/>
        <w:t>PROYECTOS DE CONSTRUCCIÓN</w:t>
      </w:r>
      <w:bookmarkEnd w:id="210"/>
      <w:bookmarkEnd w:id="211"/>
    </w:p>
    <w:p w:rsidR="00221F0B" w:rsidRPr="00526311" w:rsidRDefault="00221F0B" w:rsidP="00DC1333">
      <w:pPr>
        <w:tabs>
          <w:tab w:val="left" w:pos="1985"/>
        </w:tabs>
        <w:rPr>
          <w:sz w:val="20"/>
        </w:rPr>
      </w:pPr>
    </w:p>
    <w:p w:rsidR="00221F0B" w:rsidRPr="00526311" w:rsidRDefault="00221F0B" w:rsidP="00DC1333">
      <w:pPr>
        <w:ind w:left="2410" w:hanging="2410"/>
        <w:rPr>
          <w:b/>
          <w:sz w:val="20"/>
        </w:rPr>
      </w:pPr>
      <w:r w:rsidRPr="00526311">
        <w:rPr>
          <w:b/>
          <w:sz w:val="20"/>
        </w:rPr>
        <w:t>Director de programa</w:t>
      </w:r>
      <w:r w:rsidRPr="00526311">
        <w:rPr>
          <w:b/>
          <w:sz w:val="20"/>
        </w:rPr>
        <w:tab/>
        <w:t>Sr. A. Sundaram</w:t>
      </w:r>
    </w:p>
    <w:p w:rsidR="00221F0B" w:rsidRPr="00526311" w:rsidRDefault="00221F0B" w:rsidP="00DC1333">
      <w:pPr>
        <w:rPr>
          <w:sz w:val="20"/>
        </w:rPr>
      </w:pPr>
    </w:p>
    <w:p w:rsidR="00221F0B" w:rsidRPr="00526311" w:rsidRDefault="00221F0B" w:rsidP="00DC1333">
      <w:pPr>
        <w:rPr>
          <w:sz w:val="20"/>
        </w:rPr>
      </w:pPr>
    </w:p>
    <w:p w:rsidR="00221F0B" w:rsidRPr="00526311" w:rsidRDefault="008F7CBE" w:rsidP="00DC1333">
      <w:pPr>
        <w:rPr>
          <w:bCs/>
          <w:szCs w:val="22"/>
        </w:rPr>
      </w:pPr>
      <w:r w:rsidRPr="008F7CBE">
        <w:rPr>
          <w:bCs/>
          <w:sz w:val="20"/>
          <w:szCs w:val="22"/>
        </w:rPr>
        <w:t>LOGROS ALCANZADOS EN EL BIENIO 2014/15</w:t>
      </w:r>
    </w:p>
    <w:p w:rsidR="00221F0B" w:rsidRPr="00526311" w:rsidRDefault="00221F0B" w:rsidP="00DC1333">
      <w:pPr>
        <w:rPr>
          <w:sz w:val="20"/>
        </w:rPr>
      </w:pPr>
    </w:p>
    <w:p w:rsidR="00221F0B" w:rsidRPr="00526311" w:rsidRDefault="00221F0B" w:rsidP="00DC1333">
      <w:pPr>
        <w:jc w:val="both"/>
        <w:rPr>
          <w:sz w:val="20"/>
        </w:rPr>
      </w:pPr>
      <w:r w:rsidRPr="00526311">
        <w:rPr>
          <w:sz w:val="20"/>
        </w:rPr>
        <w:t>NUEVO PROYECTO DE CONSTRUCCIÓN</w:t>
      </w:r>
    </w:p>
    <w:p w:rsidR="00221F0B" w:rsidRPr="00526311" w:rsidRDefault="00221F0B" w:rsidP="00DC1333">
      <w:pPr>
        <w:jc w:val="both"/>
        <w:rPr>
          <w:sz w:val="20"/>
        </w:rPr>
      </w:pPr>
    </w:p>
    <w:p w:rsidR="00221F0B" w:rsidRPr="00526311" w:rsidRDefault="00221F0B" w:rsidP="00EB45DE">
      <w:pPr>
        <w:pStyle w:val="ListParagraph"/>
        <w:numPr>
          <w:ilvl w:val="0"/>
          <w:numId w:val="120"/>
        </w:numPr>
        <w:tabs>
          <w:tab w:val="left" w:pos="709"/>
        </w:tabs>
        <w:ind w:left="0" w:firstLine="0"/>
        <w:jc w:val="both"/>
        <w:rPr>
          <w:rFonts w:cs="Arial"/>
          <w:lang w:val="es-ES"/>
        </w:rPr>
      </w:pPr>
      <w:r>
        <w:rPr>
          <w:rFonts w:cs="Arial"/>
          <w:lang w:val="es-ES"/>
        </w:rPr>
        <w:t>T</w:t>
      </w:r>
      <w:r w:rsidRPr="00526311">
        <w:rPr>
          <w:rFonts w:cs="Arial"/>
          <w:lang w:val="es-ES"/>
        </w:rPr>
        <w:t>odas las obras pendientes de reparación, sustitución y acabado que se habían comenzado a mediados de 2011</w:t>
      </w:r>
      <w:r>
        <w:rPr>
          <w:rFonts w:cs="Arial"/>
          <w:lang w:val="es-ES"/>
        </w:rPr>
        <w:t>,</w:t>
      </w:r>
      <w:r w:rsidRPr="00526311">
        <w:rPr>
          <w:rFonts w:cs="Arial"/>
          <w:lang w:val="es-ES"/>
        </w:rPr>
        <w:t xml:space="preserve"> después de la entrega del nuevo edificio por el anterior contratista general,</w:t>
      </w:r>
      <w:r>
        <w:rPr>
          <w:rFonts w:cs="Arial"/>
          <w:lang w:val="es-ES"/>
        </w:rPr>
        <w:t xml:space="preserve"> se terminaron a finales de 2015</w:t>
      </w:r>
      <w:r w:rsidRPr="00526311">
        <w:rPr>
          <w:rFonts w:cs="Arial"/>
          <w:lang w:val="es-ES"/>
        </w:rPr>
        <w:t xml:space="preserve">.  </w:t>
      </w:r>
      <w:r>
        <w:rPr>
          <w:rFonts w:cs="Arial"/>
          <w:lang w:val="es-ES"/>
        </w:rPr>
        <w:t>Las obras para reemplazar</w:t>
      </w:r>
      <w:r w:rsidRPr="00526311">
        <w:rPr>
          <w:rFonts w:cs="Arial"/>
          <w:lang w:val="es-ES"/>
        </w:rPr>
        <w:t xml:space="preserve"> las ventanas de la planta</w:t>
      </w:r>
      <w:r>
        <w:rPr>
          <w:rFonts w:cs="Arial"/>
          <w:lang w:val="es-ES"/>
        </w:rPr>
        <w:t xml:space="preserve"> baja, que se planificaron</w:t>
      </w:r>
      <w:r w:rsidRPr="00526311">
        <w:rPr>
          <w:rFonts w:cs="Arial"/>
          <w:lang w:val="es-ES"/>
        </w:rPr>
        <w:t xml:space="preserve"> en 2014</w:t>
      </w:r>
      <w:r>
        <w:rPr>
          <w:rFonts w:cs="Arial"/>
          <w:lang w:val="es-ES"/>
        </w:rPr>
        <w:t>, se iniciaron cuando finalizó la temporada de invierno, es decir, a partir de junio de 2015, justo después de que se celebrara la conferencia diplomática, y se prolongaron hasta finales de </w:t>
      </w:r>
      <w:r w:rsidRPr="00526311">
        <w:rPr>
          <w:rFonts w:cs="Arial"/>
          <w:lang w:val="es-ES"/>
        </w:rPr>
        <w:t>2015.  La conclusión definitiva del acuerdo de rescisión alcanzado en julio de 2012 con el anterior contratista general tuvo lugar amistosamente a finales de agosto de 2014, lo que permitió resolver todos los puntos pendientes en relación con las obras de sustitución en el nuevo edificio.  Cabe señalar que la OMPI disponía de fondos suficientes par</w:t>
      </w:r>
      <w:r>
        <w:rPr>
          <w:rFonts w:cs="Arial"/>
          <w:lang w:val="es-ES"/>
        </w:rPr>
        <w:t>a cubrir el costo de esas obras y que estos resultados se consiguieron sin que la Secretaría tuviera que recurrir a mecanismos jurídicos ni de solución de controversias, lo que podría haber prolongado el proceso.</w:t>
      </w:r>
    </w:p>
    <w:p w:rsidR="00221F0B" w:rsidRPr="00526311" w:rsidRDefault="00221F0B" w:rsidP="00DC1333">
      <w:pPr>
        <w:rPr>
          <w:bCs/>
          <w:sz w:val="20"/>
        </w:rPr>
      </w:pPr>
    </w:p>
    <w:p w:rsidR="00221F0B" w:rsidRPr="00526311" w:rsidRDefault="00221F0B" w:rsidP="00DC1333">
      <w:pPr>
        <w:jc w:val="both"/>
        <w:rPr>
          <w:sz w:val="20"/>
        </w:rPr>
      </w:pPr>
      <w:r w:rsidRPr="00526311">
        <w:rPr>
          <w:sz w:val="20"/>
        </w:rPr>
        <w:t>PROYECT</w:t>
      </w:r>
      <w:r w:rsidR="009642E7">
        <w:rPr>
          <w:sz w:val="20"/>
        </w:rPr>
        <w:t>O DE NUEVA SALA DE CONFERENCIAS</w:t>
      </w:r>
    </w:p>
    <w:p w:rsidR="00221F0B" w:rsidRPr="00526311" w:rsidRDefault="00221F0B" w:rsidP="00DC1333">
      <w:pPr>
        <w:tabs>
          <w:tab w:val="left" w:pos="4536"/>
        </w:tabs>
        <w:jc w:val="both"/>
        <w:rPr>
          <w:sz w:val="20"/>
        </w:rPr>
      </w:pPr>
    </w:p>
    <w:p w:rsidR="00221F0B" w:rsidRPr="00526311" w:rsidRDefault="00221F0B" w:rsidP="00EB45DE">
      <w:pPr>
        <w:pStyle w:val="ListParagraph"/>
        <w:numPr>
          <w:ilvl w:val="0"/>
          <w:numId w:val="120"/>
        </w:numPr>
        <w:tabs>
          <w:tab w:val="left" w:pos="709"/>
        </w:tabs>
        <w:ind w:left="0" w:firstLine="0"/>
        <w:jc w:val="both"/>
        <w:rPr>
          <w:rFonts w:cs="Arial"/>
          <w:lang w:val="es-ES"/>
        </w:rPr>
      </w:pPr>
      <w:r>
        <w:rPr>
          <w:rFonts w:cs="Arial"/>
          <w:lang w:val="es-ES"/>
        </w:rPr>
        <w:t xml:space="preserve">Como parte </w:t>
      </w:r>
      <w:r w:rsidRPr="00526311">
        <w:rPr>
          <w:rFonts w:cs="Arial"/>
          <w:lang w:val="es-ES"/>
        </w:rPr>
        <w:t xml:space="preserve">del acuerdo de rescisión </w:t>
      </w:r>
      <w:r>
        <w:rPr>
          <w:rFonts w:cs="Arial"/>
          <w:lang w:val="es-ES"/>
        </w:rPr>
        <w:t xml:space="preserve">mencionado con anterioridad, </w:t>
      </w:r>
      <w:r w:rsidRPr="00526311">
        <w:rPr>
          <w:rFonts w:cs="Arial"/>
          <w:lang w:val="es-ES"/>
        </w:rPr>
        <w:t>el anterior contratista general reembolsó a la OMPI el saldo final que adeudaba en relación con el proyecto.  Se recordará que, en agosto de 2012, la Secretaría había asumido la responsabilidad directa del proyecto, se había reforzado el mandato de los arquitectos, los ingenieros y el piloto del proyecto, y se habían aportado modificaciones en la estructura interna de gobernanza y gestión del proyecto, con el fin de asegurar una mayor flexibilidad y agilidad, y</w:t>
      </w:r>
      <w:r w:rsidRPr="00526311">
        <w:rPr>
          <w:lang w:val="es-ES"/>
        </w:rPr>
        <w:t xml:space="preserve"> poder hacer frente activa y oportunamente</w:t>
      </w:r>
      <w:r w:rsidRPr="00526311">
        <w:rPr>
          <w:rFonts w:cs="Arial"/>
          <w:lang w:val="es-ES"/>
        </w:rPr>
        <w:t xml:space="preserve"> a las diferentes modificaciones del proyecto y a algunos imprevistos surgidos durante su ejecución</w:t>
      </w:r>
      <w:r>
        <w:rPr>
          <w:rFonts w:cs="Arial"/>
          <w:bCs/>
          <w:szCs w:val="24"/>
          <w:lang w:val="es-ES" w:eastAsia="zh-CN"/>
        </w:rPr>
        <w:t xml:space="preserve">.  </w:t>
      </w:r>
      <w:r w:rsidRPr="00526311">
        <w:rPr>
          <w:rFonts w:cs="Arial"/>
          <w:bCs/>
          <w:lang w:val="es-ES"/>
        </w:rPr>
        <w:t xml:space="preserve">El proyecto se entregó en varias etapas y se realizaron en paralelo diversas pruebas técnicas y de los sistemas, zona por zona.  El nuevo Centro de Acceso se entregó en julio de 2014 y los elementos paisajísticos exteriores situados entre el nuevo edificio, la nueva sala de conferencias de la OMPI y el edificio AB se entregaron a finales de agosto.  Al ser entregada en agosto de 2014, la nueva sala de conferencias de la OMPI pudo utilizarse para la sesión del PBC, celebrada del 1 al 5 de septiembre </w:t>
      </w:r>
      <w:r>
        <w:rPr>
          <w:rFonts w:cs="Arial"/>
          <w:bCs/>
          <w:lang w:val="es-ES"/>
        </w:rPr>
        <w:t>de 2014;  en septiembre</w:t>
      </w:r>
      <w:r w:rsidRPr="00526311">
        <w:rPr>
          <w:rFonts w:cs="Arial"/>
          <w:bCs/>
          <w:lang w:val="es-ES"/>
        </w:rPr>
        <w:t xml:space="preserve"> se terminaron todas las obras de construcción y renovación en la nueva sala de conferencias de la OMPI y en tres plantas del edificio AB, quedando a disposición para celebrar la</w:t>
      </w:r>
      <w:r>
        <w:rPr>
          <w:rFonts w:cs="Arial"/>
          <w:bCs/>
          <w:lang w:val="es-ES"/>
        </w:rPr>
        <w:t xml:space="preserve"> </w:t>
      </w:r>
      <w:r w:rsidRPr="00526311">
        <w:rPr>
          <w:rFonts w:cs="Arial"/>
          <w:bCs/>
          <w:lang w:val="es-ES"/>
        </w:rPr>
        <w:t>s</w:t>
      </w:r>
      <w:r>
        <w:rPr>
          <w:rFonts w:cs="Arial"/>
          <w:bCs/>
          <w:lang w:val="es-ES"/>
        </w:rPr>
        <w:t>erie de</w:t>
      </w:r>
      <w:r w:rsidRPr="00526311">
        <w:rPr>
          <w:rFonts w:cs="Arial"/>
          <w:bCs/>
          <w:lang w:val="es-ES"/>
        </w:rPr>
        <w:t xml:space="preserve"> reuniones </w:t>
      </w:r>
      <w:r w:rsidR="00777FF3">
        <w:rPr>
          <w:rFonts w:cs="Arial"/>
          <w:bCs/>
          <w:lang w:val="es-ES"/>
        </w:rPr>
        <w:t>de las Asambleas de la OMPI del </w:t>
      </w:r>
      <w:r w:rsidRPr="00526311">
        <w:rPr>
          <w:rFonts w:cs="Arial"/>
          <w:bCs/>
          <w:lang w:val="es-ES"/>
        </w:rPr>
        <w:t>22 al 30 de septiembre de 2014, en las que tuvo lugar la inauguración de la sala de conferencias el día de la apertura de la</w:t>
      </w:r>
      <w:r>
        <w:rPr>
          <w:rFonts w:cs="Arial"/>
          <w:bCs/>
          <w:lang w:val="es-ES"/>
        </w:rPr>
        <w:t xml:space="preserve"> </w:t>
      </w:r>
      <w:r w:rsidRPr="00526311">
        <w:rPr>
          <w:rFonts w:cs="Arial"/>
          <w:bCs/>
          <w:lang w:val="es-ES"/>
        </w:rPr>
        <w:t>s</w:t>
      </w:r>
      <w:r>
        <w:rPr>
          <w:rFonts w:cs="Arial"/>
          <w:bCs/>
          <w:lang w:val="es-ES"/>
        </w:rPr>
        <w:t>erie de</w:t>
      </w:r>
      <w:r w:rsidRPr="00526311">
        <w:rPr>
          <w:rFonts w:cs="Arial"/>
          <w:bCs/>
          <w:lang w:val="es-ES"/>
        </w:rPr>
        <w:t xml:space="preserve"> reuniones en presencia de funcionarios del país anfitrión (de nivel federal, cantonal y municipal), representantes de otros organismos de las </w:t>
      </w:r>
      <w:r>
        <w:rPr>
          <w:rFonts w:cs="Arial"/>
          <w:bCs/>
          <w:lang w:val="es-ES"/>
        </w:rPr>
        <w:t>Naciones Unidas</w:t>
      </w:r>
      <w:r w:rsidRPr="00526311">
        <w:rPr>
          <w:rFonts w:cs="Arial"/>
          <w:bCs/>
          <w:lang w:val="es-ES"/>
        </w:rPr>
        <w:t>, y de unas 70 empresas y entidades que habían contribuido a la construcción y finalización del proyecto</w:t>
      </w:r>
      <w:r>
        <w:rPr>
          <w:rFonts w:cs="Arial"/>
          <w:bCs/>
          <w:lang w:val="es-ES"/>
        </w:rPr>
        <w:t xml:space="preserve">, además de </w:t>
      </w:r>
      <w:r w:rsidRPr="00526311">
        <w:rPr>
          <w:rFonts w:cs="Arial"/>
          <w:bCs/>
          <w:lang w:val="es-ES"/>
        </w:rPr>
        <w:t>los Estados miembr</w:t>
      </w:r>
      <w:r>
        <w:rPr>
          <w:rFonts w:cs="Arial"/>
          <w:bCs/>
          <w:lang w:val="es-ES"/>
        </w:rPr>
        <w:t>os de la OMPI y los observadores</w:t>
      </w:r>
      <w:r w:rsidRPr="00526311">
        <w:rPr>
          <w:rFonts w:cs="Arial"/>
          <w:bCs/>
          <w:lang w:val="es-ES"/>
        </w:rPr>
        <w:t xml:space="preserve">.  </w:t>
      </w:r>
      <w:r>
        <w:rPr>
          <w:rFonts w:cs="Arial"/>
          <w:lang w:val="es-ES"/>
        </w:rPr>
        <w:t>En 2015 hubo que ocuparse de</w:t>
      </w:r>
      <w:r w:rsidRPr="00526311">
        <w:rPr>
          <w:rFonts w:cs="Arial"/>
          <w:lang w:val="es-ES"/>
        </w:rPr>
        <w:t xml:space="preserve"> varios ele</w:t>
      </w:r>
      <w:r>
        <w:rPr>
          <w:rFonts w:cs="Arial"/>
          <w:lang w:val="es-ES"/>
        </w:rPr>
        <w:t>mentos paisajísticos exteriores</w:t>
      </w:r>
      <w:r w:rsidRPr="00526311">
        <w:rPr>
          <w:rFonts w:cs="Arial"/>
          <w:lang w:val="es-ES"/>
        </w:rPr>
        <w:t xml:space="preserve">.  La nueva sala de conferencias de la OMPI y las instalaciones </w:t>
      </w:r>
      <w:r>
        <w:rPr>
          <w:rFonts w:cs="Arial"/>
          <w:lang w:val="es-ES"/>
        </w:rPr>
        <w:t xml:space="preserve">adyacentes </w:t>
      </w:r>
      <w:r w:rsidRPr="00526311">
        <w:rPr>
          <w:rFonts w:cs="Arial"/>
          <w:lang w:val="es-ES"/>
        </w:rPr>
        <w:t xml:space="preserve">nuevas o rehabilitadas se </w:t>
      </w:r>
      <w:r>
        <w:rPr>
          <w:rFonts w:cs="Arial"/>
          <w:lang w:val="es-ES"/>
        </w:rPr>
        <w:t>han utilizado</w:t>
      </w:r>
      <w:r w:rsidRPr="00526311">
        <w:rPr>
          <w:rFonts w:cs="Arial"/>
          <w:lang w:val="es-ES"/>
        </w:rPr>
        <w:t xml:space="preserve"> en varias ocasiones </w:t>
      </w:r>
      <w:r>
        <w:rPr>
          <w:rFonts w:cs="Arial"/>
          <w:lang w:val="es-ES"/>
        </w:rPr>
        <w:t xml:space="preserve">desde finales de 2014 </w:t>
      </w:r>
      <w:r w:rsidRPr="00526311">
        <w:rPr>
          <w:rFonts w:cs="Arial"/>
          <w:lang w:val="es-ES"/>
        </w:rPr>
        <w:t>para reuniones de los Estados miembros de la OMPI y otras</w:t>
      </w:r>
      <w:r>
        <w:rPr>
          <w:rFonts w:cs="Arial"/>
          <w:lang w:val="es-ES"/>
        </w:rPr>
        <w:t>, y se han alquilado asimismo tanto a Estados miembros como entidades externas</w:t>
      </w:r>
      <w:r w:rsidRPr="00526311">
        <w:rPr>
          <w:rFonts w:cs="Arial"/>
          <w:lang w:val="es-ES"/>
        </w:rPr>
        <w:t xml:space="preserve">.  El proyecto se ejecutó en el plazo previsto para la celebración de las Asambleas de la OMPI, aunque tuvo que posponerse de abril a septiembre de 2014, debido a la complejidad del sitio de la obra, sobre todo en los últimos </w:t>
      </w:r>
      <w:r>
        <w:rPr>
          <w:rFonts w:cs="Arial"/>
          <w:lang w:val="es-ES"/>
        </w:rPr>
        <w:t>meses</w:t>
      </w:r>
      <w:r w:rsidRPr="00526311">
        <w:rPr>
          <w:rFonts w:cs="Arial"/>
          <w:lang w:val="es-ES"/>
        </w:rPr>
        <w:t>.  Las cuentas definitivas con algunas empresas y entidades</w:t>
      </w:r>
      <w:r>
        <w:rPr>
          <w:rFonts w:cs="Arial"/>
          <w:lang w:val="es-ES"/>
        </w:rPr>
        <w:t xml:space="preserve"> se validaron a finales de 2014</w:t>
      </w:r>
      <w:r w:rsidRPr="00526311">
        <w:rPr>
          <w:rFonts w:cs="Arial"/>
          <w:lang w:val="es-ES"/>
        </w:rPr>
        <w:t xml:space="preserve"> y la mayoría de las cuentas </w:t>
      </w:r>
      <w:r>
        <w:rPr>
          <w:rFonts w:cs="Arial"/>
          <w:lang w:val="es-ES"/>
        </w:rPr>
        <w:t xml:space="preserve">restantes </w:t>
      </w:r>
      <w:r w:rsidRPr="00526311">
        <w:rPr>
          <w:rFonts w:cs="Arial"/>
          <w:lang w:val="es-ES"/>
        </w:rPr>
        <w:t>se concluy</w:t>
      </w:r>
      <w:r>
        <w:rPr>
          <w:rFonts w:cs="Arial"/>
          <w:lang w:val="es-ES"/>
        </w:rPr>
        <w:t>ero</w:t>
      </w:r>
      <w:r w:rsidRPr="00526311">
        <w:rPr>
          <w:rFonts w:cs="Arial"/>
          <w:lang w:val="es-ES"/>
        </w:rPr>
        <w:t xml:space="preserve">n </w:t>
      </w:r>
      <w:r>
        <w:rPr>
          <w:rFonts w:cs="Arial"/>
          <w:lang w:val="es-ES"/>
        </w:rPr>
        <w:t>a finales</w:t>
      </w:r>
      <w:r w:rsidRPr="00526311">
        <w:rPr>
          <w:rFonts w:cs="Arial"/>
          <w:lang w:val="es-ES"/>
        </w:rPr>
        <w:t xml:space="preserve"> de 2015</w:t>
      </w:r>
      <w:r>
        <w:rPr>
          <w:rFonts w:cs="Arial"/>
          <w:lang w:val="es-ES"/>
        </w:rPr>
        <w:t>, con lo que a principios de 2016 solo habrá que concluir unas pocas</w:t>
      </w:r>
      <w:r w:rsidRPr="00526311">
        <w:rPr>
          <w:rFonts w:cs="Arial"/>
          <w:lang w:val="es-ES"/>
        </w:rPr>
        <w:t>.</w:t>
      </w:r>
    </w:p>
    <w:p w:rsidR="00221F0B" w:rsidRPr="00526311" w:rsidRDefault="00221F0B" w:rsidP="00DC1333">
      <w:pPr>
        <w:rPr>
          <w:bCs/>
          <w:sz w:val="20"/>
        </w:rPr>
      </w:pPr>
    </w:p>
    <w:p w:rsidR="00221F0B" w:rsidRPr="00526311" w:rsidRDefault="00221F0B" w:rsidP="00DC1333">
      <w:pPr>
        <w:rPr>
          <w:sz w:val="20"/>
        </w:rPr>
      </w:pPr>
    </w:p>
    <w:p w:rsidR="00221F0B" w:rsidRPr="00526311" w:rsidRDefault="008F7CBE" w:rsidP="00DC1333">
      <w:pPr>
        <w:keepNext/>
        <w:rPr>
          <w:szCs w:val="22"/>
        </w:rPr>
      </w:pPr>
      <w:r w:rsidRPr="008F7CBE">
        <w:rPr>
          <w:sz w:val="20"/>
          <w:szCs w:val="22"/>
        </w:rPr>
        <w:lastRenderedPageBreak/>
        <w:t>DATOS SOBRE EL RENDIMIENTO</w:t>
      </w:r>
    </w:p>
    <w:p w:rsidR="00221F0B" w:rsidRPr="00526311" w:rsidRDefault="00221F0B" w:rsidP="00DC1333">
      <w:pPr>
        <w:keepNext/>
      </w:pPr>
    </w:p>
    <w:tbl>
      <w:tblPr>
        <w:tblW w:w="495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4"/>
        <w:gridCol w:w="425"/>
        <w:gridCol w:w="1101"/>
        <w:gridCol w:w="317"/>
        <w:gridCol w:w="1333"/>
        <w:gridCol w:w="290"/>
        <w:gridCol w:w="2828"/>
        <w:gridCol w:w="87"/>
        <w:gridCol w:w="1266"/>
      </w:tblGrid>
      <w:tr w:rsidR="00221F0B" w:rsidRPr="00526311" w:rsidTr="00DC1333">
        <w:trPr>
          <w:cantSplit/>
          <w:trHeight w:val="677"/>
        </w:trPr>
        <w:tc>
          <w:tcPr>
            <w:tcW w:w="5000" w:type="pct"/>
            <w:gridSpan w:val="9"/>
            <w:tcBorders>
              <w:top w:val="single" w:sz="4" w:space="0" w:color="auto"/>
              <w:left w:val="single" w:sz="4" w:space="0" w:color="auto"/>
              <w:bottom w:val="nil"/>
              <w:right w:val="single" w:sz="4" w:space="0" w:color="auto"/>
            </w:tcBorders>
            <w:shd w:val="clear" w:color="auto" w:fill="C6D9F1" w:themeFill="text2" w:themeFillTint="33"/>
            <w:vAlign w:val="center"/>
          </w:tcPr>
          <w:p w:rsidR="00221F0B" w:rsidRPr="00526311" w:rsidRDefault="00221F0B" w:rsidP="00DC1333">
            <w:pPr>
              <w:keepNext/>
              <w:spacing w:before="120" w:after="120"/>
              <w:ind w:left="2019" w:hanging="2019"/>
              <w:rPr>
                <w:bCs/>
                <w:sz w:val="16"/>
                <w:szCs w:val="16"/>
              </w:rPr>
            </w:pPr>
            <w:r w:rsidRPr="00526311">
              <w:rPr>
                <w:b/>
                <w:bCs/>
                <w:sz w:val="16"/>
                <w:szCs w:val="16"/>
              </w:rPr>
              <w:t>Resultado previsto:</w:t>
            </w:r>
            <w:r w:rsidRPr="00526311">
              <w:rPr>
                <w:bCs/>
                <w:sz w:val="16"/>
                <w:szCs w:val="16"/>
              </w:rPr>
              <w:tab/>
            </w:r>
            <w:r w:rsidRPr="00526311">
              <w:rPr>
                <w:sz w:val="16"/>
                <w:szCs w:val="16"/>
              </w:rPr>
              <w:t>IX.1 Servicios de apoyo eficaces, eficientes, de calidad y orientados al cliente, tanto a los clientes internos como a las partes interesadas externas</w:t>
            </w:r>
          </w:p>
        </w:tc>
      </w:tr>
      <w:tr w:rsidR="00221F0B" w:rsidRPr="00526311" w:rsidTr="00DC1333">
        <w:trPr>
          <w:cantSplit/>
        </w:trPr>
        <w:tc>
          <w:tcPr>
            <w:tcW w:w="1195" w:type="pct"/>
            <w:gridSpan w:val="2"/>
            <w:tcBorders>
              <w:top w:val="single" w:sz="4" w:space="0" w:color="auto"/>
              <w:left w:val="single" w:sz="4" w:space="0" w:color="auto"/>
              <w:bottom w:val="nil"/>
            </w:tcBorders>
            <w:shd w:val="clear" w:color="auto" w:fill="auto"/>
            <w:vAlign w:val="center"/>
          </w:tcPr>
          <w:p w:rsidR="00221F0B" w:rsidRPr="00526311" w:rsidRDefault="00221F0B" w:rsidP="00DC1333">
            <w:pPr>
              <w:keepNext/>
              <w:rPr>
                <w:b/>
                <w:sz w:val="16"/>
                <w:szCs w:val="16"/>
              </w:rPr>
            </w:pPr>
            <w:r w:rsidRPr="00526311">
              <w:rPr>
                <w:b/>
                <w:sz w:val="16"/>
                <w:szCs w:val="16"/>
              </w:rPr>
              <w:t>Indicadores de rendimiento</w:t>
            </w:r>
          </w:p>
        </w:tc>
        <w:tc>
          <w:tcPr>
            <w:tcW w:w="747" w:type="pct"/>
            <w:gridSpan w:val="2"/>
            <w:tcBorders>
              <w:top w:val="single" w:sz="4" w:space="0" w:color="auto"/>
              <w:bottom w:val="nil"/>
            </w:tcBorders>
            <w:shd w:val="clear" w:color="auto" w:fill="auto"/>
            <w:vAlign w:val="center"/>
          </w:tcPr>
          <w:p w:rsidR="00221F0B" w:rsidRPr="00526311" w:rsidRDefault="00221F0B" w:rsidP="00DC1333">
            <w:pPr>
              <w:keepNext/>
              <w:rPr>
                <w:b/>
                <w:bCs/>
                <w:sz w:val="16"/>
                <w:szCs w:val="16"/>
              </w:rPr>
            </w:pPr>
            <w:r w:rsidRPr="00526311">
              <w:rPr>
                <w:b/>
                <w:bCs/>
                <w:sz w:val="16"/>
                <w:szCs w:val="16"/>
              </w:rPr>
              <w:t>Referencia</w:t>
            </w:r>
          </w:p>
        </w:tc>
        <w:tc>
          <w:tcPr>
            <w:tcW w:w="855" w:type="pct"/>
            <w:gridSpan w:val="2"/>
            <w:tcBorders>
              <w:top w:val="single" w:sz="4" w:space="0" w:color="auto"/>
              <w:bottom w:val="nil"/>
            </w:tcBorders>
            <w:shd w:val="clear" w:color="auto" w:fill="auto"/>
            <w:tcMar>
              <w:top w:w="110" w:type="dxa"/>
            </w:tcMar>
            <w:vAlign w:val="center"/>
          </w:tcPr>
          <w:p w:rsidR="00221F0B" w:rsidRPr="00526311" w:rsidRDefault="00221F0B" w:rsidP="00DC1333">
            <w:pPr>
              <w:keepNext/>
              <w:rPr>
                <w:b/>
                <w:sz w:val="16"/>
                <w:szCs w:val="16"/>
              </w:rPr>
            </w:pPr>
            <w:r w:rsidRPr="00526311">
              <w:rPr>
                <w:b/>
                <w:sz w:val="16"/>
                <w:szCs w:val="16"/>
              </w:rPr>
              <w:t>Objetivos</w:t>
            </w:r>
          </w:p>
        </w:tc>
        <w:tc>
          <w:tcPr>
            <w:tcW w:w="1536" w:type="pct"/>
            <w:gridSpan w:val="2"/>
            <w:tcBorders>
              <w:top w:val="single" w:sz="4" w:space="0" w:color="auto"/>
              <w:bottom w:val="nil"/>
            </w:tcBorders>
            <w:shd w:val="clear" w:color="auto" w:fill="FFFFFF"/>
            <w:tcMar>
              <w:top w:w="110" w:type="dxa"/>
            </w:tcMar>
            <w:vAlign w:val="center"/>
          </w:tcPr>
          <w:p w:rsidR="00221F0B" w:rsidRPr="00526311" w:rsidRDefault="00221F0B" w:rsidP="00DC1333">
            <w:pPr>
              <w:keepNext/>
              <w:rPr>
                <w:b/>
                <w:sz w:val="16"/>
                <w:szCs w:val="16"/>
              </w:rPr>
            </w:pPr>
            <w:r w:rsidRPr="00526311">
              <w:rPr>
                <w:b/>
                <w:sz w:val="16"/>
                <w:szCs w:val="16"/>
              </w:rPr>
              <w:t>Datos sobre el rendimiento</w:t>
            </w:r>
          </w:p>
        </w:tc>
        <w:tc>
          <w:tcPr>
            <w:tcW w:w="667" w:type="pct"/>
            <w:tcBorders>
              <w:top w:val="single" w:sz="4" w:space="0" w:color="auto"/>
              <w:bottom w:val="nil"/>
              <w:right w:val="single" w:sz="4" w:space="0" w:color="auto"/>
            </w:tcBorders>
            <w:shd w:val="clear" w:color="auto" w:fill="auto"/>
            <w:tcMar>
              <w:top w:w="110" w:type="dxa"/>
            </w:tcMar>
            <w:vAlign w:val="center"/>
          </w:tcPr>
          <w:p w:rsidR="00221F0B" w:rsidRPr="00526311" w:rsidRDefault="00221F0B" w:rsidP="00DC1333">
            <w:pPr>
              <w:keepNext/>
              <w:ind w:left="-109"/>
              <w:jc w:val="center"/>
              <w:rPr>
                <w:b/>
                <w:bCs/>
                <w:sz w:val="16"/>
                <w:szCs w:val="16"/>
              </w:rPr>
            </w:pPr>
            <w:r w:rsidRPr="00526311">
              <w:rPr>
                <w:b/>
                <w:bCs/>
                <w:sz w:val="16"/>
                <w:szCs w:val="16"/>
              </w:rPr>
              <w:t>Clave de colores</w:t>
            </w:r>
          </w:p>
        </w:tc>
      </w:tr>
      <w:tr w:rsidR="00221F0B" w:rsidRPr="00526311" w:rsidTr="00DC1333">
        <w:trPr>
          <w:cantSplit/>
        </w:trPr>
        <w:tc>
          <w:tcPr>
            <w:tcW w:w="1195" w:type="pct"/>
            <w:gridSpan w:val="2"/>
            <w:tcBorders>
              <w:top w:val="nil"/>
              <w:left w:val="single" w:sz="4" w:space="0" w:color="auto"/>
              <w:bottom w:val="nil"/>
            </w:tcBorders>
            <w:shd w:val="clear" w:color="auto" w:fill="auto"/>
          </w:tcPr>
          <w:p w:rsidR="00221F0B" w:rsidRPr="00526311" w:rsidRDefault="00221F0B" w:rsidP="00DC1333">
            <w:pPr>
              <w:keepNext/>
              <w:rPr>
                <w:sz w:val="16"/>
                <w:szCs w:val="16"/>
              </w:rPr>
            </w:pPr>
            <w:r w:rsidRPr="00526311">
              <w:rPr>
                <w:sz w:val="16"/>
                <w:szCs w:val="16"/>
              </w:rPr>
              <w:t>Finalización del proyecto de construcción de la nueva sala de conferencias atendiendo a los requisitos de calidad, de manera puntual y dentro de los límites presupuestarios</w:t>
            </w:r>
          </w:p>
        </w:tc>
        <w:tc>
          <w:tcPr>
            <w:tcW w:w="747" w:type="pct"/>
            <w:gridSpan w:val="2"/>
            <w:tcBorders>
              <w:top w:val="nil"/>
              <w:bottom w:val="nil"/>
            </w:tcBorders>
            <w:shd w:val="clear" w:color="auto" w:fill="auto"/>
          </w:tcPr>
          <w:p w:rsidR="00221F0B" w:rsidRPr="00526311" w:rsidRDefault="00221F0B" w:rsidP="00DC1333">
            <w:pPr>
              <w:keepNext/>
              <w:ind w:left="-108"/>
              <w:rPr>
                <w:sz w:val="16"/>
                <w:szCs w:val="16"/>
              </w:rPr>
            </w:pPr>
            <w:r w:rsidRPr="00526311">
              <w:rPr>
                <w:sz w:val="16"/>
                <w:szCs w:val="16"/>
              </w:rPr>
              <w:t>Garantizar que se haga entrega de la sala de conferencias dentro de lo presupuestado y en el plazo revisado (debido a la rescisión del contrato con el contratista general) para la celebración de las Asambleas de los Estados miembros de 2014</w:t>
            </w:r>
          </w:p>
        </w:tc>
        <w:tc>
          <w:tcPr>
            <w:tcW w:w="855" w:type="pct"/>
            <w:gridSpan w:val="2"/>
            <w:tcBorders>
              <w:top w:val="nil"/>
              <w:bottom w:val="nil"/>
            </w:tcBorders>
            <w:shd w:val="clear" w:color="auto" w:fill="auto"/>
            <w:tcMar>
              <w:top w:w="110" w:type="dxa"/>
            </w:tcMar>
          </w:tcPr>
          <w:p w:rsidR="00221F0B" w:rsidRPr="00526311" w:rsidRDefault="00221F0B" w:rsidP="00DC1333">
            <w:pPr>
              <w:keepNext/>
              <w:rPr>
                <w:sz w:val="16"/>
                <w:szCs w:val="16"/>
              </w:rPr>
            </w:pPr>
            <w:r w:rsidRPr="00526311">
              <w:rPr>
                <w:sz w:val="16"/>
                <w:szCs w:val="16"/>
              </w:rPr>
              <w:t>Las Asambleas de los Estados miembros de 2014 se celebrarán en la nueva sala de conferencias</w:t>
            </w:r>
          </w:p>
        </w:tc>
        <w:tc>
          <w:tcPr>
            <w:tcW w:w="1536" w:type="pct"/>
            <w:gridSpan w:val="2"/>
            <w:tcBorders>
              <w:top w:val="nil"/>
              <w:bottom w:val="nil"/>
            </w:tcBorders>
            <w:shd w:val="clear" w:color="auto" w:fill="FFFFFF"/>
            <w:tcMar>
              <w:top w:w="110" w:type="dxa"/>
            </w:tcMar>
          </w:tcPr>
          <w:p w:rsidR="00221F0B" w:rsidRPr="00526311" w:rsidRDefault="00221F0B" w:rsidP="00DC1333">
            <w:pPr>
              <w:keepNext/>
              <w:rPr>
                <w:sz w:val="16"/>
                <w:szCs w:val="16"/>
              </w:rPr>
            </w:pPr>
            <w:r w:rsidRPr="00526311">
              <w:rPr>
                <w:sz w:val="16"/>
                <w:szCs w:val="16"/>
              </w:rPr>
              <w:t>La nueva sala de conferencias se finalizó y entregó en el plazo previsto y cumplía los requisitos de calidad prescritos.</w:t>
            </w:r>
          </w:p>
          <w:p w:rsidR="00221F0B" w:rsidRPr="00526311" w:rsidRDefault="00221F0B" w:rsidP="00DC1333">
            <w:pPr>
              <w:keepNext/>
              <w:rPr>
                <w:sz w:val="16"/>
                <w:szCs w:val="16"/>
              </w:rPr>
            </w:pPr>
          </w:p>
          <w:p w:rsidR="00221F0B" w:rsidRPr="00526311" w:rsidRDefault="00221F0B" w:rsidP="00DC1333">
            <w:pPr>
              <w:keepNext/>
              <w:rPr>
                <w:sz w:val="16"/>
                <w:szCs w:val="16"/>
              </w:rPr>
            </w:pPr>
            <w:r w:rsidRPr="00526311">
              <w:rPr>
                <w:sz w:val="16"/>
                <w:szCs w:val="16"/>
              </w:rPr>
              <w:t xml:space="preserve">La primera reunión oficial que se llevó a cabo en la nueva sala de conferencias de la OMPI en 2014 fue la sesión del PBC, que se celebró del 1 al 5 de septiembre de 2014.  </w:t>
            </w:r>
            <w:r>
              <w:rPr>
                <w:sz w:val="16"/>
                <w:szCs w:val="16"/>
              </w:rPr>
              <w:t>L</w:t>
            </w:r>
            <w:r w:rsidRPr="00526311">
              <w:rPr>
                <w:sz w:val="16"/>
                <w:szCs w:val="16"/>
              </w:rPr>
              <w:t>a</w:t>
            </w:r>
            <w:r>
              <w:rPr>
                <w:sz w:val="16"/>
                <w:szCs w:val="16"/>
              </w:rPr>
              <w:t xml:space="preserve"> </w:t>
            </w:r>
            <w:r w:rsidRPr="00526311">
              <w:rPr>
                <w:sz w:val="16"/>
                <w:szCs w:val="16"/>
              </w:rPr>
              <w:t>s</w:t>
            </w:r>
            <w:r>
              <w:rPr>
                <w:sz w:val="16"/>
                <w:szCs w:val="16"/>
              </w:rPr>
              <w:t>erie de</w:t>
            </w:r>
            <w:r w:rsidRPr="00526311">
              <w:rPr>
                <w:sz w:val="16"/>
                <w:szCs w:val="16"/>
              </w:rPr>
              <w:t xml:space="preserve"> reuniones de las Asambleas de los Estados miembros de la OMPI se cele</w:t>
            </w:r>
            <w:r>
              <w:rPr>
                <w:sz w:val="16"/>
                <w:szCs w:val="16"/>
              </w:rPr>
              <w:t>bró</w:t>
            </w:r>
            <w:r w:rsidRPr="00526311">
              <w:rPr>
                <w:sz w:val="16"/>
                <w:szCs w:val="16"/>
              </w:rPr>
              <w:t xml:space="preserve"> del 22 al 30 de septiembre de 2014 y la ceremonia de inauguración tuvo lugar el primer día.</w:t>
            </w:r>
          </w:p>
          <w:p w:rsidR="00221F0B" w:rsidRPr="00526311" w:rsidRDefault="00221F0B" w:rsidP="00DC1333">
            <w:pPr>
              <w:keepNext/>
              <w:rPr>
                <w:sz w:val="16"/>
                <w:szCs w:val="16"/>
              </w:rPr>
            </w:pPr>
          </w:p>
          <w:p w:rsidR="00221F0B" w:rsidRPr="00526311" w:rsidRDefault="00221F0B" w:rsidP="00DC1333">
            <w:pPr>
              <w:keepNext/>
              <w:rPr>
                <w:sz w:val="16"/>
                <w:szCs w:val="16"/>
              </w:rPr>
            </w:pPr>
            <w:r>
              <w:rPr>
                <w:sz w:val="16"/>
                <w:szCs w:val="16"/>
              </w:rPr>
              <w:t>A finales de 2015 estaba previsto que el presupuesto adicional aprobado por los Estados miembros en 2014 y 2015 cubriera completamente la estimación del saldo restante adeudado en todas las cuentas definitivas, y que el costo final del proyecto se fijara en 2016, tras el pago de todos los saldos adeudados.</w:t>
            </w:r>
          </w:p>
        </w:tc>
        <w:tc>
          <w:tcPr>
            <w:tcW w:w="667" w:type="pct"/>
            <w:tcBorders>
              <w:top w:val="nil"/>
              <w:bottom w:val="nil"/>
              <w:right w:val="single" w:sz="4" w:space="0" w:color="auto"/>
            </w:tcBorders>
            <w:shd w:val="clear" w:color="auto" w:fill="auto"/>
            <w:tcMar>
              <w:top w:w="110" w:type="dxa"/>
            </w:tcMar>
          </w:tcPr>
          <w:p w:rsidR="00221F0B" w:rsidRPr="00526311" w:rsidRDefault="00221F0B" w:rsidP="00DC1333">
            <w:pPr>
              <w:keepNext/>
              <w:ind w:left="-109"/>
              <w:jc w:val="center"/>
              <w:rPr>
                <w:b/>
                <w:bCs/>
                <w:color w:val="00B050"/>
                <w:sz w:val="16"/>
                <w:szCs w:val="16"/>
              </w:rPr>
            </w:pPr>
            <w:r>
              <w:rPr>
                <w:b/>
                <w:color w:val="00B050"/>
                <w:sz w:val="16"/>
                <w:szCs w:val="16"/>
              </w:rPr>
              <w:t>Plenamente logrado</w:t>
            </w:r>
          </w:p>
        </w:tc>
      </w:tr>
      <w:tr w:rsidR="00221F0B" w:rsidRPr="00526311" w:rsidTr="00DC1333">
        <w:trPr>
          <w:cantSplit/>
        </w:trPr>
        <w:tc>
          <w:tcPr>
            <w:tcW w:w="1195" w:type="pct"/>
            <w:gridSpan w:val="2"/>
            <w:tcBorders>
              <w:top w:val="nil"/>
              <w:left w:val="single" w:sz="4" w:space="0" w:color="auto"/>
              <w:bottom w:val="single" w:sz="4" w:space="0" w:color="auto"/>
            </w:tcBorders>
            <w:shd w:val="clear" w:color="auto" w:fill="auto"/>
          </w:tcPr>
          <w:p w:rsidR="00221F0B" w:rsidRPr="00526311" w:rsidRDefault="00221F0B" w:rsidP="00DC1333">
            <w:pPr>
              <w:rPr>
                <w:sz w:val="16"/>
                <w:szCs w:val="16"/>
              </w:rPr>
            </w:pPr>
            <w:r w:rsidRPr="00526311">
              <w:rPr>
                <w:sz w:val="16"/>
                <w:szCs w:val="16"/>
              </w:rPr>
              <w:t>Uso de la sala de conferencias como lugar preferido para las reuniones y actividades que organicen los Estados miembros</w:t>
            </w:r>
          </w:p>
        </w:tc>
        <w:tc>
          <w:tcPr>
            <w:tcW w:w="747" w:type="pct"/>
            <w:gridSpan w:val="2"/>
            <w:tcBorders>
              <w:top w:val="nil"/>
              <w:bottom w:val="single" w:sz="4" w:space="0" w:color="auto"/>
            </w:tcBorders>
            <w:shd w:val="clear" w:color="auto" w:fill="auto"/>
          </w:tcPr>
          <w:p w:rsidR="00221F0B" w:rsidRPr="00526311" w:rsidRDefault="00221F0B" w:rsidP="00DC1333">
            <w:pPr>
              <w:ind w:left="-108"/>
              <w:rPr>
                <w:sz w:val="16"/>
                <w:szCs w:val="16"/>
              </w:rPr>
            </w:pPr>
            <w:r w:rsidRPr="00526311">
              <w:rPr>
                <w:sz w:val="16"/>
                <w:szCs w:val="16"/>
              </w:rPr>
              <w:t>A partir de 2015, peticiones de uso de las instalaciones por los Estados miembros (para reuniones y actividades distintas de las organizadas por la OMPI)</w:t>
            </w:r>
          </w:p>
        </w:tc>
        <w:tc>
          <w:tcPr>
            <w:tcW w:w="855" w:type="pct"/>
            <w:gridSpan w:val="2"/>
            <w:tcBorders>
              <w:top w:val="nil"/>
              <w:bottom w:val="single" w:sz="4" w:space="0" w:color="auto"/>
            </w:tcBorders>
            <w:shd w:val="clear" w:color="auto" w:fill="auto"/>
            <w:tcMar>
              <w:top w:w="110" w:type="dxa"/>
            </w:tcMar>
          </w:tcPr>
          <w:p w:rsidR="00221F0B" w:rsidRPr="00526311" w:rsidRDefault="00221F0B" w:rsidP="00DC1333">
            <w:pPr>
              <w:rPr>
                <w:sz w:val="16"/>
                <w:szCs w:val="16"/>
              </w:rPr>
            </w:pPr>
            <w:r>
              <w:rPr>
                <w:sz w:val="16"/>
                <w:szCs w:val="16"/>
              </w:rPr>
              <w:t xml:space="preserve">Al menos dos </w:t>
            </w:r>
            <w:r w:rsidRPr="00526311">
              <w:rPr>
                <w:sz w:val="16"/>
                <w:szCs w:val="16"/>
              </w:rPr>
              <w:t xml:space="preserve">peticiones anuales de uso de las instalaciones por los Estados miembros, u otras </w:t>
            </w:r>
            <w:r>
              <w:rPr>
                <w:sz w:val="16"/>
                <w:szCs w:val="16"/>
              </w:rPr>
              <w:t xml:space="preserve">organizaciones internacionales </w:t>
            </w:r>
            <w:r w:rsidRPr="00526311">
              <w:rPr>
                <w:sz w:val="16"/>
                <w:szCs w:val="16"/>
              </w:rPr>
              <w:t>u otras entidades para la organización de reuniones y/o actividades (distintas de las organizadas por la OMPI)</w:t>
            </w:r>
          </w:p>
          <w:p w:rsidR="00221F0B" w:rsidRPr="00526311" w:rsidRDefault="00221F0B" w:rsidP="00DC1333">
            <w:pPr>
              <w:rPr>
                <w:sz w:val="16"/>
                <w:szCs w:val="16"/>
              </w:rPr>
            </w:pPr>
          </w:p>
        </w:tc>
        <w:tc>
          <w:tcPr>
            <w:tcW w:w="1536" w:type="pct"/>
            <w:gridSpan w:val="2"/>
            <w:tcBorders>
              <w:top w:val="nil"/>
              <w:bottom w:val="single" w:sz="4" w:space="0" w:color="auto"/>
            </w:tcBorders>
            <w:shd w:val="clear" w:color="auto" w:fill="FFFFFF"/>
            <w:tcMar>
              <w:top w:w="110" w:type="dxa"/>
            </w:tcMar>
          </w:tcPr>
          <w:p w:rsidR="00221F0B" w:rsidRDefault="00221F0B" w:rsidP="00DC1333">
            <w:pPr>
              <w:rPr>
                <w:sz w:val="16"/>
                <w:szCs w:val="16"/>
                <w:lang w:bidi="th-TH"/>
              </w:rPr>
            </w:pPr>
            <w:r>
              <w:rPr>
                <w:sz w:val="16"/>
                <w:szCs w:val="16"/>
                <w:lang w:bidi="th-TH"/>
              </w:rPr>
              <w:t>El año 2015 fue el primero en que se pudo alquilar la nueva sala de conferencias de la OMPI y las instalaciones adyacentes a los Estados miembros o entidades externas para actividades distintas de las reuniones de la OMPI.  Se celebraron cinco reuniones</w:t>
            </w:r>
            <w:proofErr w:type="gramStart"/>
            <w:r>
              <w:rPr>
                <w:sz w:val="16"/>
                <w:szCs w:val="16"/>
                <w:lang w:bidi="th-TH"/>
              </w:rPr>
              <w:t>:  i</w:t>
            </w:r>
            <w:proofErr w:type="gramEnd"/>
            <w:r>
              <w:rPr>
                <w:sz w:val="16"/>
                <w:szCs w:val="16"/>
                <w:lang w:bidi="th-TH"/>
              </w:rPr>
              <w:t>) el Foro Mundial de la UIT en mayo de 2015;  ii) el Centro Internacional para la Seguridad en el Deporte en septiembre de 2015;  iii) la inauguración por Suiza del Geneva Water Hub en noviembre de 2015;  iv) la ceremonia de entrega de diplomas federales de los bomberos de Suiza (</w:t>
            </w:r>
            <w:r w:rsidRPr="000F556D">
              <w:rPr>
                <w:sz w:val="16"/>
                <w:szCs w:val="16"/>
                <w:lang w:bidi="th-TH"/>
              </w:rPr>
              <w:t>Ecole latine)</w:t>
            </w:r>
            <w:r>
              <w:rPr>
                <w:sz w:val="16"/>
                <w:szCs w:val="16"/>
                <w:lang w:bidi="th-TH"/>
              </w:rPr>
              <w:t xml:space="preserve"> en noviembre de 2015;  v) la Reunión Anual de la </w:t>
            </w:r>
            <w:r w:rsidRPr="000F556D">
              <w:rPr>
                <w:sz w:val="16"/>
                <w:szCs w:val="16"/>
                <w:lang w:bidi="th-TH"/>
              </w:rPr>
              <w:t xml:space="preserve">Organización Internacional para las Migraciones </w:t>
            </w:r>
            <w:r w:rsidR="00D17E49">
              <w:rPr>
                <w:sz w:val="16"/>
                <w:szCs w:val="16"/>
                <w:lang w:bidi="th-TH"/>
              </w:rPr>
              <w:t>(OIM) en noviembre de </w:t>
            </w:r>
            <w:r>
              <w:rPr>
                <w:sz w:val="16"/>
                <w:szCs w:val="16"/>
                <w:lang w:bidi="th-TH"/>
              </w:rPr>
              <w:t>2015.</w:t>
            </w:r>
          </w:p>
          <w:p w:rsidR="00221F0B" w:rsidRPr="00526311" w:rsidRDefault="00221F0B" w:rsidP="00DC1333">
            <w:pPr>
              <w:rPr>
                <w:sz w:val="16"/>
                <w:szCs w:val="16"/>
                <w:lang w:bidi="th-TH"/>
              </w:rPr>
            </w:pPr>
          </w:p>
        </w:tc>
        <w:tc>
          <w:tcPr>
            <w:tcW w:w="667" w:type="pct"/>
            <w:tcBorders>
              <w:top w:val="nil"/>
              <w:bottom w:val="single" w:sz="4" w:space="0" w:color="auto"/>
              <w:right w:val="single" w:sz="4" w:space="0" w:color="auto"/>
            </w:tcBorders>
            <w:shd w:val="clear" w:color="auto" w:fill="auto"/>
            <w:tcMar>
              <w:top w:w="110" w:type="dxa"/>
            </w:tcMar>
          </w:tcPr>
          <w:p w:rsidR="00221F0B" w:rsidRPr="00526311" w:rsidRDefault="00221F0B" w:rsidP="00DC1333">
            <w:pPr>
              <w:jc w:val="center"/>
              <w:rPr>
                <w:rStyle w:val="Style5"/>
                <w:b/>
                <w:bCs/>
                <w:color w:val="595959" w:themeColor="text1" w:themeTint="A6"/>
                <w:sz w:val="16"/>
                <w:szCs w:val="16"/>
              </w:rPr>
            </w:pPr>
            <w:r>
              <w:rPr>
                <w:b/>
                <w:color w:val="00B050"/>
                <w:sz w:val="16"/>
                <w:szCs w:val="16"/>
              </w:rPr>
              <w:t>Plenamente logrado</w:t>
            </w:r>
          </w:p>
        </w:tc>
      </w:tr>
      <w:tr w:rsidR="00221F0B" w:rsidRPr="00526311" w:rsidTr="00DC1333">
        <w:trPr>
          <w:cantSplit/>
        </w:trPr>
        <w:tc>
          <w:tcPr>
            <w:tcW w:w="5000" w:type="pct"/>
            <w:gridSpan w:val="9"/>
            <w:tcBorders>
              <w:top w:val="single" w:sz="4" w:space="0" w:color="auto"/>
              <w:left w:val="single" w:sz="4" w:space="0" w:color="auto"/>
              <w:bottom w:val="nil"/>
              <w:right w:val="single" w:sz="4" w:space="0" w:color="auto"/>
            </w:tcBorders>
            <w:shd w:val="clear" w:color="auto" w:fill="C6D9F1" w:themeFill="text2" w:themeFillTint="33"/>
            <w:vAlign w:val="center"/>
          </w:tcPr>
          <w:p w:rsidR="00221F0B" w:rsidRPr="00526311" w:rsidRDefault="00221F0B" w:rsidP="00DC1333">
            <w:pPr>
              <w:keepNext/>
              <w:spacing w:before="120" w:after="120"/>
              <w:ind w:left="2019" w:hanging="2019"/>
              <w:rPr>
                <w:bCs/>
                <w:sz w:val="16"/>
                <w:szCs w:val="16"/>
              </w:rPr>
            </w:pPr>
            <w:r w:rsidRPr="00526311">
              <w:rPr>
                <w:b/>
                <w:bCs/>
                <w:sz w:val="16"/>
                <w:szCs w:val="16"/>
              </w:rPr>
              <w:lastRenderedPageBreak/>
              <w:t>Resultado previsto:</w:t>
            </w:r>
            <w:r w:rsidRPr="00526311">
              <w:rPr>
                <w:bCs/>
                <w:sz w:val="16"/>
                <w:szCs w:val="16"/>
              </w:rPr>
              <w:tab/>
            </w:r>
            <w:r w:rsidRPr="00526311">
              <w:rPr>
                <w:sz w:val="16"/>
                <w:szCs w:val="16"/>
              </w:rPr>
              <w:t>IX.4 Una organización responsable con el medio ambiente y la sociedad en la que se garantiza la seguridad de su personal, los delegados, los visitantes, la información y los activos físicos</w:t>
            </w:r>
          </w:p>
        </w:tc>
      </w:tr>
      <w:tr w:rsidR="00221F0B" w:rsidRPr="00526311" w:rsidTr="00DC1333">
        <w:trPr>
          <w:cantSplit/>
        </w:trPr>
        <w:tc>
          <w:tcPr>
            <w:tcW w:w="971" w:type="pct"/>
            <w:tcBorders>
              <w:top w:val="single" w:sz="4" w:space="0" w:color="auto"/>
              <w:left w:val="single" w:sz="4" w:space="0" w:color="auto"/>
              <w:bottom w:val="nil"/>
            </w:tcBorders>
            <w:shd w:val="clear" w:color="auto" w:fill="auto"/>
            <w:vAlign w:val="center"/>
          </w:tcPr>
          <w:p w:rsidR="00221F0B" w:rsidRPr="00526311" w:rsidRDefault="00221F0B" w:rsidP="00DC1333">
            <w:pPr>
              <w:keepNext/>
              <w:rPr>
                <w:b/>
                <w:sz w:val="16"/>
                <w:szCs w:val="16"/>
              </w:rPr>
            </w:pPr>
            <w:r w:rsidRPr="00526311">
              <w:rPr>
                <w:b/>
                <w:color w:val="000000"/>
                <w:sz w:val="16"/>
                <w:szCs w:val="16"/>
              </w:rPr>
              <w:t>Indicadores de rendimiento</w:t>
            </w:r>
          </w:p>
        </w:tc>
        <w:tc>
          <w:tcPr>
            <w:tcW w:w="804" w:type="pct"/>
            <w:gridSpan w:val="2"/>
            <w:tcBorders>
              <w:top w:val="single" w:sz="4" w:space="0" w:color="auto"/>
              <w:bottom w:val="nil"/>
            </w:tcBorders>
            <w:shd w:val="clear" w:color="auto" w:fill="auto"/>
            <w:vAlign w:val="center"/>
          </w:tcPr>
          <w:p w:rsidR="00221F0B" w:rsidRPr="00526311" w:rsidRDefault="00221F0B" w:rsidP="00DC1333">
            <w:pPr>
              <w:keepNext/>
              <w:rPr>
                <w:b/>
                <w:bCs/>
                <w:sz w:val="16"/>
                <w:szCs w:val="16"/>
              </w:rPr>
            </w:pPr>
            <w:r w:rsidRPr="00526311">
              <w:rPr>
                <w:b/>
                <w:bCs/>
                <w:color w:val="000000"/>
                <w:sz w:val="16"/>
                <w:szCs w:val="16"/>
              </w:rPr>
              <w:t>Referencia</w:t>
            </w:r>
          </w:p>
        </w:tc>
        <w:tc>
          <w:tcPr>
            <w:tcW w:w="869" w:type="pct"/>
            <w:gridSpan w:val="2"/>
            <w:tcBorders>
              <w:top w:val="single" w:sz="4" w:space="0" w:color="auto"/>
              <w:bottom w:val="nil"/>
            </w:tcBorders>
            <w:shd w:val="clear" w:color="auto" w:fill="auto"/>
            <w:tcMar>
              <w:top w:w="110" w:type="dxa"/>
            </w:tcMar>
            <w:vAlign w:val="center"/>
          </w:tcPr>
          <w:p w:rsidR="00221F0B" w:rsidRPr="00526311" w:rsidRDefault="00221F0B" w:rsidP="00DC1333">
            <w:pPr>
              <w:keepNext/>
              <w:rPr>
                <w:b/>
                <w:sz w:val="16"/>
                <w:szCs w:val="16"/>
              </w:rPr>
            </w:pPr>
            <w:r w:rsidRPr="00526311">
              <w:rPr>
                <w:b/>
                <w:color w:val="000000"/>
                <w:sz w:val="16"/>
                <w:szCs w:val="16"/>
              </w:rPr>
              <w:t>Objetivos</w:t>
            </w:r>
          </w:p>
        </w:tc>
        <w:tc>
          <w:tcPr>
            <w:tcW w:w="1643" w:type="pct"/>
            <w:gridSpan w:val="2"/>
            <w:tcBorders>
              <w:top w:val="single" w:sz="4" w:space="0" w:color="auto"/>
              <w:bottom w:val="nil"/>
            </w:tcBorders>
            <w:shd w:val="clear" w:color="auto" w:fill="FFFFFF"/>
            <w:tcMar>
              <w:top w:w="110" w:type="dxa"/>
            </w:tcMar>
            <w:vAlign w:val="center"/>
          </w:tcPr>
          <w:p w:rsidR="00221F0B" w:rsidRPr="00526311" w:rsidRDefault="00221F0B" w:rsidP="00DC1333">
            <w:pPr>
              <w:keepNext/>
              <w:rPr>
                <w:b/>
                <w:sz w:val="16"/>
                <w:szCs w:val="16"/>
              </w:rPr>
            </w:pPr>
            <w:r w:rsidRPr="00526311">
              <w:rPr>
                <w:b/>
                <w:color w:val="000000"/>
                <w:sz w:val="16"/>
                <w:szCs w:val="16"/>
              </w:rPr>
              <w:t>Datos sobre el rendimiento</w:t>
            </w:r>
          </w:p>
        </w:tc>
        <w:tc>
          <w:tcPr>
            <w:tcW w:w="713" w:type="pct"/>
            <w:gridSpan w:val="2"/>
            <w:tcBorders>
              <w:top w:val="single" w:sz="4" w:space="0" w:color="auto"/>
              <w:bottom w:val="nil"/>
              <w:right w:val="single" w:sz="4" w:space="0" w:color="auto"/>
            </w:tcBorders>
            <w:shd w:val="clear" w:color="auto" w:fill="auto"/>
            <w:tcMar>
              <w:top w:w="110" w:type="dxa"/>
            </w:tcMar>
            <w:vAlign w:val="center"/>
          </w:tcPr>
          <w:p w:rsidR="00221F0B" w:rsidRPr="00526311" w:rsidRDefault="00221F0B" w:rsidP="00DC1333">
            <w:pPr>
              <w:keepNext/>
              <w:jc w:val="center"/>
              <w:rPr>
                <w:b/>
                <w:bCs/>
                <w:sz w:val="16"/>
                <w:szCs w:val="16"/>
              </w:rPr>
            </w:pPr>
            <w:r w:rsidRPr="00526311">
              <w:rPr>
                <w:b/>
                <w:bCs/>
                <w:color w:val="000000"/>
                <w:sz w:val="16"/>
                <w:szCs w:val="16"/>
              </w:rPr>
              <w:t>Clave de colores</w:t>
            </w:r>
          </w:p>
        </w:tc>
      </w:tr>
      <w:tr w:rsidR="00221F0B" w:rsidRPr="00526311" w:rsidTr="00DC1333">
        <w:trPr>
          <w:cantSplit/>
        </w:trPr>
        <w:tc>
          <w:tcPr>
            <w:tcW w:w="971" w:type="pct"/>
            <w:tcBorders>
              <w:top w:val="nil"/>
              <w:left w:val="single" w:sz="4" w:space="0" w:color="auto"/>
              <w:bottom w:val="single" w:sz="4" w:space="0" w:color="auto"/>
            </w:tcBorders>
            <w:shd w:val="clear" w:color="auto" w:fill="auto"/>
          </w:tcPr>
          <w:p w:rsidR="00221F0B" w:rsidRPr="00526311" w:rsidRDefault="00221F0B" w:rsidP="00DC1333">
            <w:pPr>
              <w:keepNext/>
              <w:rPr>
                <w:sz w:val="16"/>
                <w:szCs w:val="16"/>
              </w:rPr>
            </w:pPr>
            <w:r w:rsidRPr="00526311">
              <w:rPr>
                <w:sz w:val="16"/>
                <w:szCs w:val="16"/>
              </w:rPr>
              <w:t>Supervisión de las medidas de acceso físico para velar por que se cumplan plenamente las normas aplicables durante el período de construcción de la nueva sala de conferencias y las instalaciones conexas</w:t>
            </w:r>
          </w:p>
        </w:tc>
        <w:tc>
          <w:tcPr>
            <w:tcW w:w="804" w:type="pct"/>
            <w:gridSpan w:val="2"/>
            <w:tcBorders>
              <w:top w:val="nil"/>
              <w:bottom w:val="single" w:sz="4" w:space="0" w:color="auto"/>
            </w:tcBorders>
            <w:shd w:val="clear" w:color="auto" w:fill="auto"/>
          </w:tcPr>
          <w:p w:rsidR="00221F0B" w:rsidRPr="00526311" w:rsidRDefault="00221F0B" w:rsidP="00DC1333">
            <w:pPr>
              <w:keepNext/>
              <w:ind w:left="-108"/>
              <w:rPr>
                <w:color w:val="002060"/>
                <w:sz w:val="16"/>
                <w:szCs w:val="16"/>
              </w:rPr>
            </w:pPr>
            <w:r w:rsidRPr="00526311">
              <w:rPr>
                <w:i/>
                <w:color w:val="002060"/>
                <w:sz w:val="16"/>
                <w:szCs w:val="16"/>
              </w:rPr>
              <w:t xml:space="preserve">Referencia actualizada a fines de 2013: </w:t>
            </w:r>
            <w:r w:rsidRPr="00526311">
              <w:rPr>
                <w:color w:val="002060"/>
                <w:sz w:val="16"/>
                <w:szCs w:val="16"/>
              </w:rPr>
              <w:t>n.d.</w:t>
            </w:r>
            <w:r w:rsidRPr="00526311">
              <w:rPr>
                <w:i/>
                <w:color w:val="002060"/>
                <w:sz w:val="16"/>
                <w:szCs w:val="16"/>
              </w:rPr>
              <w:br/>
            </w:r>
          </w:p>
          <w:p w:rsidR="00221F0B" w:rsidRPr="00526311" w:rsidRDefault="00221F0B" w:rsidP="00DC1333">
            <w:pPr>
              <w:keepNext/>
              <w:ind w:left="-108"/>
              <w:rPr>
                <w:color w:val="002060"/>
                <w:sz w:val="16"/>
                <w:szCs w:val="16"/>
              </w:rPr>
            </w:pPr>
          </w:p>
          <w:p w:rsidR="00221F0B" w:rsidRPr="00526311" w:rsidRDefault="00221F0B" w:rsidP="00DC1333">
            <w:pPr>
              <w:keepNext/>
              <w:ind w:left="-108"/>
              <w:rPr>
                <w:sz w:val="16"/>
                <w:szCs w:val="16"/>
              </w:rPr>
            </w:pPr>
            <w:r w:rsidRPr="00526311">
              <w:rPr>
                <w:i/>
                <w:iCs/>
                <w:sz w:val="16"/>
                <w:szCs w:val="16"/>
              </w:rPr>
              <w:t>Referencia original en el presupuesto de 2014/15</w:t>
            </w:r>
            <w:r w:rsidRPr="00526311">
              <w:rPr>
                <w:i/>
                <w:sz w:val="16"/>
                <w:szCs w:val="16"/>
              </w:rPr>
              <w:t>:  se establecerá a comienzos de 2014 cuando se haya hecho entrega de la nueva sala de conferencias y sobre la base de la evaluación específica de carácter arquitectónico y técnico realizada en 2013</w:t>
            </w:r>
          </w:p>
        </w:tc>
        <w:tc>
          <w:tcPr>
            <w:tcW w:w="869" w:type="pct"/>
            <w:gridSpan w:val="2"/>
            <w:tcBorders>
              <w:top w:val="nil"/>
              <w:bottom w:val="single" w:sz="4" w:space="0" w:color="auto"/>
            </w:tcBorders>
            <w:shd w:val="clear" w:color="auto" w:fill="auto"/>
            <w:tcMar>
              <w:top w:w="110" w:type="dxa"/>
            </w:tcMar>
          </w:tcPr>
          <w:p w:rsidR="00221F0B" w:rsidRPr="00526311" w:rsidRDefault="00221F0B" w:rsidP="00DC1333">
            <w:pPr>
              <w:keepNext/>
              <w:rPr>
                <w:bCs/>
                <w:sz w:val="16"/>
                <w:szCs w:val="16"/>
              </w:rPr>
            </w:pPr>
            <w:r w:rsidRPr="00526311">
              <w:rPr>
                <w:bCs/>
                <w:sz w:val="16"/>
                <w:szCs w:val="16"/>
              </w:rPr>
              <w:t>Se establecerá a comienzos de 2014 cuando se haya hecho entrega de la nueva sala de conferencias y sobre la base de la evaluación específica de carácter arquitectónico y técnico realizada en 2013</w:t>
            </w:r>
          </w:p>
        </w:tc>
        <w:tc>
          <w:tcPr>
            <w:tcW w:w="1643" w:type="pct"/>
            <w:gridSpan w:val="2"/>
            <w:tcBorders>
              <w:top w:val="nil"/>
              <w:bottom w:val="single" w:sz="4" w:space="0" w:color="auto"/>
            </w:tcBorders>
            <w:shd w:val="clear" w:color="auto" w:fill="FFFFFF"/>
            <w:tcMar>
              <w:top w:w="110" w:type="dxa"/>
            </w:tcMar>
          </w:tcPr>
          <w:p w:rsidR="00221F0B" w:rsidRPr="00526311" w:rsidRDefault="00221F0B" w:rsidP="00DC1333">
            <w:pPr>
              <w:keepNext/>
              <w:rPr>
                <w:sz w:val="16"/>
                <w:szCs w:val="16"/>
              </w:rPr>
            </w:pPr>
            <w:r w:rsidRPr="00526311">
              <w:rPr>
                <w:sz w:val="16"/>
                <w:szCs w:val="16"/>
              </w:rPr>
              <w:t>Las principales medidas de acceso físico aplicadas durante el periodo de construcción (hasta el final de las obras en agosto de 2014, en vez de comienzos de 2014) fueron, entre otras, las siguientes:  i)  rampas para acceder con silla de ruedas a la tribuna y a todos los asientos de la tribuna (31, si se usa la configuración plena) de la nueva sala de conferencias de la OMPI;  ii) acceso para sillas de ruedas a 26 asientos en tres zonas diferentes reservadas para los delegados;  iii) posibilidad de remoción de la totalidad de los asientos (unos 850) para los delegados, que pueden sustituirse,  previa petición, por cualquier otro asiento adaptado a las necesidades de las personas con discapacidad;  iv) nueva puerta de emergencia en el fondo de la nueva sala de conferencias de la OMPI que posibilite el acceso directo e independiente en silla de ruedas a una rampa exterior que desemboca en la explanada exterior;  v) rampas para acceder a las cabinas de interpretación en silla de ruedas en dos nuevas salas de reuniones en una planta renovada del edificio AB;  vi) salas de descanso con acceso para sillas de ruedas;  vii) bandas antideslizantes en los escalones de todas las escaleras dentro y fuera de la nueva sala de conferencias de la OMPI;  viii) rampa para el acceso en silla de ruedas que parte de las puertas del vestíbulo de la nueva sala de conferencias y conduce a la salida de emergencia del perímetro del recinto de la OMPI;  ix) acceso para sillas de ruedas desde la calle por la nueva entrada principal de la OMPI y puertas interiores de acceso prioritario independiente para sillas de ruedas a los mostra</w:t>
            </w:r>
            <w:r>
              <w:rPr>
                <w:sz w:val="16"/>
                <w:szCs w:val="16"/>
              </w:rPr>
              <w:t xml:space="preserve">dores de recepción y registro, y </w:t>
            </w:r>
            <w:r w:rsidRPr="00526311">
              <w:rPr>
                <w:sz w:val="16"/>
                <w:szCs w:val="16"/>
              </w:rPr>
              <w:t>x) asiento especial amovible para personas con discapacidad, disponible en caso de emergencia, previa solicitud, en la planta en que se encuentran las cabinas de interpretación.</w:t>
            </w:r>
            <w:r w:rsidRPr="00526311">
              <w:rPr>
                <w:sz w:val="16"/>
                <w:szCs w:val="16"/>
              </w:rPr>
              <w:br/>
            </w:r>
          </w:p>
        </w:tc>
        <w:tc>
          <w:tcPr>
            <w:tcW w:w="713" w:type="pct"/>
            <w:gridSpan w:val="2"/>
            <w:tcBorders>
              <w:top w:val="nil"/>
              <w:bottom w:val="single" w:sz="4" w:space="0" w:color="auto"/>
              <w:right w:val="single" w:sz="4" w:space="0" w:color="auto"/>
            </w:tcBorders>
            <w:shd w:val="clear" w:color="auto" w:fill="auto"/>
            <w:tcMar>
              <w:top w:w="110" w:type="dxa"/>
            </w:tcMar>
          </w:tcPr>
          <w:p w:rsidR="00221F0B" w:rsidRPr="00526311" w:rsidRDefault="00221F0B" w:rsidP="00DC1333">
            <w:pPr>
              <w:keepNext/>
              <w:jc w:val="center"/>
              <w:rPr>
                <w:b/>
                <w:color w:val="A6A6A6" w:themeColor="background1" w:themeShade="A6"/>
                <w:sz w:val="16"/>
                <w:szCs w:val="16"/>
              </w:rPr>
            </w:pPr>
            <w:r w:rsidRPr="00526311">
              <w:rPr>
                <w:b/>
                <w:color w:val="A6A6A6" w:themeColor="background1" w:themeShade="A6"/>
                <w:sz w:val="16"/>
                <w:szCs w:val="16"/>
              </w:rPr>
              <w:t>No mensurable</w:t>
            </w:r>
          </w:p>
        </w:tc>
      </w:tr>
      <w:tr w:rsidR="00221F0B" w:rsidRPr="00526311" w:rsidTr="00DC1333">
        <w:trPr>
          <w:cantSplit/>
        </w:trPr>
        <w:tc>
          <w:tcPr>
            <w:tcW w:w="971" w:type="pct"/>
            <w:tcBorders>
              <w:top w:val="single" w:sz="4" w:space="0" w:color="auto"/>
              <w:left w:val="single" w:sz="4" w:space="0" w:color="auto"/>
              <w:bottom w:val="nil"/>
            </w:tcBorders>
            <w:shd w:val="clear" w:color="auto" w:fill="auto"/>
          </w:tcPr>
          <w:p w:rsidR="00221F0B" w:rsidRPr="00526311" w:rsidRDefault="00221F0B" w:rsidP="00DC1333">
            <w:pPr>
              <w:rPr>
                <w:sz w:val="16"/>
                <w:szCs w:val="16"/>
              </w:rPr>
            </w:pPr>
            <w:r w:rsidRPr="00526311">
              <w:rPr>
                <w:sz w:val="16"/>
                <w:szCs w:val="16"/>
              </w:rPr>
              <w:lastRenderedPageBreak/>
              <w:t>Supervisión de las medidas aplicadas durante el período de construcción con el fin de respetar el medio ambiente y reducir el consumo de energía</w:t>
            </w:r>
          </w:p>
        </w:tc>
        <w:tc>
          <w:tcPr>
            <w:tcW w:w="804" w:type="pct"/>
            <w:gridSpan w:val="2"/>
            <w:tcBorders>
              <w:top w:val="single" w:sz="4" w:space="0" w:color="auto"/>
              <w:bottom w:val="nil"/>
            </w:tcBorders>
            <w:shd w:val="clear" w:color="auto" w:fill="auto"/>
          </w:tcPr>
          <w:p w:rsidR="00221F0B" w:rsidRPr="00526311" w:rsidRDefault="00221F0B" w:rsidP="00DC1333">
            <w:pPr>
              <w:ind w:left="-108"/>
              <w:rPr>
                <w:color w:val="002060"/>
                <w:sz w:val="16"/>
                <w:szCs w:val="16"/>
              </w:rPr>
            </w:pPr>
            <w:r w:rsidRPr="00526311">
              <w:rPr>
                <w:i/>
                <w:iCs/>
                <w:color w:val="002060"/>
                <w:sz w:val="16"/>
                <w:szCs w:val="16"/>
              </w:rPr>
              <w:t>Referencia actualizada a fines de 2013</w:t>
            </w:r>
            <w:r w:rsidRPr="00526311">
              <w:rPr>
                <w:i/>
                <w:color w:val="002060"/>
                <w:sz w:val="16"/>
                <w:szCs w:val="16"/>
              </w:rPr>
              <w:t>:</w:t>
            </w:r>
            <w:r w:rsidRPr="00526311">
              <w:rPr>
                <w:color w:val="002060"/>
                <w:sz w:val="16"/>
                <w:szCs w:val="16"/>
              </w:rPr>
              <w:t xml:space="preserve"> n.d.</w:t>
            </w:r>
          </w:p>
          <w:p w:rsidR="00221F0B" w:rsidRPr="00526311" w:rsidRDefault="00221F0B" w:rsidP="00DC1333">
            <w:pPr>
              <w:ind w:left="-108"/>
              <w:rPr>
                <w:color w:val="002060"/>
                <w:sz w:val="16"/>
                <w:szCs w:val="16"/>
              </w:rPr>
            </w:pPr>
          </w:p>
          <w:p w:rsidR="00221F0B" w:rsidRPr="00526311" w:rsidRDefault="00221F0B" w:rsidP="00DC1333">
            <w:pPr>
              <w:ind w:left="-108"/>
              <w:rPr>
                <w:sz w:val="16"/>
                <w:szCs w:val="16"/>
              </w:rPr>
            </w:pPr>
            <w:r w:rsidRPr="00526311">
              <w:rPr>
                <w:i/>
                <w:iCs/>
                <w:sz w:val="16"/>
                <w:szCs w:val="16"/>
              </w:rPr>
              <w:t>Referencia original en el presup. de 2014/15</w:t>
            </w:r>
            <w:r w:rsidRPr="00526311">
              <w:rPr>
                <w:i/>
                <w:sz w:val="16"/>
                <w:szCs w:val="16"/>
              </w:rPr>
              <w:t>:  se establecerá a comienzos de 2014 cuando se haya hecho entrega de la nueva sala de conferencias</w:t>
            </w:r>
          </w:p>
        </w:tc>
        <w:tc>
          <w:tcPr>
            <w:tcW w:w="869" w:type="pct"/>
            <w:gridSpan w:val="2"/>
            <w:tcBorders>
              <w:top w:val="single" w:sz="4" w:space="0" w:color="auto"/>
              <w:bottom w:val="nil"/>
            </w:tcBorders>
            <w:shd w:val="clear" w:color="auto" w:fill="auto"/>
            <w:tcMar>
              <w:top w:w="110" w:type="dxa"/>
            </w:tcMar>
          </w:tcPr>
          <w:p w:rsidR="00221F0B" w:rsidRPr="00526311" w:rsidRDefault="00221F0B" w:rsidP="00DC1333">
            <w:pPr>
              <w:rPr>
                <w:sz w:val="16"/>
                <w:szCs w:val="16"/>
              </w:rPr>
            </w:pPr>
            <w:r w:rsidRPr="00526311">
              <w:rPr>
                <w:sz w:val="16"/>
                <w:szCs w:val="16"/>
              </w:rPr>
              <w:t>Se establecerá a comienzos de 2014 cuando se haya hecho entrega de la nueva sala de conferencias</w:t>
            </w:r>
          </w:p>
        </w:tc>
        <w:tc>
          <w:tcPr>
            <w:tcW w:w="1643" w:type="pct"/>
            <w:gridSpan w:val="2"/>
            <w:tcBorders>
              <w:top w:val="single" w:sz="4" w:space="0" w:color="auto"/>
              <w:bottom w:val="nil"/>
            </w:tcBorders>
            <w:shd w:val="clear" w:color="auto" w:fill="FFFFFF"/>
            <w:tcMar>
              <w:top w:w="110" w:type="dxa"/>
            </w:tcMar>
          </w:tcPr>
          <w:p w:rsidR="00221F0B" w:rsidRPr="00526311" w:rsidRDefault="00221F0B" w:rsidP="00DC1333">
            <w:pPr>
              <w:rPr>
                <w:sz w:val="16"/>
                <w:szCs w:val="16"/>
              </w:rPr>
            </w:pPr>
            <w:r w:rsidRPr="00526311">
              <w:rPr>
                <w:sz w:val="16"/>
                <w:szCs w:val="16"/>
              </w:rPr>
              <w:t>Las p</w:t>
            </w:r>
            <w:r>
              <w:rPr>
                <w:sz w:val="16"/>
                <w:szCs w:val="16"/>
              </w:rPr>
              <w:t xml:space="preserve">rincipales medidas respetuosas con </w:t>
            </w:r>
            <w:r w:rsidRPr="00526311">
              <w:rPr>
                <w:sz w:val="16"/>
                <w:szCs w:val="16"/>
              </w:rPr>
              <w:t>el medio ambiente aplicadas durante el periodo de construcción (hasta el final de las obras en agosto de 2014, en vez de comienzos de 2014) fueron, entre otras, las siguientes:  i) utilización de madera local para la estructura principal y los revestimientos interiores de madera (techos, suelos y paredes) de la nueva sala de conferencias de la OMPI;  ii) gas natural para la calefacción;  iii) sistema de refrigeración que aprovecha el agua fría del lago de Ginebra;  iv) reducción del consumo de luz artificial mediante el uso generalizado de la tecnología LED (en todas las zonas cubiertas por el proyecto) y luz natural gracias a los grandes ventanales y las numerosas claraboyas (en la nueva sala de conferencias de la OMPI);  v) máximo aprovechamiento del aire del exterior gracias a un sistema de ventilación combinado;  vi) cubierta vegetal de la techumbre del Centro de Acceso, que aumenta la capacidad de enfriamiento y de escurrimiento de las aguas de lluvia;  vii) iluminación activada por detectores de presencia fuera del horario de oficina</w:t>
            </w:r>
          </w:p>
        </w:tc>
        <w:tc>
          <w:tcPr>
            <w:tcW w:w="713" w:type="pct"/>
            <w:gridSpan w:val="2"/>
            <w:tcBorders>
              <w:top w:val="single" w:sz="4" w:space="0" w:color="auto"/>
              <w:bottom w:val="nil"/>
              <w:right w:val="single" w:sz="4" w:space="0" w:color="auto"/>
            </w:tcBorders>
            <w:shd w:val="clear" w:color="auto" w:fill="auto"/>
            <w:tcMar>
              <w:top w:w="110" w:type="dxa"/>
            </w:tcMar>
          </w:tcPr>
          <w:p w:rsidR="00221F0B" w:rsidRPr="00526311" w:rsidRDefault="00221F0B" w:rsidP="00DC1333">
            <w:pPr>
              <w:jc w:val="center"/>
              <w:rPr>
                <w:rStyle w:val="Style5"/>
                <w:color w:val="002060"/>
                <w:sz w:val="16"/>
                <w:szCs w:val="16"/>
              </w:rPr>
            </w:pPr>
            <w:r w:rsidRPr="00526311">
              <w:rPr>
                <w:b/>
                <w:color w:val="A6A6A6" w:themeColor="background1" w:themeShade="A6"/>
                <w:sz w:val="16"/>
                <w:szCs w:val="16"/>
              </w:rPr>
              <w:t>No mensurable</w:t>
            </w:r>
          </w:p>
        </w:tc>
      </w:tr>
      <w:tr w:rsidR="00221F0B" w:rsidRPr="00526311" w:rsidTr="00DC1333">
        <w:trPr>
          <w:cantSplit/>
        </w:trPr>
        <w:tc>
          <w:tcPr>
            <w:tcW w:w="971" w:type="pct"/>
            <w:tcBorders>
              <w:top w:val="nil"/>
              <w:left w:val="single" w:sz="4" w:space="0" w:color="auto"/>
              <w:bottom w:val="single" w:sz="4" w:space="0" w:color="auto"/>
            </w:tcBorders>
            <w:shd w:val="clear" w:color="auto" w:fill="auto"/>
          </w:tcPr>
          <w:p w:rsidR="00221F0B" w:rsidRPr="00526311" w:rsidRDefault="00221F0B" w:rsidP="00DC1333">
            <w:pPr>
              <w:rPr>
                <w:sz w:val="16"/>
                <w:szCs w:val="16"/>
              </w:rPr>
            </w:pPr>
            <w:r w:rsidRPr="00526311">
              <w:rPr>
                <w:sz w:val="16"/>
                <w:szCs w:val="16"/>
              </w:rPr>
              <w:t xml:space="preserve">Finalización de la aplicación de las medidas de seguridad del perímetro de la nueva sala de conferencias con arreglo a las normas mínimas operativas de seguridad para las sedes de </w:t>
            </w:r>
            <w:r>
              <w:rPr>
                <w:sz w:val="16"/>
                <w:szCs w:val="16"/>
              </w:rPr>
              <w:t>las Naciones Unidas</w:t>
            </w:r>
          </w:p>
        </w:tc>
        <w:tc>
          <w:tcPr>
            <w:tcW w:w="804" w:type="pct"/>
            <w:gridSpan w:val="2"/>
            <w:tcBorders>
              <w:top w:val="nil"/>
              <w:bottom w:val="single" w:sz="4" w:space="0" w:color="auto"/>
            </w:tcBorders>
            <w:shd w:val="clear" w:color="auto" w:fill="auto"/>
          </w:tcPr>
          <w:p w:rsidR="00221F0B" w:rsidRPr="00526311" w:rsidRDefault="00221F0B" w:rsidP="00DC1333">
            <w:pPr>
              <w:rPr>
                <w:i/>
                <w:sz w:val="16"/>
                <w:szCs w:val="16"/>
              </w:rPr>
            </w:pPr>
            <w:r w:rsidRPr="00526311">
              <w:rPr>
                <w:i/>
                <w:sz w:val="16"/>
                <w:szCs w:val="16"/>
              </w:rPr>
              <w:t>n.d.</w:t>
            </w:r>
          </w:p>
        </w:tc>
        <w:tc>
          <w:tcPr>
            <w:tcW w:w="869" w:type="pct"/>
            <w:gridSpan w:val="2"/>
            <w:tcBorders>
              <w:top w:val="nil"/>
              <w:bottom w:val="single" w:sz="4" w:space="0" w:color="auto"/>
            </w:tcBorders>
            <w:shd w:val="clear" w:color="auto" w:fill="auto"/>
            <w:tcMar>
              <w:top w:w="110" w:type="dxa"/>
            </w:tcMar>
          </w:tcPr>
          <w:p w:rsidR="00221F0B" w:rsidRPr="00526311" w:rsidRDefault="00221F0B" w:rsidP="00DC1333">
            <w:pPr>
              <w:rPr>
                <w:sz w:val="16"/>
                <w:szCs w:val="16"/>
              </w:rPr>
            </w:pPr>
            <w:r w:rsidRPr="00526311">
              <w:rPr>
                <w:sz w:val="16"/>
                <w:szCs w:val="16"/>
              </w:rPr>
              <w:t xml:space="preserve">Finalización de la aplicación de las medidas de seguridad del perímetro con arreglo a las normas mínimas operativas de seguridad para las sedes de </w:t>
            </w:r>
            <w:r>
              <w:rPr>
                <w:sz w:val="16"/>
                <w:szCs w:val="16"/>
              </w:rPr>
              <w:t>las Naciones Unidas</w:t>
            </w:r>
            <w:r w:rsidRPr="00526311">
              <w:rPr>
                <w:sz w:val="16"/>
                <w:szCs w:val="16"/>
              </w:rPr>
              <w:t xml:space="preserve"> para finales de 2015</w:t>
            </w:r>
          </w:p>
        </w:tc>
        <w:tc>
          <w:tcPr>
            <w:tcW w:w="1643" w:type="pct"/>
            <w:gridSpan w:val="2"/>
            <w:tcBorders>
              <w:top w:val="nil"/>
              <w:bottom w:val="single" w:sz="4" w:space="0" w:color="auto"/>
            </w:tcBorders>
            <w:shd w:val="clear" w:color="auto" w:fill="FFFFFF"/>
            <w:tcMar>
              <w:top w:w="110" w:type="dxa"/>
            </w:tcMar>
          </w:tcPr>
          <w:p w:rsidR="00221F0B" w:rsidRPr="00526311" w:rsidRDefault="00221F0B" w:rsidP="00DC1333">
            <w:pPr>
              <w:rPr>
                <w:sz w:val="16"/>
                <w:szCs w:val="16"/>
              </w:rPr>
            </w:pPr>
            <w:r w:rsidRPr="00526311">
              <w:rPr>
                <w:sz w:val="16"/>
                <w:szCs w:val="16"/>
              </w:rPr>
              <w:t xml:space="preserve">El perímetro de seguridad frente a la nueva sala de conferencias de la OMPI del lado del edificio AB y el muro antiexplosión del lado de la Route de Ferney se finalizaron en agosto de 2014. </w:t>
            </w:r>
            <w:r>
              <w:rPr>
                <w:sz w:val="16"/>
                <w:szCs w:val="16"/>
              </w:rPr>
              <w:t xml:space="preserve"> Todas las demás medidas de seguridad necesarias para ultimar el proyecto se terminaron de adoptar a finales de 2015.</w:t>
            </w:r>
          </w:p>
        </w:tc>
        <w:tc>
          <w:tcPr>
            <w:tcW w:w="713" w:type="pct"/>
            <w:gridSpan w:val="2"/>
            <w:tcBorders>
              <w:top w:val="nil"/>
              <w:bottom w:val="single" w:sz="4" w:space="0" w:color="auto"/>
              <w:right w:val="single" w:sz="4" w:space="0" w:color="auto"/>
            </w:tcBorders>
            <w:shd w:val="clear" w:color="auto" w:fill="auto"/>
            <w:tcMar>
              <w:top w:w="110" w:type="dxa"/>
            </w:tcMar>
          </w:tcPr>
          <w:p w:rsidR="00221F0B" w:rsidRPr="00526311" w:rsidRDefault="00221F0B" w:rsidP="00DC1333">
            <w:pPr>
              <w:ind w:left="-109"/>
              <w:jc w:val="center"/>
              <w:rPr>
                <w:b/>
                <w:bCs/>
                <w:color w:val="00B050"/>
                <w:sz w:val="16"/>
                <w:szCs w:val="16"/>
              </w:rPr>
            </w:pPr>
            <w:r>
              <w:rPr>
                <w:b/>
                <w:color w:val="00B050"/>
                <w:sz w:val="16"/>
                <w:szCs w:val="16"/>
              </w:rPr>
              <w:t>Plenamente logrado</w:t>
            </w:r>
          </w:p>
        </w:tc>
      </w:tr>
    </w:tbl>
    <w:p w:rsidR="00221F0B" w:rsidRDefault="00221F0B" w:rsidP="00DC1333">
      <w:pPr>
        <w:rPr>
          <w:color w:val="000000"/>
          <w:sz w:val="20"/>
        </w:rPr>
      </w:pPr>
    </w:p>
    <w:p w:rsidR="00221F0B" w:rsidRPr="00526311" w:rsidRDefault="00221F0B" w:rsidP="00DC1333">
      <w:pPr>
        <w:rPr>
          <w:color w:val="000000"/>
          <w:sz w:val="20"/>
        </w:rPr>
      </w:pPr>
    </w:p>
    <w:p w:rsidR="00221F0B" w:rsidRPr="000C6C48" w:rsidRDefault="008F7CBE" w:rsidP="00DC1333">
      <w:pPr>
        <w:rPr>
          <w:color w:val="000000"/>
          <w:szCs w:val="22"/>
        </w:rPr>
      </w:pPr>
      <w:r w:rsidRPr="008F7CBE">
        <w:rPr>
          <w:color w:val="000000"/>
          <w:sz w:val="20"/>
          <w:szCs w:val="22"/>
        </w:rPr>
        <w:t>INFORMACIÓN SOBRE LOS RIESGOS PLANTEADOS EN EL BIENIO</w:t>
      </w:r>
    </w:p>
    <w:p w:rsidR="00221F0B" w:rsidRDefault="00221F0B" w:rsidP="00DC1333">
      <w:pPr>
        <w:keepNext/>
        <w:keepLines/>
      </w:pPr>
    </w:p>
    <w:tbl>
      <w:tblPr>
        <w:tblW w:w="10065" w:type="dxa"/>
        <w:tblInd w:w="-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2"/>
        <w:gridCol w:w="2370"/>
        <w:gridCol w:w="2610"/>
        <w:gridCol w:w="2693"/>
      </w:tblGrid>
      <w:tr w:rsidR="00221F0B" w:rsidRPr="00B05276" w:rsidTr="00DC1333">
        <w:trPr>
          <w:trHeight w:val="448"/>
        </w:trPr>
        <w:tc>
          <w:tcPr>
            <w:tcW w:w="2392"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25637A" w:rsidRDefault="00221F0B" w:rsidP="00DC1333">
            <w:pPr>
              <w:autoSpaceDE w:val="0"/>
              <w:autoSpaceDN w:val="0"/>
              <w:adjustRightInd w:val="0"/>
              <w:ind w:right="-59"/>
              <w:jc w:val="center"/>
              <w:rPr>
                <w:b/>
                <w:sz w:val="18"/>
                <w:szCs w:val="18"/>
              </w:rPr>
            </w:pPr>
            <w:r w:rsidRPr="00D10B62">
              <w:rPr>
                <w:b/>
                <w:bCs/>
                <w:iCs/>
                <w:sz w:val="18"/>
                <w:szCs w:val="18"/>
              </w:rPr>
              <w:t>Riesgos en el logro de los resultados del programa</w:t>
            </w:r>
          </w:p>
        </w:tc>
        <w:tc>
          <w:tcPr>
            <w:tcW w:w="2370" w:type="dxa"/>
            <w:tcBorders>
              <w:top w:val="single" w:sz="4" w:space="0" w:color="auto"/>
              <w:bottom w:val="single" w:sz="4" w:space="0" w:color="auto"/>
            </w:tcBorders>
            <w:shd w:val="clear" w:color="auto" w:fill="C6D9F1" w:themeFill="text2" w:themeFillTint="33"/>
            <w:tcMar>
              <w:top w:w="113" w:type="dxa"/>
              <w:bottom w:w="85" w:type="dxa"/>
            </w:tcMar>
            <w:vAlign w:val="center"/>
          </w:tcPr>
          <w:p w:rsidR="00221F0B" w:rsidRPr="00B05276" w:rsidRDefault="00221F0B" w:rsidP="00DC1333">
            <w:pPr>
              <w:autoSpaceDE w:val="0"/>
              <w:autoSpaceDN w:val="0"/>
              <w:adjustRightInd w:val="0"/>
              <w:ind w:right="-59"/>
              <w:jc w:val="center"/>
              <w:rPr>
                <w:b/>
                <w:sz w:val="18"/>
                <w:szCs w:val="18"/>
              </w:rPr>
            </w:pPr>
            <w:r w:rsidRPr="00D10B62">
              <w:rPr>
                <w:b/>
                <w:bCs/>
                <w:iCs/>
                <w:sz w:val="18"/>
                <w:szCs w:val="18"/>
              </w:rPr>
              <w:t>Planes de mitigación ejecutados o en ejecución</w:t>
            </w:r>
            <w:r w:rsidRPr="00B05276">
              <w:rPr>
                <w:b/>
                <w:sz w:val="18"/>
                <w:szCs w:val="18"/>
              </w:rPr>
              <w:t xml:space="preserve"> </w:t>
            </w:r>
          </w:p>
        </w:tc>
        <w:tc>
          <w:tcPr>
            <w:tcW w:w="2610" w:type="dxa"/>
            <w:tcBorders>
              <w:top w:val="single" w:sz="4" w:space="0" w:color="auto"/>
              <w:bottom w:val="single" w:sz="4" w:space="0" w:color="auto"/>
            </w:tcBorders>
            <w:shd w:val="clear" w:color="auto" w:fill="C6D9F1" w:themeFill="text2" w:themeFillTint="33"/>
          </w:tcPr>
          <w:p w:rsidR="00221F0B" w:rsidRPr="00B05276" w:rsidRDefault="00221F0B" w:rsidP="00DC1333">
            <w:pPr>
              <w:jc w:val="center"/>
              <w:rPr>
                <w:b/>
                <w:bCs/>
                <w:sz w:val="18"/>
                <w:szCs w:val="18"/>
              </w:rPr>
            </w:pPr>
            <w:r w:rsidRPr="00D10B62">
              <w:rPr>
                <w:b/>
                <w:bCs/>
                <w:iCs/>
                <w:sz w:val="18"/>
                <w:szCs w:val="18"/>
              </w:rPr>
              <w:t>Evolución de los riesgos y estrategias de mitigación durante el bienio</w:t>
            </w:r>
          </w:p>
        </w:tc>
        <w:tc>
          <w:tcPr>
            <w:tcW w:w="2693" w:type="dxa"/>
            <w:tcBorders>
              <w:top w:val="single" w:sz="4" w:space="0" w:color="auto"/>
              <w:bottom w:val="single" w:sz="4" w:space="0" w:color="auto"/>
            </w:tcBorders>
            <w:shd w:val="clear" w:color="auto" w:fill="C6D9F1" w:themeFill="text2" w:themeFillTint="33"/>
          </w:tcPr>
          <w:p w:rsidR="00221F0B" w:rsidRPr="00B05276" w:rsidRDefault="00221F0B" w:rsidP="00DC1333">
            <w:pPr>
              <w:jc w:val="center"/>
              <w:rPr>
                <w:b/>
                <w:bCs/>
                <w:sz w:val="18"/>
                <w:szCs w:val="18"/>
              </w:rPr>
            </w:pPr>
            <w:r w:rsidRPr="004520ED">
              <w:rPr>
                <w:b/>
                <w:bCs/>
                <w:sz w:val="18"/>
                <w:szCs w:val="18"/>
              </w:rPr>
              <w:t>Incidencia en el rendimiento del programa</w:t>
            </w:r>
          </w:p>
        </w:tc>
      </w:tr>
      <w:tr w:rsidR="00221F0B" w:rsidRPr="0004578F" w:rsidTr="00DC1333">
        <w:trPr>
          <w:trHeight w:val="957"/>
        </w:trPr>
        <w:tc>
          <w:tcPr>
            <w:tcW w:w="2392" w:type="dxa"/>
            <w:tcBorders>
              <w:top w:val="single" w:sz="4" w:space="0" w:color="auto"/>
            </w:tcBorders>
            <w:shd w:val="clear" w:color="auto" w:fill="auto"/>
            <w:tcMar>
              <w:top w:w="113" w:type="dxa"/>
              <w:bottom w:w="85" w:type="dxa"/>
            </w:tcMar>
          </w:tcPr>
          <w:p w:rsidR="00221F0B" w:rsidRPr="00223A23" w:rsidRDefault="00221F0B" w:rsidP="00DC1333">
            <w:pPr>
              <w:autoSpaceDE w:val="0"/>
              <w:autoSpaceDN w:val="0"/>
              <w:adjustRightInd w:val="0"/>
              <w:ind w:right="-59"/>
              <w:rPr>
                <w:sz w:val="16"/>
                <w:szCs w:val="16"/>
              </w:rPr>
            </w:pPr>
            <w:r w:rsidRPr="00223A23">
              <w:rPr>
                <w:sz w:val="16"/>
                <w:szCs w:val="16"/>
              </w:rPr>
              <w:t>Importantes fallos arquitectónicos o de construcción descubiertos durante el período de construcción restante, o posteriormente, impiden o retrasan el uso de la nueva sala de conferencias.</w:t>
            </w:r>
          </w:p>
        </w:tc>
        <w:tc>
          <w:tcPr>
            <w:tcW w:w="2370" w:type="dxa"/>
            <w:tcBorders>
              <w:top w:val="single" w:sz="4" w:space="0" w:color="auto"/>
            </w:tcBorders>
            <w:shd w:val="clear" w:color="auto" w:fill="auto"/>
            <w:tcMar>
              <w:top w:w="113" w:type="dxa"/>
              <w:bottom w:w="85" w:type="dxa"/>
            </w:tcMar>
          </w:tcPr>
          <w:p w:rsidR="00221F0B" w:rsidRPr="00223A23" w:rsidRDefault="00221F0B" w:rsidP="00DC1333">
            <w:pPr>
              <w:autoSpaceDE w:val="0"/>
              <w:autoSpaceDN w:val="0"/>
              <w:adjustRightInd w:val="0"/>
              <w:ind w:right="-59"/>
              <w:rPr>
                <w:sz w:val="16"/>
                <w:szCs w:val="16"/>
              </w:rPr>
            </w:pPr>
            <w:r w:rsidRPr="00223A23">
              <w:rPr>
                <w:sz w:val="16"/>
                <w:szCs w:val="16"/>
              </w:rPr>
              <w:t xml:space="preserve">Se han seleccionado arquitectos </w:t>
            </w:r>
            <w:r>
              <w:rPr>
                <w:sz w:val="16"/>
                <w:szCs w:val="16"/>
              </w:rPr>
              <w:t>y contratistas de alta calidad.  El consorcio</w:t>
            </w:r>
            <w:r w:rsidRPr="00223A23">
              <w:rPr>
                <w:sz w:val="16"/>
                <w:szCs w:val="16"/>
              </w:rPr>
              <w:t xml:space="preserve"> de empresas de la madera</w:t>
            </w:r>
            <w:r>
              <w:rPr>
                <w:sz w:val="16"/>
                <w:szCs w:val="16"/>
              </w:rPr>
              <w:t>,</w:t>
            </w:r>
            <w:r w:rsidRPr="00223A23">
              <w:rPr>
                <w:sz w:val="16"/>
                <w:szCs w:val="16"/>
              </w:rPr>
              <w:t xml:space="preserve"> que cuenta con sus propios ingenieros</w:t>
            </w:r>
            <w:r>
              <w:rPr>
                <w:sz w:val="16"/>
                <w:szCs w:val="16"/>
              </w:rPr>
              <w:t>,</w:t>
            </w:r>
            <w:r w:rsidRPr="00223A23">
              <w:rPr>
                <w:sz w:val="16"/>
                <w:szCs w:val="16"/>
              </w:rPr>
              <w:t xml:space="preserve"> está compuesto por empresas locales altamente</w:t>
            </w:r>
            <w:r>
              <w:rPr>
                <w:sz w:val="16"/>
                <w:szCs w:val="16"/>
              </w:rPr>
              <w:t xml:space="preserve"> cualificadas y experimentadas.  </w:t>
            </w:r>
            <w:r w:rsidRPr="00223A23">
              <w:rPr>
                <w:sz w:val="16"/>
                <w:szCs w:val="16"/>
              </w:rPr>
              <w:t>El jefe de obra ejerce una estrecha supervisión sobre la ejecución del proyecto a intervalos ajustados.</w:t>
            </w:r>
          </w:p>
        </w:tc>
        <w:tc>
          <w:tcPr>
            <w:tcW w:w="2610" w:type="dxa"/>
            <w:tcBorders>
              <w:top w:val="single" w:sz="4" w:space="0" w:color="auto"/>
            </w:tcBorders>
          </w:tcPr>
          <w:p w:rsidR="00221F0B" w:rsidRPr="0004578F" w:rsidRDefault="00221F0B" w:rsidP="00DC1333">
            <w:pPr>
              <w:autoSpaceDE w:val="0"/>
              <w:autoSpaceDN w:val="0"/>
              <w:adjustRightInd w:val="0"/>
              <w:ind w:right="-59"/>
              <w:rPr>
                <w:sz w:val="16"/>
                <w:szCs w:val="16"/>
              </w:rPr>
            </w:pPr>
            <w:r w:rsidRPr="0004578F">
              <w:rPr>
                <w:sz w:val="16"/>
                <w:szCs w:val="16"/>
              </w:rPr>
              <w:t xml:space="preserve">El riesgo </w:t>
            </w:r>
            <w:r>
              <w:rPr>
                <w:sz w:val="16"/>
                <w:szCs w:val="16"/>
              </w:rPr>
              <w:t>cesó</w:t>
            </w:r>
            <w:r w:rsidRPr="0004578F">
              <w:rPr>
                <w:sz w:val="16"/>
                <w:szCs w:val="16"/>
              </w:rPr>
              <w:t xml:space="preserve"> al final del bienio, ya que la nueva sala de conferencias de la OMPI comenzó a utilizarse plenamente a partir de septiembre de 2014 para reuniones de la OMPI, incluidas las Asambleas de 2014 y 2015, y muchas otras reunion</w:t>
            </w:r>
            <w:r>
              <w:rPr>
                <w:sz w:val="16"/>
                <w:szCs w:val="16"/>
              </w:rPr>
              <w:t>e</w:t>
            </w:r>
            <w:r w:rsidRPr="0004578F">
              <w:rPr>
                <w:sz w:val="16"/>
                <w:szCs w:val="16"/>
              </w:rPr>
              <w:t xml:space="preserve">s y actos </w:t>
            </w:r>
            <w:r>
              <w:rPr>
                <w:sz w:val="16"/>
                <w:szCs w:val="16"/>
              </w:rPr>
              <w:t>celebrados a lo largo del resto del bienio.</w:t>
            </w:r>
          </w:p>
        </w:tc>
        <w:tc>
          <w:tcPr>
            <w:tcW w:w="2693" w:type="dxa"/>
            <w:tcBorders>
              <w:top w:val="single" w:sz="4" w:space="0" w:color="auto"/>
            </w:tcBorders>
          </w:tcPr>
          <w:p w:rsidR="00221F0B" w:rsidRPr="0004578F" w:rsidRDefault="00221F0B" w:rsidP="00DC1333">
            <w:pPr>
              <w:autoSpaceDE w:val="0"/>
              <w:autoSpaceDN w:val="0"/>
              <w:adjustRightInd w:val="0"/>
              <w:ind w:right="-59"/>
              <w:rPr>
                <w:sz w:val="16"/>
                <w:szCs w:val="16"/>
              </w:rPr>
            </w:pPr>
            <w:r w:rsidRPr="0004578F">
              <w:rPr>
                <w:sz w:val="16"/>
                <w:szCs w:val="16"/>
              </w:rPr>
              <w:t>Este riesgo y su evolución no incidieron sustancialmente en</w:t>
            </w:r>
            <w:r>
              <w:rPr>
                <w:sz w:val="16"/>
                <w:szCs w:val="16"/>
              </w:rPr>
              <w:t xml:space="preserve"> el rendimiento del programa en </w:t>
            </w:r>
            <w:r w:rsidRPr="0004578F">
              <w:rPr>
                <w:sz w:val="16"/>
                <w:szCs w:val="16"/>
              </w:rPr>
              <w:t>2014/15.</w:t>
            </w:r>
          </w:p>
          <w:p w:rsidR="00221F0B" w:rsidRPr="0004578F" w:rsidRDefault="00221F0B" w:rsidP="00DC1333">
            <w:pPr>
              <w:autoSpaceDE w:val="0"/>
              <w:autoSpaceDN w:val="0"/>
              <w:adjustRightInd w:val="0"/>
              <w:ind w:right="-59"/>
              <w:rPr>
                <w:sz w:val="16"/>
                <w:szCs w:val="16"/>
              </w:rPr>
            </w:pPr>
          </w:p>
        </w:tc>
      </w:tr>
    </w:tbl>
    <w:p w:rsidR="00221F0B" w:rsidRDefault="00221F0B" w:rsidP="00DC1333">
      <w:pPr>
        <w:keepNext/>
        <w:rPr>
          <w:color w:val="000000"/>
          <w:sz w:val="20"/>
        </w:rPr>
      </w:pPr>
    </w:p>
    <w:p w:rsidR="00221F0B" w:rsidRPr="0004578F" w:rsidRDefault="00221F0B" w:rsidP="00DC1333">
      <w:pPr>
        <w:keepNext/>
        <w:rPr>
          <w:color w:val="000000"/>
          <w:sz w:val="20"/>
        </w:rPr>
      </w:pPr>
    </w:p>
    <w:p w:rsidR="00221F0B" w:rsidRPr="00526311" w:rsidRDefault="00403D2C" w:rsidP="00DC1333">
      <w:pPr>
        <w:keepNext/>
        <w:rPr>
          <w:b/>
        </w:rPr>
      </w:pPr>
      <w:r w:rsidRPr="00403D2C">
        <w:rPr>
          <w:sz w:val="20"/>
          <w:szCs w:val="22"/>
        </w:rPr>
        <w:t>UTILIZACIÓN DE LOS RECURSOS</w:t>
      </w:r>
    </w:p>
    <w:p w:rsidR="00221F0B" w:rsidRPr="00526311" w:rsidRDefault="00221F0B" w:rsidP="00DC1333">
      <w:pPr>
        <w:keepNext/>
        <w:rPr>
          <w:sz w:val="20"/>
        </w:rPr>
      </w:pPr>
    </w:p>
    <w:p w:rsidR="00221F0B" w:rsidRPr="00526311" w:rsidRDefault="00221F0B" w:rsidP="00DC1333">
      <w:pPr>
        <w:pStyle w:val="NormalWeb"/>
        <w:keepNext/>
        <w:spacing w:before="0" w:beforeAutospacing="0" w:after="0" w:afterAutospacing="0"/>
        <w:jc w:val="center"/>
        <w:rPr>
          <w:sz w:val="20"/>
          <w:szCs w:val="20"/>
          <w:lang w:val="es-ES"/>
        </w:rPr>
      </w:pPr>
      <w:r w:rsidRPr="00526311">
        <w:rPr>
          <w:sz w:val="20"/>
          <w:szCs w:val="20"/>
          <w:lang w:val="es-ES"/>
        </w:rPr>
        <w:t xml:space="preserve">Presupuesto y gastos reales (por resultado) </w:t>
      </w:r>
    </w:p>
    <w:p w:rsidR="00221F0B" w:rsidRPr="00526311" w:rsidRDefault="00221F0B" w:rsidP="00DC1333">
      <w:pPr>
        <w:pStyle w:val="NormalWeb"/>
        <w:keepNext/>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221F0B" w:rsidRPr="00526311" w:rsidRDefault="00221F0B" w:rsidP="00DC1333">
      <w:pPr>
        <w:pStyle w:val="NormalWeb"/>
        <w:keepNext/>
        <w:spacing w:before="0" w:beforeAutospacing="0" w:after="0" w:afterAutospacing="0"/>
        <w:jc w:val="center"/>
        <w:rPr>
          <w:sz w:val="20"/>
          <w:szCs w:val="20"/>
          <w:lang w:val="es-ES"/>
        </w:rPr>
      </w:pPr>
    </w:p>
    <w:p w:rsidR="00221F0B" w:rsidRPr="00526311" w:rsidRDefault="00221F0B" w:rsidP="00DC1333">
      <w:pPr>
        <w:keepNext/>
        <w:jc w:val="center"/>
      </w:pPr>
      <w:bookmarkStart w:id="212" w:name="Bm29"/>
      <w:bookmarkStart w:id="213" w:name="Punto29"/>
      <w:r>
        <w:rPr>
          <w:noProof/>
          <w:lang w:val="en-US" w:eastAsia="en-US"/>
        </w:rPr>
        <w:drawing>
          <wp:inline distT="0" distB="0" distL="0" distR="0" wp14:anchorId="21E163E3" wp14:editId="5EC1C472">
            <wp:extent cx="5677535" cy="1892300"/>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77535" cy="1892300"/>
                    </a:xfrm>
                    <a:prstGeom prst="rect">
                      <a:avLst/>
                    </a:prstGeom>
                    <a:noFill/>
                    <a:ln>
                      <a:noFill/>
                    </a:ln>
                  </pic:spPr>
                </pic:pic>
              </a:graphicData>
            </a:graphic>
          </wp:inline>
        </w:drawing>
      </w:r>
      <w:bookmarkEnd w:id="212"/>
      <w:bookmarkEnd w:id="213"/>
    </w:p>
    <w:p w:rsidR="00221F0B" w:rsidRDefault="00221F0B" w:rsidP="00DC1333">
      <w:pPr>
        <w:rPr>
          <w:sz w:val="20"/>
        </w:rPr>
      </w:pPr>
    </w:p>
    <w:p w:rsidR="00221F0B" w:rsidRPr="00E71B6D" w:rsidRDefault="00221F0B" w:rsidP="00DC1333">
      <w:pPr>
        <w:rPr>
          <w:sz w:val="20"/>
        </w:rPr>
      </w:pPr>
    </w:p>
    <w:p w:rsidR="00221F0B" w:rsidRPr="00526311" w:rsidRDefault="00221F0B" w:rsidP="00DC1333">
      <w:pPr>
        <w:pStyle w:val="NormalWeb"/>
        <w:spacing w:before="0" w:beforeAutospacing="0" w:after="0" w:afterAutospacing="0"/>
        <w:jc w:val="center"/>
        <w:rPr>
          <w:sz w:val="20"/>
          <w:szCs w:val="20"/>
          <w:lang w:val="es-ES"/>
        </w:rPr>
      </w:pPr>
      <w:r w:rsidRPr="00526311">
        <w:rPr>
          <w:sz w:val="20"/>
          <w:szCs w:val="20"/>
          <w:lang w:val="es-ES"/>
        </w:rPr>
        <w:t xml:space="preserve">Presupuesto y gastos reales (de personal y no relativos a personal) </w:t>
      </w:r>
    </w:p>
    <w:p w:rsidR="00221F0B" w:rsidRPr="00526311" w:rsidRDefault="00221F0B" w:rsidP="00DC1333">
      <w:pPr>
        <w:pStyle w:val="NormalWeb"/>
        <w:spacing w:before="0" w:beforeAutospacing="0" w:after="0" w:afterAutospacing="0"/>
        <w:jc w:val="center"/>
        <w:rPr>
          <w:i/>
          <w:iCs/>
          <w:sz w:val="20"/>
          <w:szCs w:val="20"/>
          <w:lang w:val="es-ES"/>
        </w:rPr>
      </w:pPr>
      <w:r w:rsidRPr="00526311">
        <w:rPr>
          <w:i/>
          <w:iCs/>
          <w:sz w:val="20"/>
          <w:szCs w:val="20"/>
          <w:lang w:val="es-ES"/>
        </w:rPr>
        <w:t>(</w:t>
      </w:r>
      <w:proofErr w:type="gramStart"/>
      <w:r w:rsidRPr="00526311">
        <w:rPr>
          <w:i/>
          <w:iCs/>
          <w:sz w:val="20"/>
          <w:szCs w:val="20"/>
          <w:lang w:val="es-ES"/>
        </w:rPr>
        <w:t>en</w:t>
      </w:r>
      <w:proofErr w:type="gramEnd"/>
      <w:r w:rsidRPr="00526311">
        <w:rPr>
          <w:i/>
          <w:iCs/>
          <w:sz w:val="20"/>
          <w:szCs w:val="20"/>
          <w:lang w:val="es-ES"/>
        </w:rPr>
        <w:t xml:space="preserve"> miles de francos suizos)</w:t>
      </w:r>
    </w:p>
    <w:p w:rsidR="00221F0B" w:rsidRPr="00526311" w:rsidRDefault="00221F0B" w:rsidP="00DC1333">
      <w:pPr>
        <w:pStyle w:val="NormalWeb"/>
        <w:spacing w:before="0" w:beforeAutospacing="0" w:after="0" w:afterAutospacing="0"/>
        <w:jc w:val="center"/>
        <w:rPr>
          <w:lang w:val="es-ES"/>
        </w:rPr>
      </w:pPr>
    </w:p>
    <w:p w:rsidR="00221F0B" w:rsidRPr="00526311" w:rsidRDefault="00221F0B" w:rsidP="00DC1333">
      <w:pPr>
        <w:jc w:val="center"/>
      </w:pPr>
      <w:bookmarkStart w:id="214" w:name="Point29"/>
      <w:r>
        <w:rPr>
          <w:noProof/>
          <w:lang w:val="en-US" w:eastAsia="en-US"/>
        </w:rPr>
        <w:drawing>
          <wp:inline distT="0" distB="0" distL="0" distR="0" wp14:anchorId="4A9A201B" wp14:editId="15CE8BB8">
            <wp:extent cx="5940425" cy="1004033"/>
            <wp:effectExtent l="0" t="0" r="3175" b="5715"/>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0425" cy="1004033"/>
                    </a:xfrm>
                    <a:prstGeom prst="rect">
                      <a:avLst/>
                    </a:prstGeom>
                    <a:noFill/>
                    <a:ln>
                      <a:noFill/>
                    </a:ln>
                  </pic:spPr>
                </pic:pic>
              </a:graphicData>
            </a:graphic>
          </wp:inline>
        </w:drawing>
      </w:r>
      <w:bookmarkEnd w:id="214"/>
    </w:p>
    <w:p w:rsidR="00221F0B" w:rsidRPr="00526311" w:rsidRDefault="00221F0B" w:rsidP="00DC1333">
      <w:pPr>
        <w:autoSpaceDE w:val="0"/>
        <w:autoSpaceDN w:val="0"/>
        <w:adjustRightInd w:val="0"/>
        <w:rPr>
          <w:sz w:val="20"/>
        </w:rPr>
      </w:pPr>
    </w:p>
    <w:p w:rsidR="00221F0B" w:rsidRPr="00526311" w:rsidRDefault="00221F0B" w:rsidP="00DC1333">
      <w:pPr>
        <w:autoSpaceDE w:val="0"/>
        <w:autoSpaceDN w:val="0"/>
        <w:adjustRightInd w:val="0"/>
        <w:rPr>
          <w:sz w:val="20"/>
        </w:rPr>
      </w:pPr>
    </w:p>
    <w:p w:rsidR="00221F0B" w:rsidRPr="00526311" w:rsidRDefault="00403D2C" w:rsidP="005B5C20">
      <w:pPr>
        <w:tabs>
          <w:tab w:val="left" w:pos="709"/>
        </w:tabs>
        <w:rPr>
          <w:sz w:val="20"/>
          <w:u w:val="single"/>
        </w:rPr>
      </w:pPr>
      <w:r w:rsidRPr="00403D2C">
        <w:rPr>
          <w:sz w:val="20"/>
        </w:rPr>
        <w:t>A.</w:t>
      </w:r>
      <w:r w:rsidRPr="00403D2C">
        <w:rPr>
          <w:sz w:val="20"/>
        </w:rPr>
        <w:tab/>
      </w:r>
      <w:r w:rsidRPr="00403D2C">
        <w:rPr>
          <w:sz w:val="20"/>
          <w:u w:val="single"/>
        </w:rPr>
        <w:t>Presupuesto final de 2014/15 tras las transferencias</w:t>
      </w:r>
    </w:p>
    <w:p w:rsidR="00221F0B" w:rsidRPr="00526311" w:rsidRDefault="00221F0B" w:rsidP="005B5C20">
      <w:pPr>
        <w:tabs>
          <w:tab w:val="left" w:pos="709"/>
        </w:tabs>
        <w:rPr>
          <w:sz w:val="20"/>
          <w:u w:val="single"/>
        </w:rPr>
      </w:pPr>
    </w:p>
    <w:p w:rsidR="00221F0B" w:rsidRPr="00526311" w:rsidRDefault="00221F0B" w:rsidP="00EB45DE">
      <w:pPr>
        <w:pStyle w:val="ListParagraph"/>
        <w:numPr>
          <w:ilvl w:val="0"/>
          <w:numId w:val="120"/>
        </w:numPr>
        <w:tabs>
          <w:tab w:val="left" w:pos="709"/>
        </w:tabs>
        <w:ind w:left="0" w:firstLine="0"/>
        <w:jc w:val="both"/>
        <w:rPr>
          <w:rFonts w:cs="Arial"/>
          <w:lang w:val="es-ES"/>
        </w:rPr>
      </w:pPr>
      <w:r>
        <w:rPr>
          <w:rFonts w:cs="Arial"/>
          <w:lang w:val="es-ES"/>
        </w:rPr>
        <w:t>El aumento general</w:t>
      </w:r>
      <w:r w:rsidRPr="00526311">
        <w:rPr>
          <w:rFonts w:cs="Arial"/>
          <w:lang w:val="es-ES"/>
        </w:rPr>
        <w:t xml:space="preserve"> </w:t>
      </w:r>
      <w:r>
        <w:rPr>
          <w:rFonts w:cs="Arial"/>
          <w:lang w:val="es-ES"/>
        </w:rPr>
        <w:t>d</w:t>
      </w:r>
      <w:r w:rsidRPr="00526311">
        <w:rPr>
          <w:rFonts w:cs="Arial"/>
          <w:lang w:val="es-ES"/>
        </w:rPr>
        <w:t xml:space="preserve">el presupuesto </w:t>
      </w:r>
      <w:r>
        <w:rPr>
          <w:rFonts w:cs="Arial"/>
          <w:lang w:val="es-ES"/>
        </w:rPr>
        <w:t xml:space="preserve">final </w:t>
      </w:r>
      <w:r w:rsidRPr="00526311">
        <w:rPr>
          <w:rFonts w:cs="Arial"/>
          <w:lang w:val="es-ES"/>
        </w:rPr>
        <w:t>de 2014/15</w:t>
      </w:r>
      <w:r>
        <w:rPr>
          <w:rFonts w:cs="Arial"/>
          <w:lang w:val="es-ES"/>
        </w:rPr>
        <w:t xml:space="preserve"> tras las transferencias se debió</w:t>
      </w:r>
      <w:r w:rsidRPr="00526311">
        <w:rPr>
          <w:rFonts w:cs="Arial"/>
          <w:lang w:val="es-ES"/>
        </w:rPr>
        <w:t xml:space="preserve"> </w:t>
      </w:r>
      <w:r>
        <w:rPr>
          <w:rFonts w:cs="Arial"/>
          <w:lang w:val="es-ES"/>
        </w:rPr>
        <w:t xml:space="preserve">fundamentalmente </w:t>
      </w:r>
      <w:r w:rsidRPr="00526311">
        <w:rPr>
          <w:rFonts w:cs="Arial"/>
          <w:lang w:val="es-ES"/>
        </w:rPr>
        <w:t>a l</w:t>
      </w:r>
      <w:r>
        <w:rPr>
          <w:rFonts w:cs="Arial"/>
          <w:lang w:val="es-ES"/>
        </w:rPr>
        <w:t>os recursos adicionales proporcionados para cubrir los gastos derivados de la finalización y el cierre del proyecto de construcción de la nueva sala de conferencias, tal como se aprobó en las Asambleas de la OMPI en octubre de 2015.  Esto se refleja en el resultado previsto IX.1.</w:t>
      </w:r>
    </w:p>
    <w:p w:rsidR="00221F0B" w:rsidRPr="00526311" w:rsidRDefault="00221F0B" w:rsidP="005B5C20">
      <w:pPr>
        <w:tabs>
          <w:tab w:val="left" w:pos="709"/>
        </w:tabs>
        <w:autoSpaceDE w:val="0"/>
        <w:autoSpaceDN w:val="0"/>
        <w:jc w:val="both"/>
        <w:rPr>
          <w:sz w:val="20"/>
          <w:lang w:eastAsia="ko-KR"/>
        </w:rPr>
      </w:pPr>
    </w:p>
    <w:p w:rsidR="00221F0B" w:rsidRPr="00526311" w:rsidRDefault="00403D2C" w:rsidP="005B5C20">
      <w:pPr>
        <w:tabs>
          <w:tab w:val="left" w:pos="709"/>
        </w:tabs>
        <w:jc w:val="both"/>
        <w:rPr>
          <w:sz w:val="20"/>
          <w:u w:val="single"/>
          <w:lang w:eastAsia="ko-KR"/>
        </w:rPr>
      </w:pPr>
      <w:r w:rsidRPr="00403D2C">
        <w:rPr>
          <w:sz w:val="20"/>
          <w:lang w:eastAsia="ko-KR"/>
        </w:rPr>
        <w:t>B.</w:t>
      </w:r>
      <w:r w:rsidRPr="00403D2C">
        <w:rPr>
          <w:sz w:val="20"/>
          <w:lang w:eastAsia="ko-KR"/>
        </w:rPr>
        <w:tab/>
      </w:r>
      <w:r w:rsidRPr="00403D2C">
        <w:rPr>
          <w:sz w:val="20"/>
          <w:u w:val="single"/>
          <w:lang w:eastAsia="ko-KR"/>
        </w:rPr>
        <w:t>Utilización del presupuesto en 2014/15</w:t>
      </w:r>
    </w:p>
    <w:p w:rsidR="00221F0B" w:rsidRPr="00A851BE" w:rsidRDefault="00221F0B" w:rsidP="005B5C20">
      <w:pPr>
        <w:tabs>
          <w:tab w:val="left" w:pos="709"/>
        </w:tabs>
        <w:jc w:val="both"/>
        <w:rPr>
          <w:sz w:val="20"/>
          <w:u w:val="single"/>
          <w:lang w:eastAsia="ko-KR"/>
        </w:rPr>
      </w:pPr>
    </w:p>
    <w:p w:rsidR="00221F0B" w:rsidRDefault="00221F0B" w:rsidP="00EB45DE">
      <w:pPr>
        <w:pStyle w:val="ListParagraph"/>
        <w:numPr>
          <w:ilvl w:val="0"/>
          <w:numId w:val="120"/>
        </w:numPr>
        <w:tabs>
          <w:tab w:val="left" w:pos="709"/>
        </w:tabs>
        <w:ind w:left="0" w:firstLine="0"/>
        <w:jc w:val="both"/>
        <w:rPr>
          <w:rFonts w:cs="Arial"/>
          <w:lang w:val="es-ES"/>
        </w:rPr>
      </w:pPr>
      <w:r w:rsidRPr="00595551">
        <w:rPr>
          <w:rFonts w:cs="Arial"/>
          <w:lang w:val="es-ES"/>
        </w:rPr>
        <w:t>La leve infrautilización de los recursos de personal se debe a la diferencia entre la metodología de costo estándar utilizada en el bienio 2014/15 y los gastos de personal reales.</w:t>
      </w:r>
    </w:p>
    <w:p w:rsidR="00221F0B" w:rsidRDefault="00221F0B" w:rsidP="00DC1333">
      <w:pPr>
        <w:pStyle w:val="ListParagraph"/>
        <w:tabs>
          <w:tab w:val="left" w:pos="709"/>
        </w:tabs>
        <w:ind w:left="0"/>
        <w:jc w:val="both"/>
        <w:rPr>
          <w:rFonts w:cs="Arial"/>
          <w:lang w:val="es-ES"/>
        </w:rPr>
      </w:pPr>
    </w:p>
    <w:p w:rsidR="00221F0B" w:rsidRDefault="00221F0B" w:rsidP="00DC1333">
      <w:pPr>
        <w:pStyle w:val="ListParagraph"/>
        <w:tabs>
          <w:tab w:val="left" w:pos="709"/>
        </w:tabs>
        <w:ind w:left="0"/>
        <w:jc w:val="both"/>
        <w:rPr>
          <w:rFonts w:cs="Arial"/>
          <w:lang w:val="es-ES"/>
        </w:rPr>
      </w:pPr>
    </w:p>
    <w:p w:rsidR="00221F0B" w:rsidRPr="00595551" w:rsidRDefault="00221F0B" w:rsidP="00DC1333">
      <w:pPr>
        <w:pStyle w:val="ListParagraph"/>
        <w:tabs>
          <w:tab w:val="left" w:pos="709"/>
        </w:tabs>
        <w:ind w:left="0"/>
        <w:jc w:val="both"/>
        <w:rPr>
          <w:rFonts w:cs="Arial"/>
          <w:lang w:val="es-ES"/>
        </w:rPr>
      </w:pPr>
    </w:p>
    <w:p w:rsidR="00B84891" w:rsidRDefault="00B84891"/>
    <w:p w:rsidR="00C25E4B" w:rsidRDefault="00C25E4B">
      <w:pPr>
        <w:sectPr w:rsidR="00C25E4B" w:rsidSect="00020713">
          <w:headerReference w:type="even" r:id="rId194"/>
          <w:headerReference w:type="default" r:id="rId195"/>
          <w:footerReference w:type="even" r:id="rId196"/>
          <w:footerReference w:type="default" r:id="rId197"/>
          <w:headerReference w:type="first" r:id="rId198"/>
          <w:footerReference w:type="first" r:id="rId199"/>
          <w:pgSz w:w="11907" w:h="16840" w:code="9"/>
          <w:pgMar w:top="567" w:right="1134" w:bottom="1361" w:left="1418" w:header="510" w:footer="1021" w:gutter="0"/>
          <w:pgNumType w:start="1"/>
          <w:cols w:space="720"/>
          <w:titlePg/>
          <w:docGrid w:linePitch="299"/>
        </w:sectPr>
      </w:pPr>
    </w:p>
    <w:p w:rsidR="00217DBF" w:rsidRPr="008842D4" w:rsidRDefault="00217DBF" w:rsidP="00217DBF">
      <w:pPr>
        <w:pStyle w:val="Heading1"/>
        <w:numPr>
          <w:ilvl w:val="0"/>
          <w:numId w:val="0"/>
        </w:numPr>
        <w:rPr>
          <w:rFonts w:eastAsia="Times New Roman"/>
          <w:caps w:val="0"/>
        </w:rPr>
      </w:pPr>
      <w:bookmarkStart w:id="215" w:name="_Toc455159112"/>
      <w:r w:rsidRPr="008842D4">
        <w:rPr>
          <w:rFonts w:eastAsia="Times New Roman"/>
          <w:caps w:val="0"/>
        </w:rPr>
        <w:lastRenderedPageBreak/>
        <w:t>V</w:t>
      </w:r>
      <w:r>
        <w:rPr>
          <w:rFonts w:eastAsia="Times New Roman"/>
          <w:caps w:val="0"/>
        </w:rPr>
        <w:t>II</w:t>
      </w:r>
      <w:r w:rsidRPr="008842D4">
        <w:rPr>
          <w:rFonts w:eastAsia="Times New Roman"/>
          <w:caps w:val="0"/>
        </w:rPr>
        <w:t>.</w:t>
      </w:r>
      <w:r w:rsidRPr="008842D4">
        <w:rPr>
          <w:rFonts w:eastAsia="Times New Roman"/>
          <w:caps w:val="0"/>
        </w:rPr>
        <w:tab/>
        <w:t>APÉNDICES</w:t>
      </w:r>
      <w:bookmarkEnd w:id="215"/>
    </w:p>
    <w:p w:rsidR="00217DBF" w:rsidRPr="008842D4" w:rsidRDefault="00217DBF" w:rsidP="00217DBF">
      <w:pPr>
        <w:rPr>
          <w:b/>
          <w:bCs/>
          <w:szCs w:val="28"/>
        </w:rPr>
      </w:pPr>
    </w:p>
    <w:p w:rsidR="00217DBF" w:rsidRPr="008842D4" w:rsidRDefault="00217DBF" w:rsidP="00217DBF">
      <w:pPr>
        <w:rPr>
          <w:b/>
          <w:bCs/>
          <w:szCs w:val="28"/>
        </w:rPr>
      </w:pPr>
    </w:p>
    <w:p w:rsidR="00217DBF" w:rsidRPr="007F7482" w:rsidRDefault="00217DBF" w:rsidP="00217DBF">
      <w:pPr>
        <w:pStyle w:val="Heading2"/>
        <w:tabs>
          <w:tab w:val="left" w:pos="2268"/>
          <w:tab w:val="right" w:pos="9072"/>
        </w:tabs>
        <w:spacing w:before="0" w:after="0"/>
        <w:rPr>
          <w:rFonts w:eastAsia="Times New Roman"/>
          <w:b/>
          <w:caps w:val="0"/>
        </w:rPr>
      </w:pPr>
      <w:bookmarkStart w:id="216" w:name="_Toc455159113"/>
      <w:r w:rsidRPr="007F7482">
        <w:rPr>
          <w:rFonts w:eastAsia="Times New Roman"/>
          <w:b/>
          <w:caps w:val="0"/>
        </w:rPr>
        <w:t>APÉNDICE I</w:t>
      </w:r>
      <w:r w:rsidRPr="007F7482">
        <w:rPr>
          <w:rFonts w:eastAsia="Times New Roman"/>
          <w:b/>
          <w:caps w:val="0"/>
        </w:rPr>
        <w:br/>
      </w:r>
      <w:r w:rsidRPr="007F7482">
        <w:rPr>
          <w:rFonts w:eastAsia="Times New Roman"/>
          <w:b/>
          <w:caps w:val="0"/>
        </w:rPr>
        <w:br/>
        <w:t>DESGLOSE DE LA EVALUACIÓN DEL RENDIMIENTO DE CADA PROGRAMA</w:t>
      </w:r>
      <w:bookmarkEnd w:id="216"/>
    </w:p>
    <w:p w:rsidR="00217DBF" w:rsidRDefault="00217DBF" w:rsidP="00217DBF"/>
    <w:p w:rsidR="00217DBF" w:rsidRPr="006C3655" w:rsidRDefault="00217DBF" w:rsidP="00217DBF"/>
    <w:p w:rsidR="00217DBF" w:rsidRPr="00B045E5" w:rsidRDefault="00217DBF" w:rsidP="00217DBF">
      <w:pPr>
        <w:jc w:val="both"/>
        <w:rPr>
          <w:sz w:val="20"/>
        </w:rPr>
      </w:pPr>
      <w:r w:rsidRPr="00B045E5">
        <w:rPr>
          <w:sz w:val="20"/>
        </w:rPr>
        <w:t>La evaluación del rendimiento de cada uno de los programas que se incluyen en el documento PPR de 2014/15 comprende las siguientes secciones:</w:t>
      </w:r>
    </w:p>
    <w:p w:rsidR="00217DBF" w:rsidRPr="00B045E5" w:rsidRDefault="00217DBF" w:rsidP="00217DBF">
      <w:pPr>
        <w:jc w:val="both"/>
        <w:rPr>
          <w:i/>
          <w:iCs/>
          <w:sz w:val="20"/>
        </w:rPr>
      </w:pPr>
    </w:p>
    <w:p w:rsidR="00217DBF" w:rsidRPr="00B045E5" w:rsidRDefault="00217DBF" w:rsidP="00217DBF">
      <w:pPr>
        <w:jc w:val="both"/>
        <w:rPr>
          <w:bCs/>
          <w:i/>
          <w:iCs/>
          <w:sz w:val="20"/>
        </w:rPr>
      </w:pPr>
      <w:r w:rsidRPr="00B045E5">
        <w:rPr>
          <w:bCs/>
          <w:i/>
          <w:iCs/>
          <w:sz w:val="20"/>
        </w:rPr>
        <w:t>Sección I</w:t>
      </w:r>
      <w:proofErr w:type="gramStart"/>
      <w:r w:rsidRPr="00B045E5">
        <w:rPr>
          <w:bCs/>
          <w:i/>
          <w:iCs/>
          <w:sz w:val="20"/>
        </w:rPr>
        <w:t>:  Logros</w:t>
      </w:r>
      <w:proofErr w:type="gramEnd"/>
      <w:r w:rsidRPr="00B045E5">
        <w:rPr>
          <w:bCs/>
          <w:i/>
          <w:iCs/>
          <w:sz w:val="20"/>
        </w:rPr>
        <w:t xml:space="preserve"> alcanzados en el bienio 2014/15</w:t>
      </w:r>
    </w:p>
    <w:p w:rsidR="00217DBF" w:rsidRPr="00B045E5" w:rsidRDefault="00217DBF" w:rsidP="00217DBF">
      <w:pPr>
        <w:jc w:val="both"/>
        <w:rPr>
          <w:sz w:val="20"/>
        </w:rPr>
      </w:pPr>
    </w:p>
    <w:p w:rsidR="00217DBF" w:rsidRPr="00B045E5" w:rsidRDefault="00217DBF" w:rsidP="00217DBF">
      <w:pPr>
        <w:jc w:val="both"/>
        <w:rPr>
          <w:sz w:val="20"/>
        </w:rPr>
      </w:pPr>
      <w:r w:rsidRPr="00B045E5">
        <w:rPr>
          <w:sz w:val="20"/>
        </w:rPr>
        <w:t xml:space="preserve">En esta sección se ofrece un resumen analítico de los resultados alcanzados en el bienio 2014/15 por cada programa, y de las dificultades experimentadas durante el período examinado.  Al igual que en 2014, la evaluación de la aplicación de la Agenda para el Desarrollo (A.D.) ha sido integrada en el detalle de los </w:t>
      </w:r>
      <w:r w:rsidRPr="00B045E5">
        <w:rPr>
          <w:i/>
          <w:sz w:val="20"/>
        </w:rPr>
        <w:t>Logros alcanzados en el bienio 2014/15</w:t>
      </w:r>
      <w:r w:rsidRPr="00B045E5">
        <w:rPr>
          <w:sz w:val="20"/>
        </w:rPr>
        <w:t>.  En consonancia con el proceso presupuestario aplicado a los proyectos propuestos por el Comité de Desarrollo y Propiedad Intelectual (CDIP) para dar aplicación a las recomendaciones de la A.D., aprobado por las Asambleas de la OMPI en 2010,</w:t>
      </w:r>
      <w:r w:rsidRPr="00B045E5">
        <w:rPr>
          <w:rStyle w:val="FootnoteReference"/>
          <w:sz w:val="20"/>
        </w:rPr>
        <w:footnoteReference w:id="150"/>
      </w:r>
      <w:r w:rsidRPr="00B045E5">
        <w:rPr>
          <w:sz w:val="20"/>
        </w:rPr>
        <w:t xml:space="preserve"> en la información relativa a la A.D. se siguen incluyendo datos detallados tanto sobre la ejecución de los proyectos de la A.D. como sobre sus recomendaciones.</w:t>
      </w:r>
    </w:p>
    <w:p w:rsidR="00217DBF" w:rsidRPr="00B045E5" w:rsidRDefault="00217DBF" w:rsidP="00217DBF">
      <w:pPr>
        <w:jc w:val="both"/>
        <w:rPr>
          <w:sz w:val="20"/>
        </w:rPr>
      </w:pPr>
    </w:p>
    <w:p w:rsidR="00217DBF" w:rsidRPr="00B045E5" w:rsidRDefault="00217DBF" w:rsidP="00217DBF">
      <w:pPr>
        <w:autoSpaceDE w:val="0"/>
        <w:autoSpaceDN w:val="0"/>
        <w:adjustRightInd w:val="0"/>
        <w:jc w:val="both"/>
        <w:rPr>
          <w:i/>
          <w:iCs/>
          <w:sz w:val="20"/>
        </w:rPr>
      </w:pPr>
      <w:r w:rsidRPr="00B045E5">
        <w:rPr>
          <w:i/>
          <w:iCs/>
          <w:sz w:val="20"/>
        </w:rPr>
        <w:t>Sección II</w:t>
      </w:r>
      <w:proofErr w:type="gramStart"/>
      <w:r w:rsidRPr="00B045E5">
        <w:rPr>
          <w:i/>
          <w:iCs/>
          <w:sz w:val="20"/>
        </w:rPr>
        <w:t>:  Datos</w:t>
      </w:r>
      <w:proofErr w:type="gramEnd"/>
      <w:r w:rsidRPr="00B045E5">
        <w:rPr>
          <w:i/>
          <w:iCs/>
          <w:sz w:val="20"/>
        </w:rPr>
        <w:t xml:space="preserve"> sobre el rendimiento</w:t>
      </w:r>
    </w:p>
    <w:p w:rsidR="00217DBF" w:rsidRPr="00B045E5" w:rsidRDefault="00217DBF" w:rsidP="00217DBF">
      <w:pPr>
        <w:jc w:val="both"/>
        <w:rPr>
          <w:sz w:val="20"/>
        </w:rPr>
      </w:pPr>
    </w:p>
    <w:p w:rsidR="00217DBF" w:rsidRPr="00B045E5" w:rsidRDefault="00217DBF" w:rsidP="00217DBF">
      <w:pPr>
        <w:jc w:val="both"/>
        <w:rPr>
          <w:sz w:val="20"/>
        </w:rPr>
      </w:pPr>
      <w:r w:rsidRPr="00B045E5">
        <w:rPr>
          <w:sz w:val="20"/>
        </w:rPr>
        <w:t xml:space="preserve">En el cuadro que se incluye en esta sección se resumen los resultados previstos a cuya consecución contribuye el programa así como los indicadores de rendimiento, que miden dicha contribución, aprobados por los Estados miembros en el presupuesto por programas del bienio 2014/15.  Se han actualizado, según corresponda, las referencias con el fin de reflejar la situación existente a fines de 2013.  Los cuadros de los datos sobre el rendimiento siguen reflejando las referencias originales (de acuerdo con el presupuesto por programas de 2014/15), las referencias actualizadas (con datos de fines de 2013), y los objetivos (de acuerdo con el presupuesto por programas del bienio 2014/15) a efectos comparativos en relación con los datos y evaluaciones de rendimiento.  En respuesta a la solicitud formulada por los Estados miembros, en 2014/15 se volvieron a ampliar los cuadros.  En el marco de los programas, se pudieron definir objetivos que no habían sido definidos en el presupuesto por programas de 2014/15, es decir, objetivos "por determinar", durante el ejercicio de actualización de las referencias (iniciado el 1 de julio de 2014), utilizando como base los datos de fines de 2013.  Los objetivos no definidos durante ese proceso siguen sin definirse, por consiguiente, los datos sobre el rendimiento figuran como "no mensurables".  En la cuarta columna se presentan los datos sobre el rendimiento en 2014/15 correspondientes a cada indicador.  </w:t>
      </w:r>
      <w:r w:rsidR="00091D73" w:rsidRPr="00091D73">
        <w:rPr>
          <w:sz w:val="20"/>
        </w:rPr>
        <w:t>Por regla general, cuando los datos relativos al rendimiento se midan en variación porcentual (aumento o disminución), y a menos que se indique lo contrario, dicha variación porcentual resultará de una comparación con el año precedente, es decir, que una variación en 2014 resulta de la comparación con 2013, y una variación en 2015 resulta de la comparación con 2014</w:t>
      </w:r>
      <w:r w:rsidRPr="00B045E5">
        <w:rPr>
          <w:sz w:val="20"/>
        </w:rPr>
        <w:t>.  En la quinta columna se evalúa el rendimiento mediante la "clave de colores".</w:t>
      </w:r>
    </w:p>
    <w:p w:rsidR="00217DBF" w:rsidRPr="00B045E5" w:rsidRDefault="00217DBF" w:rsidP="00217DBF">
      <w:pPr>
        <w:jc w:val="both"/>
        <w:rPr>
          <w:iCs/>
          <w:sz w:val="20"/>
        </w:rPr>
      </w:pPr>
    </w:p>
    <w:p w:rsidR="00217DBF" w:rsidRPr="00B045E5" w:rsidRDefault="00217DBF" w:rsidP="00217DBF">
      <w:pPr>
        <w:jc w:val="both"/>
        <w:rPr>
          <w:i/>
          <w:iCs/>
          <w:sz w:val="20"/>
        </w:rPr>
      </w:pPr>
      <w:r w:rsidRPr="00B045E5">
        <w:rPr>
          <w:i/>
          <w:iCs/>
          <w:sz w:val="20"/>
        </w:rPr>
        <w:t>Sección III</w:t>
      </w:r>
      <w:proofErr w:type="gramStart"/>
      <w:r w:rsidRPr="00B045E5">
        <w:rPr>
          <w:i/>
          <w:iCs/>
          <w:sz w:val="20"/>
        </w:rPr>
        <w:t>:  Información</w:t>
      </w:r>
      <w:proofErr w:type="gramEnd"/>
      <w:r w:rsidRPr="00B045E5">
        <w:rPr>
          <w:i/>
          <w:iCs/>
          <w:sz w:val="20"/>
        </w:rPr>
        <w:t xml:space="preserve"> sobre los riesgos planteados en el bienio</w:t>
      </w:r>
    </w:p>
    <w:p w:rsidR="00217DBF" w:rsidRPr="00B045E5" w:rsidRDefault="00217DBF" w:rsidP="00217DBF">
      <w:pPr>
        <w:jc w:val="both"/>
        <w:rPr>
          <w:iCs/>
          <w:sz w:val="20"/>
        </w:rPr>
      </w:pPr>
    </w:p>
    <w:p w:rsidR="00217DBF" w:rsidRPr="00B045E5" w:rsidRDefault="00217DBF" w:rsidP="00217DBF">
      <w:pPr>
        <w:jc w:val="both"/>
        <w:rPr>
          <w:iCs/>
          <w:sz w:val="20"/>
        </w:rPr>
      </w:pPr>
      <w:r w:rsidRPr="00B045E5">
        <w:rPr>
          <w:sz w:val="20"/>
        </w:rPr>
        <w:t xml:space="preserve">En el marco del empeño de la OMPI por reforzar los sistemas de gestión de riesgos, el documento PPR de 2014/15 se ha perfeccionado para incluir, por primera vez, una sección dedicada a la </w:t>
      </w:r>
      <w:r w:rsidRPr="00B045E5">
        <w:rPr>
          <w:i/>
          <w:sz w:val="20"/>
        </w:rPr>
        <w:t>Presentación de informes en materia de riesgos durante el bienio</w:t>
      </w:r>
      <w:r w:rsidRPr="00B045E5">
        <w:rPr>
          <w:sz w:val="20"/>
        </w:rPr>
        <w:t xml:space="preserve">.  El cuadro presenta cuatro columnas.  En las dos primeras - </w:t>
      </w:r>
      <w:r w:rsidRPr="00B045E5">
        <w:rPr>
          <w:i/>
          <w:sz w:val="20"/>
        </w:rPr>
        <w:t>Riesgos en el logro de los resultados del programa</w:t>
      </w:r>
      <w:r w:rsidRPr="00B045E5">
        <w:rPr>
          <w:sz w:val="20"/>
        </w:rPr>
        <w:t xml:space="preserve"> y </w:t>
      </w:r>
      <w:r w:rsidRPr="00B045E5">
        <w:rPr>
          <w:i/>
          <w:sz w:val="20"/>
        </w:rPr>
        <w:t>Planes de mitigación ejecutados o en ejecución</w:t>
      </w:r>
      <w:r w:rsidRPr="00B045E5">
        <w:rPr>
          <w:sz w:val="20"/>
        </w:rPr>
        <w:t xml:space="preserve"> - se mencionan los riesgos y las estrategias para mitigarlos, respectivamente, tal como fueron aprobadas en el presupuesto por programas de 2014/15.  En la tercera columna - </w:t>
      </w:r>
      <w:r w:rsidRPr="00B045E5">
        <w:rPr>
          <w:i/>
          <w:sz w:val="20"/>
        </w:rPr>
        <w:t>Evolución de los riesgos y estrategias de mitigación durante el bienio</w:t>
      </w:r>
      <w:r w:rsidRPr="00B045E5">
        <w:rPr>
          <w:sz w:val="20"/>
        </w:rPr>
        <w:t xml:space="preserve"> - queda reflejada la evolución que tuvo el riesgo durante el bienio, así como el hecho de que el riesgo se materializara, y la ejecución de las estrategias para mitigarlo que habían sido previstas o las que se añadieron para hacerle frente.  En la cuarta </w:t>
      </w:r>
      <w:r w:rsidRPr="00B045E5">
        <w:rPr>
          <w:sz w:val="20"/>
        </w:rPr>
        <w:lastRenderedPageBreak/>
        <w:t xml:space="preserve">columna - </w:t>
      </w:r>
      <w:r w:rsidRPr="00B045E5">
        <w:rPr>
          <w:i/>
          <w:sz w:val="20"/>
        </w:rPr>
        <w:t>Incidencia en el rendimiento del programa</w:t>
      </w:r>
      <w:r w:rsidRPr="00B045E5">
        <w:rPr>
          <w:sz w:val="20"/>
        </w:rPr>
        <w:t xml:space="preserve"> - se describe la incidencia que tuvo la evolución del riesgo y la estrategia para mitigarlo en el rendimiento del programa durante el bienio.</w:t>
      </w:r>
    </w:p>
    <w:p w:rsidR="00217DBF" w:rsidRPr="00B045E5" w:rsidRDefault="00217DBF" w:rsidP="00217DBF">
      <w:pPr>
        <w:jc w:val="both"/>
        <w:rPr>
          <w:iCs/>
          <w:sz w:val="20"/>
        </w:rPr>
      </w:pPr>
    </w:p>
    <w:p w:rsidR="00217DBF" w:rsidRPr="00B045E5" w:rsidRDefault="00217DBF" w:rsidP="00217DBF">
      <w:pPr>
        <w:jc w:val="both"/>
        <w:rPr>
          <w:i/>
          <w:iCs/>
          <w:sz w:val="20"/>
        </w:rPr>
      </w:pPr>
      <w:r w:rsidRPr="00B045E5">
        <w:rPr>
          <w:i/>
          <w:iCs/>
          <w:sz w:val="20"/>
        </w:rPr>
        <w:t>Sección IV</w:t>
      </w:r>
      <w:proofErr w:type="gramStart"/>
      <w:r w:rsidRPr="00B045E5">
        <w:rPr>
          <w:i/>
          <w:iCs/>
          <w:sz w:val="20"/>
        </w:rPr>
        <w:t>:  Utilización</w:t>
      </w:r>
      <w:proofErr w:type="gramEnd"/>
      <w:r w:rsidRPr="00B045E5">
        <w:rPr>
          <w:i/>
          <w:iCs/>
          <w:sz w:val="20"/>
        </w:rPr>
        <w:t xml:space="preserve"> de los recursos en 2014/15</w:t>
      </w:r>
    </w:p>
    <w:p w:rsidR="00217DBF" w:rsidRPr="00B045E5" w:rsidRDefault="00217DBF" w:rsidP="00217DBF">
      <w:pPr>
        <w:jc w:val="both"/>
        <w:rPr>
          <w:sz w:val="20"/>
        </w:rPr>
      </w:pPr>
    </w:p>
    <w:p w:rsidR="00217DBF" w:rsidRPr="00B045E5" w:rsidRDefault="00217DBF" w:rsidP="00217DBF">
      <w:pPr>
        <w:tabs>
          <w:tab w:val="left" w:pos="851"/>
        </w:tabs>
        <w:jc w:val="both"/>
        <w:rPr>
          <w:sz w:val="20"/>
        </w:rPr>
      </w:pPr>
      <w:r w:rsidRPr="00B045E5">
        <w:rPr>
          <w:sz w:val="20"/>
        </w:rPr>
        <w:t>En la última sección se ofrece información sobre el presupuesto aprobado de 2014/15, el presupuesto final de 2014/15 tras las transferencias, y los gastos reales y la utilización del presupuesto en 2014/15.  La información relativa a esta sección está organizada en dos cuadros:</w:t>
      </w:r>
    </w:p>
    <w:p w:rsidR="00217DBF" w:rsidRPr="00B045E5" w:rsidRDefault="00217DBF" w:rsidP="00217DBF">
      <w:pPr>
        <w:jc w:val="both"/>
        <w:rPr>
          <w:sz w:val="20"/>
        </w:rPr>
      </w:pPr>
    </w:p>
    <w:p w:rsidR="00217DBF" w:rsidRPr="00B045E5" w:rsidRDefault="00217DBF" w:rsidP="00217DBF">
      <w:pPr>
        <w:pStyle w:val="ListParagraph"/>
        <w:ind w:left="0"/>
        <w:jc w:val="both"/>
        <w:rPr>
          <w:rFonts w:cs="Arial"/>
          <w:lang w:val="es-ES" w:eastAsia="ko-KR"/>
        </w:rPr>
      </w:pPr>
      <w:r w:rsidRPr="00B045E5">
        <w:rPr>
          <w:lang w:val="es-ES"/>
        </w:rPr>
        <w:t xml:space="preserve">En el cuadro de </w:t>
      </w:r>
      <w:r w:rsidRPr="00B045E5">
        <w:rPr>
          <w:i/>
          <w:lang w:val="es-ES"/>
        </w:rPr>
        <w:t>presupuesto y gastos reales (por resultado)</w:t>
      </w:r>
      <w:r w:rsidRPr="00B045E5">
        <w:rPr>
          <w:lang w:val="es-ES"/>
        </w:rPr>
        <w:t xml:space="preserve"> se ofrece información sobre el presupuesto aprobado de 2014/15, el presupuesto final de 2014/15 tras las transferencias, y los gastos reales (por resultado) en 2014/15.  En 2014, se llevaron a cabo mejoras en el sistema de gestión del rendimiento institucional con el fin de apoyar el cambio en la Organización hacia una planificación basada en los cargos.  </w:t>
      </w:r>
      <w:r w:rsidRPr="00B045E5">
        <w:rPr>
          <w:rFonts w:cs="Arial"/>
          <w:lang w:val="es-ES" w:eastAsia="ko-KR"/>
        </w:rPr>
        <w:t>Los ajustes efectuados respecto de los resultados de los programas en el presupuesto de 2014/15 tras las transferencias reflejan esa nueva metodología más precisa de asignación de recursos de personal.</w:t>
      </w:r>
    </w:p>
    <w:p w:rsidR="00217DBF" w:rsidRPr="00B045E5" w:rsidRDefault="00217DBF" w:rsidP="00217DBF">
      <w:pPr>
        <w:jc w:val="both"/>
        <w:rPr>
          <w:sz w:val="20"/>
        </w:rPr>
      </w:pPr>
    </w:p>
    <w:p w:rsidR="00217DBF" w:rsidRPr="00B045E5" w:rsidRDefault="00217DBF" w:rsidP="00217DBF">
      <w:pPr>
        <w:autoSpaceDE w:val="0"/>
        <w:autoSpaceDN w:val="0"/>
        <w:adjustRightInd w:val="0"/>
        <w:jc w:val="both"/>
        <w:rPr>
          <w:sz w:val="20"/>
        </w:rPr>
      </w:pPr>
      <w:r w:rsidRPr="00B045E5">
        <w:rPr>
          <w:sz w:val="20"/>
        </w:rPr>
        <w:t xml:space="preserve">En el cuadro de </w:t>
      </w:r>
      <w:r w:rsidRPr="00B045E5">
        <w:rPr>
          <w:i/>
          <w:sz w:val="20"/>
        </w:rPr>
        <w:t xml:space="preserve">presupuesto y gastos reales (de personal y no relativos a personal) </w:t>
      </w:r>
      <w:r w:rsidRPr="00B045E5">
        <w:rPr>
          <w:sz w:val="20"/>
        </w:rPr>
        <w:t>se ofrece información acerca del presupuesto aprobado de 2014/15, el presupuesto final de 2014/15 tras las transferencias y los gastos reales (de personal y no relativos a personal) realizados en 2014/15.  Se incluyen explicaciones de las diferencias entre el presupuesto aprobado y el presupuesto final tras las trasferencias, así como de la utilización del presupuesto, teniendo en cuenta tanto una perspectiva de resultados como una perspectiva del tipo de gastos (de personal y no relativos a personal).</w:t>
      </w:r>
    </w:p>
    <w:p w:rsidR="00217DBF" w:rsidRPr="00B045E5" w:rsidRDefault="00217DBF" w:rsidP="00217DBF">
      <w:pPr>
        <w:autoSpaceDE w:val="0"/>
        <w:autoSpaceDN w:val="0"/>
        <w:adjustRightInd w:val="0"/>
        <w:jc w:val="both"/>
        <w:rPr>
          <w:sz w:val="20"/>
        </w:rPr>
      </w:pPr>
    </w:p>
    <w:p w:rsidR="00217DBF" w:rsidRPr="00B045E5" w:rsidRDefault="00217DBF" w:rsidP="00217DBF">
      <w:pPr>
        <w:autoSpaceDE w:val="0"/>
        <w:autoSpaceDN w:val="0"/>
        <w:adjustRightInd w:val="0"/>
        <w:jc w:val="both"/>
        <w:rPr>
          <w:sz w:val="20"/>
        </w:rPr>
      </w:pPr>
    </w:p>
    <w:p w:rsidR="00217DBF" w:rsidRPr="003E311F" w:rsidRDefault="00217DBF" w:rsidP="006319EF">
      <w:pPr>
        <w:pStyle w:val="Endofdocument-Annex"/>
        <w:rPr>
          <w:sz w:val="20"/>
          <w:lang w:val="es-ES"/>
        </w:rPr>
      </w:pPr>
      <w:r w:rsidRPr="003E311F">
        <w:rPr>
          <w:sz w:val="20"/>
          <w:lang w:val="es-ES"/>
        </w:rPr>
        <w:t>[Sigue el Apéndice II]</w:t>
      </w:r>
    </w:p>
    <w:p w:rsidR="00217DBF" w:rsidRPr="003E311F" w:rsidRDefault="00217DBF" w:rsidP="00217DBF">
      <w:pPr>
        <w:rPr>
          <w:rFonts w:eastAsiaTheme="minorHAnsi"/>
          <w:sz w:val="20"/>
        </w:rPr>
      </w:pPr>
    </w:p>
    <w:p w:rsidR="00217DBF" w:rsidRPr="003E311F" w:rsidRDefault="00217DBF" w:rsidP="00217DBF">
      <w:pPr>
        <w:rPr>
          <w:rFonts w:eastAsiaTheme="minorHAnsi"/>
          <w:sz w:val="20"/>
        </w:rPr>
      </w:pPr>
    </w:p>
    <w:p w:rsidR="00217DBF" w:rsidRPr="003E311F" w:rsidRDefault="00217DBF">
      <w:pPr>
        <w:rPr>
          <w:sz w:val="20"/>
        </w:rPr>
      </w:pPr>
    </w:p>
    <w:p w:rsidR="00217DBF" w:rsidRPr="003E311F" w:rsidRDefault="00217DBF">
      <w:pPr>
        <w:rPr>
          <w:sz w:val="20"/>
        </w:rPr>
      </w:pPr>
    </w:p>
    <w:p w:rsidR="00C25E4B" w:rsidRPr="003E311F" w:rsidRDefault="00C25E4B">
      <w:pPr>
        <w:rPr>
          <w:sz w:val="20"/>
        </w:rPr>
      </w:pPr>
      <w:r w:rsidRPr="003E311F">
        <w:rPr>
          <w:sz w:val="20"/>
        </w:rPr>
        <w:br w:type="page"/>
      </w:r>
    </w:p>
    <w:p w:rsidR="003E311F" w:rsidRPr="003E311F" w:rsidRDefault="003E311F" w:rsidP="003E311F">
      <w:pPr>
        <w:pStyle w:val="Heading2"/>
        <w:rPr>
          <w:b/>
          <w:bCs w:val="0"/>
          <w:szCs w:val="22"/>
        </w:rPr>
      </w:pPr>
      <w:bookmarkStart w:id="217" w:name="_Toc422210521"/>
      <w:bookmarkStart w:id="218" w:name="_Toc455159114"/>
      <w:bookmarkEnd w:id="16"/>
      <w:r w:rsidRPr="003E311F">
        <w:rPr>
          <w:b/>
          <w:bCs w:val="0"/>
          <w:szCs w:val="22"/>
        </w:rPr>
        <w:lastRenderedPageBreak/>
        <w:t xml:space="preserve">APÉNDICE II </w:t>
      </w:r>
      <w:r w:rsidRPr="003E311F">
        <w:rPr>
          <w:b/>
          <w:bCs w:val="0"/>
          <w:szCs w:val="22"/>
        </w:rPr>
        <w:br/>
      </w:r>
      <w:r w:rsidRPr="003E311F">
        <w:rPr>
          <w:b/>
          <w:bCs w:val="0"/>
          <w:szCs w:val="22"/>
        </w:rPr>
        <w:br/>
      </w:r>
      <w:bookmarkEnd w:id="217"/>
      <w:r w:rsidRPr="003E311F">
        <w:rPr>
          <w:b/>
          <w:szCs w:val="22"/>
        </w:rPr>
        <w:t xml:space="preserve">ACTIVIDADES </w:t>
      </w:r>
      <w:r w:rsidRPr="003E311F">
        <w:rPr>
          <w:b/>
          <w:bCs w:val="0"/>
          <w:szCs w:val="22"/>
        </w:rPr>
        <w:t>REALIZADAS CON CARGO A LOS FONDOS FIDUCIARIOS</w:t>
      </w:r>
      <w:r w:rsidRPr="003E311F">
        <w:rPr>
          <w:b/>
          <w:szCs w:val="22"/>
        </w:rPr>
        <w:t xml:space="preserve"> EN </w:t>
      </w:r>
      <w:r w:rsidRPr="003E311F">
        <w:rPr>
          <w:b/>
          <w:bCs w:val="0"/>
          <w:szCs w:val="22"/>
        </w:rPr>
        <w:t>2015</w:t>
      </w:r>
      <w:bookmarkEnd w:id="218"/>
    </w:p>
    <w:p w:rsidR="003E311F" w:rsidRPr="003E311F" w:rsidRDefault="003E311F" w:rsidP="003E311F">
      <w:pPr>
        <w:rPr>
          <w:sz w:val="20"/>
        </w:rPr>
      </w:pPr>
    </w:p>
    <w:p w:rsidR="003E311F" w:rsidRPr="003E311F" w:rsidRDefault="003E311F" w:rsidP="003E311F">
      <w:pPr>
        <w:jc w:val="both"/>
        <w:rPr>
          <w:sz w:val="20"/>
        </w:rPr>
      </w:pPr>
      <w:r w:rsidRPr="003E311F">
        <w:rPr>
          <w:sz w:val="20"/>
        </w:rPr>
        <w:t xml:space="preserve">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2015.  El próximo informe anual sobre los fondos fiduciarios se incluirá en el documento PPR </w:t>
      </w:r>
      <w:r w:rsidR="00DA3508">
        <w:rPr>
          <w:sz w:val="20"/>
        </w:rPr>
        <w:t xml:space="preserve">de </w:t>
      </w:r>
      <w:r w:rsidRPr="003E311F">
        <w:rPr>
          <w:sz w:val="20"/>
        </w:rPr>
        <w:t>2016.  En este Apéndice se informa sobre los fondos fiduciarios enumerados en el siguiente cuadro y se excluyen los fondos fiduciarios para funcionarios subalternos del cuadro orgánico.</w:t>
      </w:r>
    </w:p>
    <w:p w:rsidR="003E311F" w:rsidRPr="00515D00" w:rsidRDefault="003E311F" w:rsidP="003E311F">
      <w:pPr>
        <w:jc w:val="both"/>
      </w:pPr>
    </w:p>
    <w:tbl>
      <w:tblPr>
        <w:tblpPr w:leftFromText="180" w:rightFromText="180" w:vertAnchor="page" w:horzAnchor="margin" w:tblpXSpec="center" w:tblpY="5385"/>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10"/>
        <w:gridCol w:w="4580"/>
      </w:tblGrid>
      <w:tr w:rsidR="003E311F" w:rsidRPr="00515D00" w:rsidTr="007A358B">
        <w:trPr>
          <w:trHeight w:val="293"/>
        </w:trPr>
        <w:tc>
          <w:tcPr>
            <w:tcW w:w="4310" w:type="dxa"/>
            <w:shd w:val="clear" w:color="auto" w:fill="C6D9F1" w:themeFill="text2" w:themeFillTint="33"/>
            <w:tcMar>
              <w:top w:w="57" w:type="dxa"/>
              <w:left w:w="57" w:type="dxa"/>
              <w:bottom w:w="57" w:type="dxa"/>
              <w:right w:w="57" w:type="dxa"/>
            </w:tcMar>
          </w:tcPr>
          <w:p w:rsidR="003E311F" w:rsidRPr="00515D00" w:rsidRDefault="003E311F" w:rsidP="007A358B">
            <w:pPr>
              <w:jc w:val="center"/>
              <w:rPr>
                <w:b/>
                <w:bCs/>
                <w:sz w:val="18"/>
                <w:szCs w:val="18"/>
              </w:rPr>
            </w:pPr>
            <w:r w:rsidRPr="00515D00">
              <w:rPr>
                <w:b/>
                <w:bCs/>
                <w:sz w:val="18"/>
                <w:szCs w:val="18"/>
              </w:rPr>
              <w:t>FONDO FIDUCIARIO</w:t>
            </w:r>
          </w:p>
        </w:tc>
        <w:tc>
          <w:tcPr>
            <w:tcW w:w="4580" w:type="dxa"/>
            <w:shd w:val="clear" w:color="auto" w:fill="C6D9F1" w:themeFill="text2" w:themeFillTint="33"/>
            <w:tcMar>
              <w:top w:w="57" w:type="dxa"/>
              <w:left w:w="57" w:type="dxa"/>
              <w:bottom w:w="57" w:type="dxa"/>
              <w:right w:w="57" w:type="dxa"/>
            </w:tcMar>
          </w:tcPr>
          <w:p w:rsidR="003E311F" w:rsidRPr="00515D00" w:rsidRDefault="003E311F" w:rsidP="007A358B">
            <w:pPr>
              <w:jc w:val="center"/>
              <w:rPr>
                <w:b/>
                <w:bCs/>
                <w:sz w:val="18"/>
                <w:szCs w:val="18"/>
              </w:rPr>
            </w:pPr>
            <w:r w:rsidRPr="00515D00">
              <w:rPr>
                <w:b/>
                <w:bCs/>
                <w:sz w:val="18"/>
                <w:szCs w:val="18"/>
              </w:rPr>
              <w:t>SECTOR DE APLICACIÓN</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Australia</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Oficina del Director General</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Brasil</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Oficina del Director General</w:t>
            </w:r>
          </w:p>
        </w:tc>
      </w:tr>
      <w:tr w:rsidR="003E311F" w:rsidRPr="00515D00" w:rsidTr="007A358B">
        <w:tc>
          <w:tcPr>
            <w:tcW w:w="431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Brasil Sur</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Oficina del Director General</w:t>
            </w:r>
          </w:p>
        </w:tc>
      </w:tr>
      <w:tr w:rsidR="003E311F" w:rsidRPr="00515D00" w:rsidTr="007A358B">
        <w:tc>
          <w:tcPr>
            <w:tcW w:w="4310" w:type="dxa"/>
            <w:tcMar>
              <w:top w:w="57" w:type="dxa"/>
              <w:left w:w="57" w:type="dxa"/>
              <w:bottom w:w="57" w:type="dxa"/>
              <w:right w:w="57" w:type="dxa"/>
            </w:tcMar>
            <w:vAlign w:val="center"/>
          </w:tcPr>
          <w:p w:rsidR="003E311F" w:rsidRPr="00515D00" w:rsidRDefault="00123A02" w:rsidP="00123A02">
            <w:pPr>
              <w:rPr>
                <w:sz w:val="18"/>
                <w:szCs w:val="18"/>
              </w:rPr>
            </w:pPr>
            <w:r>
              <w:rPr>
                <w:sz w:val="18"/>
                <w:szCs w:val="18"/>
              </w:rPr>
              <w:t>Brasil P</w:t>
            </w:r>
            <w:r w:rsidR="003E311F" w:rsidRPr="00515D00">
              <w:rPr>
                <w:sz w:val="18"/>
                <w:szCs w:val="18"/>
              </w:rPr>
              <w:t>NUD</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Oficina del Director General</w:t>
            </w:r>
          </w:p>
        </w:tc>
      </w:tr>
      <w:tr w:rsidR="003E311F" w:rsidRPr="00515D00" w:rsidTr="007A358B">
        <w:tc>
          <w:tcPr>
            <w:tcW w:w="431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UE / Pakistán</w:t>
            </w:r>
          </w:p>
        </w:tc>
        <w:tc>
          <w:tcPr>
            <w:tcW w:w="458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Sector de Desarrollo</w:t>
            </w:r>
          </w:p>
        </w:tc>
      </w:tr>
      <w:tr w:rsidR="003E311F" w:rsidRPr="00057B87"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Finlandia – Derecho de autor</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Cultura e Industrias Creativas</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Francia – P.I.</w:t>
            </w:r>
          </w:p>
        </w:tc>
        <w:tc>
          <w:tcPr>
            <w:tcW w:w="458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Sector de Desarrollo</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Programa Iberoamericano de propiedad industrial</w:t>
            </w:r>
          </w:p>
        </w:tc>
        <w:tc>
          <w:tcPr>
            <w:tcW w:w="458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Sector de Desarrollo</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Italia</w:t>
            </w:r>
          </w:p>
        </w:tc>
        <w:tc>
          <w:tcPr>
            <w:tcW w:w="4580" w:type="dxa"/>
            <w:tcMar>
              <w:top w:w="57" w:type="dxa"/>
              <w:left w:w="57" w:type="dxa"/>
              <w:bottom w:w="57" w:type="dxa"/>
              <w:right w:w="57" w:type="dxa"/>
            </w:tcMar>
            <w:vAlign w:val="center"/>
          </w:tcPr>
          <w:p w:rsidR="003E311F" w:rsidRPr="00515D00" w:rsidRDefault="003E311F" w:rsidP="007A358B">
            <w:pPr>
              <w:rPr>
                <w:sz w:val="18"/>
                <w:szCs w:val="18"/>
              </w:rPr>
            </w:pPr>
            <w:r w:rsidRPr="00515D00">
              <w:rPr>
                <w:sz w:val="18"/>
                <w:szCs w:val="18"/>
              </w:rPr>
              <w:t>Sector de Desarrollo</w:t>
            </w:r>
          </w:p>
        </w:tc>
      </w:tr>
      <w:tr w:rsidR="003E311F" w:rsidRPr="00057B87"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Japón – Derecho de autor</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Cultura e Industrias Creativas</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Japón – P.I.</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Japón – P.I. / África</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República de Corea – Fomentar el respeto por la P.I.</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Cuestiones Mundiales</w:t>
            </w:r>
          </w:p>
        </w:tc>
      </w:tr>
      <w:tr w:rsidR="003E311F" w:rsidRPr="00057B87"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República de Corea – Derecho de autor</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Cultura e Industrias Creativas</w:t>
            </w:r>
          </w:p>
        </w:tc>
      </w:tr>
      <w:tr w:rsidR="003E311F" w:rsidRPr="00515D00" w:rsidTr="007A358B">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República de Corea – Educación</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rPr>
          <w:trHeight w:val="238"/>
        </w:trPr>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República de Corea – P.I.</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rPr>
          <w:trHeight w:val="238"/>
        </w:trPr>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México</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rPr>
          <w:trHeight w:val="238"/>
        </w:trPr>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España</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r w:rsidR="003E311F" w:rsidRPr="00515D00" w:rsidTr="007A358B">
        <w:trPr>
          <w:trHeight w:val="238"/>
        </w:trPr>
        <w:tc>
          <w:tcPr>
            <w:tcW w:w="431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Uruguay</w:t>
            </w:r>
          </w:p>
        </w:tc>
        <w:tc>
          <w:tcPr>
            <w:tcW w:w="4580" w:type="dxa"/>
            <w:tcMar>
              <w:top w:w="57" w:type="dxa"/>
              <w:left w:w="57" w:type="dxa"/>
              <w:bottom w:w="57" w:type="dxa"/>
              <w:right w:w="57" w:type="dxa"/>
            </w:tcMar>
          </w:tcPr>
          <w:p w:rsidR="003E311F" w:rsidRPr="00515D00" w:rsidRDefault="003E311F" w:rsidP="007A358B">
            <w:pPr>
              <w:rPr>
                <w:sz w:val="18"/>
                <w:szCs w:val="18"/>
              </w:rPr>
            </w:pPr>
            <w:r w:rsidRPr="00515D00">
              <w:rPr>
                <w:sz w:val="18"/>
                <w:szCs w:val="18"/>
              </w:rPr>
              <w:t>Sector de Desarrollo</w:t>
            </w:r>
          </w:p>
        </w:tc>
      </w:tr>
    </w:tbl>
    <w:p w:rsidR="003E311F" w:rsidRPr="00515D00" w:rsidRDefault="003E311F" w:rsidP="003E311F">
      <w:pPr>
        <w:jc w:val="both"/>
      </w:pPr>
    </w:p>
    <w:p w:rsidR="003E311F" w:rsidRPr="00515D00" w:rsidRDefault="003E311F" w:rsidP="003E311F">
      <w:pPr>
        <w:ind w:left="567"/>
        <w:jc w:val="center"/>
      </w:pPr>
    </w:p>
    <w:p w:rsidR="003E311F" w:rsidRPr="00515D00" w:rsidRDefault="003E311F" w:rsidP="003E311F">
      <w:pPr>
        <w:rPr>
          <w:b/>
        </w:rPr>
      </w:pPr>
    </w:p>
    <w:p w:rsidR="003E311F" w:rsidRPr="00515D00" w:rsidRDefault="003E311F" w:rsidP="003E311F">
      <w:pPr>
        <w:rPr>
          <w:b/>
        </w:rPr>
      </w:pPr>
    </w:p>
    <w:p w:rsidR="003E311F" w:rsidRPr="00515D00" w:rsidRDefault="003E311F" w:rsidP="003E311F">
      <w:pPr>
        <w:rPr>
          <w:b/>
        </w:rPr>
      </w:pPr>
    </w:p>
    <w:p w:rsidR="003E311F" w:rsidRPr="00515D00" w:rsidRDefault="003E311F" w:rsidP="003E311F">
      <w:pPr>
        <w:rPr>
          <w:b/>
        </w:rPr>
      </w:pPr>
    </w:p>
    <w:p w:rsidR="003E311F" w:rsidRPr="00515D00" w:rsidRDefault="003E311F" w:rsidP="003E311F">
      <w:pPr>
        <w:spacing w:after="200" w:line="276" w:lineRule="auto"/>
        <w:rPr>
          <w:b/>
        </w:rPr>
      </w:pPr>
      <w:r w:rsidRPr="00515D00">
        <w:rPr>
          <w:b/>
        </w:rPr>
        <w:br w:type="page"/>
      </w:r>
    </w:p>
    <w:p w:rsidR="003E311F" w:rsidRPr="007329AC" w:rsidRDefault="003E311F" w:rsidP="003E311F">
      <w:pPr>
        <w:rPr>
          <w:b/>
          <w:sz w:val="20"/>
        </w:rPr>
      </w:pPr>
      <w:r w:rsidRPr="007329AC">
        <w:rPr>
          <w:b/>
          <w:sz w:val="20"/>
        </w:rPr>
        <w:lastRenderedPageBreak/>
        <w:t>AUSTRALIA</w:t>
      </w:r>
    </w:p>
    <w:p w:rsidR="003E311F" w:rsidRPr="007329AC" w:rsidRDefault="003E311F" w:rsidP="003E311F">
      <w:pPr>
        <w:rPr>
          <w:b/>
          <w:sz w:val="20"/>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2"/>
        <w:gridCol w:w="1417"/>
        <w:gridCol w:w="284"/>
        <w:gridCol w:w="130"/>
        <w:gridCol w:w="12"/>
        <w:gridCol w:w="4819"/>
      </w:tblGrid>
      <w:tr w:rsidR="003E311F" w:rsidRPr="00057B87" w:rsidTr="007A358B">
        <w:trPr>
          <w:cantSplit/>
        </w:trPr>
        <w:tc>
          <w:tcPr>
            <w:tcW w:w="9781" w:type="dxa"/>
            <w:gridSpan w:val="8"/>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widowControl w:val="0"/>
              <w:tabs>
                <w:tab w:val="left" w:pos="1740"/>
              </w:tabs>
              <w:spacing w:before="120" w:after="120"/>
              <w:ind w:left="1740" w:hanging="1740"/>
              <w:rPr>
                <w:b/>
                <w:bCs/>
                <w:sz w:val="16"/>
                <w:szCs w:val="16"/>
              </w:rPr>
            </w:pPr>
            <w:r w:rsidRPr="00515D00">
              <w:rPr>
                <w:b/>
                <w:bCs/>
                <w:sz w:val="16"/>
                <w:szCs w:val="16"/>
              </w:rPr>
              <w:t>RESULTADO:</w:t>
            </w:r>
            <w:r w:rsidRPr="00515D00">
              <w:rPr>
                <w:b/>
                <w:bCs/>
                <w:sz w:val="16"/>
                <w:szCs w:val="16"/>
              </w:rPr>
              <w:tab/>
            </w:r>
            <w:r w:rsidRPr="00515D00">
              <w:rPr>
                <w:rFonts w:eastAsia="MS Mincho"/>
                <w:bCs/>
                <w:sz w:val="16"/>
                <w:szCs w:val="16"/>
                <w:lang w:eastAsia="ja-JP" w:bidi="th-TH"/>
              </w:rPr>
              <w:t>II.1</w:t>
            </w:r>
            <w:r>
              <w:rPr>
                <w:rFonts w:eastAsia="MS Mincho"/>
                <w:bCs/>
                <w:sz w:val="16"/>
                <w:szCs w:val="16"/>
                <w:lang w:eastAsia="ja-JP" w:bidi="th-TH"/>
              </w:rPr>
              <w:t xml:space="preserve"> </w:t>
            </w:r>
            <w:r w:rsidRPr="00515D00">
              <w:rPr>
                <w:rFonts w:eastAsia="MS Mincho"/>
                <w:bCs/>
                <w:sz w:val="16"/>
                <w:szCs w:val="16"/>
                <w:lang w:eastAsia="ja-JP" w:bidi="th-TH"/>
              </w:rPr>
              <w:t xml:space="preserve"> Fomento del uso de la vía del PCT para la presentación de solicitudes internacionales de patente</w:t>
            </w:r>
          </w:p>
        </w:tc>
      </w:tr>
      <w:tr w:rsidR="003E311F" w:rsidRPr="00515D00" w:rsidTr="007A358B">
        <w:trPr>
          <w:cantSplit/>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gridSpan w:val="2"/>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gridSpan w:val="4"/>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49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Seminarios itinerantes sobre el PCT para universidades</w:t>
            </w:r>
          </w:p>
        </w:tc>
        <w:tc>
          <w:tcPr>
            <w:tcW w:w="1276" w:type="dxa"/>
            <w:gridSpan w:val="2"/>
          </w:tcPr>
          <w:p w:rsidR="003E311F" w:rsidRPr="00515D00" w:rsidRDefault="003E311F" w:rsidP="007A358B">
            <w:pPr>
              <w:autoSpaceDE w:val="0"/>
              <w:autoSpaceDN w:val="0"/>
              <w:adjustRightInd w:val="0"/>
              <w:spacing w:before="60" w:after="60"/>
              <w:rPr>
                <w:sz w:val="16"/>
                <w:szCs w:val="16"/>
              </w:rPr>
            </w:pPr>
            <w:r w:rsidRPr="00515D00">
              <w:rPr>
                <w:sz w:val="16"/>
                <w:szCs w:val="16"/>
              </w:rPr>
              <w:t>25 a 26 de marzo de 2015</w:t>
            </w:r>
          </w:p>
        </w:tc>
        <w:tc>
          <w:tcPr>
            <w:tcW w:w="1843" w:type="dxa"/>
            <w:gridSpan w:val="4"/>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Sudáfrica / 52 participantes</w:t>
            </w:r>
          </w:p>
        </w:tc>
        <w:tc>
          <w:tcPr>
            <w:tcW w:w="481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Los seminarios aportaron conocimientos a los participantes acerca de cómo se puede utilizar el PCT y el sistema internacional de patentes en general para la transferencia de conocimiento, a partir de ejemplos reales.</w:t>
            </w:r>
          </w:p>
        </w:tc>
      </w:tr>
      <w:tr w:rsidR="003E311F" w:rsidRPr="00057B87" w:rsidTr="007A358B">
        <w:trPr>
          <w:cantSplit/>
          <w:trHeight w:val="49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Formación sobre el PCT y el ePCT para los países de la ASEAN</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24 a 25 de marzo de 2015</w:t>
            </w:r>
          </w:p>
        </w:tc>
        <w:tc>
          <w:tcPr>
            <w:tcW w:w="1843" w:type="dxa"/>
            <w:gridSpan w:val="4"/>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Singapur/ 18 participantes de Brunei Darussalam, Camboya, Indonesia, República Democrática Popular Lao, Malasia, Myanmar, Filipinas, Tailandia, Viet Nam</w:t>
            </w:r>
          </w:p>
        </w:tc>
        <w:tc>
          <w:tcPr>
            <w:tcW w:w="481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La formación sirvió para presentar las funciones y procedimientos básicos del PCT y el ePCT que deben aplicar esas Oficinas.  También fue una valiosa oportunidad para que los participantes intercambiaran experiencias.  El taller subregional también fue una buena ocasión para obtener información actualizada sobre cuestiones relacionadas con el PCT, en especial sobre el ePCT.</w:t>
            </w:r>
          </w:p>
        </w:tc>
      </w:tr>
      <w:tr w:rsidR="003E311F" w:rsidRPr="00057B87" w:rsidTr="007A358B">
        <w:trPr>
          <w:cantSplit/>
        </w:trPr>
        <w:tc>
          <w:tcPr>
            <w:tcW w:w="9781" w:type="dxa"/>
            <w:gridSpan w:val="8"/>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1" w:hanging="1741"/>
              <w:rPr>
                <w:b/>
                <w:bCs/>
                <w:sz w:val="16"/>
                <w:szCs w:val="16"/>
              </w:rPr>
            </w:pPr>
            <w:r w:rsidRPr="00515D00">
              <w:rPr>
                <w:b/>
                <w:bCs/>
                <w:color w:val="000000"/>
                <w:sz w:val="16"/>
                <w:szCs w:val="16"/>
              </w:rPr>
              <w:t>RESULTADO</w:t>
            </w:r>
            <w:r w:rsidRPr="00515D00">
              <w:rPr>
                <w:b/>
                <w:bCs/>
                <w:sz w:val="16"/>
                <w:szCs w:val="16"/>
              </w:rPr>
              <w:t>:</w:t>
            </w:r>
            <w:r w:rsidRPr="00515D00">
              <w:rPr>
                <w:b/>
                <w:bCs/>
                <w:sz w:val="16"/>
                <w:szCs w:val="16"/>
              </w:rPr>
              <w:tab/>
            </w:r>
            <w:r w:rsidRPr="00515D00">
              <w:rPr>
                <w:bCs/>
                <w:sz w:val="16"/>
                <w:szCs w:val="16"/>
              </w:rPr>
              <w:t>III.1  Estrategias y planes nacionales de innovación y de P.I. que estén en sintonía con los objetivos nacionales de desarrollo</w:t>
            </w:r>
          </w:p>
        </w:tc>
      </w:tr>
      <w:tr w:rsidR="003E311F" w:rsidRPr="00515D00" w:rsidTr="007A358B">
        <w:trPr>
          <w:cantSplit/>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gridSpan w:val="2"/>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gridSpan w:val="4"/>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473"/>
        </w:trPr>
        <w:tc>
          <w:tcPr>
            <w:tcW w:w="1843"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Consulta nacional sobre el </w:t>
            </w:r>
            <w:r w:rsidRPr="00515D00">
              <w:rPr>
                <w:sz w:val="16"/>
                <w:szCs w:val="16"/>
              </w:rPr>
              <w:t>proyecto de estrategia nacional de P.I.</w:t>
            </w:r>
          </w:p>
        </w:tc>
        <w:tc>
          <w:tcPr>
            <w:tcW w:w="1276"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9 y 10 de abril de 2015</w:t>
            </w:r>
          </w:p>
        </w:tc>
        <w:tc>
          <w:tcPr>
            <w:tcW w:w="1831" w:type="dxa"/>
            <w:gridSpan w:val="3"/>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Islas Cook</w:t>
            </w:r>
          </w:p>
        </w:tc>
        <w:tc>
          <w:tcPr>
            <w:tcW w:w="4831"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Celebrar reuniones con los principales sectores interesados para presentar y debatir con detalle la estrategia nacional de P.I. Sobre la base de los debates mantenidos, se presentó al Gobierno una estrategia revisada de P.I. para su aprobación.</w:t>
            </w:r>
          </w:p>
        </w:tc>
      </w:tr>
      <w:tr w:rsidR="003E311F" w:rsidRPr="00057B87" w:rsidTr="007A358B">
        <w:trPr>
          <w:cantSplit/>
          <w:trHeight w:val="473"/>
        </w:trPr>
        <w:tc>
          <w:tcPr>
            <w:tcW w:w="184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Consulta nacional sobre el </w:t>
            </w:r>
            <w:r w:rsidRPr="00515D00">
              <w:rPr>
                <w:sz w:val="16"/>
                <w:szCs w:val="16"/>
              </w:rPr>
              <w:t>proyecto de estrategia nacional de P.I.</w:t>
            </w:r>
          </w:p>
        </w:tc>
        <w:tc>
          <w:tcPr>
            <w:tcW w:w="1276"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14 a 16 de abril de 2015</w:t>
            </w:r>
          </w:p>
        </w:tc>
        <w:tc>
          <w:tcPr>
            <w:tcW w:w="1831"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Islas Salomón</w:t>
            </w:r>
          </w:p>
        </w:tc>
        <w:tc>
          <w:tcPr>
            <w:tcW w:w="4831"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Celebrar consultas presenciales con los sectores nacionales interesados sobre el proyecto actual de estrategia nacional de P.I. e introducir las últimas revisiones antes de presentar al Gobierno una estrategia revisada de P.I. para su aprobación.  </w:t>
            </w:r>
          </w:p>
        </w:tc>
      </w:tr>
      <w:tr w:rsidR="003E311F" w:rsidRPr="00057B87" w:rsidTr="007A358B">
        <w:trPr>
          <w:cantSplit/>
          <w:trHeight w:val="473"/>
        </w:trPr>
        <w:tc>
          <w:tcPr>
            <w:tcW w:w="1843"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Taller de consulta nacional para elaborar una estrategia nacional de P.I. </w:t>
            </w:r>
          </w:p>
        </w:tc>
        <w:tc>
          <w:tcPr>
            <w:tcW w:w="1276"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13 de febrero de 2015</w:t>
            </w:r>
          </w:p>
        </w:tc>
        <w:tc>
          <w:tcPr>
            <w:tcW w:w="1831" w:type="dxa"/>
            <w:gridSpan w:val="3"/>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Myanmar</w:t>
            </w:r>
          </w:p>
        </w:tc>
        <w:tc>
          <w:tcPr>
            <w:tcW w:w="4831"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Mejorar el conocimiento de la metodología y el proceso de formulación y aplicación de una estrategia nacional de P.I. y debatir cuestiones relativas a las políticas que deberá abordar y a los posibles elementos que deberá incorporar dicha estrategia, teniendo en cuenta las metas y los objetivos de desarrollo del país.  El Taller de consulta nacional sentó las bases para iniciar el proceso de formulación y para que el equipo del proyecto, integrado por dos asesores internacionales y un experto nacional, llevara a cabo una investigación documental exhaustiva, elaborara una encuesta de referencia y presentara un informe con sus conclusiones preliminares, las cuales sirvieron, a su vez, como base para ulteriores reuniones de consulta a nivel nacional.</w:t>
            </w:r>
          </w:p>
        </w:tc>
      </w:tr>
      <w:tr w:rsidR="003E311F" w:rsidRPr="00057B87" w:rsidTr="007A358B">
        <w:trPr>
          <w:cantSplit/>
          <w:trHeight w:val="315"/>
        </w:trPr>
        <w:tc>
          <w:tcPr>
            <w:tcW w:w="9781" w:type="dxa"/>
            <w:gridSpan w:val="8"/>
            <w:tcBorders>
              <w:top w:val="single" w:sz="4" w:space="0" w:color="auto"/>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60" w:after="60"/>
              <w:ind w:left="1740" w:hanging="1740"/>
              <w:rPr>
                <w:color w:val="000000"/>
                <w:sz w:val="16"/>
                <w:szCs w:val="16"/>
              </w:rPr>
            </w:pPr>
            <w:r w:rsidRPr="00515D00">
              <w:rPr>
                <w:b/>
                <w:bCs/>
                <w:color w:val="000000"/>
                <w:sz w:val="16"/>
                <w:szCs w:val="16"/>
              </w:rPr>
              <w:t>RESULTADO:</w:t>
            </w:r>
            <w:r w:rsidRPr="00515D00">
              <w:rPr>
                <w:bCs/>
                <w:sz w:val="16"/>
                <w:szCs w:val="16"/>
              </w:rPr>
              <w:tab/>
              <w:t xml:space="preserve">III.2  Aumento de las capacidades en recursos humanos para hacer frente a la gran diversidad de exigencias que supone la utilización eficaz de la P.I. para fomentar el desarrollo en los países en desarrollo, </w:t>
            </w:r>
            <w:r>
              <w:rPr>
                <w:bCs/>
                <w:sz w:val="16"/>
                <w:szCs w:val="16"/>
              </w:rPr>
              <w:t>PMA</w:t>
            </w:r>
            <w:r w:rsidRPr="00515D00">
              <w:rPr>
                <w:bCs/>
                <w:sz w:val="16"/>
                <w:szCs w:val="16"/>
              </w:rPr>
              <w:t xml:space="preserve"> y países con economías en transición</w:t>
            </w:r>
          </w:p>
        </w:tc>
      </w:tr>
      <w:tr w:rsidR="003E311F" w:rsidRPr="00515D00" w:rsidTr="007A358B">
        <w:trPr>
          <w:cantSplit/>
          <w:trHeight w:val="405"/>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gridSpan w:val="2"/>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701" w:type="dxa"/>
            <w:gridSpan w:val="2"/>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gridSpan w:val="3"/>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1242"/>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Taller nacional de la OMPI y del Fondo </w:t>
            </w:r>
            <w:r>
              <w:rPr>
                <w:color w:val="000000"/>
                <w:sz w:val="16"/>
                <w:szCs w:val="16"/>
              </w:rPr>
              <w:t>F</w:t>
            </w:r>
            <w:r w:rsidRPr="00515D00">
              <w:rPr>
                <w:color w:val="000000"/>
                <w:sz w:val="16"/>
                <w:szCs w:val="16"/>
              </w:rPr>
              <w:t>iduciario de Australia sobre redacción de solicitudes de patente y utilización del sistema de patentes</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26 a 29 de mayo de 2015</w:t>
            </w:r>
          </w:p>
        </w:tc>
        <w:tc>
          <w:tcPr>
            <w:tcW w:w="1701"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Indonesia</w:t>
            </w:r>
          </w:p>
        </w:tc>
        <w:tc>
          <w:tcPr>
            <w:tcW w:w="4961" w:type="dxa"/>
            <w:gridSpan w:val="3"/>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Al término de esta formación, los profesionales </w:t>
            </w:r>
            <w:r>
              <w:rPr>
                <w:color w:val="000000"/>
                <w:sz w:val="16"/>
                <w:szCs w:val="16"/>
              </w:rPr>
              <w:t>habían desarrollado</w:t>
            </w:r>
            <w:r w:rsidRPr="00515D00">
              <w:rPr>
                <w:color w:val="000000"/>
                <w:sz w:val="16"/>
                <w:szCs w:val="16"/>
              </w:rPr>
              <w:t xml:space="preserve"> una mejor comprensión de la utilización del sistema de patentes </w:t>
            </w:r>
            <w:r>
              <w:rPr>
                <w:color w:val="000000"/>
                <w:sz w:val="16"/>
                <w:szCs w:val="16"/>
              </w:rPr>
              <w:t xml:space="preserve">en el marco </w:t>
            </w:r>
            <w:r w:rsidRPr="00515D00">
              <w:rPr>
                <w:color w:val="000000"/>
                <w:sz w:val="16"/>
                <w:szCs w:val="16"/>
              </w:rPr>
              <w:t xml:space="preserve">de su estrategia de comercialización de P.I.;  </w:t>
            </w:r>
            <w:r>
              <w:rPr>
                <w:color w:val="000000"/>
                <w:sz w:val="16"/>
                <w:szCs w:val="16"/>
              </w:rPr>
              <w:t xml:space="preserve">las </w:t>
            </w:r>
            <w:r w:rsidRPr="00515D00">
              <w:rPr>
                <w:color w:val="000000"/>
                <w:sz w:val="16"/>
                <w:szCs w:val="16"/>
              </w:rPr>
              <w:t xml:space="preserve">competencias </w:t>
            </w:r>
            <w:r>
              <w:rPr>
                <w:color w:val="000000"/>
                <w:sz w:val="16"/>
                <w:szCs w:val="16"/>
              </w:rPr>
              <w:t xml:space="preserve">necesarias </w:t>
            </w:r>
            <w:r w:rsidRPr="00515D00">
              <w:rPr>
                <w:color w:val="000000"/>
                <w:sz w:val="16"/>
                <w:szCs w:val="16"/>
              </w:rPr>
              <w:t>para ayudar a un abogado de patentes a redactar reivindicaciones de patentes relacionadas con tecnologías específicas;  y una mejor comprensión de las ventajas de la vía de presentación del PCT.</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Programa avanzado de fo</w:t>
            </w:r>
            <w:r>
              <w:rPr>
                <w:color w:val="000000"/>
                <w:sz w:val="16"/>
                <w:szCs w:val="16"/>
              </w:rPr>
              <w:t>rmación de la OMPI y del Fondo F</w:t>
            </w:r>
            <w:r w:rsidRPr="00515D00">
              <w:rPr>
                <w:color w:val="000000"/>
                <w:sz w:val="16"/>
                <w:szCs w:val="16"/>
              </w:rPr>
              <w:t>iduciario de Australia sobre negociación eficaz de licencias de tecnología</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9 a 12 de junio de 2015</w:t>
            </w:r>
          </w:p>
        </w:tc>
        <w:tc>
          <w:tcPr>
            <w:tcW w:w="1701"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Indonesia</w:t>
            </w:r>
          </w:p>
        </w:tc>
        <w:tc>
          <w:tcPr>
            <w:tcW w:w="4961" w:type="dxa"/>
            <w:gridSpan w:val="3"/>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Los participantes actualizaron sus conocimientos sobre negociación de licencias de P.I. para poder realizar contribuciones relevantes en esta clase de negociaciones y redactar el primer borrador de un acuerdo de licencia.  </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lastRenderedPageBreak/>
              <w:t xml:space="preserve">Programa avanzado de formación </w:t>
            </w:r>
            <w:r>
              <w:rPr>
                <w:color w:val="000000"/>
                <w:sz w:val="16"/>
                <w:szCs w:val="16"/>
              </w:rPr>
              <w:t>de la OMPI y del Fondo F</w:t>
            </w:r>
            <w:r w:rsidRPr="00515D00">
              <w:rPr>
                <w:color w:val="000000"/>
                <w:sz w:val="16"/>
                <w:szCs w:val="16"/>
              </w:rPr>
              <w:t>iduciario de Australia sobre comercialización y valoración de P.I.</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15 a 18 de junio de 2015</w:t>
            </w:r>
          </w:p>
        </w:tc>
        <w:tc>
          <w:tcPr>
            <w:tcW w:w="1701"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Filipinas</w:t>
            </w:r>
          </w:p>
        </w:tc>
        <w:tc>
          <w:tcPr>
            <w:tcW w:w="4961" w:type="dxa"/>
            <w:gridSpan w:val="3"/>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Los participantes </w:t>
            </w:r>
            <w:r>
              <w:rPr>
                <w:color w:val="000000"/>
                <w:sz w:val="16"/>
                <w:szCs w:val="16"/>
              </w:rPr>
              <w:t>adquirieron</w:t>
            </w:r>
            <w:r w:rsidRPr="00515D00">
              <w:rPr>
                <w:color w:val="000000"/>
                <w:sz w:val="16"/>
                <w:szCs w:val="16"/>
              </w:rPr>
              <w:t xml:space="preserve"> una mejor comprensión de las interrelaciones entre la comercialización y la valoración de P.I., así como los conocimientos necesarios para identificar mercados potenciales de </w:t>
            </w:r>
            <w:r>
              <w:rPr>
                <w:color w:val="000000"/>
                <w:sz w:val="16"/>
                <w:szCs w:val="16"/>
              </w:rPr>
              <w:t xml:space="preserve">los </w:t>
            </w:r>
            <w:r w:rsidRPr="00515D00">
              <w:rPr>
                <w:color w:val="000000"/>
                <w:sz w:val="16"/>
                <w:szCs w:val="16"/>
              </w:rPr>
              <w:t xml:space="preserve">conocimientos y </w:t>
            </w:r>
            <w:r>
              <w:rPr>
                <w:color w:val="000000"/>
                <w:sz w:val="16"/>
                <w:szCs w:val="16"/>
              </w:rPr>
              <w:t xml:space="preserve">las </w:t>
            </w:r>
            <w:r w:rsidRPr="00515D00">
              <w:rPr>
                <w:color w:val="000000"/>
                <w:sz w:val="16"/>
                <w:szCs w:val="16"/>
              </w:rPr>
              <w:t xml:space="preserve">tecnologías desarrollados en sus instituciones de investigación.  En general, </w:t>
            </w:r>
            <w:r>
              <w:rPr>
                <w:color w:val="000000"/>
                <w:sz w:val="16"/>
                <w:szCs w:val="16"/>
              </w:rPr>
              <w:t>adquirieron</w:t>
            </w:r>
            <w:r w:rsidRPr="00515D00">
              <w:rPr>
                <w:color w:val="000000"/>
                <w:sz w:val="16"/>
                <w:szCs w:val="16"/>
              </w:rPr>
              <w:t xml:space="preserve"> las competencias necesarias para determinar el valor de los activos intelectuales que constituyen el objeto de las negociaciones de licencias.</w:t>
            </w:r>
          </w:p>
        </w:tc>
      </w:tr>
      <w:tr w:rsidR="003E311F" w:rsidRPr="00057B87" w:rsidTr="007A358B">
        <w:trPr>
          <w:cantSplit/>
          <w:trHeight w:val="315"/>
        </w:trPr>
        <w:tc>
          <w:tcPr>
            <w:tcW w:w="1843" w:type="dxa"/>
            <w:tcBorders>
              <w:left w:val="single" w:sz="4" w:space="0" w:color="000000"/>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nacional sobre el derecho de autor y los derechos conexos</w:t>
            </w:r>
          </w:p>
        </w:tc>
        <w:tc>
          <w:tcPr>
            <w:tcW w:w="1276"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22 a 24 de abril de 2015</w:t>
            </w:r>
          </w:p>
        </w:tc>
        <w:tc>
          <w:tcPr>
            <w:tcW w:w="1701"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Islas Cook</w:t>
            </w:r>
          </w:p>
        </w:tc>
        <w:tc>
          <w:tcPr>
            <w:tcW w:w="4961" w:type="dxa"/>
            <w:gridSpan w:val="3"/>
            <w:tcBorders>
              <w:right w:val="single" w:sz="4" w:space="0" w:color="000000"/>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Se trataba del primer taller nacional sobre derechos de autor organizado por la OMPI en las Islas Cook.  El </w:t>
            </w:r>
            <w:r>
              <w:rPr>
                <w:color w:val="000000"/>
                <w:sz w:val="16"/>
                <w:szCs w:val="16"/>
              </w:rPr>
              <w:t>T</w:t>
            </w:r>
            <w:r w:rsidRPr="00515D00">
              <w:rPr>
                <w:color w:val="000000"/>
                <w:sz w:val="16"/>
                <w:szCs w:val="16"/>
              </w:rPr>
              <w:t xml:space="preserve">aller, orientado a funcionarios gubernamentales y otras partes interesadas, aportó información sobre el derecho de autor y los derechos conexos, sobre su </w:t>
            </w:r>
            <w:r>
              <w:rPr>
                <w:color w:val="000000"/>
                <w:sz w:val="16"/>
                <w:szCs w:val="16"/>
              </w:rPr>
              <w:t>relevancia</w:t>
            </w:r>
            <w:r w:rsidRPr="00515D00">
              <w:rPr>
                <w:color w:val="000000"/>
                <w:sz w:val="16"/>
                <w:szCs w:val="16"/>
              </w:rPr>
              <w:t xml:space="preserve"> cultural y económica y sobre la importancia de establecer un sistema nacional de protección y gestión del derecho de autor y los derechos conexos.</w:t>
            </w:r>
          </w:p>
        </w:tc>
      </w:tr>
      <w:tr w:rsidR="003E311F" w:rsidRPr="00057B87" w:rsidTr="007A358B">
        <w:trPr>
          <w:cantSplit/>
          <w:trHeight w:val="315"/>
        </w:trPr>
        <w:tc>
          <w:tcPr>
            <w:tcW w:w="1843" w:type="dxa"/>
            <w:tcBorders>
              <w:left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Taller subregional sobre derecho de autor y desarrollo destinado a los encargados de la toma de decisiones</w:t>
            </w:r>
          </w:p>
        </w:tc>
        <w:tc>
          <w:tcPr>
            <w:tcW w:w="1276" w:type="dxa"/>
            <w:gridSpan w:val="2"/>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19 y 20 de enero de 2015</w:t>
            </w:r>
          </w:p>
        </w:tc>
        <w:tc>
          <w:tcPr>
            <w:tcW w:w="1701" w:type="dxa"/>
            <w:gridSpan w:val="2"/>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Fiji, Niue, Papua Nueva Guinea, Samoa, Islas Salomón, Tonga, Tuvalu, Vanuatu</w:t>
            </w:r>
          </w:p>
        </w:tc>
        <w:tc>
          <w:tcPr>
            <w:tcW w:w="4961" w:type="dxa"/>
            <w:gridSpan w:val="3"/>
            <w:tcBorders>
              <w:right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Pr>
                <w:color w:val="000000"/>
                <w:sz w:val="16"/>
                <w:szCs w:val="16"/>
              </w:rPr>
              <w:t>El T</w:t>
            </w:r>
            <w:r w:rsidRPr="00515D00">
              <w:rPr>
                <w:color w:val="000000"/>
                <w:sz w:val="16"/>
                <w:szCs w:val="16"/>
              </w:rPr>
              <w:t>aller se centró en fomentar la sensibilización y la comprensión de los encargados de la formulación de políticas de los países participantes y de la Secretaría del Foro de las Islas del Pacífico acerca de la importancia y el valor del derecho de autor para el desarrollo cultural y económico.</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Seminario nacional sobre el derecho de autor y los derechos conexos</w:t>
            </w:r>
          </w:p>
        </w:tc>
        <w:tc>
          <w:tcPr>
            <w:tcW w:w="1276" w:type="dxa"/>
            <w:gridSpan w:val="2"/>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21 y 22 de enero de 2015</w:t>
            </w:r>
          </w:p>
        </w:tc>
        <w:tc>
          <w:tcPr>
            <w:tcW w:w="1701" w:type="dxa"/>
            <w:gridSpan w:val="2"/>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Vanuatu</w:t>
            </w:r>
          </w:p>
        </w:tc>
        <w:tc>
          <w:tcPr>
            <w:tcW w:w="4961" w:type="dxa"/>
            <w:gridSpan w:val="3"/>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 xml:space="preserve">Celebrado consecutivamente a la actividad arriba mencionada, este seminario proporcionó información sobre el derecho de autor y los derechos conexos, así como sobre el funcionamiento práctico del sistema, a una audiencia de funcionarios gubernamentales y otras partes interesadas nacionales.  </w:t>
            </w:r>
          </w:p>
        </w:tc>
      </w:tr>
      <w:tr w:rsidR="003E311F" w:rsidRPr="00057B87" w:rsidTr="007A358B">
        <w:trPr>
          <w:cantSplit/>
          <w:trHeight w:val="315"/>
        </w:trPr>
        <w:tc>
          <w:tcPr>
            <w:tcW w:w="9781" w:type="dxa"/>
            <w:gridSpan w:val="8"/>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IV.2  Mejora del acceso y uso de información de P.I. por parte de instituciones de P.I. y el público para fomentar la innovación y la creatividad</w:t>
            </w:r>
          </w:p>
        </w:tc>
      </w:tr>
      <w:tr w:rsidR="003E311F" w:rsidRPr="00515D00" w:rsidTr="007A358B">
        <w:trPr>
          <w:cantSplit/>
          <w:trHeight w:val="429"/>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559" w:type="dxa"/>
            <w:gridSpan w:val="2"/>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5245" w:type="dxa"/>
            <w:gridSpan w:val="4"/>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Fortalecimiento de la capacidad (mediante un memorando de entendimiento)</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 xml:space="preserve">Bangladesh </w:t>
            </w:r>
          </w:p>
        </w:tc>
        <w:tc>
          <w:tcPr>
            <w:tcW w:w="5245" w:type="dxa"/>
            <w:gridSpan w:val="4"/>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 xml:space="preserve">Proporcionar a una organización local, la </w:t>
            </w:r>
            <w:r w:rsidRPr="00124FA2">
              <w:rPr>
                <w:i/>
                <w:color w:val="000000"/>
                <w:sz w:val="16"/>
                <w:szCs w:val="16"/>
              </w:rPr>
              <w:t>Young Power in Social Action</w:t>
            </w:r>
            <w:r w:rsidRPr="00515D00">
              <w:rPr>
                <w:color w:val="000000"/>
                <w:sz w:val="16"/>
                <w:szCs w:val="16"/>
              </w:rPr>
              <w:t xml:space="preserve"> (YPSA), los conocimientos especializados y la financiación necesarios para llevar a cabo actividades de fortalecimiento de capacidades en Bangladesh.</w:t>
            </w:r>
          </w:p>
          <w:p w:rsidR="003E311F" w:rsidRPr="00515D00" w:rsidRDefault="003E311F" w:rsidP="007A358B">
            <w:pPr>
              <w:autoSpaceDE w:val="0"/>
              <w:autoSpaceDN w:val="0"/>
              <w:spacing w:before="60" w:after="60"/>
              <w:rPr>
                <w:color w:val="000000"/>
                <w:sz w:val="16"/>
                <w:szCs w:val="16"/>
              </w:rPr>
            </w:pPr>
            <w:r w:rsidRPr="00515D00">
              <w:rPr>
                <w:color w:val="000000"/>
                <w:sz w:val="16"/>
                <w:szCs w:val="16"/>
              </w:rPr>
              <w:t>Entre las actividades figuran i) la formación de editores locales, públicos y privados, así como de ONG locales, en la producción</w:t>
            </w:r>
            <w:r>
              <w:rPr>
                <w:color w:val="000000"/>
                <w:sz w:val="16"/>
                <w:szCs w:val="16"/>
              </w:rPr>
              <w:t xml:space="preserve"> de libros en formato accesible; </w:t>
            </w:r>
            <w:r w:rsidRPr="00515D00">
              <w:rPr>
                <w:color w:val="000000"/>
                <w:sz w:val="16"/>
                <w:szCs w:val="16"/>
              </w:rPr>
              <w:t xml:space="preserve"> ii) la producción de 162 libros educativos en formato accesible en bengalí</w:t>
            </w:r>
            <w:r>
              <w:rPr>
                <w:color w:val="000000"/>
                <w:sz w:val="16"/>
                <w:szCs w:val="16"/>
              </w:rPr>
              <w:t xml:space="preserve">; </w:t>
            </w:r>
            <w:r w:rsidRPr="00515D00">
              <w:rPr>
                <w:color w:val="000000"/>
                <w:sz w:val="16"/>
                <w:szCs w:val="16"/>
              </w:rPr>
              <w:t xml:space="preserve"> y iii) la compra de 35 dispositivos Android que se prestarán a estudiantes discapacitados visuales para que puedan leer </w:t>
            </w:r>
            <w:r>
              <w:rPr>
                <w:color w:val="000000"/>
                <w:sz w:val="16"/>
                <w:szCs w:val="16"/>
              </w:rPr>
              <w:t>dichos</w:t>
            </w:r>
            <w:r w:rsidRPr="00515D00">
              <w:rPr>
                <w:color w:val="000000"/>
                <w:sz w:val="16"/>
                <w:szCs w:val="16"/>
              </w:rPr>
              <w:t xml:space="preserve"> libros.</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Fortalecimiento de la capacidad (mediante un memorando de entendimiento)</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Sri Lanka</w:t>
            </w:r>
          </w:p>
        </w:tc>
        <w:tc>
          <w:tcPr>
            <w:tcW w:w="5245" w:type="dxa"/>
            <w:gridSpan w:val="4"/>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 xml:space="preserve">I) Proporcionar a una organización local, la </w:t>
            </w:r>
            <w:r w:rsidRPr="00124FA2">
              <w:rPr>
                <w:i/>
                <w:color w:val="000000"/>
                <w:sz w:val="16"/>
                <w:szCs w:val="16"/>
              </w:rPr>
              <w:t>DAISY Lanka Foundation</w:t>
            </w:r>
            <w:r w:rsidRPr="00515D00">
              <w:rPr>
                <w:color w:val="000000"/>
                <w:sz w:val="16"/>
                <w:szCs w:val="16"/>
              </w:rPr>
              <w:t xml:space="preserve"> (DLF), los conocimientos especializados y la financiación necesarios para llevar a cabo actividades de fortalecimiento de capacidades en Sri Lanka.  </w:t>
            </w:r>
          </w:p>
          <w:p w:rsidR="003E311F" w:rsidRPr="00515D00" w:rsidRDefault="003E311F" w:rsidP="007A358B">
            <w:pPr>
              <w:autoSpaceDE w:val="0"/>
              <w:autoSpaceDN w:val="0"/>
              <w:spacing w:before="60" w:after="60"/>
              <w:rPr>
                <w:sz w:val="16"/>
                <w:szCs w:val="16"/>
              </w:rPr>
            </w:pPr>
            <w:r w:rsidRPr="00515D00">
              <w:rPr>
                <w:color w:val="000000"/>
                <w:sz w:val="16"/>
                <w:szCs w:val="16"/>
              </w:rPr>
              <w:t>Entre las actividades figuran i) la formación de editores locales, públicos y privados, así como de ONG locales, en la producción</w:t>
            </w:r>
            <w:r>
              <w:rPr>
                <w:color w:val="000000"/>
                <w:sz w:val="16"/>
                <w:szCs w:val="16"/>
              </w:rPr>
              <w:t xml:space="preserve"> de libros en formato accesible; </w:t>
            </w:r>
            <w:r w:rsidRPr="00515D00">
              <w:rPr>
                <w:color w:val="000000"/>
                <w:sz w:val="16"/>
                <w:szCs w:val="16"/>
              </w:rPr>
              <w:t xml:space="preserve"> ii) la producción de 1.069 libros educativos en formato accesible en cingalés</w:t>
            </w:r>
            <w:r>
              <w:rPr>
                <w:color w:val="000000"/>
                <w:sz w:val="16"/>
                <w:szCs w:val="16"/>
              </w:rPr>
              <w:t xml:space="preserve">; </w:t>
            </w:r>
            <w:r w:rsidRPr="00515D00">
              <w:rPr>
                <w:color w:val="000000"/>
                <w:sz w:val="16"/>
                <w:szCs w:val="16"/>
              </w:rPr>
              <w:t xml:space="preserve"> y iii) la compra de 80 dispositivos DAISY de lectura que se prestarán a estudiantes discapacitados visuales para que puedan leer esos libros.  Se prevé que se beneficien de ellos 10.000 estudiantes discapacitados visuales.</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Fortalecimiento de la capacidad (mediante un memorando de entendimiento)</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Sri Lanka</w:t>
            </w:r>
          </w:p>
        </w:tc>
        <w:tc>
          <w:tcPr>
            <w:tcW w:w="5245" w:type="dxa"/>
            <w:gridSpan w:val="4"/>
          </w:tcPr>
          <w:p w:rsidR="003E311F" w:rsidRPr="00515D00" w:rsidRDefault="003E311F" w:rsidP="007A358B">
            <w:pPr>
              <w:autoSpaceDE w:val="0"/>
              <w:autoSpaceDN w:val="0"/>
              <w:spacing w:before="60" w:after="60"/>
              <w:rPr>
                <w:sz w:val="16"/>
                <w:szCs w:val="16"/>
              </w:rPr>
            </w:pPr>
            <w:r w:rsidRPr="00515D00">
              <w:rPr>
                <w:color w:val="000000"/>
                <w:sz w:val="16"/>
                <w:szCs w:val="16"/>
              </w:rPr>
              <w:t>Se elaboró una aplicación de lectura de texto mejorada en cingalés para que los discapacitados visuales pudieran leer libros en formato accesible.  Previamente solo existía una aplicación de lectura de texto en cingalés de sonido sumamente sintético.  La aplicación fue desarrollada por la Facultad de Informática de la Universidad de Colombo.</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lastRenderedPageBreak/>
              <w:t>Fortalecimiento de la capacidad (mediante un memorando de entendimiento)</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Nepal</w:t>
            </w:r>
          </w:p>
        </w:tc>
        <w:tc>
          <w:tcPr>
            <w:tcW w:w="5245" w:type="dxa"/>
            <w:gridSpan w:val="4"/>
          </w:tcPr>
          <w:p w:rsidR="003E311F" w:rsidRPr="00515D00" w:rsidRDefault="003E311F" w:rsidP="007A358B">
            <w:pPr>
              <w:widowControl w:val="0"/>
              <w:autoSpaceDE w:val="0"/>
              <w:autoSpaceDN w:val="0"/>
              <w:adjustRightInd w:val="0"/>
              <w:spacing w:before="120" w:after="120"/>
              <w:rPr>
                <w:sz w:val="16"/>
                <w:szCs w:val="16"/>
              </w:rPr>
            </w:pPr>
            <w:r w:rsidRPr="00515D00">
              <w:rPr>
                <w:sz w:val="16"/>
                <w:szCs w:val="16"/>
              </w:rPr>
              <w:t xml:space="preserve">Proporcionar a una organización local, la </w:t>
            </w:r>
            <w:r w:rsidRPr="00124FA2">
              <w:rPr>
                <w:i/>
                <w:sz w:val="16"/>
                <w:szCs w:val="16"/>
              </w:rPr>
              <w:t>Action on Disability Rights and Development</w:t>
            </w:r>
            <w:r w:rsidRPr="00515D00">
              <w:rPr>
                <w:sz w:val="16"/>
                <w:szCs w:val="16"/>
              </w:rPr>
              <w:t xml:space="preserve"> (ADRAD), los conocimientos especializados y la financiación necesarios para llevar a cabo actividades de fortalecimiento de capacidades en Nepal.</w:t>
            </w:r>
          </w:p>
          <w:p w:rsidR="003E311F" w:rsidRPr="00515D00" w:rsidRDefault="003E311F" w:rsidP="007A358B">
            <w:pPr>
              <w:autoSpaceDE w:val="0"/>
              <w:autoSpaceDN w:val="0"/>
              <w:spacing w:before="60" w:after="60"/>
              <w:rPr>
                <w:color w:val="000000"/>
                <w:sz w:val="16"/>
                <w:szCs w:val="16"/>
              </w:rPr>
            </w:pPr>
            <w:r w:rsidRPr="00515D00">
              <w:rPr>
                <w:sz w:val="16"/>
                <w:szCs w:val="16"/>
              </w:rPr>
              <w:t>Entre las actividades figuran i) la formación de editores locales, públicos y privados, así como de ONG locales, en la producción</w:t>
            </w:r>
            <w:r>
              <w:rPr>
                <w:sz w:val="16"/>
                <w:szCs w:val="16"/>
              </w:rPr>
              <w:t xml:space="preserve"> de libros en formato accesible; </w:t>
            </w:r>
            <w:r w:rsidRPr="00515D00">
              <w:rPr>
                <w:sz w:val="16"/>
                <w:szCs w:val="16"/>
              </w:rPr>
              <w:t xml:space="preserve"> ii) la producción de 140 libros educativos en formato accesible en inglés y nepalés</w:t>
            </w:r>
            <w:r>
              <w:rPr>
                <w:sz w:val="16"/>
                <w:szCs w:val="16"/>
              </w:rPr>
              <w:t xml:space="preserve">; </w:t>
            </w:r>
            <w:r w:rsidRPr="00515D00">
              <w:rPr>
                <w:sz w:val="16"/>
                <w:szCs w:val="16"/>
              </w:rPr>
              <w:t xml:space="preserve"> y iii) la compra de 100 dispositivos Android que se prestarán a estudiantes discapacitados visuales para que puedan leer esos libros.  </w:t>
            </w:r>
            <w:r w:rsidRPr="00515D00">
              <w:rPr>
                <w:color w:val="000000"/>
                <w:sz w:val="16"/>
                <w:szCs w:val="16"/>
              </w:rPr>
              <w:t>Se prevé que se beneficien de ellos 1.500 estudiantes discapacitados visuales.</w:t>
            </w:r>
          </w:p>
        </w:tc>
      </w:tr>
      <w:tr w:rsidR="003E311F" w:rsidRPr="00057B87" w:rsidTr="007A358B">
        <w:trPr>
          <w:cantSplit/>
          <w:trHeight w:val="315"/>
        </w:trPr>
        <w:tc>
          <w:tcPr>
            <w:tcW w:w="1843" w:type="dxa"/>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Fortalecimiento de la capacidad – Kit de iniciación DAISY</w:t>
            </w:r>
          </w:p>
        </w:tc>
        <w:tc>
          <w:tcPr>
            <w:tcW w:w="1134" w:type="dxa"/>
          </w:tcPr>
          <w:p w:rsidR="003E311F" w:rsidRPr="00515D00" w:rsidRDefault="003E311F" w:rsidP="007A358B">
            <w:pPr>
              <w:autoSpaceDE w:val="0"/>
              <w:autoSpaceDN w:val="0"/>
              <w:spacing w:before="60" w:after="60"/>
              <w:rPr>
                <w:color w:val="000000"/>
                <w:sz w:val="16"/>
                <w:szCs w:val="16"/>
              </w:rPr>
            </w:pPr>
            <w:r>
              <w:rPr>
                <w:color w:val="000000"/>
                <w:sz w:val="16"/>
                <w:szCs w:val="16"/>
              </w:rPr>
              <w:t>En curso desde</w:t>
            </w:r>
            <w:r w:rsidRPr="00515D00">
              <w:rPr>
                <w:color w:val="000000"/>
                <w:sz w:val="16"/>
                <w:szCs w:val="16"/>
              </w:rPr>
              <w:t xml:space="preserve"> 2014 y </w:t>
            </w:r>
            <w:r>
              <w:rPr>
                <w:color w:val="000000"/>
                <w:sz w:val="16"/>
                <w:szCs w:val="16"/>
              </w:rPr>
              <w:t>finalizado en</w:t>
            </w:r>
            <w:r w:rsidRPr="00515D00">
              <w:rPr>
                <w:color w:val="000000"/>
                <w:sz w:val="16"/>
                <w:szCs w:val="16"/>
              </w:rPr>
              <w:t xml:space="preserve"> mayo de 2015</w:t>
            </w:r>
          </w:p>
        </w:tc>
        <w:tc>
          <w:tcPr>
            <w:tcW w:w="1559" w:type="dxa"/>
            <w:gridSpan w:val="2"/>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India</w:t>
            </w:r>
          </w:p>
        </w:tc>
        <w:tc>
          <w:tcPr>
            <w:tcW w:w="5245" w:type="dxa"/>
            <w:gridSpan w:val="4"/>
          </w:tcPr>
          <w:p w:rsidR="003E311F" w:rsidRPr="00515D00" w:rsidRDefault="003E311F" w:rsidP="007A358B">
            <w:pPr>
              <w:autoSpaceDE w:val="0"/>
              <w:autoSpaceDN w:val="0"/>
              <w:spacing w:before="60" w:after="60"/>
              <w:rPr>
                <w:color w:val="000000"/>
                <w:sz w:val="16"/>
                <w:szCs w:val="16"/>
              </w:rPr>
            </w:pPr>
            <w:r w:rsidRPr="00515D00">
              <w:rPr>
                <w:color w:val="000000"/>
                <w:sz w:val="16"/>
                <w:szCs w:val="16"/>
              </w:rPr>
              <w:t xml:space="preserve">Se proporcionó a una organización asociada, el DAISY Consortium, la financiación necesaria para que produjera un Kit de Iniciación con orientaciones y buenas prácticas para la producción de libros en formato accesible en los países en desarrollo.  </w:t>
            </w:r>
          </w:p>
        </w:tc>
      </w:tr>
      <w:tr w:rsidR="003E311F" w:rsidRPr="00057B87" w:rsidTr="007A358B">
        <w:trPr>
          <w:cantSplit/>
          <w:trHeight w:val="315"/>
        </w:trPr>
        <w:tc>
          <w:tcPr>
            <w:tcW w:w="9781" w:type="dxa"/>
            <w:gridSpan w:val="8"/>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sz w:val="18"/>
                <w:szCs w:val="18"/>
              </w:rPr>
            </w:pPr>
            <w:r w:rsidRPr="00515D00">
              <w:rPr>
                <w:b/>
                <w:bCs/>
                <w:color w:val="000000"/>
                <w:sz w:val="16"/>
                <w:szCs w:val="16"/>
              </w:rPr>
              <w:t>RESULTADO:</w:t>
            </w:r>
            <w:r w:rsidRPr="00515D00">
              <w:rPr>
                <w:bCs/>
                <w:sz w:val="16"/>
                <w:szCs w:val="16"/>
              </w:rPr>
              <w:tab/>
              <w:t>VII.2  Plataformas y herramientas de P.I. utilizadas para la transferencia de conocimiento y la difusión y adaptación de tecnología de los países desarrollados en los países en desarrollo, en particular en los menos adelantados, con el fin de atender los desafíos mundiales</w:t>
            </w:r>
          </w:p>
        </w:tc>
      </w:tr>
      <w:tr w:rsidR="003E311F" w:rsidRPr="00515D00" w:rsidTr="007A358B">
        <w:trPr>
          <w:cantSplit/>
          <w:trHeight w:val="487"/>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559" w:type="dxa"/>
            <w:gridSpan w:val="2"/>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5245" w:type="dxa"/>
            <w:gridSpan w:val="4"/>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1362"/>
        </w:trPr>
        <w:tc>
          <w:tcPr>
            <w:tcW w:w="1843" w:type="dxa"/>
          </w:tcPr>
          <w:p w:rsidR="003E311F" w:rsidRPr="00515D00" w:rsidRDefault="003E311F" w:rsidP="007A358B">
            <w:pPr>
              <w:spacing w:before="120" w:after="120"/>
              <w:rPr>
                <w:color w:val="000000"/>
                <w:sz w:val="16"/>
                <w:szCs w:val="16"/>
              </w:rPr>
            </w:pPr>
            <w:r w:rsidRPr="00515D00">
              <w:rPr>
                <w:sz w:val="16"/>
                <w:szCs w:val="16"/>
              </w:rPr>
              <w:t>Continuación de los acuerdos de acogida de científicos biomédicos africanos en instituciones de investigación fuera de África</w:t>
            </w:r>
          </w:p>
        </w:tc>
        <w:tc>
          <w:tcPr>
            <w:tcW w:w="1134" w:type="dxa"/>
          </w:tcPr>
          <w:p w:rsidR="003E311F" w:rsidRPr="00515D00" w:rsidRDefault="003E311F" w:rsidP="007A358B">
            <w:pPr>
              <w:spacing w:before="120" w:after="120"/>
              <w:rPr>
                <w:color w:val="000000"/>
                <w:sz w:val="16"/>
                <w:szCs w:val="16"/>
              </w:rPr>
            </w:pPr>
            <w:r w:rsidRPr="00515D00">
              <w:rPr>
                <w:color w:val="000000"/>
                <w:sz w:val="16"/>
                <w:szCs w:val="16"/>
              </w:rPr>
              <w:t>Octubre a diciembre de 2015</w:t>
            </w:r>
            <w:r w:rsidRPr="00515D00">
              <w:rPr>
                <w:rStyle w:val="FootnoteReference"/>
                <w:color w:val="000000"/>
                <w:sz w:val="16"/>
                <w:szCs w:val="16"/>
              </w:rPr>
              <w:footnoteReference w:id="151"/>
            </w:r>
          </w:p>
        </w:tc>
        <w:tc>
          <w:tcPr>
            <w:tcW w:w="1559" w:type="dxa"/>
            <w:gridSpan w:val="2"/>
          </w:tcPr>
          <w:p w:rsidR="003E311F" w:rsidRPr="00515D00" w:rsidRDefault="003E311F" w:rsidP="007A358B">
            <w:pPr>
              <w:spacing w:before="120" w:after="120" w:line="276" w:lineRule="auto"/>
              <w:rPr>
                <w:color w:val="000000"/>
                <w:sz w:val="16"/>
                <w:szCs w:val="16"/>
              </w:rPr>
            </w:pPr>
            <w:r w:rsidRPr="00515D00">
              <w:rPr>
                <w:color w:val="000000"/>
                <w:sz w:val="16"/>
                <w:szCs w:val="16"/>
              </w:rPr>
              <w:t>Universidad de California en Sa</w:t>
            </w:r>
            <w:r w:rsidRPr="00515D00">
              <w:rPr>
                <w:sz w:val="16"/>
                <w:szCs w:val="16"/>
              </w:rPr>
              <w:t>n Diego</w:t>
            </w:r>
            <w:r w:rsidRPr="00515D00">
              <w:rPr>
                <w:color w:val="000000"/>
                <w:sz w:val="16"/>
                <w:szCs w:val="16"/>
              </w:rPr>
              <w:t xml:space="preserve">, (EE.UU) / Dr. Christian Agyare y </w:t>
            </w:r>
            <w:r w:rsidRPr="00D41AF2">
              <w:rPr>
                <w:color w:val="000000"/>
                <w:sz w:val="16"/>
                <w:szCs w:val="16"/>
              </w:rPr>
              <w:t>Srta</w:t>
            </w:r>
            <w:r w:rsidRPr="00515D00">
              <w:rPr>
                <w:color w:val="000000"/>
                <w:sz w:val="16"/>
                <w:szCs w:val="16"/>
              </w:rPr>
              <w:t>.  Kyere-Davies.</w:t>
            </w:r>
          </w:p>
        </w:tc>
        <w:tc>
          <w:tcPr>
            <w:tcW w:w="5245" w:type="dxa"/>
            <w:gridSpan w:val="4"/>
          </w:tcPr>
          <w:p w:rsidR="003E311F" w:rsidRPr="00515D00" w:rsidRDefault="003E311F" w:rsidP="007A358B">
            <w:pPr>
              <w:spacing w:before="120" w:after="120"/>
              <w:rPr>
                <w:color w:val="000000"/>
                <w:sz w:val="16"/>
                <w:szCs w:val="16"/>
              </w:rPr>
            </w:pPr>
            <w:r w:rsidRPr="00515D00">
              <w:rPr>
                <w:sz w:val="16"/>
                <w:szCs w:val="16"/>
              </w:rPr>
              <w:t xml:space="preserve">Promover i) el uso eficaz de la P.I. para abordar un problema de salud mundial (enfermedades tropicales desatendidas), que afecta a muchos PMA y ii) la transferencia de conocimientos </w:t>
            </w:r>
            <w:r>
              <w:rPr>
                <w:sz w:val="16"/>
                <w:szCs w:val="16"/>
              </w:rPr>
              <w:t>a</w:t>
            </w:r>
            <w:r w:rsidRPr="00515D00">
              <w:rPr>
                <w:sz w:val="16"/>
                <w:szCs w:val="16"/>
              </w:rPr>
              <w:t xml:space="preserve"> los científicos, especialmente de PMA.  Se han puesto a punto programas de investigación específicos para velar por que los participantes mejoren las capacidades de investigación y sean capaces de efectuar una contribución </w:t>
            </w:r>
            <w:r>
              <w:rPr>
                <w:sz w:val="16"/>
                <w:szCs w:val="16"/>
              </w:rPr>
              <w:t>relevante en su</w:t>
            </w:r>
            <w:r w:rsidRPr="00515D00">
              <w:rPr>
                <w:sz w:val="16"/>
                <w:szCs w:val="16"/>
              </w:rPr>
              <w:t>s países de procedencia en el ámbito de las enfermedades tropicales desatendidas.</w:t>
            </w:r>
          </w:p>
        </w:tc>
      </w:tr>
    </w:tbl>
    <w:p w:rsidR="003E311F" w:rsidRPr="00515D00" w:rsidRDefault="003E311F" w:rsidP="003E311F"/>
    <w:p w:rsidR="003E311F" w:rsidRDefault="003E311F" w:rsidP="003E311F">
      <w:pPr>
        <w:rPr>
          <w:b/>
        </w:rPr>
      </w:pPr>
    </w:p>
    <w:p w:rsidR="00DA3508" w:rsidRPr="00DA3508" w:rsidRDefault="00DA3508" w:rsidP="00DA3508">
      <w:pPr>
        <w:rPr>
          <w:b/>
          <w:bCs/>
          <w:color w:val="000000"/>
        </w:rPr>
      </w:pPr>
      <w:r w:rsidRPr="00DA3508">
        <w:rPr>
          <w:b/>
          <w:szCs w:val="16"/>
        </w:rPr>
        <w:t xml:space="preserve">AUSTRALIA </w:t>
      </w:r>
      <w:r w:rsidRPr="007329AC">
        <w:rPr>
          <w:b/>
          <w:sz w:val="20"/>
        </w:rPr>
        <w:t xml:space="preserve">- Contribuciones de donantes y gastos de </w:t>
      </w:r>
      <w:r w:rsidRPr="007329AC">
        <w:rPr>
          <w:b/>
          <w:bCs/>
          <w:color w:val="000000"/>
          <w:sz w:val="20"/>
        </w:rPr>
        <w:t>2015</w:t>
      </w:r>
    </w:p>
    <w:p w:rsidR="00DA3508" w:rsidRPr="00DA3508" w:rsidRDefault="00DA3508" w:rsidP="00DA3508"/>
    <w:tbl>
      <w:tblPr>
        <w:tblW w:w="9792" w:type="dxa"/>
        <w:tblInd w:w="98" w:type="dxa"/>
        <w:tblLook w:val="04A0" w:firstRow="1" w:lastRow="0" w:firstColumn="1" w:lastColumn="0" w:noHBand="0" w:noVBand="1"/>
      </w:tblPr>
      <w:tblGrid>
        <w:gridCol w:w="2040"/>
        <w:gridCol w:w="1640"/>
        <w:gridCol w:w="1860"/>
        <w:gridCol w:w="1780"/>
        <w:gridCol w:w="2472"/>
      </w:tblGrid>
      <w:tr w:rsidR="00DA3508" w:rsidRPr="000B5656" w:rsidTr="00DA3508">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DA3508" w:rsidRPr="000B5656" w:rsidRDefault="00DA3508" w:rsidP="00DA3508">
            <w:pPr>
              <w:jc w:val="center"/>
              <w:rPr>
                <w:b/>
                <w:bCs/>
                <w:color w:val="000000"/>
                <w:sz w:val="16"/>
                <w:szCs w:val="16"/>
              </w:rPr>
            </w:pPr>
            <w:r>
              <w:rPr>
                <w:b/>
                <w:bCs/>
                <w:sz w:val="16"/>
                <w:szCs w:val="16"/>
              </w:rPr>
              <w:t>Saldo el</w:t>
            </w:r>
            <w:r w:rsidRPr="00515D00">
              <w:rPr>
                <w:b/>
                <w:bCs/>
                <w:sz w:val="16"/>
                <w:szCs w:val="16"/>
              </w:rPr>
              <w:t xml:space="preserve"> 31 de diciembre de </w:t>
            </w:r>
            <w:r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DA3508" w:rsidRPr="000B5656" w:rsidRDefault="00DA3508" w:rsidP="00B573D2">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DA3508" w:rsidRPr="000B5656" w:rsidRDefault="00DA3508" w:rsidP="00B573D2">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DA3508" w:rsidRPr="000B5656" w:rsidRDefault="00DA3508" w:rsidP="00B573D2">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000000" w:fill="C5D9F1"/>
            <w:vAlign w:val="center"/>
            <w:hideMark/>
          </w:tcPr>
          <w:p w:rsidR="00DA3508" w:rsidRPr="000B5656" w:rsidRDefault="00DA3508" w:rsidP="00B573D2">
            <w:pPr>
              <w:jc w:val="center"/>
              <w:rPr>
                <w:b/>
                <w:bCs/>
                <w:color w:val="000000"/>
                <w:sz w:val="16"/>
                <w:szCs w:val="16"/>
              </w:rPr>
            </w:pPr>
            <w:r>
              <w:rPr>
                <w:b/>
                <w:bCs/>
                <w:sz w:val="16"/>
                <w:szCs w:val="16"/>
              </w:rPr>
              <w:t>Saldo el</w:t>
            </w:r>
            <w:r w:rsidRPr="00515D00">
              <w:rPr>
                <w:b/>
                <w:bCs/>
                <w:sz w:val="16"/>
                <w:szCs w:val="16"/>
              </w:rPr>
              <w:t xml:space="preserve"> 31 de diciembre de</w:t>
            </w:r>
            <w:r>
              <w:rPr>
                <w:b/>
                <w:bCs/>
                <w:sz w:val="16"/>
                <w:szCs w:val="16"/>
              </w:rPr>
              <w:t> </w:t>
            </w:r>
            <w:r w:rsidRPr="00515D00">
              <w:rPr>
                <w:b/>
                <w:bCs/>
                <w:color w:val="000000"/>
                <w:sz w:val="16"/>
                <w:szCs w:val="16"/>
              </w:rPr>
              <w:t>2015</w:t>
            </w:r>
          </w:p>
        </w:tc>
      </w:tr>
      <w:tr w:rsidR="00DA3508" w:rsidRPr="000B5656" w:rsidTr="00DA3508">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3508" w:rsidRPr="000B5656" w:rsidRDefault="00DA3508" w:rsidP="00123A02">
            <w:pPr>
              <w:jc w:val="center"/>
              <w:rPr>
                <w:color w:val="000000"/>
                <w:sz w:val="16"/>
                <w:szCs w:val="16"/>
              </w:rPr>
            </w:pPr>
            <w:r>
              <w:rPr>
                <w:color w:val="000000"/>
                <w:sz w:val="16"/>
                <w:szCs w:val="16"/>
              </w:rPr>
              <w:t>493</w:t>
            </w:r>
            <w:r w:rsidR="00123A02">
              <w:rPr>
                <w:color w:val="000000"/>
                <w:sz w:val="16"/>
                <w:szCs w:val="16"/>
              </w:rPr>
              <w:t>.</w:t>
            </w:r>
            <w:r>
              <w:rPr>
                <w:color w:val="000000"/>
                <w:sz w:val="16"/>
                <w:szCs w:val="16"/>
              </w:rPr>
              <w:t>374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DA3508" w:rsidRPr="000B5656" w:rsidRDefault="00DA3508" w:rsidP="00B573D2">
            <w:pPr>
              <w:jc w:val="center"/>
              <w:rPr>
                <w:color w:val="000000"/>
                <w:sz w:val="16"/>
                <w:szCs w:val="16"/>
              </w:rPr>
            </w:pPr>
            <w:r>
              <w:rPr>
                <w:color w:val="000000"/>
                <w:sz w:val="16"/>
                <w:szCs w:val="16"/>
              </w:rPr>
              <w:t>727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DA3508" w:rsidRPr="000B5656" w:rsidRDefault="00DA3508" w:rsidP="00123A02">
            <w:pPr>
              <w:jc w:val="center"/>
              <w:rPr>
                <w:color w:val="000000"/>
                <w:sz w:val="16"/>
                <w:szCs w:val="16"/>
              </w:rPr>
            </w:pPr>
            <w:r>
              <w:rPr>
                <w:color w:val="000000"/>
                <w:sz w:val="16"/>
                <w:szCs w:val="16"/>
              </w:rPr>
              <w:t>383</w:t>
            </w:r>
            <w:r w:rsidR="00123A02">
              <w:rPr>
                <w:color w:val="000000"/>
                <w:sz w:val="16"/>
                <w:szCs w:val="16"/>
              </w:rPr>
              <w:t>.</w:t>
            </w:r>
            <w:r>
              <w:rPr>
                <w:color w:val="000000"/>
                <w:sz w:val="16"/>
                <w:szCs w:val="16"/>
              </w:rPr>
              <w:t>882</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DA3508" w:rsidRPr="00EF296D" w:rsidRDefault="00DA3508" w:rsidP="00B573D2">
            <w:pPr>
              <w:jc w:val="center"/>
              <w:rPr>
                <w:color w:val="000000"/>
                <w:sz w:val="16"/>
                <w:szCs w:val="16"/>
              </w:rPr>
            </w:pPr>
            <w:r>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DA3508" w:rsidRPr="000B5656" w:rsidRDefault="00DA3508" w:rsidP="00123A02">
            <w:pPr>
              <w:jc w:val="center"/>
              <w:rPr>
                <w:color w:val="000000"/>
                <w:sz w:val="16"/>
                <w:szCs w:val="16"/>
              </w:rPr>
            </w:pPr>
            <w:r>
              <w:rPr>
                <w:color w:val="000000"/>
                <w:sz w:val="16"/>
                <w:szCs w:val="16"/>
              </w:rPr>
              <w:t>110</w:t>
            </w:r>
            <w:r w:rsidR="00123A02">
              <w:rPr>
                <w:color w:val="000000"/>
                <w:sz w:val="16"/>
                <w:szCs w:val="16"/>
              </w:rPr>
              <w:t>.</w:t>
            </w:r>
            <w:r>
              <w:rPr>
                <w:color w:val="000000"/>
                <w:sz w:val="16"/>
                <w:szCs w:val="16"/>
              </w:rPr>
              <w:t>219</w:t>
            </w:r>
          </w:p>
        </w:tc>
      </w:tr>
    </w:tbl>
    <w:p w:rsidR="00DA3508" w:rsidRDefault="00DA3508" w:rsidP="00DA3508">
      <w:pPr>
        <w:rPr>
          <w:b/>
        </w:rPr>
      </w:pPr>
    </w:p>
    <w:p w:rsidR="00DA3508" w:rsidRPr="00515D00" w:rsidRDefault="00DA3508" w:rsidP="003E311F">
      <w:pPr>
        <w:rPr>
          <w:b/>
        </w:rPr>
      </w:pPr>
    </w:p>
    <w:p w:rsidR="003E311F" w:rsidRPr="007329AC" w:rsidRDefault="003E311F" w:rsidP="003E311F">
      <w:pPr>
        <w:rPr>
          <w:b/>
          <w:sz w:val="20"/>
        </w:rPr>
      </w:pPr>
      <w:r w:rsidRPr="007329AC">
        <w:rPr>
          <w:b/>
          <w:sz w:val="20"/>
        </w:rPr>
        <w:t>BRASIL</w:t>
      </w:r>
    </w:p>
    <w:p w:rsidR="003E311F" w:rsidRPr="007329AC" w:rsidRDefault="003E311F" w:rsidP="003E311F">
      <w:pPr>
        <w:rPr>
          <w:b/>
          <w:sz w:val="20"/>
        </w:rPr>
      </w:pP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559"/>
        <w:gridCol w:w="5104"/>
      </w:tblGrid>
      <w:tr w:rsidR="003E311F" w:rsidRPr="00057B87" w:rsidTr="007A358B">
        <w:trPr>
          <w:cantSplit/>
          <w:trHeight w:val="315"/>
        </w:trPr>
        <w:tc>
          <w:tcPr>
            <w:tcW w:w="9782" w:type="dxa"/>
            <w:gridSpan w:val="4"/>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02"/>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559"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5104"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5E4BCB">
        <w:trPr>
          <w:cantSplit/>
          <w:trHeight w:val="315"/>
        </w:trPr>
        <w:tc>
          <w:tcPr>
            <w:tcW w:w="1843" w:type="dxa"/>
            <w:tcBorders>
              <w:bottom w:val="nil"/>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IX Reunión anual del Foro Nacional de Gestores de Innovación y Transferencia de Tecnología (FORTEC)</w:t>
            </w:r>
          </w:p>
        </w:tc>
        <w:tc>
          <w:tcPr>
            <w:tcW w:w="1276" w:type="dxa"/>
            <w:tcBorders>
              <w:bottom w:val="nil"/>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19 a 22 de mayo de 2015</w:t>
            </w:r>
          </w:p>
        </w:tc>
        <w:tc>
          <w:tcPr>
            <w:tcW w:w="1559" w:type="dxa"/>
            <w:tcBorders>
              <w:bottom w:val="nil"/>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Brasil</w:t>
            </w:r>
          </w:p>
        </w:tc>
        <w:tc>
          <w:tcPr>
            <w:tcW w:w="5104" w:type="dxa"/>
            <w:tcBorders>
              <w:bottom w:val="nil"/>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Debatir temas relacionado</w:t>
            </w:r>
            <w:r>
              <w:rPr>
                <w:color w:val="000000"/>
                <w:sz w:val="16"/>
                <w:szCs w:val="16"/>
              </w:rPr>
              <w:t>s con las políticas y las estrategi</w:t>
            </w:r>
            <w:r w:rsidRPr="00515D00">
              <w:rPr>
                <w:color w:val="000000"/>
                <w:sz w:val="16"/>
                <w:szCs w:val="16"/>
              </w:rPr>
              <w:t>as de innovación y desarrollar compet</w:t>
            </w:r>
            <w:r>
              <w:rPr>
                <w:color w:val="000000"/>
                <w:sz w:val="16"/>
                <w:szCs w:val="16"/>
              </w:rPr>
              <w:t>e</w:t>
            </w:r>
            <w:r w:rsidRPr="00515D00">
              <w:rPr>
                <w:color w:val="000000"/>
                <w:sz w:val="16"/>
                <w:szCs w:val="16"/>
              </w:rPr>
              <w:t>ncias en los campos de la transferencia de tecnología y la gestión de P.I.</w:t>
            </w:r>
          </w:p>
        </w:tc>
      </w:tr>
      <w:tr w:rsidR="003E311F" w:rsidRPr="00057B87" w:rsidTr="00DA3508">
        <w:trPr>
          <w:cantSplit/>
          <w:trHeight w:val="315"/>
        </w:trPr>
        <w:tc>
          <w:tcPr>
            <w:tcW w:w="1843" w:type="dxa"/>
            <w:tcBorders>
              <w:top w:val="nil"/>
              <w:bottom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 xml:space="preserve">Taller sobre protección de la P.I. y estrategias de comercialización de los resultados de la investigación </w:t>
            </w:r>
          </w:p>
        </w:tc>
        <w:tc>
          <w:tcPr>
            <w:tcW w:w="1276" w:type="dxa"/>
            <w:tcBorders>
              <w:top w:val="nil"/>
              <w:bottom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6 a 10 de julio de 2015</w:t>
            </w:r>
          </w:p>
        </w:tc>
        <w:tc>
          <w:tcPr>
            <w:tcW w:w="1559" w:type="dxa"/>
            <w:tcBorders>
              <w:top w:val="nil"/>
              <w:bottom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Brasil</w:t>
            </w:r>
          </w:p>
        </w:tc>
        <w:tc>
          <w:tcPr>
            <w:tcW w:w="5104" w:type="dxa"/>
            <w:tcBorders>
              <w:top w:val="nil"/>
              <w:bottom w:val="single" w:sz="4" w:space="0" w:color="000000"/>
            </w:tcBorders>
          </w:tcPr>
          <w:p w:rsidR="003E311F" w:rsidRPr="00515D00" w:rsidRDefault="003E311F" w:rsidP="007A358B">
            <w:pPr>
              <w:autoSpaceDE w:val="0"/>
              <w:autoSpaceDN w:val="0"/>
              <w:adjustRightInd w:val="0"/>
              <w:spacing w:before="120" w:after="120"/>
              <w:rPr>
                <w:color w:val="000000"/>
                <w:sz w:val="16"/>
                <w:szCs w:val="16"/>
              </w:rPr>
            </w:pPr>
            <w:r w:rsidRPr="00515D00">
              <w:rPr>
                <w:color w:val="000000"/>
                <w:sz w:val="16"/>
                <w:szCs w:val="16"/>
              </w:rPr>
              <w:t>Proporcionar formación práctica sobre la gesti</w:t>
            </w:r>
            <w:r>
              <w:rPr>
                <w:color w:val="000000"/>
                <w:sz w:val="16"/>
                <w:szCs w:val="16"/>
              </w:rPr>
              <w:t>ó</w:t>
            </w:r>
            <w:r w:rsidRPr="00515D00">
              <w:rPr>
                <w:color w:val="000000"/>
                <w:sz w:val="16"/>
                <w:szCs w:val="16"/>
              </w:rPr>
              <w:t>n y las estrategias de protección de los derechos de propiedad intelectual en las universidades y las instituciones de I+D</w:t>
            </w:r>
            <w:r>
              <w:rPr>
                <w:color w:val="000000"/>
                <w:sz w:val="16"/>
                <w:szCs w:val="16"/>
              </w:rPr>
              <w:t>.</w:t>
            </w:r>
          </w:p>
        </w:tc>
      </w:tr>
      <w:tr w:rsidR="003E311F" w:rsidRPr="00057B87" w:rsidTr="0068415A">
        <w:trPr>
          <w:cantSplit/>
          <w:trHeight w:val="315"/>
        </w:trPr>
        <w:tc>
          <w:tcPr>
            <w:tcW w:w="1843" w:type="dxa"/>
            <w:tcBorders>
              <w:top w:val="single" w:sz="4" w:space="0" w:color="000000"/>
              <w:bottom w:val="nil"/>
            </w:tcBorders>
          </w:tcPr>
          <w:p w:rsidR="003E311F" w:rsidRPr="00515D00" w:rsidRDefault="003E311F" w:rsidP="00EB12D2">
            <w:pPr>
              <w:autoSpaceDE w:val="0"/>
              <w:autoSpaceDN w:val="0"/>
              <w:adjustRightInd w:val="0"/>
              <w:spacing w:before="120" w:after="120"/>
              <w:rPr>
                <w:color w:val="000000"/>
                <w:sz w:val="16"/>
                <w:szCs w:val="16"/>
              </w:rPr>
            </w:pPr>
            <w:r w:rsidRPr="00515D00">
              <w:rPr>
                <w:color w:val="000000"/>
                <w:sz w:val="16"/>
                <w:szCs w:val="16"/>
              </w:rPr>
              <w:lastRenderedPageBreak/>
              <w:t xml:space="preserve">VIII </w:t>
            </w:r>
            <w:r w:rsidR="00EB12D2" w:rsidRPr="00515D00">
              <w:rPr>
                <w:color w:val="000000"/>
                <w:sz w:val="16"/>
                <w:szCs w:val="16"/>
              </w:rPr>
              <w:t xml:space="preserve">Encuentro </w:t>
            </w:r>
            <w:r w:rsidRPr="00515D00">
              <w:rPr>
                <w:color w:val="000000"/>
                <w:sz w:val="16"/>
                <w:szCs w:val="16"/>
              </w:rPr>
              <w:t>académico del ENAPID sobre propiedad intelectual, innovación y desarrollo</w:t>
            </w:r>
          </w:p>
        </w:tc>
        <w:tc>
          <w:tcPr>
            <w:tcW w:w="1276" w:type="dxa"/>
            <w:tcBorders>
              <w:top w:val="single" w:sz="4" w:space="0" w:color="000000"/>
              <w:bottom w:val="nil"/>
            </w:tcBorders>
          </w:tcPr>
          <w:p w:rsidR="003E311F" w:rsidRPr="00515D00" w:rsidRDefault="003E311F" w:rsidP="00EB12D2">
            <w:pPr>
              <w:autoSpaceDE w:val="0"/>
              <w:autoSpaceDN w:val="0"/>
              <w:adjustRightInd w:val="0"/>
              <w:spacing w:before="120" w:after="120"/>
              <w:rPr>
                <w:sz w:val="16"/>
                <w:szCs w:val="16"/>
              </w:rPr>
            </w:pPr>
            <w:r w:rsidRPr="00515D00">
              <w:rPr>
                <w:sz w:val="16"/>
                <w:szCs w:val="16"/>
              </w:rPr>
              <w:t>11 a 14 de agosto de 2015</w:t>
            </w:r>
          </w:p>
        </w:tc>
        <w:tc>
          <w:tcPr>
            <w:tcW w:w="1559" w:type="dxa"/>
            <w:tcBorders>
              <w:top w:val="single" w:sz="4" w:space="0" w:color="000000"/>
              <w:bottom w:val="nil"/>
            </w:tcBorders>
          </w:tcPr>
          <w:p w:rsidR="003E311F" w:rsidRPr="00515D00" w:rsidRDefault="003E311F" w:rsidP="00EB12D2">
            <w:pPr>
              <w:autoSpaceDE w:val="0"/>
              <w:autoSpaceDN w:val="0"/>
              <w:adjustRightInd w:val="0"/>
              <w:spacing w:before="120" w:after="120"/>
              <w:rPr>
                <w:sz w:val="16"/>
                <w:szCs w:val="16"/>
              </w:rPr>
            </w:pPr>
            <w:r w:rsidRPr="00515D00">
              <w:rPr>
                <w:sz w:val="16"/>
                <w:szCs w:val="16"/>
              </w:rPr>
              <w:t>Brasil</w:t>
            </w:r>
          </w:p>
        </w:tc>
        <w:tc>
          <w:tcPr>
            <w:tcW w:w="5104" w:type="dxa"/>
            <w:tcBorders>
              <w:top w:val="single" w:sz="4" w:space="0" w:color="000000"/>
              <w:bottom w:val="nil"/>
            </w:tcBorders>
          </w:tcPr>
          <w:p w:rsidR="003E311F" w:rsidRPr="00515D00" w:rsidRDefault="003E311F" w:rsidP="00EB12D2">
            <w:pPr>
              <w:autoSpaceDE w:val="0"/>
              <w:autoSpaceDN w:val="0"/>
              <w:adjustRightInd w:val="0"/>
              <w:spacing w:before="120" w:after="120"/>
              <w:rPr>
                <w:color w:val="000000"/>
                <w:sz w:val="16"/>
                <w:szCs w:val="16"/>
              </w:rPr>
            </w:pPr>
            <w:r w:rsidRPr="00515D00">
              <w:rPr>
                <w:color w:val="000000"/>
                <w:sz w:val="16"/>
                <w:szCs w:val="16"/>
              </w:rPr>
              <w:t xml:space="preserve">Promover la innovación sostenible y </w:t>
            </w:r>
            <w:r>
              <w:rPr>
                <w:color w:val="000000"/>
                <w:sz w:val="16"/>
                <w:szCs w:val="16"/>
              </w:rPr>
              <w:t>la relevancia</w:t>
            </w:r>
            <w:r w:rsidRPr="00515D00">
              <w:rPr>
                <w:color w:val="000000"/>
                <w:sz w:val="16"/>
                <w:szCs w:val="16"/>
              </w:rPr>
              <w:t xml:space="preserve"> del sistema de P.I. en el contexto económico mundial</w:t>
            </w:r>
            <w:r>
              <w:rPr>
                <w:color w:val="000000"/>
                <w:sz w:val="16"/>
                <w:szCs w:val="16"/>
              </w:rPr>
              <w:t>.</w:t>
            </w:r>
          </w:p>
        </w:tc>
      </w:tr>
      <w:tr w:rsidR="0068415A" w:rsidRPr="00057B87" w:rsidTr="00435151">
        <w:trPr>
          <w:cantSplit/>
          <w:trHeight w:val="315"/>
        </w:trPr>
        <w:tc>
          <w:tcPr>
            <w:tcW w:w="1843" w:type="dxa"/>
            <w:tcBorders>
              <w:top w:val="nil"/>
              <w:bottom w:val="nil"/>
            </w:tcBorders>
          </w:tcPr>
          <w:p w:rsidR="0068415A" w:rsidRPr="00515D00" w:rsidRDefault="0068415A" w:rsidP="00435151">
            <w:pPr>
              <w:autoSpaceDE w:val="0"/>
              <w:autoSpaceDN w:val="0"/>
              <w:adjustRightInd w:val="0"/>
              <w:spacing w:after="120"/>
              <w:rPr>
                <w:color w:val="000000"/>
                <w:sz w:val="16"/>
                <w:szCs w:val="16"/>
              </w:rPr>
            </w:pPr>
            <w:r>
              <w:rPr>
                <w:color w:val="000000"/>
                <w:sz w:val="16"/>
                <w:szCs w:val="16"/>
              </w:rPr>
              <w:t>Seminario sobre franquicias y solución extrajudicial de controversias</w:t>
            </w:r>
          </w:p>
        </w:tc>
        <w:tc>
          <w:tcPr>
            <w:tcW w:w="1276" w:type="dxa"/>
            <w:tcBorders>
              <w:top w:val="nil"/>
              <w:bottom w:val="nil"/>
            </w:tcBorders>
          </w:tcPr>
          <w:p w:rsidR="0068415A" w:rsidRPr="00515D00" w:rsidRDefault="0068415A" w:rsidP="00435151">
            <w:pPr>
              <w:rPr>
                <w:sz w:val="16"/>
                <w:szCs w:val="16"/>
              </w:rPr>
            </w:pPr>
            <w:r>
              <w:rPr>
                <w:sz w:val="16"/>
                <w:szCs w:val="16"/>
              </w:rPr>
              <w:t>3 de septiembre de 2015</w:t>
            </w:r>
          </w:p>
        </w:tc>
        <w:tc>
          <w:tcPr>
            <w:tcW w:w="1559" w:type="dxa"/>
            <w:tcBorders>
              <w:top w:val="nil"/>
              <w:bottom w:val="nil"/>
            </w:tcBorders>
          </w:tcPr>
          <w:p w:rsidR="0068415A" w:rsidRPr="00515D00" w:rsidRDefault="0068415A" w:rsidP="00435151">
            <w:pPr>
              <w:rPr>
                <w:sz w:val="16"/>
                <w:szCs w:val="16"/>
              </w:rPr>
            </w:pPr>
            <w:r>
              <w:rPr>
                <w:sz w:val="16"/>
                <w:szCs w:val="16"/>
              </w:rPr>
              <w:t>Brasil</w:t>
            </w:r>
          </w:p>
        </w:tc>
        <w:tc>
          <w:tcPr>
            <w:tcW w:w="5104" w:type="dxa"/>
            <w:tcBorders>
              <w:top w:val="nil"/>
              <w:bottom w:val="nil"/>
            </w:tcBorders>
          </w:tcPr>
          <w:p w:rsidR="0068415A" w:rsidRPr="00515D00" w:rsidRDefault="0068415A" w:rsidP="00435151">
            <w:pPr>
              <w:autoSpaceDE w:val="0"/>
              <w:autoSpaceDN w:val="0"/>
              <w:adjustRightInd w:val="0"/>
              <w:spacing w:after="120"/>
              <w:rPr>
                <w:color w:val="000000"/>
                <w:sz w:val="16"/>
                <w:szCs w:val="16"/>
              </w:rPr>
            </w:pPr>
            <w:r>
              <w:rPr>
                <w:color w:val="000000"/>
                <w:sz w:val="16"/>
                <w:szCs w:val="16"/>
              </w:rPr>
              <w:t>Fomentar el uso de las cláusulas de la OMPI para la solución extrajudicial de controversias en los contratos de franquicia, entre los miembros de la Asociación Brasileña de Franquicias</w:t>
            </w:r>
            <w:r w:rsidR="00EB12D2">
              <w:rPr>
                <w:color w:val="000000"/>
                <w:sz w:val="16"/>
                <w:szCs w:val="16"/>
              </w:rPr>
              <w:t>.</w:t>
            </w:r>
          </w:p>
        </w:tc>
      </w:tr>
      <w:tr w:rsidR="0068415A" w:rsidRPr="00057B87" w:rsidTr="0068415A">
        <w:trPr>
          <w:cantSplit/>
          <w:trHeight w:val="315"/>
        </w:trPr>
        <w:tc>
          <w:tcPr>
            <w:tcW w:w="1843" w:type="dxa"/>
            <w:tcBorders>
              <w:top w:val="nil"/>
              <w:bottom w:val="nil"/>
            </w:tcBorders>
          </w:tcPr>
          <w:p w:rsidR="0068415A" w:rsidRPr="00515D00" w:rsidRDefault="0068415A" w:rsidP="007A358B">
            <w:pPr>
              <w:autoSpaceDE w:val="0"/>
              <w:autoSpaceDN w:val="0"/>
              <w:adjustRightInd w:val="0"/>
              <w:spacing w:after="120"/>
              <w:rPr>
                <w:color w:val="000000"/>
                <w:sz w:val="16"/>
                <w:szCs w:val="16"/>
              </w:rPr>
            </w:pPr>
            <w:r>
              <w:rPr>
                <w:color w:val="000000"/>
                <w:sz w:val="16"/>
                <w:szCs w:val="16"/>
              </w:rPr>
              <w:t>Seminario sobre Tecnología, Licencias y Solución de Controversias</w:t>
            </w:r>
          </w:p>
        </w:tc>
        <w:tc>
          <w:tcPr>
            <w:tcW w:w="1276" w:type="dxa"/>
            <w:tcBorders>
              <w:top w:val="nil"/>
              <w:bottom w:val="nil"/>
            </w:tcBorders>
          </w:tcPr>
          <w:p w:rsidR="0068415A" w:rsidRPr="00515D00" w:rsidRDefault="0068415A" w:rsidP="007A358B">
            <w:pPr>
              <w:rPr>
                <w:sz w:val="16"/>
                <w:szCs w:val="16"/>
              </w:rPr>
            </w:pPr>
            <w:r>
              <w:rPr>
                <w:sz w:val="16"/>
                <w:szCs w:val="16"/>
              </w:rPr>
              <w:t>4 de septiembre de 2015</w:t>
            </w:r>
          </w:p>
        </w:tc>
        <w:tc>
          <w:tcPr>
            <w:tcW w:w="1559" w:type="dxa"/>
            <w:tcBorders>
              <w:top w:val="nil"/>
              <w:bottom w:val="nil"/>
            </w:tcBorders>
          </w:tcPr>
          <w:p w:rsidR="0068415A" w:rsidRPr="00515D00" w:rsidRDefault="0068415A" w:rsidP="007A358B">
            <w:pPr>
              <w:rPr>
                <w:sz w:val="16"/>
                <w:szCs w:val="16"/>
              </w:rPr>
            </w:pPr>
            <w:r>
              <w:rPr>
                <w:sz w:val="16"/>
                <w:szCs w:val="16"/>
              </w:rPr>
              <w:t>Brasil</w:t>
            </w:r>
          </w:p>
        </w:tc>
        <w:tc>
          <w:tcPr>
            <w:tcW w:w="5104" w:type="dxa"/>
            <w:tcBorders>
              <w:top w:val="nil"/>
              <w:bottom w:val="nil"/>
            </w:tcBorders>
          </w:tcPr>
          <w:p w:rsidR="0068415A" w:rsidRPr="00515D00" w:rsidRDefault="0068415A" w:rsidP="00435151">
            <w:pPr>
              <w:autoSpaceDE w:val="0"/>
              <w:autoSpaceDN w:val="0"/>
              <w:adjustRightInd w:val="0"/>
              <w:spacing w:after="120"/>
              <w:rPr>
                <w:color w:val="000000"/>
                <w:sz w:val="16"/>
                <w:szCs w:val="16"/>
              </w:rPr>
            </w:pPr>
            <w:r>
              <w:rPr>
                <w:color w:val="000000"/>
                <w:sz w:val="16"/>
                <w:szCs w:val="16"/>
              </w:rPr>
              <w:t>Fomentar el uso</w:t>
            </w:r>
            <w:r w:rsidR="00EB12D2">
              <w:rPr>
                <w:color w:val="000000"/>
                <w:sz w:val="16"/>
                <w:szCs w:val="16"/>
              </w:rPr>
              <w:t xml:space="preserve"> de las cláusulas de la OMPI para la solución extrajudicial de controversias entre los abogados y los gerentes de contratos que participan en la negociación de contratos de licencia y de investigación y desarrollo, en el Brasil.</w:t>
            </w:r>
          </w:p>
        </w:tc>
      </w:tr>
      <w:tr w:rsidR="003E311F" w:rsidRPr="00057B87" w:rsidTr="00EB12D2">
        <w:trPr>
          <w:cantSplit/>
          <w:trHeight w:val="315"/>
        </w:trPr>
        <w:tc>
          <w:tcPr>
            <w:tcW w:w="1843" w:type="dxa"/>
            <w:tcBorders>
              <w:top w:val="nil"/>
              <w:bottom w:val="nil"/>
            </w:tcBorders>
          </w:tcPr>
          <w:p w:rsidR="003E311F" w:rsidRPr="00515D00" w:rsidRDefault="003E311F" w:rsidP="007A358B">
            <w:pPr>
              <w:autoSpaceDE w:val="0"/>
              <w:autoSpaceDN w:val="0"/>
              <w:adjustRightInd w:val="0"/>
              <w:spacing w:after="120"/>
              <w:rPr>
                <w:color w:val="000000"/>
                <w:sz w:val="16"/>
                <w:szCs w:val="16"/>
              </w:rPr>
            </w:pPr>
            <w:r w:rsidRPr="00515D00">
              <w:rPr>
                <w:color w:val="000000"/>
                <w:sz w:val="16"/>
                <w:szCs w:val="16"/>
              </w:rPr>
              <w:t>II seminario sobre indicaciones geográficas y marcas colectivas en el sector de la artesanía</w:t>
            </w:r>
          </w:p>
        </w:tc>
        <w:tc>
          <w:tcPr>
            <w:tcW w:w="1276" w:type="dxa"/>
            <w:tcBorders>
              <w:top w:val="nil"/>
              <w:bottom w:val="nil"/>
            </w:tcBorders>
          </w:tcPr>
          <w:p w:rsidR="003E311F" w:rsidRPr="00515D00" w:rsidRDefault="003E311F" w:rsidP="007A358B">
            <w:pPr>
              <w:rPr>
                <w:sz w:val="16"/>
                <w:szCs w:val="16"/>
              </w:rPr>
            </w:pPr>
            <w:r w:rsidRPr="00515D00">
              <w:rPr>
                <w:sz w:val="16"/>
                <w:szCs w:val="16"/>
              </w:rPr>
              <w:t>24 y 25 de septiembre de 2015</w:t>
            </w:r>
          </w:p>
        </w:tc>
        <w:tc>
          <w:tcPr>
            <w:tcW w:w="1559" w:type="dxa"/>
            <w:tcBorders>
              <w:top w:val="nil"/>
              <w:bottom w:val="nil"/>
            </w:tcBorders>
          </w:tcPr>
          <w:p w:rsidR="003E311F" w:rsidRPr="00515D00" w:rsidRDefault="003E311F" w:rsidP="007A358B">
            <w:pPr>
              <w:rPr>
                <w:sz w:val="16"/>
                <w:szCs w:val="16"/>
              </w:rPr>
            </w:pPr>
            <w:r w:rsidRPr="00515D00">
              <w:rPr>
                <w:sz w:val="16"/>
                <w:szCs w:val="16"/>
              </w:rPr>
              <w:t xml:space="preserve">Brasil/ Colombia, México, Perú </w:t>
            </w:r>
          </w:p>
        </w:tc>
        <w:tc>
          <w:tcPr>
            <w:tcW w:w="5104" w:type="dxa"/>
            <w:tcBorders>
              <w:top w:val="nil"/>
              <w:bottom w:val="nil"/>
            </w:tcBorders>
          </w:tcPr>
          <w:p w:rsidR="003E311F" w:rsidRPr="00515D00" w:rsidRDefault="003E311F" w:rsidP="00435151">
            <w:pPr>
              <w:autoSpaceDE w:val="0"/>
              <w:autoSpaceDN w:val="0"/>
              <w:adjustRightInd w:val="0"/>
              <w:spacing w:after="120"/>
              <w:rPr>
                <w:color w:val="000000"/>
                <w:sz w:val="16"/>
                <w:szCs w:val="16"/>
              </w:rPr>
            </w:pPr>
            <w:r w:rsidRPr="00515D00">
              <w:rPr>
                <w:color w:val="000000"/>
                <w:sz w:val="16"/>
                <w:szCs w:val="16"/>
              </w:rPr>
              <w:t xml:space="preserve">Promover un debate sobre las ventajas económicas y sociales que pueden proporcionar las indicaciones geográficas y las marcas colectivas </w:t>
            </w:r>
            <w:r>
              <w:rPr>
                <w:color w:val="000000"/>
                <w:sz w:val="16"/>
                <w:szCs w:val="16"/>
              </w:rPr>
              <w:t>para el</w:t>
            </w:r>
            <w:r w:rsidRPr="00515D00">
              <w:rPr>
                <w:color w:val="000000"/>
                <w:sz w:val="16"/>
                <w:szCs w:val="16"/>
              </w:rPr>
              <w:t xml:space="preserve"> desarrollo nacional y en especial </w:t>
            </w:r>
            <w:r>
              <w:rPr>
                <w:color w:val="000000"/>
                <w:sz w:val="16"/>
                <w:szCs w:val="16"/>
              </w:rPr>
              <w:t>para el</w:t>
            </w:r>
            <w:r w:rsidRPr="00515D00">
              <w:rPr>
                <w:color w:val="000000"/>
                <w:sz w:val="16"/>
                <w:szCs w:val="16"/>
              </w:rPr>
              <w:t xml:space="preserve"> sector de la artesanía.</w:t>
            </w:r>
          </w:p>
        </w:tc>
      </w:tr>
      <w:tr w:rsidR="00EB12D2" w:rsidRPr="00057B87" w:rsidTr="0068415A">
        <w:trPr>
          <w:cantSplit/>
          <w:trHeight w:val="315"/>
        </w:trPr>
        <w:tc>
          <w:tcPr>
            <w:tcW w:w="1843" w:type="dxa"/>
            <w:tcBorders>
              <w:top w:val="nil"/>
              <w:bottom w:val="single" w:sz="4" w:space="0" w:color="000000"/>
            </w:tcBorders>
          </w:tcPr>
          <w:p w:rsidR="00EB12D2" w:rsidRPr="00515D00" w:rsidRDefault="00EB12D2" w:rsidP="00EB12D2">
            <w:pPr>
              <w:autoSpaceDE w:val="0"/>
              <w:autoSpaceDN w:val="0"/>
              <w:adjustRightInd w:val="0"/>
              <w:spacing w:after="120"/>
              <w:rPr>
                <w:color w:val="000000"/>
                <w:sz w:val="16"/>
                <w:szCs w:val="16"/>
              </w:rPr>
            </w:pPr>
            <w:r>
              <w:rPr>
                <w:color w:val="000000"/>
                <w:sz w:val="16"/>
                <w:szCs w:val="16"/>
              </w:rPr>
              <w:t>XVII Reunión sobre Propiedad Intelectual y Comercialización de Tecnología, XVII REPICT</w:t>
            </w:r>
          </w:p>
        </w:tc>
        <w:tc>
          <w:tcPr>
            <w:tcW w:w="1276" w:type="dxa"/>
            <w:tcBorders>
              <w:top w:val="nil"/>
              <w:bottom w:val="single" w:sz="4" w:space="0" w:color="000000"/>
            </w:tcBorders>
          </w:tcPr>
          <w:p w:rsidR="00EB12D2" w:rsidRPr="00515D00" w:rsidRDefault="00EB12D2" w:rsidP="007A358B">
            <w:pPr>
              <w:rPr>
                <w:sz w:val="16"/>
                <w:szCs w:val="16"/>
              </w:rPr>
            </w:pPr>
            <w:r>
              <w:rPr>
                <w:sz w:val="16"/>
                <w:szCs w:val="16"/>
              </w:rPr>
              <w:t>1 de octubre de 2015</w:t>
            </w:r>
          </w:p>
        </w:tc>
        <w:tc>
          <w:tcPr>
            <w:tcW w:w="1559" w:type="dxa"/>
            <w:tcBorders>
              <w:top w:val="nil"/>
              <w:bottom w:val="single" w:sz="4" w:space="0" w:color="000000"/>
            </w:tcBorders>
          </w:tcPr>
          <w:p w:rsidR="00EB12D2" w:rsidRPr="00515D00" w:rsidRDefault="00EB12D2" w:rsidP="007A358B">
            <w:pPr>
              <w:rPr>
                <w:sz w:val="16"/>
                <w:szCs w:val="16"/>
              </w:rPr>
            </w:pPr>
            <w:r>
              <w:rPr>
                <w:sz w:val="16"/>
                <w:szCs w:val="16"/>
              </w:rPr>
              <w:t>Brasil</w:t>
            </w:r>
          </w:p>
        </w:tc>
        <w:tc>
          <w:tcPr>
            <w:tcW w:w="5104" w:type="dxa"/>
            <w:tcBorders>
              <w:top w:val="nil"/>
              <w:bottom w:val="single" w:sz="4" w:space="0" w:color="000000"/>
            </w:tcBorders>
          </w:tcPr>
          <w:p w:rsidR="00EB12D2" w:rsidRPr="00515D00" w:rsidRDefault="00EB12D2" w:rsidP="00435151">
            <w:pPr>
              <w:autoSpaceDE w:val="0"/>
              <w:autoSpaceDN w:val="0"/>
              <w:adjustRightInd w:val="0"/>
              <w:spacing w:after="120"/>
              <w:rPr>
                <w:color w:val="000000"/>
                <w:sz w:val="16"/>
                <w:szCs w:val="16"/>
              </w:rPr>
            </w:pPr>
            <w:r>
              <w:rPr>
                <w:color w:val="000000"/>
                <w:sz w:val="16"/>
                <w:szCs w:val="16"/>
              </w:rPr>
              <w:t>Examinar las herramientas de transferencia de tecnología basadas en la protección de los activos intangibles, haciendo hincapié en las mipymes.</w:t>
            </w:r>
          </w:p>
        </w:tc>
      </w:tr>
    </w:tbl>
    <w:p w:rsidR="003E311F" w:rsidRPr="007329AC" w:rsidRDefault="003E311F" w:rsidP="003E311F">
      <w:pPr>
        <w:tabs>
          <w:tab w:val="left" w:pos="0"/>
          <w:tab w:val="left" w:pos="9071"/>
        </w:tabs>
        <w:rPr>
          <w:b/>
          <w:sz w:val="20"/>
        </w:rPr>
      </w:pPr>
    </w:p>
    <w:p w:rsidR="003E311F" w:rsidRPr="007329AC" w:rsidRDefault="003E311F" w:rsidP="003E311F">
      <w:pPr>
        <w:rPr>
          <w:b/>
          <w:sz w:val="20"/>
        </w:rPr>
      </w:pPr>
    </w:p>
    <w:p w:rsidR="003E311F" w:rsidRPr="007329AC" w:rsidRDefault="003E311F" w:rsidP="003E311F">
      <w:pPr>
        <w:rPr>
          <w:b/>
          <w:bCs/>
          <w:color w:val="000000"/>
          <w:sz w:val="20"/>
        </w:rPr>
      </w:pPr>
      <w:r w:rsidRPr="007329AC">
        <w:rPr>
          <w:b/>
          <w:sz w:val="20"/>
        </w:rPr>
        <w:t xml:space="preserve">BRASIL - Contribuciones de donantes y gastos de </w:t>
      </w:r>
      <w:r w:rsidRPr="007329AC">
        <w:rPr>
          <w:b/>
          <w:bCs/>
          <w:color w:val="000000"/>
          <w:sz w:val="20"/>
        </w:rPr>
        <w:t>2015</w:t>
      </w:r>
    </w:p>
    <w:p w:rsidR="003E311F" w:rsidRPr="007329AC" w:rsidRDefault="003E311F" w:rsidP="003E311F">
      <w:pPr>
        <w:rPr>
          <w:sz w:val="20"/>
        </w:rPr>
      </w:pPr>
    </w:p>
    <w:tbl>
      <w:tblPr>
        <w:tblW w:w="9649" w:type="dxa"/>
        <w:tblInd w:w="98" w:type="dxa"/>
        <w:tblLook w:val="04A0" w:firstRow="1" w:lastRow="0" w:firstColumn="1" w:lastColumn="0" w:noHBand="0" w:noVBand="1"/>
      </w:tblPr>
      <w:tblGrid>
        <w:gridCol w:w="2040"/>
        <w:gridCol w:w="1640"/>
        <w:gridCol w:w="1860"/>
        <w:gridCol w:w="1780"/>
        <w:gridCol w:w="2329"/>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DA3508"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329" w:type="dxa"/>
            <w:tcBorders>
              <w:top w:val="single" w:sz="8" w:space="0" w:color="auto"/>
              <w:left w:val="nil"/>
              <w:bottom w:val="nil"/>
              <w:right w:val="single" w:sz="8" w:space="0" w:color="auto"/>
            </w:tcBorders>
            <w:shd w:val="clear" w:color="000000" w:fill="C5D9F1"/>
            <w:vAlign w:val="center"/>
            <w:hideMark/>
          </w:tcPr>
          <w:p w:rsidR="003E311F" w:rsidRPr="00515D00" w:rsidRDefault="00DA3508" w:rsidP="00DA3508">
            <w:pPr>
              <w:jc w:val="center"/>
              <w:rPr>
                <w:b/>
                <w:bCs/>
                <w:color w:val="000000"/>
                <w:sz w:val="16"/>
                <w:szCs w:val="16"/>
              </w:rPr>
            </w:pPr>
            <w:r>
              <w:rPr>
                <w:b/>
                <w:bCs/>
                <w:sz w:val="16"/>
                <w:szCs w:val="16"/>
              </w:rPr>
              <w:t>Saldo el</w:t>
            </w:r>
            <w:r w:rsidR="003E311F" w:rsidRPr="00515D00">
              <w:rPr>
                <w:b/>
                <w:bCs/>
                <w:sz w:val="16"/>
                <w:szCs w:val="16"/>
              </w:rPr>
              <w:t xml:space="preserve"> 31 de diciembre de</w:t>
            </w:r>
            <w:r>
              <w:rPr>
                <w:b/>
                <w:bCs/>
                <w:sz w:val="16"/>
                <w:szCs w:val="16"/>
              </w:rPr>
              <w:t>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333.211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102.850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230.334</w:t>
            </w:r>
          </w:p>
        </w:tc>
      </w:tr>
    </w:tbl>
    <w:p w:rsidR="003E311F" w:rsidRPr="007329AC" w:rsidRDefault="003E311F" w:rsidP="003E311F">
      <w:pPr>
        <w:tabs>
          <w:tab w:val="left" w:pos="0"/>
          <w:tab w:val="left" w:pos="9071"/>
        </w:tabs>
        <w:rPr>
          <w:b/>
          <w:sz w:val="20"/>
        </w:rPr>
      </w:pPr>
    </w:p>
    <w:p w:rsidR="003E311F" w:rsidRPr="007329AC" w:rsidRDefault="003E311F" w:rsidP="003E311F">
      <w:pPr>
        <w:tabs>
          <w:tab w:val="left" w:pos="0"/>
          <w:tab w:val="left" w:pos="9071"/>
        </w:tabs>
        <w:rPr>
          <w:b/>
          <w:sz w:val="20"/>
        </w:rPr>
      </w:pPr>
    </w:p>
    <w:p w:rsidR="003E311F" w:rsidRPr="007329AC" w:rsidRDefault="003E311F" w:rsidP="003E311F">
      <w:pPr>
        <w:tabs>
          <w:tab w:val="left" w:pos="0"/>
          <w:tab w:val="left" w:pos="9071"/>
        </w:tabs>
        <w:rPr>
          <w:b/>
          <w:sz w:val="20"/>
        </w:rPr>
      </w:pPr>
      <w:r w:rsidRPr="007329AC">
        <w:rPr>
          <w:b/>
          <w:sz w:val="20"/>
        </w:rPr>
        <w:t>BRASIL SUR</w:t>
      </w:r>
    </w:p>
    <w:p w:rsidR="003E311F" w:rsidRPr="007329AC" w:rsidRDefault="003E311F" w:rsidP="003E311F">
      <w:pPr>
        <w:tabs>
          <w:tab w:val="left" w:pos="0"/>
          <w:tab w:val="left" w:pos="9071"/>
        </w:tabs>
        <w:rPr>
          <w:b/>
          <w:sz w:val="20"/>
        </w:rPr>
      </w:pPr>
    </w:p>
    <w:tbl>
      <w:tblPr>
        <w:tblW w:w="9639"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536"/>
      </w:tblGrid>
      <w:tr w:rsidR="003E311F" w:rsidRPr="00057B87" w:rsidTr="007A358B">
        <w:trPr>
          <w:cantSplit/>
          <w:trHeight w:val="315"/>
        </w:trPr>
        <w:tc>
          <w:tcPr>
            <w:tcW w:w="9639" w:type="dxa"/>
            <w:gridSpan w:val="4"/>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02"/>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536"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II Taller regional sobre P.I. y transferencia de tecnología</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7 a 8 de mayo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Perú/ Costa Rica, República Dominicana, Ecuador, México, Perú y Uruguay</w:t>
            </w:r>
          </w:p>
        </w:tc>
        <w:tc>
          <w:tcPr>
            <w:tcW w:w="4536"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Examinar</w:t>
            </w:r>
            <w:proofErr w:type="gramStart"/>
            <w:r w:rsidRPr="00515D00">
              <w:rPr>
                <w:sz w:val="16"/>
                <w:szCs w:val="16"/>
              </w:rPr>
              <w:t>:  i</w:t>
            </w:r>
            <w:proofErr w:type="gramEnd"/>
            <w:r w:rsidRPr="00515D00">
              <w:rPr>
                <w:sz w:val="16"/>
                <w:szCs w:val="16"/>
              </w:rPr>
              <w:t>) la estructuración de las estrategias nacio</w:t>
            </w:r>
            <w:r>
              <w:rPr>
                <w:sz w:val="16"/>
                <w:szCs w:val="16"/>
              </w:rPr>
              <w:t xml:space="preserve">nales e institucionales de P.I.; </w:t>
            </w:r>
            <w:r w:rsidRPr="00515D00">
              <w:rPr>
                <w:sz w:val="16"/>
                <w:szCs w:val="16"/>
              </w:rPr>
              <w:t xml:space="preserve"> ii) el establecimiento de oficinas de transferencia de tecnología</w:t>
            </w:r>
            <w:r>
              <w:rPr>
                <w:sz w:val="16"/>
                <w:szCs w:val="16"/>
              </w:rPr>
              <w:t xml:space="preserve">; </w:t>
            </w:r>
            <w:r w:rsidRPr="00515D00">
              <w:rPr>
                <w:sz w:val="16"/>
                <w:szCs w:val="16"/>
              </w:rPr>
              <w:t xml:space="preserve"> y iii) los modelos estratégicos para fomentar la innovación.</w:t>
            </w:r>
          </w:p>
        </w:tc>
      </w:tr>
      <w:tr w:rsidR="00805317" w:rsidRPr="00057B87" w:rsidTr="007A358B">
        <w:trPr>
          <w:cantSplit/>
          <w:trHeight w:val="315"/>
        </w:trPr>
        <w:tc>
          <w:tcPr>
            <w:tcW w:w="1843" w:type="dxa"/>
          </w:tcPr>
          <w:p w:rsidR="00805317" w:rsidRPr="00515D00" w:rsidRDefault="00805317" w:rsidP="00025F0F">
            <w:pPr>
              <w:autoSpaceDE w:val="0"/>
              <w:autoSpaceDN w:val="0"/>
              <w:adjustRightInd w:val="0"/>
              <w:spacing w:before="60" w:after="60"/>
              <w:rPr>
                <w:color w:val="000000"/>
                <w:sz w:val="16"/>
                <w:szCs w:val="16"/>
              </w:rPr>
            </w:pPr>
            <w:r>
              <w:rPr>
                <w:color w:val="000000"/>
                <w:sz w:val="16"/>
                <w:szCs w:val="16"/>
              </w:rPr>
              <w:t xml:space="preserve">Taller regional sobre herramientas </w:t>
            </w:r>
            <w:r w:rsidR="00025F0F">
              <w:rPr>
                <w:color w:val="000000"/>
                <w:sz w:val="16"/>
                <w:szCs w:val="16"/>
              </w:rPr>
              <w:t xml:space="preserve">gratuitas </w:t>
            </w:r>
            <w:r>
              <w:rPr>
                <w:color w:val="000000"/>
                <w:sz w:val="16"/>
                <w:szCs w:val="16"/>
              </w:rPr>
              <w:t>de código abierto para el análisis de patentes</w:t>
            </w:r>
          </w:p>
        </w:tc>
        <w:tc>
          <w:tcPr>
            <w:tcW w:w="1134" w:type="dxa"/>
          </w:tcPr>
          <w:p w:rsidR="00805317" w:rsidRPr="00515D00" w:rsidRDefault="00805317" w:rsidP="007A358B">
            <w:pPr>
              <w:autoSpaceDE w:val="0"/>
              <w:autoSpaceDN w:val="0"/>
              <w:adjustRightInd w:val="0"/>
              <w:spacing w:before="60" w:after="60"/>
              <w:rPr>
                <w:color w:val="000000"/>
                <w:sz w:val="16"/>
                <w:szCs w:val="16"/>
              </w:rPr>
            </w:pPr>
            <w:r>
              <w:rPr>
                <w:color w:val="000000"/>
                <w:sz w:val="16"/>
                <w:szCs w:val="16"/>
              </w:rPr>
              <w:t>27 y 28 de agosto de 2015</w:t>
            </w:r>
          </w:p>
        </w:tc>
        <w:tc>
          <w:tcPr>
            <w:tcW w:w="2126" w:type="dxa"/>
          </w:tcPr>
          <w:p w:rsidR="00805317" w:rsidRPr="00515D00" w:rsidRDefault="00805317" w:rsidP="007A358B">
            <w:pPr>
              <w:autoSpaceDE w:val="0"/>
              <w:autoSpaceDN w:val="0"/>
              <w:adjustRightInd w:val="0"/>
              <w:spacing w:before="60" w:after="60"/>
              <w:rPr>
                <w:color w:val="000000"/>
                <w:sz w:val="16"/>
                <w:szCs w:val="16"/>
              </w:rPr>
            </w:pPr>
            <w:r>
              <w:rPr>
                <w:color w:val="000000"/>
                <w:sz w:val="16"/>
                <w:szCs w:val="16"/>
              </w:rPr>
              <w:t>Brasil/ Chile, Colombia, México y Uruguay</w:t>
            </w:r>
          </w:p>
        </w:tc>
        <w:tc>
          <w:tcPr>
            <w:tcW w:w="4536" w:type="dxa"/>
          </w:tcPr>
          <w:p w:rsidR="00805317" w:rsidRPr="00515D00" w:rsidRDefault="00025F0F" w:rsidP="00025F0F">
            <w:pPr>
              <w:autoSpaceDE w:val="0"/>
              <w:autoSpaceDN w:val="0"/>
              <w:adjustRightInd w:val="0"/>
              <w:spacing w:before="60" w:after="60"/>
              <w:rPr>
                <w:color w:val="000000"/>
                <w:sz w:val="16"/>
                <w:szCs w:val="16"/>
              </w:rPr>
            </w:pPr>
            <w:r>
              <w:rPr>
                <w:color w:val="000000"/>
                <w:sz w:val="16"/>
                <w:szCs w:val="16"/>
              </w:rPr>
              <w:t xml:space="preserve">i) </w:t>
            </w:r>
            <w:proofErr w:type="gramStart"/>
            <w:r>
              <w:rPr>
                <w:color w:val="000000"/>
                <w:sz w:val="16"/>
                <w:szCs w:val="16"/>
              </w:rPr>
              <w:t>complementar</w:t>
            </w:r>
            <w:proofErr w:type="gramEnd"/>
            <w:r>
              <w:rPr>
                <w:color w:val="000000"/>
                <w:sz w:val="16"/>
                <w:szCs w:val="16"/>
              </w:rPr>
              <w:t xml:space="preserve"> la formación proporcionada durante el Taller regional sobre análisis de patentes, celebrado en agosto de 2013 en Rio de Janeiro (Brasil);  y ii) servir de plataforma para el debate e intercambio de opiniones en relación con el Manual sobre Herramientas de Código Abierto para el Análisis de Patentes, actualmente en preparación.</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III Taller regional sobre P.I. y transferencia de tecnología</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18 a 20 de noviembre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México/ Colombia, Cuba, El Salvador, Perú </w:t>
            </w:r>
            <w:r>
              <w:rPr>
                <w:color w:val="000000"/>
                <w:sz w:val="16"/>
                <w:szCs w:val="16"/>
              </w:rPr>
              <w:t>y</w:t>
            </w:r>
            <w:r w:rsidRPr="00515D00">
              <w:rPr>
                <w:color w:val="000000"/>
                <w:sz w:val="16"/>
                <w:szCs w:val="16"/>
              </w:rPr>
              <w:t xml:space="preserve"> México </w:t>
            </w:r>
          </w:p>
        </w:tc>
        <w:tc>
          <w:tcPr>
            <w:tcW w:w="453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Examinar</w:t>
            </w:r>
            <w:proofErr w:type="gramStart"/>
            <w:r w:rsidRPr="00515D00">
              <w:rPr>
                <w:color w:val="000000"/>
                <w:sz w:val="16"/>
                <w:szCs w:val="16"/>
              </w:rPr>
              <w:t>:  i</w:t>
            </w:r>
            <w:proofErr w:type="gramEnd"/>
            <w:r w:rsidRPr="00515D00">
              <w:rPr>
                <w:color w:val="000000"/>
                <w:sz w:val="16"/>
                <w:szCs w:val="16"/>
              </w:rPr>
              <w:t>) el establecimiento de políticas de transferencia de tecnología;  y ii) algunas cuestiones prácticas relativas a la negociación y redacción de acuerdos en materia de tecnología.</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sz w:val="16"/>
                <w:szCs w:val="16"/>
              </w:rPr>
            </w:pPr>
            <w:r w:rsidRPr="00515D00">
              <w:rPr>
                <w:sz w:val="16"/>
                <w:szCs w:val="16"/>
              </w:rPr>
              <w:t>XXXIII Seminario para las Oficinas de P.I. de América Latina</w:t>
            </w:r>
          </w:p>
        </w:tc>
        <w:tc>
          <w:tcPr>
            <w:tcW w:w="1134" w:type="dxa"/>
          </w:tcPr>
          <w:p w:rsidR="003E311F" w:rsidRPr="00515D00" w:rsidRDefault="003E311F" w:rsidP="007A358B">
            <w:pPr>
              <w:spacing w:before="60" w:after="60"/>
              <w:rPr>
                <w:sz w:val="16"/>
                <w:szCs w:val="16"/>
              </w:rPr>
            </w:pPr>
            <w:r w:rsidRPr="00515D00">
              <w:rPr>
                <w:sz w:val="16"/>
                <w:szCs w:val="16"/>
              </w:rPr>
              <w:t>31 de agosto a 3 de septiembre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Brasil/ Argentina, Bolivia, Chile, Colombia, Costa Rica, Cuba, República Dominicana, Ecuador, El Salvador, Guatemala, Honduras, México, Nicaragua, Panamá, Paraguay, Perú, Uruguay y Venezuela </w:t>
            </w:r>
          </w:p>
        </w:tc>
        <w:tc>
          <w:tcPr>
            <w:tcW w:w="4536" w:type="dxa"/>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Promover el intercambio de experiencias entre funcionarios de las </w:t>
            </w:r>
            <w:r>
              <w:rPr>
                <w:sz w:val="16"/>
                <w:szCs w:val="16"/>
              </w:rPr>
              <w:t>o</w:t>
            </w:r>
            <w:r w:rsidRPr="00515D00">
              <w:rPr>
                <w:sz w:val="16"/>
                <w:szCs w:val="16"/>
              </w:rPr>
              <w:t>ficinas nacionales de P.I. sobre temas específicos, centrándose en particular en la cooperación internacional en materia de P.I.</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sz w:val="16"/>
                <w:szCs w:val="16"/>
              </w:rPr>
            </w:pPr>
            <w:r w:rsidRPr="00515D00">
              <w:rPr>
                <w:sz w:val="16"/>
                <w:szCs w:val="16"/>
              </w:rPr>
              <w:lastRenderedPageBreak/>
              <w:t>Presentación regional del Índice Mundial de Innovación 2015</w:t>
            </w:r>
          </w:p>
        </w:tc>
        <w:tc>
          <w:tcPr>
            <w:tcW w:w="1134" w:type="dxa"/>
          </w:tcPr>
          <w:p w:rsidR="003E311F" w:rsidRPr="00515D00" w:rsidRDefault="003E311F" w:rsidP="007A358B">
            <w:pPr>
              <w:spacing w:before="60" w:after="60"/>
              <w:rPr>
                <w:sz w:val="16"/>
                <w:szCs w:val="16"/>
              </w:rPr>
            </w:pPr>
            <w:r w:rsidRPr="00515D00">
              <w:rPr>
                <w:sz w:val="16"/>
                <w:szCs w:val="16"/>
              </w:rPr>
              <w:t>30 de septiembre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Brasil/ Chile, Colombia, Costa Rica y México</w:t>
            </w:r>
          </w:p>
        </w:tc>
        <w:tc>
          <w:tcPr>
            <w:tcW w:w="4536" w:type="dxa"/>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i) Presentar la edición de 2015 del Índice en la región </w:t>
            </w:r>
            <w:r>
              <w:rPr>
                <w:sz w:val="16"/>
                <w:szCs w:val="16"/>
              </w:rPr>
              <w:t>de América Latina</w:t>
            </w:r>
            <w:r w:rsidRPr="00515D00">
              <w:rPr>
                <w:sz w:val="16"/>
                <w:szCs w:val="16"/>
              </w:rPr>
              <w:t>;  y ii) reunir a expertos y representantes de los gobiernos y de los círculos industriales para debatir cuestiones relacionadas con la economía de la innovación.</w:t>
            </w:r>
          </w:p>
        </w:tc>
      </w:tr>
      <w:tr w:rsidR="00025F0F" w:rsidRPr="00057B87" w:rsidTr="007A358B">
        <w:trPr>
          <w:cantSplit/>
          <w:trHeight w:val="315"/>
        </w:trPr>
        <w:tc>
          <w:tcPr>
            <w:tcW w:w="1843" w:type="dxa"/>
          </w:tcPr>
          <w:p w:rsidR="00025F0F" w:rsidRPr="00515D00" w:rsidRDefault="004D675E" w:rsidP="004D675E">
            <w:pPr>
              <w:autoSpaceDE w:val="0"/>
              <w:autoSpaceDN w:val="0"/>
              <w:adjustRightInd w:val="0"/>
              <w:spacing w:before="60" w:after="60"/>
              <w:rPr>
                <w:sz w:val="16"/>
                <w:szCs w:val="16"/>
              </w:rPr>
            </w:pPr>
            <w:r>
              <w:rPr>
                <w:sz w:val="16"/>
                <w:szCs w:val="16"/>
              </w:rPr>
              <w:t>Programa Regional de Formación de nivel intermedio sobre el examen de patentes para países latinoamericanos</w:t>
            </w:r>
          </w:p>
        </w:tc>
        <w:tc>
          <w:tcPr>
            <w:tcW w:w="1134" w:type="dxa"/>
          </w:tcPr>
          <w:p w:rsidR="00025F0F" w:rsidRPr="00515D00" w:rsidRDefault="004D675E" w:rsidP="007A358B">
            <w:pPr>
              <w:spacing w:before="60" w:after="60"/>
              <w:rPr>
                <w:sz w:val="16"/>
                <w:szCs w:val="16"/>
              </w:rPr>
            </w:pPr>
            <w:r>
              <w:rPr>
                <w:sz w:val="16"/>
                <w:szCs w:val="16"/>
              </w:rPr>
              <w:t>23 de noviembre a 4 de diciembre de 2015</w:t>
            </w:r>
          </w:p>
        </w:tc>
        <w:tc>
          <w:tcPr>
            <w:tcW w:w="2126" w:type="dxa"/>
          </w:tcPr>
          <w:p w:rsidR="00025F0F" w:rsidRPr="00515D00" w:rsidRDefault="004D675E" w:rsidP="007A358B">
            <w:pPr>
              <w:autoSpaceDE w:val="0"/>
              <w:autoSpaceDN w:val="0"/>
              <w:adjustRightInd w:val="0"/>
              <w:spacing w:before="60" w:after="60"/>
              <w:rPr>
                <w:color w:val="000000"/>
                <w:sz w:val="16"/>
                <w:szCs w:val="16"/>
              </w:rPr>
            </w:pPr>
            <w:r>
              <w:rPr>
                <w:color w:val="000000"/>
                <w:sz w:val="16"/>
                <w:szCs w:val="16"/>
              </w:rPr>
              <w:t>Brasil/ Argentina, Bolivia, Colombia, Costa Rica, Cuba, Ecuador, El Salvador, Guatemala, Honduras, México, Nicaragua, Panamá, Paraguay, Perú, República Dominicana y Uruguay</w:t>
            </w:r>
          </w:p>
        </w:tc>
        <w:tc>
          <w:tcPr>
            <w:tcW w:w="4536" w:type="dxa"/>
          </w:tcPr>
          <w:p w:rsidR="00025F0F" w:rsidRPr="00515D00" w:rsidRDefault="004D675E" w:rsidP="007A358B">
            <w:pPr>
              <w:autoSpaceDE w:val="0"/>
              <w:autoSpaceDN w:val="0"/>
              <w:adjustRightInd w:val="0"/>
              <w:spacing w:before="60" w:after="60"/>
              <w:rPr>
                <w:sz w:val="16"/>
                <w:szCs w:val="16"/>
              </w:rPr>
            </w:pPr>
            <w:r>
              <w:rPr>
                <w:sz w:val="16"/>
                <w:szCs w:val="16"/>
              </w:rPr>
              <w:t>Mejorar capacidades en lo relativo al examen de patentes en los países latinoamericanos</w:t>
            </w:r>
          </w:p>
        </w:tc>
      </w:tr>
      <w:tr w:rsidR="003E311F" w:rsidRPr="00057B87" w:rsidTr="007A358B">
        <w:trPr>
          <w:cantSplit/>
          <w:trHeight w:val="315"/>
        </w:trPr>
        <w:tc>
          <w:tcPr>
            <w:tcW w:w="1843" w:type="dxa"/>
          </w:tcPr>
          <w:p w:rsidR="003E311F" w:rsidRPr="00515D00" w:rsidRDefault="003E311F" w:rsidP="007A358B">
            <w:pPr>
              <w:autoSpaceDE w:val="0"/>
              <w:autoSpaceDN w:val="0"/>
              <w:adjustRightInd w:val="0"/>
              <w:spacing w:before="60" w:after="60"/>
              <w:rPr>
                <w:sz w:val="16"/>
                <w:szCs w:val="16"/>
              </w:rPr>
            </w:pPr>
            <w:r w:rsidRPr="00515D00">
              <w:rPr>
                <w:sz w:val="16"/>
                <w:szCs w:val="16"/>
              </w:rPr>
              <w:t>Taller regional sobre negociación eficaz de licencias de tecnología (nivel avanzado)</w:t>
            </w:r>
          </w:p>
        </w:tc>
        <w:tc>
          <w:tcPr>
            <w:tcW w:w="1134" w:type="dxa"/>
          </w:tcPr>
          <w:p w:rsidR="003E311F" w:rsidRPr="00515D00" w:rsidRDefault="003E311F" w:rsidP="007A358B">
            <w:pPr>
              <w:spacing w:before="60" w:after="60"/>
              <w:rPr>
                <w:sz w:val="16"/>
                <w:szCs w:val="16"/>
              </w:rPr>
            </w:pPr>
            <w:r w:rsidRPr="00515D00">
              <w:rPr>
                <w:sz w:val="16"/>
                <w:szCs w:val="16"/>
              </w:rPr>
              <w:t>7 a 11 de diciembre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Brasil/ Cuba, Perú y Uruguay</w:t>
            </w:r>
          </w:p>
        </w:tc>
        <w:tc>
          <w:tcPr>
            <w:tcW w:w="4536" w:type="dxa"/>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Actualizar </w:t>
            </w:r>
            <w:r>
              <w:rPr>
                <w:sz w:val="16"/>
                <w:szCs w:val="16"/>
              </w:rPr>
              <w:t>el conocimiento de los administ</w:t>
            </w:r>
            <w:r w:rsidRPr="00515D00">
              <w:rPr>
                <w:sz w:val="16"/>
                <w:szCs w:val="16"/>
              </w:rPr>
              <w:t>radores de tecnologías, los profesionales de la innovación empresarial y los abogados de instituciones académicas y empresas en relación con i) la comercialización de P.I., centrándose en particular en la comercialización y la valoración de la P.I. en relación con la tecnología;  y ii) la negociación y redacción de acuerdos de licencia.</w:t>
            </w:r>
          </w:p>
        </w:tc>
      </w:tr>
    </w:tbl>
    <w:p w:rsidR="003E311F" w:rsidRPr="007329AC" w:rsidRDefault="003E311F" w:rsidP="003E311F">
      <w:pPr>
        <w:tabs>
          <w:tab w:val="left" w:pos="0"/>
          <w:tab w:val="left" w:pos="9071"/>
        </w:tabs>
        <w:rPr>
          <w:b/>
          <w:sz w:val="20"/>
        </w:rPr>
      </w:pPr>
    </w:p>
    <w:p w:rsidR="003E311F" w:rsidRPr="007329AC" w:rsidRDefault="003E311F" w:rsidP="003E311F">
      <w:pPr>
        <w:tabs>
          <w:tab w:val="left" w:pos="0"/>
          <w:tab w:val="left" w:pos="9071"/>
        </w:tabs>
        <w:rPr>
          <w:b/>
          <w:sz w:val="20"/>
        </w:rPr>
      </w:pPr>
    </w:p>
    <w:p w:rsidR="003E311F" w:rsidRPr="007329AC" w:rsidRDefault="003E311F" w:rsidP="003E311F">
      <w:pPr>
        <w:keepNext/>
        <w:rPr>
          <w:b/>
          <w:bCs/>
          <w:color w:val="000000"/>
          <w:sz w:val="20"/>
        </w:rPr>
      </w:pPr>
      <w:r w:rsidRPr="007329AC">
        <w:rPr>
          <w:b/>
          <w:sz w:val="20"/>
        </w:rPr>
        <w:t xml:space="preserve">BRASIL SUR - Contribuciones de donantes y gastos de </w:t>
      </w:r>
      <w:r w:rsidRPr="007329AC">
        <w:rPr>
          <w:b/>
          <w:bCs/>
          <w:color w:val="000000"/>
          <w:sz w:val="20"/>
        </w:rPr>
        <w:t>2015</w:t>
      </w:r>
    </w:p>
    <w:p w:rsidR="003E311F" w:rsidRPr="007329AC" w:rsidRDefault="003E311F" w:rsidP="003E311F">
      <w:pPr>
        <w:keepNext/>
        <w:rPr>
          <w:sz w:val="20"/>
        </w:rPr>
      </w:pPr>
    </w:p>
    <w:tbl>
      <w:tblPr>
        <w:tblW w:w="9649" w:type="dxa"/>
        <w:tblInd w:w="98" w:type="dxa"/>
        <w:tblLook w:val="04A0" w:firstRow="1" w:lastRow="0" w:firstColumn="1" w:lastColumn="0" w:noHBand="0" w:noVBand="1"/>
      </w:tblPr>
      <w:tblGrid>
        <w:gridCol w:w="2040"/>
        <w:gridCol w:w="1640"/>
        <w:gridCol w:w="1860"/>
        <w:gridCol w:w="1841"/>
        <w:gridCol w:w="2268"/>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5C708A">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841"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keepNext/>
              <w:jc w:val="center"/>
              <w:rPr>
                <w:b/>
                <w:bCs/>
                <w:color w:val="000000"/>
                <w:sz w:val="16"/>
                <w:szCs w:val="16"/>
              </w:rPr>
            </w:pPr>
            <w:r w:rsidRPr="00515D00">
              <w:rPr>
                <w:b/>
                <w:bCs/>
                <w:sz w:val="16"/>
                <w:szCs w:val="16"/>
              </w:rPr>
              <w:t>Reembolsos</w:t>
            </w:r>
          </w:p>
        </w:tc>
        <w:tc>
          <w:tcPr>
            <w:tcW w:w="2268"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5C708A">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384.809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146.478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keepNext/>
              <w:jc w:val="center"/>
              <w:rPr>
                <w:color w:val="000000"/>
                <w:sz w:val="16"/>
                <w:szCs w:val="16"/>
              </w:rPr>
            </w:pPr>
            <w:r w:rsidRPr="00515D00">
              <w:rPr>
                <w:color w:val="000000"/>
                <w:sz w:val="16"/>
                <w:szCs w:val="16"/>
              </w:rPr>
              <w:t>-</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238.315</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123A02" w:rsidP="003E311F">
      <w:pPr>
        <w:keepNext/>
        <w:keepLines/>
        <w:rPr>
          <w:sz w:val="20"/>
        </w:rPr>
      </w:pPr>
      <w:r>
        <w:rPr>
          <w:b/>
          <w:sz w:val="20"/>
        </w:rPr>
        <w:t>Brasil P</w:t>
      </w:r>
      <w:r w:rsidR="003E311F" w:rsidRPr="007329AC">
        <w:rPr>
          <w:b/>
          <w:sz w:val="20"/>
        </w:rPr>
        <w:t>NUD</w:t>
      </w:r>
      <w:r w:rsidR="003E311F" w:rsidRPr="007329AC">
        <w:rPr>
          <w:rStyle w:val="FootnoteReference"/>
          <w:sz w:val="20"/>
        </w:rPr>
        <w:footnoteReference w:id="152"/>
      </w:r>
    </w:p>
    <w:p w:rsidR="003E311F" w:rsidRPr="007329AC" w:rsidRDefault="003E311F" w:rsidP="003E311F">
      <w:pPr>
        <w:keepNext/>
        <w:keepLines/>
        <w:rPr>
          <w:sz w:val="20"/>
        </w:rPr>
      </w:pPr>
    </w:p>
    <w:tbl>
      <w:tblPr>
        <w:tblW w:w="9640"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42"/>
        <w:gridCol w:w="1134"/>
        <w:gridCol w:w="1984"/>
        <w:gridCol w:w="4680"/>
      </w:tblGrid>
      <w:tr w:rsidR="003E311F" w:rsidRPr="00057B87" w:rsidTr="007A358B">
        <w:trPr>
          <w:cantSplit/>
          <w:trHeight w:val="315"/>
        </w:trPr>
        <w:tc>
          <w:tcPr>
            <w:tcW w:w="9640"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3E311F" w:rsidRPr="00515D00" w:rsidRDefault="003E311F" w:rsidP="007A358B">
            <w:pPr>
              <w:keepNext/>
              <w:keepLines/>
              <w:tabs>
                <w:tab w:val="left" w:pos="1740"/>
              </w:tabs>
              <w:spacing w:before="120" w:after="120" w:line="276" w:lineRule="auto"/>
              <w:ind w:left="1740" w:hanging="1740"/>
              <w:rPr>
                <w:color w:val="000000"/>
                <w:sz w:val="16"/>
                <w:szCs w:val="16"/>
              </w:rPr>
            </w:pPr>
            <w:r w:rsidRPr="00515D00">
              <w:rPr>
                <w:b/>
                <w:bCs/>
                <w:color w:val="000000"/>
                <w:sz w:val="16"/>
                <w:szCs w:val="16"/>
              </w:rPr>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02"/>
        </w:trPr>
        <w:tc>
          <w:tcPr>
            <w:tcW w:w="1842" w:type="dxa"/>
            <w:tcBorders>
              <w:top w:val="single" w:sz="4" w:space="0" w:color="000000"/>
              <w:left w:val="single" w:sz="4" w:space="0" w:color="000000"/>
              <w:bottom w:val="nil"/>
              <w:right w:val="nil"/>
            </w:tcBorders>
            <w:vAlign w:val="center"/>
            <w:hideMark/>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left w:val="nil"/>
              <w:bottom w:val="nil"/>
              <w:right w:val="nil"/>
            </w:tcBorders>
            <w:vAlign w:val="center"/>
            <w:hideMark/>
          </w:tcPr>
          <w:p w:rsidR="003E311F" w:rsidRPr="00515D00" w:rsidRDefault="003E311F" w:rsidP="007A358B">
            <w:pPr>
              <w:keepNext/>
              <w:keepLines/>
              <w:spacing w:before="60" w:after="60"/>
              <w:rPr>
                <w:sz w:val="16"/>
                <w:szCs w:val="16"/>
              </w:rPr>
            </w:pPr>
            <w:r w:rsidRPr="00515D00">
              <w:rPr>
                <w:b/>
                <w:bCs/>
                <w:sz w:val="16"/>
                <w:szCs w:val="16"/>
              </w:rPr>
              <w:t>Fecha</w:t>
            </w:r>
          </w:p>
        </w:tc>
        <w:tc>
          <w:tcPr>
            <w:tcW w:w="1984" w:type="dxa"/>
            <w:tcBorders>
              <w:top w:val="single" w:sz="4" w:space="0" w:color="000000"/>
              <w:left w:val="nil"/>
              <w:bottom w:val="nil"/>
              <w:right w:val="nil"/>
            </w:tcBorders>
            <w:vAlign w:val="center"/>
            <w:hideMark/>
          </w:tcPr>
          <w:p w:rsidR="003E311F" w:rsidRPr="00515D00" w:rsidRDefault="003E311F" w:rsidP="007A358B">
            <w:pPr>
              <w:widowControl w:val="0"/>
              <w:rPr>
                <w:sz w:val="16"/>
                <w:szCs w:val="16"/>
              </w:rPr>
            </w:pPr>
            <w:r w:rsidRPr="00515D00">
              <w:rPr>
                <w:b/>
                <w:sz w:val="16"/>
                <w:szCs w:val="16"/>
              </w:rPr>
              <w:t>País anfitrión / Beneficiarios</w:t>
            </w:r>
          </w:p>
        </w:tc>
        <w:tc>
          <w:tcPr>
            <w:tcW w:w="4680" w:type="dxa"/>
            <w:tcBorders>
              <w:top w:val="single" w:sz="4" w:space="0" w:color="000000"/>
              <w:left w:val="nil"/>
              <w:bottom w:val="nil"/>
              <w:right w:val="single" w:sz="4" w:space="0" w:color="000000"/>
            </w:tcBorders>
            <w:vAlign w:val="center"/>
            <w:hideMark/>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315"/>
        </w:trPr>
        <w:tc>
          <w:tcPr>
            <w:tcW w:w="1842" w:type="dxa"/>
            <w:tcBorders>
              <w:top w:val="nil"/>
              <w:left w:val="single" w:sz="4" w:space="0" w:color="000000"/>
              <w:bottom w:val="single" w:sz="4" w:space="0" w:color="auto"/>
              <w:right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Programa de formación para negociadores de desarrollo de tecnología</w:t>
            </w:r>
          </w:p>
        </w:tc>
        <w:tc>
          <w:tcPr>
            <w:tcW w:w="1134" w:type="dxa"/>
            <w:tcBorders>
              <w:top w:val="nil"/>
              <w:left w:val="nil"/>
              <w:bottom w:val="single" w:sz="4" w:space="0" w:color="auto"/>
              <w:right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19 a 30 de octubre de 2015</w:t>
            </w:r>
          </w:p>
        </w:tc>
        <w:tc>
          <w:tcPr>
            <w:tcW w:w="1984" w:type="dxa"/>
            <w:tcBorders>
              <w:top w:val="nil"/>
              <w:left w:val="nil"/>
              <w:bottom w:val="single" w:sz="4" w:space="0" w:color="auto"/>
              <w:right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Brasil</w:t>
            </w:r>
          </w:p>
        </w:tc>
        <w:tc>
          <w:tcPr>
            <w:tcW w:w="4680" w:type="dxa"/>
            <w:tcBorders>
              <w:top w:val="nil"/>
              <w:left w:val="nil"/>
              <w:bottom w:val="single" w:sz="4" w:space="0" w:color="auto"/>
              <w:right w:val="single" w:sz="4" w:space="0" w:color="000000"/>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Promover la formación de 28 profesionales en el ámbito de la gestión y la negociación de procesos de colaboración, centrándose en particular e las disposiciones relacionadas con la P.I. para el establecimiento de acuerdos de desarrollo de tecnología.</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bCs/>
          <w:color w:val="000000"/>
          <w:sz w:val="20"/>
        </w:rPr>
      </w:pPr>
      <w:r w:rsidRPr="007329AC">
        <w:rPr>
          <w:b/>
          <w:sz w:val="20"/>
        </w:rPr>
        <w:t>BRASIL</w:t>
      </w:r>
      <w:r w:rsidR="00123A02">
        <w:rPr>
          <w:b/>
          <w:sz w:val="20"/>
        </w:rPr>
        <w:t xml:space="preserve"> PNUD</w:t>
      </w:r>
      <w:r w:rsidRPr="007329AC">
        <w:rPr>
          <w:b/>
          <w:sz w:val="20"/>
        </w:rPr>
        <w:t xml:space="preserve"> - Contribuciones de donantes y gastos de </w:t>
      </w:r>
      <w:r w:rsidRPr="007329AC">
        <w:rPr>
          <w:b/>
          <w:bCs/>
          <w:color w:val="000000"/>
          <w:sz w:val="20"/>
        </w:rPr>
        <w:t>2015</w:t>
      </w:r>
    </w:p>
    <w:p w:rsidR="003E311F" w:rsidRPr="007329AC" w:rsidRDefault="003E311F" w:rsidP="003E311F">
      <w:pPr>
        <w:rPr>
          <w:sz w:val="20"/>
        </w:rPr>
      </w:pPr>
    </w:p>
    <w:tbl>
      <w:tblPr>
        <w:tblW w:w="9650" w:type="dxa"/>
        <w:tblInd w:w="98" w:type="dxa"/>
        <w:tblLook w:val="04A0" w:firstRow="1" w:lastRow="0" w:firstColumn="1" w:lastColumn="0" w:noHBand="0" w:noVBand="1"/>
      </w:tblPr>
      <w:tblGrid>
        <w:gridCol w:w="2040"/>
        <w:gridCol w:w="1640"/>
        <w:gridCol w:w="2001"/>
        <w:gridCol w:w="1639"/>
        <w:gridCol w:w="2330"/>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2001"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639"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330"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39.489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39.489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33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86789">
      <w:pPr>
        <w:keepNext/>
        <w:keepLines/>
        <w:tabs>
          <w:tab w:val="left" w:pos="0"/>
          <w:tab w:val="left" w:pos="9071"/>
        </w:tabs>
        <w:rPr>
          <w:b/>
          <w:sz w:val="20"/>
        </w:rPr>
      </w:pPr>
      <w:r w:rsidRPr="007329AC">
        <w:rPr>
          <w:b/>
          <w:sz w:val="20"/>
        </w:rPr>
        <w:lastRenderedPageBreak/>
        <w:t>UNIÓN EUROPEA (Proyecto Pakistán)</w:t>
      </w:r>
    </w:p>
    <w:p w:rsidR="003E311F" w:rsidRPr="007329AC" w:rsidRDefault="003E311F" w:rsidP="00386789">
      <w:pPr>
        <w:keepNext/>
        <w:keepLines/>
        <w:tabs>
          <w:tab w:val="left" w:pos="0"/>
          <w:tab w:val="left" w:pos="9071"/>
        </w:tabs>
        <w:rPr>
          <w:b/>
          <w:sz w:val="20"/>
        </w:rPr>
      </w:pPr>
    </w:p>
    <w:tbl>
      <w:tblPr>
        <w:tblW w:w="9640"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678"/>
      </w:tblGrid>
      <w:tr w:rsidR="003E311F" w:rsidRPr="00057B87" w:rsidTr="007A358B">
        <w:trPr>
          <w:cantSplit/>
        </w:trPr>
        <w:tc>
          <w:tcPr>
            <w:tcW w:w="9640"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386789">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rFonts w:eastAsia="MS Mincho"/>
                <w:bCs/>
                <w:color w:val="000000"/>
                <w:sz w:val="16"/>
                <w:szCs w:val="16"/>
                <w:lang w:eastAsia="ja-JP" w:bidi="th-TH"/>
              </w:rPr>
              <w:t xml:space="preserve">I.2  </w:t>
            </w:r>
            <w:r w:rsidRPr="00515D00">
              <w:rPr>
                <w:rFonts w:eastAsia="MS Mincho"/>
                <w:bCs/>
                <w:sz w:val="16"/>
                <w:szCs w:val="16"/>
                <w:lang w:eastAsia="ja-JP" w:bidi="th-TH"/>
              </w:rPr>
              <w:t>Marcos de P.I. adaptados y equilibrados en el ámbito legislativo, reglamentario y de política</w:t>
            </w:r>
          </w:p>
        </w:tc>
      </w:tr>
      <w:tr w:rsidR="003E311F" w:rsidRPr="00515D00" w:rsidTr="007A358B">
        <w:trPr>
          <w:cantSplit/>
          <w:trHeight w:val="500"/>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8"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cantSplit/>
          <w:trHeight w:val="464"/>
        </w:trPr>
        <w:tc>
          <w:tcPr>
            <w:tcW w:w="1843" w:type="dxa"/>
          </w:tcPr>
          <w:p w:rsidR="003E311F" w:rsidRPr="00515D00" w:rsidRDefault="003E311F" w:rsidP="007A358B">
            <w:pPr>
              <w:spacing w:before="60" w:after="60"/>
              <w:rPr>
                <w:bCs/>
                <w:sz w:val="16"/>
                <w:szCs w:val="16"/>
              </w:rPr>
            </w:pPr>
            <w:r w:rsidRPr="00515D00">
              <w:rPr>
                <w:bCs/>
                <w:sz w:val="16"/>
                <w:szCs w:val="16"/>
              </w:rPr>
              <w:t>Mesa redonda sobre el desarrollo de una estrategia nacional de P.I.</w:t>
            </w:r>
          </w:p>
        </w:tc>
        <w:tc>
          <w:tcPr>
            <w:tcW w:w="1134" w:type="dxa"/>
          </w:tcPr>
          <w:p w:rsidR="003E311F" w:rsidRPr="00515D00" w:rsidRDefault="003E311F" w:rsidP="007A358B">
            <w:pPr>
              <w:spacing w:before="60" w:after="60"/>
              <w:rPr>
                <w:bCs/>
                <w:sz w:val="16"/>
                <w:szCs w:val="16"/>
              </w:rPr>
            </w:pPr>
            <w:r w:rsidRPr="00515D00">
              <w:rPr>
                <w:bCs/>
                <w:sz w:val="16"/>
                <w:szCs w:val="16"/>
              </w:rPr>
              <w:t>23 a 24 de abril de 2015</w:t>
            </w:r>
          </w:p>
        </w:tc>
        <w:tc>
          <w:tcPr>
            <w:tcW w:w="1985" w:type="dxa"/>
          </w:tcPr>
          <w:p w:rsidR="003E311F" w:rsidRPr="00515D00" w:rsidRDefault="003E311F" w:rsidP="007A358B">
            <w:pPr>
              <w:spacing w:before="60" w:after="60"/>
              <w:rPr>
                <w:bCs/>
                <w:sz w:val="16"/>
                <w:szCs w:val="16"/>
              </w:rPr>
            </w:pPr>
            <w:r w:rsidRPr="00515D00">
              <w:rPr>
                <w:bCs/>
                <w:sz w:val="16"/>
                <w:szCs w:val="16"/>
              </w:rPr>
              <w:t>Pakistán/ 53 participantes</w:t>
            </w:r>
          </w:p>
        </w:tc>
        <w:tc>
          <w:tcPr>
            <w:tcW w:w="4678" w:type="dxa"/>
          </w:tcPr>
          <w:p w:rsidR="003E311F" w:rsidRPr="00515D00" w:rsidRDefault="003E311F" w:rsidP="007A358B">
            <w:pPr>
              <w:spacing w:before="60" w:after="60"/>
              <w:rPr>
                <w:b/>
                <w:bCs/>
                <w:sz w:val="16"/>
                <w:szCs w:val="16"/>
              </w:rPr>
            </w:pPr>
            <w:r w:rsidRPr="00515D00">
              <w:rPr>
                <w:sz w:val="16"/>
                <w:szCs w:val="16"/>
              </w:rPr>
              <w:t>i) Examinar los objetivos generales y los elementos esenciales de las estrategias de P.I.;  ii) debatir posibles conexiones entre la estrategia nacional de P.I. y las principales esferas normativas (por ejemplo, el comercio, la innovación, la salud);  iii) intercambiar opiniones sobre metodologías para formular y aplicar estrategias de P.I.;  y iv) señalar medidas que pueden adoptar las autoridades para desarrollar una estrategia nacional de P.I.</w:t>
            </w:r>
          </w:p>
        </w:tc>
      </w:tr>
      <w:tr w:rsidR="003E311F" w:rsidRPr="00057B87" w:rsidTr="007A358B">
        <w:trPr>
          <w:cantSplit/>
          <w:trHeight w:val="315"/>
        </w:trPr>
        <w:tc>
          <w:tcPr>
            <w:tcW w:w="9640" w:type="dxa"/>
            <w:gridSpan w:val="4"/>
            <w:tcBorders>
              <w:top w:val="single" w:sz="4" w:space="0" w:color="000000"/>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shd w:val="clear" w:color="auto" w:fill="C6D9F1" w:themeFill="text2" w:themeFillTint="33"/>
              </w:rPr>
              <w:t>RESULTADO:</w:t>
            </w:r>
            <w:r w:rsidRPr="00515D00">
              <w:rPr>
                <w:bCs/>
                <w:sz w:val="16"/>
                <w:szCs w:val="16"/>
                <w:shd w:val="clear" w:color="auto" w:fill="C6D9F1" w:themeFill="text2" w:themeFillTint="33"/>
              </w:rPr>
              <w:tab/>
              <w:t xml:space="preserve">IV.4  </w:t>
            </w:r>
            <w:r w:rsidRPr="00515D00">
              <w:rPr>
                <w:bCs/>
                <w:sz w:val="16"/>
                <w:szCs w:val="16"/>
              </w:rPr>
              <w:t>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Height w:val="399"/>
        </w:trPr>
        <w:tc>
          <w:tcPr>
            <w:tcW w:w="1843" w:type="dxa"/>
            <w:tcBorders>
              <w:top w:val="single" w:sz="4" w:space="0" w:color="auto"/>
              <w:left w:val="single" w:sz="4" w:space="0" w:color="000000"/>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spacing w:before="60" w:after="60"/>
              <w:rPr>
                <w:sz w:val="16"/>
                <w:szCs w:val="16"/>
              </w:rPr>
            </w:pPr>
            <w:r w:rsidRPr="00515D00">
              <w:rPr>
                <w:b/>
                <w:bCs/>
                <w:sz w:val="16"/>
                <w:szCs w:val="16"/>
              </w:rPr>
              <w:t>Fecha</w:t>
            </w:r>
          </w:p>
        </w:tc>
        <w:tc>
          <w:tcPr>
            <w:tcW w:w="1985" w:type="dxa"/>
            <w:tcBorders>
              <w:top w:val="single" w:sz="4" w:space="0" w:color="auto"/>
              <w:bottom w:val="nil"/>
            </w:tcBorders>
            <w:vAlign w:val="center"/>
          </w:tcPr>
          <w:p w:rsidR="003E311F" w:rsidRPr="00515D00" w:rsidRDefault="003E311F" w:rsidP="007A358B">
            <w:pPr>
              <w:spacing w:before="60" w:after="60"/>
              <w:rPr>
                <w:sz w:val="16"/>
                <w:szCs w:val="16"/>
              </w:rPr>
            </w:pPr>
            <w:r w:rsidRPr="00515D00">
              <w:rPr>
                <w:b/>
                <w:sz w:val="16"/>
                <w:szCs w:val="16"/>
              </w:rPr>
              <w:t>País anfitrión / Beneficiarios</w:t>
            </w:r>
          </w:p>
        </w:tc>
        <w:tc>
          <w:tcPr>
            <w:tcW w:w="4678" w:type="dxa"/>
            <w:tcBorders>
              <w:top w:val="single" w:sz="4" w:space="0" w:color="auto"/>
              <w:bottom w:val="nil"/>
              <w:right w:val="single" w:sz="4" w:space="0" w:color="000000"/>
            </w:tcBorders>
            <w:vAlign w:val="center"/>
          </w:tcPr>
          <w:p w:rsidR="003E311F" w:rsidRPr="00515D00" w:rsidRDefault="003E311F" w:rsidP="007A358B">
            <w:pPr>
              <w:spacing w:before="60" w:after="60"/>
              <w:rPr>
                <w:sz w:val="16"/>
                <w:szCs w:val="16"/>
              </w:rPr>
            </w:pPr>
            <w:r w:rsidRPr="00515D00">
              <w:rPr>
                <w:b/>
                <w:sz w:val="16"/>
                <w:szCs w:val="16"/>
              </w:rPr>
              <w:t>Propósito(s)/Descripción</w:t>
            </w:r>
          </w:p>
        </w:tc>
      </w:tr>
      <w:tr w:rsidR="003E311F" w:rsidRPr="00057B87" w:rsidTr="00DD6D33">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Elaboración </w:t>
            </w:r>
            <w:r w:rsidRPr="00515D00">
              <w:rPr>
                <w:sz w:val="16"/>
                <w:szCs w:val="16"/>
              </w:rPr>
              <w:t>del portal de Internet de la Oficina de la P.I. del Pakistán</w:t>
            </w:r>
            <w:r w:rsidRPr="00515D00">
              <w:rPr>
                <w:rStyle w:val="FootnoteReference"/>
                <w:color w:val="000000"/>
                <w:sz w:val="16"/>
                <w:szCs w:val="16"/>
              </w:rPr>
              <w:footnoteReference w:id="153"/>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1985" w:type="dxa"/>
            <w:tcBorders>
              <w:top w:val="nil"/>
              <w:bottom w:val="nil"/>
            </w:tcBorders>
          </w:tcPr>
          <w:p w:rsidR="003E311F" w:rsidRPr="00515D00" w:rsidRDefault="00386789" w:rsidP="007A358B">
            <w:pPr>
              <w:autoSpaceDE w:val="0"/>
              <w:autoSpaceDN w:val="0"/>
              <w:adjustRightInd w:val="0"/>
              <w:spacing w:before="60" w:after="60"/>
              <w:rPr>
                <w:color w:val="000000"/>
                <w:sz w:val="16"/>
                <w:szCs w:val="16"/>
              </w:rPr>
            </w:pPr>
            <w:r>
              <w:rPr>
                <w:sz w:val="16"/>
                <w:szCs w:val="16"/>
              </w:rPr>
              <w:t>Pakistán</w:t>
            </w:r>
            <w:r w:rsidR="003E311F" w:rsidRPr="00515D00">
              <w:rPr>
                <w:sz w:val="16"/>
                <w:szCs w:val="16"/>
              </w:rPr>
              <w:t>/ Oficina de P.I. del Pakistán</w:t>
            </w:r>
          </w:p>
        </w:tc>
        <w:tc>
          <w:tcPr>
            <w:tcW w:w="4678"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Mejorar el sitio web de la Oficina de P.I. del Pakistán introduciendo nuevas funciones como:  i) el acceso en línea a la Gaceta de pat</w:t>
            </w:r>
            <w:r>
              <w:rPr>
                <w:sz w:val="16"/>
                <w:szCs w:val="16"/>
              </w:rPr>
              <w:t xml:space="preserve">entes y a los Diarios de marcas; </w:t>
            </w:r>
            <w:r w:rsidRPr="00515D00">
              <w:rPr>
                <w:sz w:val="16"/>
                <w:szCs w:val="16"/>
              </w:rPr>
              <w:t xml:space="preserve"> ii) el acceso en línea a la verificación de la situación de las</w:t>
            </w:r>
            <w:r>
              <w:rPr>
                <w:sz w:val="16"/>
                <w:szCs w:val="16"/>
              </w:rPr>
              <w:t xml:space="preserve"> solicitudes de títulos de P.I.; </w:t>
            </w:r>
            <w:r w:rsidRPr="00515D00">
              <w:rPr>
                <w:sz w:val="16"/>
                <w:szCs w:val="16"/>
              </w:rPr>
              <w:t xml:space="preserve"> iii) la búsqueda pública de bases de datos de P.I.</w:t>
            </w:r>
            <w:r>
              <w:rPr>
                <w:sz w:val="16"/>
                <w:szCs w:val="16"/>
              </w:rPr>
              <w:t xml:space="preserve">; </w:t>
            </w:r>
            <w:r w:rsidRPr="00515D00">
              <w:rPr>
                <w:sz w:val="16"/>
                <w:szCs w:val="16"/>
              </w:rPr>
              <w:t xml:space="preserve"> y iv) la puesta en marcha de una Intranet para las comunicaciones internas entre las Oficinas de P.I. del Pakistán en Karachi, Lahore e Islamabad.  </w:t>
            </w:r>
          </w:p>
        </w:tc>
      </w:tr>
      <w:tr w:rsidR="003E311F" w:rsidRPr="00057B87" w:rsidTr="00386789">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Adaptación de los programas informáticos para los </w:t>
            </w:r>
            <w:r>
              <w:rPr>
                <w:color w:val="000000"/>
                <w:sz w:val="16"/>
                <w:szCs w:val="16"/>
              </w:rPr>
              <w:t>recursos humanos</w:t>
            </w:r>
            <w:r w:rsidRPr="00515D00">
              <w:rPr>
                <w:color w:val="000000"/>
                <w:sz w:val="16"/>
                <w:szCs w:val="16"/>
              </w:rPr>
              <w:t xml:space="preserve"> y la gestión financiera </w:t>
            </w:r>
            <w:r>
              <w:rPr>
                <w:color w:val="000000"/>
                <w:sz w:val="16"/>
                <w:szCs w:val="16"/>
              </w:rPr>
              <w:t>a</w:t>
            </w:r>
            <w:r w:rsidRPr="00515D00">
              <w:rPr>
                <w:color w:val="000000"/>
                <w:sz w:val="16"/>
                <w:szCs w:val="16"/>
              </w:rPr>
              <w:t xml:space="preserve"> la </w:t>
            </w:r>
            <w:r w:rsidRPr="00515D00">
              <w:rPr>
                <w:sz w:val="16"/>
                <w:szCs w:val="16"/>
              </w:rPr>
              <w:t>Oficina de la P.I. del Pakistán</w:t>
            </w:r>
            <w:r w:rsidRPr="00515D00">
              <w:rPr>
                <w:rStyle w:val="FootnoteReference"/>
                <w:color w:val="000000"/>
                <w:sz w:val="16"/>
                <w:szCs w:val="16"/>
              </w:rPr>
              <w:footnoteReference w:id="154"/>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1985" w:type="dxa"/>
            <w:tcBorders>
              <w:top w:val="nil"/>
              <w:bottom w:val="nil"/>
            </w:tcBorders>
          </w:tcPr>
          <w:p w:rsidR="003E311F" w:rsidRPr="00515D00" w:rsidRDefault="003E311F" w:rsidP="00386789">
            <w:pPr>
              <w:autoSpaceDE w:val="0"/>
              <w:autoSpaceDN w:val="0"/>
              <w:adjustRightInd w:val="0"/>
              <w:spacing w:before="60" w:after="60"/>
              <w:rPr>
                <w:color w:val="000000"/>
                <w:sz w:val="16"/>
                <w:szCs w:val="16"/>
              </w:rPr>
            </w:pPr>
            <w:r w:rsidRPr="00515D00">
              <w:rPr>
                <w:sz w:val="16"/>
                <w:szCs w:val="16"/>
              </w:rPr>
              <w:t>Pakistán/ Oficina de P.I. del Pakistán</w:t>
            </w:r>
          </w:p>
        </w:tc>
        <w:tc>
          <w:tcPr>
            <w:tcW w:w="4678"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Fomentar la capacidad de la Oficina de P.I. del Pakistán para prestar servicios introduciendo sistemas de automatización para ejecutar las funciones esenciales de gestión financiera y recursos humanos.  </w:t>
            </w:r>
          </w:p>
        </w:tc>
      </w:tr>
      <w:tr w:rsidR="003E311F" w:rsidRPr="00057B87" w:rsidTr="00386789">
        <w:trPr>
          <w:cantSplit/>
          <w:trHeight w:val="1620"/>
        </w:trPr>
        <w:tc>
          <w:tcPr>
            <w:tcW w:w="1843" w:type="dxa"/>
            <w:tcBorders>
              <w:top w:val="nil"/>
              <w:left w:val="single" w:sz="4" w:space="0" w:color="000000"/>
              <w:bottom w:val="single" w:sz="4" w:space="0" w:color="auto"/>
            </w:tcBorders>
          </w:tcPr>
          <w:p w:rsidR="003E311F" w:rsidRPr="00E568AB" w:rsidRDefault="003E311F" w:rsidP="007A358B">
            <w:pPr>
              <w:autoSpaceDE w:val="0"/>
              <w:autoSpaceDN w:val="0"/>
              <w:adjustRightInd w:val="0"/>
              <w:spacing w:before="60" w:after="60"/>
              <w:rPr>
                <w:color w:val="000000"/>
                <w:sz w:val="16"/>
                <w:szCs w:val="16"/>
              </w:rPr>
            </w:pPr>
            <w:r w:rsidRPr="00E568AB">
              <w:rPr>
                <w:color w:val="000000"/>
                <w:sz w:val="16"/>
                <w:szCs w:val="16"/>
              </w:rPr>
              <w:t>Consultas para examinar las actividades en curso del II Programa de asistencia técnica relacionada con el comercio</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20 a 24 de abril de 2015</w:t>
            </w:r>
          </w:p>
        </w:tc>
        <w:tc>
          <w:tcPr>
            <w:tcW w:w="1985" w:type="dxa"/>
            <w:tcBorders>
              <w:top w:val="nil"/>
              <w:bottom w:val="single" w:sz="4" w:space="0" w:color="auto"/>
            </w:tcBorders>
          </w:tcPr>
          <w:p w:rsidR="003E311F" w:rsidRPr="00515D00" w:rsidRDefault="003E311F" w:rsidP="00386789">
            <w:pPr>
              <w:autoSpaceDE w:val="0"/>
              <w:autoSpaceDN w:val="0"/>
              <w:adjustRightInd w:val="0"/>
              <w:spacing w:before="60" w:after="60"/>
              <w:rPr>
                <w:color w:val="000000"/>
                <w:sz w:val="16"/>
                <w:szCs w:val="16"/>
              </w:rPr>
            </w:pPr>
            <w:r w:rsidRPr="00515D00">
              <w:rPr>
                <w:sz w:val="16"/>
                <w:szCs w:val="16"/>
              </w:rPr>
              <w:t xml:space="preserve">Pakistán/ Oficina de P.I. del Pakistán </w:t>
            </w:r>
            <w:r w:rsidRPr="00515D00">
              <w:rPr>
                <w:color w:val="000000"/>
                <w:sz w:val="16"/>
                <w:szCs w:val="16"/>
              </w:rPr>
              <w:t xml:space="preserve">y </w:t>
            </w:r>
            <w:r>
              <w:rPr>
                <w:color w:val="000000"/>
                <w:sz w:val="16"/>
                <w:szCs w:val="16"/>
              </w:rPr>
              <w:t xml:space="preserve">la </w:t>
            </w:r>
            <w:r w:rsidRPr="00515D00">
              <w:rPr>
                <w:color w:val="000000"/>
                <w:sz w:val="16"/>
                <w:szCs w:val="16"/>
              </w:rPr>
              <w:t>ONUDI</w:t>
            </w:r>
          </w:p>
        </w:tc>
        <w:tc>
          <w:tcPr>
            <w:tcW w:w="4678" w:type="dxa"/>
            <w:tcBorders>
              <w:top w:val="nil"/>
              <w:bottom w:val="single" w:sz="4" w:space="0" w:color="auto"/>
              <w:right w:val="single" w:sz="4" w:space="0" w:color="000000"/>
            </w:tcBorders>
          </w:tcPr>
          <w:p w:rsidR="003E311F" w:rsidRPr="00E568AB" w:rsidRDefault="003E311F" w:rsidP="007A358B">
            <w:pPr>
              <w:autoSpaceDE w:val="0"/>
              <w:autoSpaceDN w:val="0"/>
              <w:adjustRightInd w:val="0"/>
              <w:spacing w:before="60" w:after="60"/>
              <w:rPr>
                <w:color w:val="000000"/>
                <w:sz w:val="16"/>
                <w:szCs w:val="16"/>
              </w:rPr>
            </w:pPr>
            <w:r w:rsidRPr="00E568AB">
              <w:rPr>
                <w:color w:val="000000"/>
                <w:sz w:val="16"/>
                <w:szCs w:val="16"/>
              </w:rPr>
              <w:t>Celebrar consultas con los sectores nacionales interesados (la Oficina de Patentes de la Oficina de P.I., el Registro de Marcas y la Oficina de Derecho de Autor en Karachi, la Oficina Central de P.I. y la Oficina de Gestión de Proyecto de la ONUDI en Islamabad) para examinar el estado de aplicación del II Programa de asistencia técnica relacionada con el comercio y las medidas necesarias para garantizar que el programa se finalice de forma satisfactoria, en particular que se consigan resultados tangibles.</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color w:val="000000"/>
          <w:sz w:val="20"/>
        </w:rPr>
      </w:pPr>
      <w:r w:rsidRPr="007329AC">
        <w:rPr>
          <w:b/>
          <w:sz w:val="20"/>
        </w:rPr>
        <w:t xml:space="preserve">UNIÓN EUROPEA (Proyecto Pakistán) – Contribuciones de donantes y gastos de </w:t>
      </w:r>
      <w:r w:rsidRPr="007329AC">
        <w:rPr>
          <w:b/>
          <w:color w:val="000000"/>
          <w:sz w:val="20"/>
        </w:rPr>
        <w:t>2015</w:t>
      </w:r>
    </w:p>
    <w:p w:rsidR="003E311F" w:rsidRPr="007329AC" w:rsidRDefault="003E311F" w:rsidP="003E311F">
      <w:pPr>
        <w:tabs>
          <w:tab w:val="left" w:pos="0"/>
          <w:tab w:val="left" w:pos="9071"/>
        </w:tabs>
        <w:rPr>
          <w:b/>
          <w:sz w:val="20"/>
        </w:rPr>
      </w:pPr>
    </w:p>
    <w:tbl>
      <w:tblPr>
        <w:tblW w:w="9649" w:type="dxa"/>
        <w:tblInd w:w="98" w:type="dxa"/>
        <w:tblLook w:val="04A0" w:firstRow="1" w:lastRow="0" w:firstColumn="1" w:lastColumn="0" w:noHBand="0" w:noVBand="1"/>
      </w:tblPr>
      <w:tblGrid>
        <w:gridCol w:w="2040"/>
        <w:gridCol w:w="1640"/>
        <w:gridCol w:w="1860"/>
        <w:gridCol w:w="1780"/>
        <w:gridCol w:w="2329"/>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329"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383.115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(41.520)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189.256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99.868</w:t>
            </w:r>
          </w:p>
        </w:tc>
        <w:tc>
          <w:tcPr>
            <w:tcW w:w="2329"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52.470</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widowControl w:val="0"/>
        <w:tabs>
          <w:tab w:val="left" w:pos="0"/>
          <w:tab w:val="left" w:pos="9071"/>
        </w:tabs>
        <w:rPr>
          <w:sz w:val="20"/>
        </w:rPr>
      </w:pPr>
      <w:r w:rsidRPr="007329AC">
        <w:rPr>
          <w:b/>
          <w:sz w:val="20"/>
        </w:rPr>
        <w:t>FINLANDIA / DERECHO DE AUTOR</w:t>
      </w:r>
    </w:p>
    <w:p w:rsidR="003E311F" w:rsidRPr="007329AC" w:rsidRDefault="003E311F" w:rsidP="003E311F">
      <w:pPr>
        <w:rPr>
          <w:sz w:val="20"/>
        </w:rPr>
      </w:pPr>
    </w:p>
    <w:tbl>
      <w:tblPr>
        <w:tblW w:w="9786"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90"/>
        <w:gridCol w:w="1134"/>
        <w:gridCol w:w="1700"/>
        <w:gridCol w:w="4962"/>
      </w:tblGrid>
      <w:tr w:rsidR="003E311F" w:rsidRPr="00057B87" w:rsidTr="007A358B">
        <w:tc>
          <w:tcPr>
            <w:tcW w:w="9786"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spacing w:before="120" w:after="120"/>
              <w:ind w:left="1740" w:hanging="1740"/>
              <w:rPr>
                <w:b/>
                <w:bCs/>
                <w:sz w:val="16"/>
                <w:szCs w:val="16"/>
              </w:rPr>
            </w:pPr>
            <w:r w:rsidRPr="00515D00">
              <w:rPr>
                <w:b/>
                <w:bCs/>
                <w:color w:val="000000"/>
                <w:sz w:val="16"/>
                <w:szCs w:val="16"/>
              </w:rPr>
              <w:t>RESULTADO:</w:t>
            </w:r>
            <w:r>
              <w:rPr>
                <w:b/>
                <w:bCs/>
                <w:sz w:val="16"/>
                <w:szCs w:val="16"/>
              </w:rPr>
              <w:tab/>
            </w:r>
            <w:r w:rsidRPr="00515D00">
              <w:rPr>
                <w:bCs/>
                <w:sz w:val="16"/>
                <w:szCs w:val="16"/>
                <w:shd w:val="clear" w:color="auto" w:fill="C6D9F1" w:themeFill="text2" w:themeFillTint="33"/>
              </w:rPr>
              <w:t>V.2  Ampliación y mejora del uso de los análisis económicos de la OMPI en la formulación de políticas</w:t>
            </w:r>
          </w:p>
        </w:tc>
      </w:tr>
      <w:tr w:rsidR="003E311F" w:rsidRPr="00783374" w:rsidTr="007A358B">
        <w:tc>
          <w:tcPr>
            <w:tcW w:w="1990"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700"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2"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c>
          <w:tcPr>
            <w:tcW w:w="199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Publicación de la segunda edición de la </w:t>
            </w:r>
            <w:r w:rsidRPr="0092786B">
              <w:rPr>
                <w:rFonts w:eastAsia="MS Mincho"/>
                <w:sz w:val="16"/>
                <w:szCs w:val="16"/>
                <w:lang w:eastAsia="ja-JP" w:bidi="th-TH"/>
              </w:rPr>
              <w:lastRenderedPageBreak/>
              <w:t>Guía de la OMPI para determinar la contribución económica de las industrias relacionadas con el derecho de autor</w:t>
            </w:r>
            <w:r w:rsidRPr="00515D00">
              <w:rPr>
                <w:rStyle w:val="FootnoteReference"/>
                <w:rFonts w:eastAsia="MS Mincho"/>
                <w:i/>
                <w:color w:val="000000"/>
                <w:sz w:val="16"/>
                <w:szCs w:val="16"/>
                <w:lang w:eastAsia="ja-JP" w:bidi="th-TH"/>
              </w:rPr>
              <w:footnoteReference w:id="155"/>
            </w:r>
          </w:p>
        </w:tc>
        <w:tc>
          <w:tcPr>
            <w:tcW w:w="1134"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 xml:space="preserve">Marzo a junio de </w:t>
            </w:r>
            <w:r w:rsidRPr="00515D00">
              <w:rPr>
                <w:rFonts w:eastAsia="MS Mincho"/>
                <w:color w:val="000000"/>
                <w:sz w:val="16"/>
                <w:szCs w:val="16"/>
                <w:lang w:eastAsia="ja-JP" w:bidi="th-TH"/>
              </w:rPr>
              <w:lastRenderedPageBreak/>
              <w:t>2015</w:t>
            </w:r>
          </w:p>
        </w:tc>
        <w:tc>
          <w:tcPr>
            <w:tcW w:w="170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Todos los países</w:t>
            </w:r>
          </w:p>
        </w:tc>
        <w:tc>
          <w:tcPr>
            <w:tcW w:w="4962"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sz w:val="16"/>
                <w:szCs w:val="16"/>
                <w:lang w:eastAsia="ja-JP" w:bidi="th-TH"/>
              </w:rPr>
              <w:t xml:space="preserve">Actualizar la herramienta de la OMPI para determinar la contribución económica de las industrias relacionadas con el </w:t>
            </w:r>
            <w:r w:rsidRPr="00515D00">
              <w:rPr>
                <w:rFonts w:eastAsia="MS Mincho"/>
                <w:sz w:val="16"/>
                <w:szCs w:val="16"/>
                <w:lang w:eastAsia="ja-JP" w:bidi="th-TH"/>
              </w:rPr>
              <w:lastRenderedPageBreak/>
              <w:t>derecho de autor</w:t>
            </w:r>
            <w:r w:rsidRPr="00515D00">
              <w:rPr>
                <w:rFonts w:eastAsia="MS Mincho"/>
                <w:color w:val="000000"/>
                <w:sz w:val="16"/>
                <w:szCs w:val="16"/>
                <w:lang w:eastAsia="ja-JP" w:bidi="th-TH"/>
              </w:rPr>
              <w:t>.</w:t>
            </w:r>
          </w:p>
        </w:tc>
      </w:tr>
      <w:tr w:rsidR="003E311F" w:rsidRPr="00057B87" w:rsidTr="007A358B">
        <w:tc>
          <w:tcPr>
            <w:tcW w:w="1990"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Elaborar directrices para evaluar la incidencia económica, social y cultural del derecho de autor en las industrias creativas</w:t>
            </w:r>
          </w:p>
        </w:tc>
        <w:tc>
          <w:tcPr>
            <w:tcW w:w="1134"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1 de mayo a 31 de diciembre de 2015</w:t>
            </w:r>
          </w:p>
        </w:tc>
        <w:tc>
          <w:tcPr>
            <w:tcW w:w="1700"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Finlandia/ Todos los países</w:t>
            </w:r>
          </w:p>
        </w:tc>
        <w:tc>
          <w:tcPr>
            <w:tcW w:w="4962"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sz w:val="16"/>
                <w:szCs w:val="16"/>
                <w:lang w:eastAsia="ja-JP" w:bidi="th-TH"/>
              </w:rPr>
              <w:t>Poner en marcha un proyecto para poner a prueba y completar la herramienta de la OMPI para analizar la incidencia general del derecho de autor.</w:t>
            </w:r>
          </w:p>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p>
        </w:tc>
      </w:tr>
      <w:tr w:rsidR="003E311F" w:rsidRPr="00057B87" w:rsidTr="007A358B">
        <w:tc>
          <w:tcPr>
            <w:tcW w:w="1990"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sz w:val="16"/>
                <w:szCs w:val="16"/>
                <w:lang w:eastAsia="ja-JP" w:bidi="th-TH"/>
              </w:rPr>
              <w:t>Estudios sobre la contribución económica de las industrias del derecho de autor y evaluación de la piratería del derecho de autor</w:t>
            </w:r>
          </w:p>
        </w:tc>
        <w:tc>
          <w:tcPr>
            <w:tcW w:w="1134"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Enero a mayo de 2015</w:t>
            </w:r>
          </w:p>
        </w:tc>
        <w:tc>
          <w:tcPr>
            <w:tcW w:w="1700"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Etiopía, República de Moldova </w:t>
            </w:r>
          </w:p>
        </w:tc>
        <w:tc>
          <w:tcPr>
            <w:tcW w:w="4962" w:type="dxa"/>
          </w:tcPr>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r>
              <w:rPr>
                <w:rFonts w:eastAsia="MS Mincho"/>
                <w:color w:val="000000"/>
                <w:sz w:val="16"/>
                <w:szCs w:val="16"/>
                <w:lang w:eastAsia="ja-JP" w:bidi="th-TH"/>
              </w:rPr>
              <w:t>Finalización de d</w:t>
            </w:r>
            <w:r w:rsidRPr="00515D00">
              <w:rPr>
                <w:rFonts w:eastAsia="MS Mincho"/>
                <w:color w:val="000000"/>
                <w:sz w:val="16"/>
                <w:szCs w:val="16"/>
                <w:lang w:eastAsia="ja-JP" w:bidi="th-TH"/>
              </w:rPr>
              <w:t xml:space="preserve">os </w:t>
            </w:r>
            <w:r>
              <w:rPr>
                <w:rFonts w:eastAsia="MS Mincho"/>
                <w:color w:val="000000"/>
                <w:sz w:val="16"/>
                <w:szCs w:val="16"/>
                <w:lang w:eastAsia="ja-JP" w:bidi="th-TH"/>
              </w:rPr>
              <w:t xml:space="preserve">nuevos </w:t>
            </w:r>
            <w:r w:rsidRPr="00515D00">
              <w:rPr>
                <w:rFonts w:eastAsia="MS Mincho"/>
                <w:sz w:val="16"/>
                <w:szCs w:val="16"/>
                <w:lang w:eastAsia="ja-JP" w:bidi="th-TH"/>
              </w:rPr>
              <w:t>estudios de la OMPI sobre la contribución económica de las industrias del derecho de autor (</w:t>
            </w:r>
            <w:r w:rsidRPr="00515D00">
              <w:rPr>
                <w:rFonts w:eastAsia="MS Mincho"/>
                <w:color w:val="000000"/>
                <w:sz w:val="16"/>
                <w:szCs w:val="16"/>
                <w:lang w:eastAsia="ja-JP" w:bidi="th-TH"/>
              </w:rPr>
              <w:t>Etiopía y República de Moldova) para su publicación.</w:t>
            </w:r>
          </w:p>
          <w:p w:rsidR="003E311F" w:rsidRPr="00515D00" w:rsidRDefault="003E311F" w:rsidP="007A358B">
            <w:pPr>
              <w:keepNext/>
              <w:autoSpaceDE w:val="0"/>
              <w:autoSpaceDN w:val="0"/>
              <w:adjustRightInd w:val="0"/>
              <w:spacing w:before="60" w:after="60"/>
              <w:rPr>
                <w:rFonts w:eastAsia="MS Mincho"/>
                <w:color w:val="000000"/>
                <w:sz w:val="16"/>
                <w:szCs w:val="16"/>
                <w:lang w:eastAsia="ja-JP" w:bidi="th-TH"/>
              </w:rPr>
            </w:pPr>
          </w:p>
        </w:tc>
      </w:tr>
    </w:tbl>
    <w:p w:rsidR="003E311F" w:rsidRPr="00515D00" w:rsidRDefault="003E311F" w:rsidP="003E311F"/>
    <w:p w:rsidR="003E311F" w:rsidRPr="00515D00" w:rsidRDefault="003E311F" w:rsidP="003E311F">
      <w:pPr>
        <w:rPr>
          <w:b/>
        </w:rPr>
      </w:pPr>
    </w:p>
    <w:p w:rsidR="003E311F" w:rsidRPr="007329AC" w:rsidRDefault="003E311F" w:rsidP="003E311F">
      <w:pPr>
        <w:rPr>
          <w:b/>
          <w:bCs/>
          <w:color w:val="000000"/>
          <w:sz w:val="20"/>
        </w:rPr>
      </w:pPr>
      <w:r w:rsidRPr="007329AC">
        <w:rPr>
          <w:b/>
          <w:sz w:val="20"/>
        </w:rPr>
        <w:t xml:space="preserve">FINLANDIA / DERECHO DE AUTOR Contribuciones de donantes y gastos de </w:t>
      </w:r>
      <w:r w:rsidRPr="007329AC">
        <w:rPr>
          <w:b/>
          <w:bCs/>
          <w:color w:val="000000"/>
          <w:sz w:val="20"/>
        </w:rPr>
        <w:t>2015</w:t>
      </w:r>
    </w:p>
    <w:p w:rsidR="003E311F" w:rsidRPr="00515D00" w:rsidRDefault="003E311F" w:rsidP="003E311F"/>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5C708A">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66.020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51.660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14.360</w:t>
            </w:r>
          </w:p>
        </w:tc>
      </w:tr>
    </w:tbl>
    <w:p w:rsidR="003E311F" w:rsidRPr="007329AC" w:rsidRDefault="003E311F" w:rsidP="003E311F">
      <w:pPr>
        <w:rPr>
          <w:sz w:val="20"/>
        </w:rPr>
      </w:pPr>
    </w:p>
    <w:p w:rsidR="003E311F" w:rsidRPr="007329AC" w:rsidRDefault="003E311F" w:rsidP="003E311F">
      <w:pPr>
        <w:rPr>
          <w:b/>
          <w:sz w:val="20"/>
        </w:rPr>
      </w:pPr>
    </w:p>
    <w:p w:rsidR="003E311F" w:rsidRPr="007329AC" w:rsidRDefault="003E311F" w:rsidP="008C6B61">
      <w:pPr>
        <w:keepNext/>
        <w:widowControl w:val="0"/>
        <w:tabs>
          <w:tab w:val="left" w:pos="0"/>
          <w:tab w:val="left" w:pos="9071"/>
        </w:tabs>
        <w:rPr>
          <w:b/>
          <w:sz w:val="20"/>
        </w:rPr>
      </w:pPr>
      <w:r w:rsidRPr="00BC05F0">
        <w:rPr>
          <w:b/>
          <w:sz w:val="20"/>
        </w:rPr>
        <w:t>FRANCIA – PROPIEDAD INDUSTRIAL</w:t>
      </w:r>
    </w:p>
    <w:p w:rsidR="003E311F" w:rsidRPr="007329AC" w:rsidRDefault="003E311F" w:rsidP="008C6B61">
      <w:pPr>
        <w:keepNext/>
        <w:keepLines/>
        <w:rPr>
          <w:b/>
          <w:sz w:val="20"/>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60"/>
        <w:gridCol w:w="1530"/>
        <w:gridCol w:w="5012"/>
      </w:tblGrid>
      <w:tr w:rsidR="003E311F" w:rsidRPr="00057B87" w:rsidTr="007A358B">
        <w:tc>
          <w:tcPr>
            <w:tcW w:w="9782" w:type="dxa"/>
            <w:gridSpan w:val="4"/>
            <w:tcBorders>
              <w:top w:val="single" w:sz="4" w:space="0" w:color="auto"/>
              <w:bottom w:val="single" w:sz="4" w:space="0" w:color="auto"/>
            </w:tcBorders>
            <w:shd w:val="clear" w:color="auto" w:fill="C6D9F1" w:themeFill="text2" w:themeFillTint="33"/>
            <w:vAlign w:val="center"/>
          </w:tcPr>
          <w:p w:rsidR="003E311F" w:rsidRPr="00515D00" w:rsidRDefault="003E311F" w:rsidP="008C6B61">
            <w:pPr>
              <w:keepNext/>
              <w:keepLines/>
              <w:tabs>
                <w:tab w:val="left" w:pos="1740"/>
              </w:tabs>
              <w:spacing w:before="120" w:after="60"/>
              <w:ind w:left="1741" w:hanging="1741"/>
              <w:rPr>
                <w:b/>
                <w:bCs/>
                <w:sz w:val="16"/>
                <w:szCs w:val="16"/>
              </w:rPr>
            </w:pPr>
            <w:r w:rsidRPr="00515D00">
              <w:rPr>
                <w:b/>
                <w:bCs/>
                <w:color w:val="000000"/>
                <w:sz w:val="16"/>
                <w:szCs w:val="16"/>
              </w:rPr>
              <w:t>RESULTADO:</w:t>
            </w:r>
            <w:r w:rsidRPr="00515D00">
              <w:rPr>
                <w:b/>
                <w:bCs/>
                <w:sz w:val="16"/>
                <w:szCs w:val="16"/>
              </w:rPr>
              <w:tab/>
            </w:r>
            <w:r w:rsidRPr="00515D00">
              <w:rPr>
                <w:rFonts w:eastAsia="MS Mincho"/>
                <w:bCs/>
                <w:color w:val="000000"/>
                <w:sz w:val="16"/>
                <w:szCs w:val="16"/>
                <w:lang w:eastAsia="ja-JP" w:bidi="th-TH"/>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c>
          <w:tcPr>
            <w:tcW w:w="1980" w:type="dxa"/>
            <w:tcBorders>
              <w:top w:val="single" w:sz="4" w:space="0" w:color="auto"/>
            </w:tcBorders>
            <w:vAlign w:val="center"/>
          </w:tcPr>
          <w:p w:rsidR="003E311F" w:rsidRPr="00515D00" w:rsidRDefault="003E311F" w:rsidP="008C6B61">
            <w:pPr>
              <w:keepNext/>
              <w:keepLines/>
              <w:spacing w:before="60" w:after="60"/>
              <w:rPr>
                <w:b/>
                <w:bCs/>
                <w:sz w:val="16"/>
                <w:szCs w:val="16"/>
              </w:rPr>
            </w:pPr>
            <w:r w:rsidRPr="00515D00">
              <w:rPr>
                <w:b/>
                <w:bCs/>
                <w:sz w:val="16"/>
                <w:szCs w:val="16"/>
              </w:rPr>
              <w:t>Actividad</w:t>
            </w:r>
          </w:p>
        </w:tc>
        <w:tc>
          <w:tcPr>
            <w:tcW w:w="1260" w:type="dxa"/>
            <w:tcBorders>
              <w:top w:val="single" w:sz="4" w:space="0" w:color="auto"/>
            </w:tcBorders>
            <w:shd w:val="clear" w:color="auto" w:fill="auto"/>
            <w:tcMar>
              <w:top w:w="110" w:type="dxa"/>
            </w:tcMar>
            <w:vAlign w:val="center"/>
          </w:tcPr>
          <w:p w:rsidR="003E311F" w:rsidRPr="00515D00" w:rsidRDefault="003E311F" w:rsidP="008C6B61">
            <w:pPr>
              <w:keepNext/>
              <w:keepLines/>
              <w:spacing w:before="60" w:after="60"/>
              <w:rPr>
                <w:sz w:val="16"/>
                <w:szCs w:val="16"/>
              </w:rPr>
            </w:pPr>
            <w:r w:rsidRPr="00515D00">
              <w:rPr>
                <w:b/>
                <w:bCs/>
                <w:sz w:val="16"/>
                <w:szCs w:val="16"/>
              </w:rPr>
              <w:t>Fecha</w:t>
            </w:r>
          </w:p>
        </w:tc>
        <w:tc>
          <w:tcPr>
            <w:tcW w:w="1530" w:type="dxa"/>
            <w:tcBorders>
              <w:top w:val="single" w:sz="4" w:space="0" w:color="auto"/>
            </w:tcBorders>
            <w:shd w:val="clear" w:color="auto" w:fill="auto"/>
            <w:tcMar>
              <w:top w:w="110" w:type="dxa"/>
            </w:tcMar>
            <w:vAlign w:val="center"/>
          </w:tcPr>
          <w:p w:rsidR="003E311F" w:rsidRPr="00515D00" w:rsidRDefault="003E311F" w:rsidP="008C6B61">
            <w:pPr>
              <w:keepNext/>
              <w:widowControl w:val="0"/>
              <w:rPr>
                <w:sz w:val="16"/>
                <w:szCs w:val="16"/>
              </w:rPr>
            </w:pPr>
            <w:r w:rsidRPr="00515D00">
              <w:rPr>
                <w:b/>
                <w:sz w:val="16"/>
                <w:szCs w:val="16"/>
              </w:rPr>
              <w:t>País anfitrión / Beneficiarios</w:t>
            </w:r>
          </w:p>
        </w:tc>
        <w:tc>
          <w:tcPr>
            <w:tcW w:w="5012" w:type="dxa"/>
            <w:tcBorders>
              <w:top w:val="single" w:sz="4" w:space="0" w:color="auto"/>
            </w:tcBorders>
            <w:shd w:val="clear" w:color="auto" w:fill="FFFFFF"/>
            <w:tcMar>
              <w:top w:w="110" w:type="dxa"/>
            </w:tcMar>
            <w:vAlign w:val="center"/>
          </w:tcPr>
          <w:p w:rsidR="003E311F" w:rsidRPr="00515D00" w:rsidRDefault="003E311F" w:rsidP="008C6B61">
            <w:pPr>
              <w:keepNext/>
              <w:widowControl w:val="0"/>
              <w:rPr>
                <w:sz w:val="16"/>
                <w:szCs w:val="16"/>
              </w:rPr>
            </w:pPr>
            <w:r w:rsidRPr="00515D00">
              <w:rPr>
                <w:b/>
                <w:sz w:val="16"/>
                <w:szCs w:val="16"/>
              </w:rPr>
              <w:t>Propósito(s)/Descripción</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Taller regional:  "Innovar a través de patentes"</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19 a 20 de mayo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Marruecos/ 15 participantes de Argelia,</w:t>
            </w:r>
            <w:r w:rsidRPr="00515D00">
              <w:t xml:space="preserve"> </w:t>
            </w:r>
            <w:r w:rsidRPr="00515D00">
              <w:rPr>
                <w:rFonts w:eastAsia="MS Mincho"/>
                <w:color w:val="000000"/>
                <w:sz w:val="16"/>
                <w:szCs w:val="16"/>
                <w:lang w:eastAsia="ja-JP" w:bidi="th-TH"/>
              </w:rPr>
              <w:t>la OAPI, y Túnez</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Alen</w:t>
            </w:r>
            <w:r>
              <w:rPr>
                <w:rFonts w:eastAsia="MS Mincho"/>
                <w:bCs/>
                <w:color w:val="000000"/>
                <w:sz w:val="16"/>
                <w:szCs w:val="16"/>
                <w:lang w:eastAsia="ja-JP" w:bidi="th-TH"/>
              </w:rPr>
              <w:t>tar a empresas, universidades, o</w:t>
            </w:r>
            <w:r w:rsidRPr="00515D00">
              <w:rPr>
                <w:rFonts w:eastAsia="MS Mincho"/>
                <w:bCs/>
                <w:color w:val="000000"/>
                <w:sz w:val="16"/>
                <w:szCs w:val="16"/>
                <w:lang w:eastAsia="ja-JP" w:bidi="th-TH"/>
              </w:rPr>
              <w:t xml:space="preserve">ficinas de P.I., instituciones de I+D y </w:t>
            </w:r>
            <w:r>
              <w:rPr>
                <w:rFonts w:eastAsia="MS Mincho"/>
                <w:bCs/>
                <w:color w:val="000000"/>
                <w:sz w:val="16"/>
                <w:szCs w:val="16"/>
                <w:lang w:eastAsia="ja-JP" w:bidi="th-TH"/>
              </w:rPr>
              <w:t>e</w:t>
            </w:r>
            <w:r w:rsidRPr="00515D00">
              <w:rPr>
                <w:rFonts w:eastAsia="MS Mincho"/>
                <w:bCs/>
                <w:color w:val="000000"/>
                <w:sz w:val="16"/>
                <w:szCs w:val="16"/>
                <w:lang w:eastAsia="ja-JP" w:bidi="th-TH"/>
              </w:rPr>
              <w:t>l sector privado a utilizar información sobre patentes</w:t>
            </w:r>
            <w:proofErr w:type="gramStart"/>
            <w:r w:rsidRPr="00515D00">
              <w:rPr>
                <w:rFonts w:eastAsia="MS Mincho"/>
                <w:bCs/>
                <w:color w:val="000000"/>
                <w:sz w:val="16"/>
                <w:szCs w:val="16"/>
                <w:lang w:eastAsia="ja-JP" w:bidi="th-TH"/>
              </w:rPr>
              <w:t>:  i</w:t>
            </w:r>
            <w:proofErr w:type="gramEnd"/>
            <w:r w:rsidRPr="00515D00">
              <w:rPr>
                <w:rFonts w:eastAsia="MS Mincho"/>
                <w:bCs/>
                <w:color w:val="000000"/>
                <w:sz w:val="16"/>
                <w:szCs w:val="16"/>
                <w:lang w:eastAsia="ja-JP" w:bidi="th-TH"/>
              </w:rPr>
              <w:t xml:space="preserve">) </w:t>
            </w:r>
            <w:r>
              <w:rPr>
                <w:rFonts w:eastAsia="MS Mincho"/>
                <w:bCs/>
                <w:color w:val="000000"/>
                <w:sz w:val="16"/>
                <w:szCs w:val="16"/>
                <w:lang w:eastAsia="ja-JP" w:bidi="th-TH"/>
              </w:rPr>
              <w:t xml:space="preserve">en el proceso de innovación; </w:t>
            </w:r>
            <w:r w:rsidRPr="00515D00">
              <w:rPr>
                <w:rFonts w:eastAsia="MS Mincho"/>
                <w:bCs/>
                <w:color w:val="000000"/>
                <w:sz w:val="16"/>
                <w:szCs w:val="16"/>
                <w:lang w:eastAsia="ja-JP" w:bidi="th-TH"/>
              </w:rPr>
              <w:t xml:space="preserve"> ii) p</w:t>
            </w:r>
            <w:r>
              <w:rPr>
                <w:rFonts w:eastAsia="MS Mincho"/>
                <w:bCs/>
                <w:color w:val="000000"/>
                <w:sz w:val="16"/>
                <w:szCs w:val="16"/>
                <w:lang w:eastAsia="ja-JP" w:bidi="th-TH"/>
              </w:rPr>
              <w:t xml:space="preserve">ara capitalizar el conocimiento; </w:t>
            </w:r>
            <w:r w:rsidRPr="00515D00">
              <w:rPr>
                <w:rFonts w:eastAsia="MS Mincho"/>
                <w:bCs/>
                <w:color w:val="000000"/>
                <w:sz w:val="16"/>
                <w:szCs w:val="16"/>
                <w:lang w:eastAsia="ja-JP" w:bidi="th-TH"/>
              </w:rPr>
              <w:t xml:space="preserve"> iii) para desarrollar ideas nuevas</w:t>
            </w:r>
            <w:r>
              <w:rPr>
                <w:rFonts w:eastAsia="MS Mincho"/>
                <w:bCs/>
                <w:color w:val="000000"/>
                <w:sz w:val="16"/>
                <w:szCs w:val="16"/>
                <w:lang w:eastAsia="ja-JP" w:bidi="th-TH"/>
              </w:rPr>
              <w:t xml:space="preserve">; </w:t>
            </w:r>
            <w:r w:rsidRPr="00515D00">
              <w:rPr>
                <w:rFonts w:eastAsia="MS Mincho"/>
                <w:bCs/>
                <w:color w:val="000000"/>
                <w:sz w:val="16"/>
                <w:szCs w:val="16"/>
                <w:lang w:eastAsia="ja-JP" w:bidi="th-TH"/>
              </w:rPr>
              <w:t xml:space="preserve"> y iv) en el proceso de protección y explotación de sus invenciones.</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Taller nacional de la OMPI para jueces sobre el fomento del respeto por la P.I. </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Taller nacional de la OMPI para funcionarios de aduanas sobre el fomento del respeto por la P.I.</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30 de junio a 2 de julio de 2015</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30 de junio a 1 de julio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Benin/30 jueces</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Benin/ 15 funcionarios de aduanas</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i) Desarrollar y reforzar las capacidades de los jueces y los funcionarios de aduanas de Benin para velar por la observancia de los derechos de propiedad intelectual y fomentar el respeto por la P.I., ii) mejorar las conocimientos y las competencias de los participantes en relación con los procedimientos jurídicos y la gestión de los litigios en materia de P.I. y con la aplicación de medidas aduaneras dirigidas a fomentar el uso de los procedimientos descritos en la Parte III del Acuerdo sobre los ADPIC, iii) dar ocasión a los grupos participantes para intercambiar experiencias y debatir acerca de los retos que plantea la aplicación de las disposiciones legales y reglamentarias relativas a la observancia de los derechos de P.I. y iv) familiarizar a los jueces con las herramientas jurisprudenciales elaboradas respectivamente por la OMPI y la OAPI.</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Seminario regional sobre innovación colectiva y propiedad intelectual:  "</w:t>
            </w:r>
            <w:r w:rsidRPr="00906300">
              <w:rPr>
                <w:rFonts w:eastAsia="MS Mincho"/>
                <w:color w:val="000000"/>
                <w:sz w:val="16"/>
                <w:szCs w:val="16"/>
                <w:lang w:eastAsia="ja-JP" w:bidi="th-TH"/>
              </w:rPr>
              <w:t>Desarrollar alianzas entre universidades y empresas</w:t>
            </w:r>
            <w:r w:rsidRPr="00515D00">
              <w:rPr>
                <w:rFonts w:eastAsia="MS Mincho"/>
                <w:color w:val="000000"/>
                <w:sz w:val="16"/>
                <w:szCs w:val="16"/>
                <w:lang w:eastAsia="ja-JP" w:bidi="th-TH"/>
              </w:rPr>
              <w:t xml:space="preserve">" </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2 a 3 de julio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Vietnam/ 70 participantes, entre ellos nueve de Camboya, República Democrática Popular de Lao y Myanmar</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i) Presentar varios modelos que ayudan a crear un entorno propicio para la innovación y la protección de los derechos de P.I., ii) desarrollar la capacidad de innovación a través de un uso eficiente del sistema de P.I., y iii) abordar los temas de la innovación colectiva y la innovación abierta.</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Formación regional </w:t>
            </w:r>
            <w:r w:rsidRPr="00515D00">
              <w:rPr>
                <w:rFonts w:eastAsia="MS Mincho"/>
                <w:color w:val="000000"/>
                <w:sz w:val="16"/>
                <w:szCs w:val="16"/>
                <w:lang w:eastAsia="ja-JP" w:bidi="th-TH"/>
              </w:rPr>
              <w:lastRenderedPageBreak/>
              <w:t>sobre m</w:t>
            </w:r>
            <w:r>
              <w:rPr>
                <w:rFonts w:eastAsia="MS Mincho"/>
                <w:color w:val="000000"/>
                <w:sz w:val="16"/>
                <w:szCs w:val="16"/>
                <w:lang w:eastAsia="ja-JP" w:bidi="th-TH"/>
              </w:rPr>
              <w:t>a</w:t>
            </w:r>
            <w:r w:rsidRPr="00515D00">
              <w:rPr>
                <w:rFonts w:eastAsia="MS Mincho"/>
                <w:color w:val="000000"/>
                <w:sz w:val="16"/>
                <w:szCs w:val="16"/>
                <w:lang w:eastAsia="ja-JP" w:bidi="th-TH"/>
              </w:rPr>
              <w:t>rcas y falsificación para jueces de los países miembros del Consejo de Cooperación de los Estados Árabes del Golfo</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 xml:space="preserve">25 a 26 de </w:t>
            </w:r>
            <w:r w:rsidRPr="00515D00">
              <w:rPr>
                <w:rFonts w:eastAsia="MS Mincho"/>
                <w:color w:val="000000"/>
                <w:sz w:val="16"/>
                <w:szCs w:val="16"/>
                <w:lang w:eastAsia="ja-JP" w:bidi="th-TH"/>
              </w:rPr>
              <w:lastRenderedPageBreak/>
              <w:t>octubre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 xml:space="preserve">Emiratos Árabes </w:t>
            </w:r>
            <w:r w:rsidRPr="00515D00">
              <w:rPr>
                <w:rFonts w:eastAsia="MS Mincho"/>
                <w:color w:val="000000"/>
                <w:sz w:val="16"/>
                <w:szCs w:val="16"/>
                <w:lang w:eastAsia="ja-JP" w:bidi="th-TH"/>
              </w:rPr>
              <w:lastRenderedPageBreak/>
              <w:t xml:space="preserve">Unidos/ 23 participantes de Bahrein, Kuwait, Líbano, Omán, Qatar, Arabia Saudita y Emiratos Árabes Unidos </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lastRenderedPageBreak/>
              <w:t>i) Sensibilizar a los jueces ac</w:t>
            </w:r>
            <w:r>
              <w:rPr>
                <w:rFonts w:eastAsia="MS Mincho"/>
                <w:bCs/>
                <w:color w:val="000000"/>
                <w:sz w:val="16"/>
                <w:szCs w:val="16"/>
                <w:lang w:eastAsia="ja-JP" w:bidi="th-TH"/>
              </w:rPr>
              <w:t xml:space="preserve">erca de la propiedad industrial; </w:t>
            </w:r>
            <w:r w:rsidRPr="00515D00">
              <w:rPr>
                <w:rFonts w:eastAsia="MS Mincho"/>
                <w:bCs/>
                <w:color w:val="000000"/>
                <w:sz w:val="16"/>
                <w:szCs w:val="16"/>
                <w:lang w:eastAsia="ja-JP" w:bidi="th-TH"/>
              </w:rPr>
              <w:t xml:space="preserve"> ii) </w:t>
            </w:r>
            <w:r w:rsidRPr="00515D00">
              <w:rPr>
                <w:rFonts w:eastAsia="MS Mincho"/>
                <w:bCs/>
                <w:color w:val="000000"/>
                <w:sz w:val="16"/>
                <w:szCs w:val="16"/>
                <w:lang w:eastAsia="ja-JP" w:bidi="th-TH"/>
              </w:rPr>
              <w:lastRenderedPageBreak/>
              <w:t>garantizar que las decisiones judiciales se ajusten a las disposiciones de la legislación nacional y a los tratados internacionales de los que sean parte sus respectivos</w:t>
            </w:r>
            <w:r>
              <w:rPr>
                <w:rFonts w:eastAsia="MS Mincho"/>
                <w:bCs/>
                <w:color w:val="000000"/>
                <w:sz w:val="16"/>
                <w:szCs w:val="16"/>
                <w:lang w:eastAsia="ja-JP" w:bidi="th-TH"/>
              </w:rPr>
              <w:t xml:space="preserve"> países; </w:t>
            </w:r>
            <w:r w:rsidRPr="00515D00">
              <w:rPr>
                <w:rFonts w:eastAsia="MS Mincho"/>
                <w:bCs/>
                <w:color w:val="000000"/>
                <w:sz w:val="16"/>
                <w:szCs w:val="16"/>
                <w:lang w:eastAsia="ja-JP" w:bidi="th-TH"/>
              </w:rPr>
              <w:t xml:space="preserve"> y iii) aumentar la coherencia de las decisiones adoptadas por los jueces a nivel tanto nacional como regional.  </w:t>
            </w:r>
          </w:p>
        </w:tc>
      </w:tr>
      <w:tr w:rsidR="003E311F" w:rsidRPr="00057B87" w:rsidTr="007A358B">
        <w:tc>
          <w:tcPr>
            <w:tcW w:w="198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lastRenderedPageBreak/>
              <w:t>Actividades paralelas a la COP21</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30 de noviembre a 11 de diciembre de 2015</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Francia</w:t>
            </w:r>
          </w:p>
        </w:tc>
        <w:tc>
          <w:tcPr>
            <w:tcW w:w="5012" w:type="dxa"/>
          </w:tcPr>
          <w:p w:rsidR="003E311F" w:rsidRPr="00515D00" w:rsidRDefault="003E311F" w:rsidP="007A358B">
            <w:pPr>
              <w:autoSpaceDE w:val="0"/>
              <w:autoSpaceDN w:val="0"/>
              <w:adjustRightInd w:val="0"/>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 xml:space="preserve">Para dar ocasión a las </w:t>
            </w:r>
            <w:r>
              <w:rPr>
                <w:rFonts w:eastAsia="MS Mincho"/>
                <w:bCs/>
                <w:color w:val="000000"/>
                <w:sz w:val="16"/>
                <w:szCs w:val="16"/>
                <w:lang w:eastAsia="ja-JP" w:bidi="th-TH"/>
              </w:rPr>
              <w:t>pymes</w:t>
            </w:r>
            <w:r w:rsidRPr="00515D00">
              <w:rPr>
                <w:rFonts w:eastAsia="MS Mincho"/>
                <w:bCs/>
                <w:color w:val="000000"/>
                <w:sz w:val="16"/>
                <w:szCs w:val="16"/>
                <w:lang w:eastAsia="ja-JP" w:bidi="th-TH"/>
              </w:rPr>
              <w:t xml:space="preserve"> francesas e internacionales de demostrar</w:t>
            </w:r>
            <w:proofErr w:type="gramStart"/>
            <w:r w:rsidRPr="00515D00">
              <w:rPr>
                <w:rFonts w:eastAsia="MS Mincho"/>
                <w:bCs/>
                <w:color w:val="000000"/>
                <w:sz w:val="16"/>
                <w:szCs w:val="16"/>
                <w:lang w:eastAsia="ja-JP" w:bidi="th-TH"/>
              </w:rPr>
              <w:t>:  i</w:t>
            </w:r>
            <w:proofErr w:type="gramEnd"/>
            <w:r w:rsidRPr="00515D00">
              <w:rPr>
                <w:rFonts w:eastAsia="MS Mincho"/>
                <w:bCs/>
                <w:color w:val="000000"/>
                <w:sz w:val="16"/>
                <w:szCs w:val="16"/>
                <w:lang w:eastAsia="ja-JP" w:bidi="th-TH"/>
              </w:rPr>
              <w:t>) que la propiedad industrial no es un obstáculo para el desarrollo sostenible y para la protección del clima</w:t>
            </w:r>
            <w:r>
              <w:rPr>
                <w:rFonts w:eastAsia="MS Mincho"/>
                <w:bCs/>
                <w:color w:val="000000"/>
                <w:sz w:val="16"/>
                <w:szCs w:val="16"/>
                <w:lang w:eastAsia="ja-JP" w:bidi="th-TH"/>
              </w:rPr>
              <w:t xml:space="preserve">; </w:t>
            </w:r>
            <w:r w:rsidRPr="00515D00">
              <w:rPr>
                <w:rFonts w:eastAsia="MS Mincho"/>
                <w:bCs/>
                <w:color w:val="000000"/>
                <w:sz w:val="16"/>
                <w:szCs w:val="16"/>
                <w:lang w:eastAsia="ja-JP" w:bidi="th-TH"/>
              </w:rPr>
              <w:t xml:space="preserve"> y ii) que la propiedad industrial puede contribuir al desarrollo de innovaciones que mitiguen, entre otros, los efectos negativos del cambio climático.</w:t>
            </w:r>
          </w:p>
        </w:tc>
      </w:tr>
      <w:tr w:rsidR="003E311F" w:rsidRPr="00057B87" w:rsidTr="007A358B">
        <w:tc>
          <w:tcPr>
            <w:tcW w:w="1980" w:type="dxa"/>
          </w:tcPr>
          <w:p w:rsidR="003E311F" w:rsidRPr="00B8059D" w:rsidRDefault="003E311F" w:rsidP="00B8059D">
            <w:pPr>
              <w:autoSpaceDE w:val="0"/>
              <w:autoSpaceDN w:val="0"/>
              <w:adjustRightInd w:val="0"/>
              <w:spacing w:before="60" w:after="60"/>
              <w:rPr>
                <w:rFonts w:eastAsia="MS Mincho"/>
                <w:color w:val="000000"/>
                <w:sz w:val="16"/>
                <w:szCs w:val="16"/>
                <w:lang w:eastAsia="ja-JP" w:bidi="th-TH"/>
              </w:rPr>
            </w:pPr>
            <w:r w:rsidRPr="00B8059D">
              <w:rPr>
                <w:rFonts w:eastAsia="MS Mincho"/>
                <w:color w:val="000000"/>
                <w:sz w:val="16"/>
                <w:szCs w:val="16"/>
                <w:lang w:eastAsia="ja-JP" w:bidi="th-TH"/>
              </w:rPr>
              <w:t>Programa de formación CAPI (</w:t>
            </w:r>
            <w:r w:rsidRPr="00B8059D">
              <w:rPr>
                <w:rFonts w:eastAsia="MS Mincho"/>
                <w:i/>
                <w:color w:val="000000"/>
                <w:sz w:val="16"/>
                <w:szCs w:val="16"/>
                <w:lang w:eastAsia="ja-JP" w:bidi="th-TH"/>
              </w:rPr>
              <w:t>Certificat d’animateur propriété intellectuelle</w:t>
            </w:r>
            <w:r w:rsidRPr="00B8059D">
              <w:rPr>
                <w:rFonts w:eastAsia="MS Mincho"/>
                <w:color w:val="000000"/>
                <w:sz w:val="16"/>
                <w:szCs w:val="16"/>
                <w:lang w:eastAsia="ja-JP" w:bidi="th-TH"/>
              </w:rPr>
              <w:t xml:space="preserve">) con el Instituto Nacional de la Propiedad Industrial (INPI) francés y la </w:t>
            </w:r>
            <w:r w:rsidR="00B8059D" w:rsidRPr="00B8059D">
              <w:rPr>
                <w:rFonts w:eastAsia="MS Mincho"/>
                <w:color w:val="000000"/>
                <w:sz w:val="16"/>
                <w:szCs w:val="16"/>
                <w:lang w:eastAsia="ja-JP" w:bidi="th-TH"/>
              </w:rPr>
              <w:t>Oficina Marroqu</w:t>
            </w:r>
            <w:r w:rsidR="00B8059D">
              <w:rPr>
                <w:rFonts w:eastAsia="MS Mincho"/>
                <w:color w:val="000000"/>
                <w:sz w:val="16"/>
                <w:szCs w:val="16"/>
                <w:lang w:eastAsia="ja-JP" w:bidi="th-TH"/>
              </w:rPr>
              <w:t>í de la Propiedad Industrial y Comercial</w:t>
            </w:r>
            <w:r w:rsidRPr="00B8059D">
              <w:rPr>
                <w:rFonts w:eastAsia="MS Mincho"/>
                <w:color w:val="000000"/>
                <w:sz w:val="16"/>
                <w:szCs w:val="16"/>
                <w:lang w:eastAsia="ja-JP" w:bidi="th-TH"/>
              </w:rPr>
              <w:t xml:space="preserve"> (OMPIC)</w:t>
            </w:r>
          </w:p>
        </w:tc>
        <w:tc>
          <w:tcPr>
            <w:tcW w:w="126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12 a 31 de diciembre de 2015</w:t>
            </w: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p>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(Finalización prevista el 8 de abril de 2016)</w:t>
            </w:r>
          </w:p>
        </w:tc>
        <w:tc>
          <w:tcPr>
            <w:tcW w:w="1530" w:type="dxa"/>
          </w:tcPr>
          <w:p w:rsidR="003E311F" w:rsidRPr="00515D00" w:rsidRDefault="003E311F" w:rsidP="007A358B">
            <w:pPr>
              <w:autoSpaceDE w:val="0"/>
              <w:autoSpaceDN w:val="0"/>
              <w:adjustRightInd w:val="0"/>
              <w:spacing w:before="60" w:after="60"/>
              <w:rPr>
                <w:rFonts w:eastAsia="MS Mincho"/>
                <w:color w:val="000000"/>
                <w:sz w:val="16"/>
                <w:szCs w:val="16"/>
                <w:lang w:eastAsia="ja-JP" w:bidi="th-TH"/>
              </w:rPr>
            </w:pPr>
            <w:r w:rsidRPr="00515D00">
              <w:rPr>
                <w:rFonts w:eastAsia="MS Mincho"/>
                <w:color w:val="000000"/>
                <w:sz w:val="16"/>
                <w:szCs w:val="16"/>
                <w:lang w:eastAsia="ja-JP" w:bidi="th-TH"/>
              </w:rPr>
              <w:t xml:space="preserve">Marruecos/ 10 participantes de Argelia, Camerún, Côte d’Ivoire, Senegal y Túnez </w:t>
            </w:r>
          </w:p>
        </w:tc>
        <w:tc>
          <w:tcPr>
            <w:tcW w:w="5012" w:type="dxa"/>
          </w:tcPr>
          <w:p w:rsidR="003E311F" w:rsidRPr="00515D00" w:rsidRDefault="003E311F" w:rsidP="007A358B">
            <w:pPr>
              <w:spacing w:before="60" w:after="60"/>
              <w:rPr>
                <w:rFonts w:eastAsia="MS Mincho"/>
                <w:bCs/>
                <w:color w:val="000000"/>
                <w:sz w:val="16"/>
                <w:szCs w:val="16"/>
                <w:lang w:eastAsia="ja-JP" w:bidi="th-TH"/>
              </w:rPr>
            </w:pPr>
            <w:r w:rsidRPr="00515D00">
              <w:rPr>
                <w:rFonts w:eastAsia="MS Mincho"/>
                <w:bCs/>
                <w:color w:val="000000"/>
                <w:sz w:val="16"/>
                <w:szCs w:val="16"/>
                <w:lang w:eastAsia="ja-JP" w:bidi="th-TH"/>
              </w:rPr>
              <w:t>Un programa de formación cer</w:t>
            </w:r>
            <w:r>
              <w:rPr>
                <w:rFonts w:eastAsia="MS Mincho"/>
                <w:bCs/>
                <w:color w:val="000000"/>
                <w:sz w:val="16"/>
                <w:szCs w:val="16"/>
                <w:lang w:eastAsia="ja-JP" w:bidi="th-TH"/>
              </w:rPr>
              <w:t>t</w:t>
            </w:r>
            <w:r w:rsidRPr="00515D00">
              <w:rPr>
                <w:rFonts w:eastAsia="MS Mincho"/>
                <w:bCs/>
                <w:color w:val="000000"/>
                <w:sz w:val="16"/>
                <w:szCs w:val="16"/>
                <w:lang w:eastAsia="ja-JP" w:bidi="th-TH"/>
              </w:rPr>
              <w:t xml:space="preserve">ificado </w:t>
            </w:r>
            <w:r>
              <w:rPr>
                <w:rFonts w:eastAsia="MS Mincho"/>
                <w:bCs/>
                <w:color w:val="000000"/>
                <w:sz w:val="16"/>
                <w:szCs w:val="16"/>
                <w:lang w:eastAsia="ja-JP" w:bidi="th-TH"/>
              </w:rPr>
              <w:t>dirigido a</w:t>
            </w:r>
            <w:r w:rsidRPr="00515D00">
              <w:rPr>
                <w:rFonts w:eastAsia="MS Mincho"/>
                <w:bCs/>
                <w:color w:val="000000"/>
                <w:sz w:val="16"/>
                <w:szCs w:val="16"/>
                <w:lang w:eastAsia="ja-JP" w:bidi="th-TH"/>
              </w:rPr>
              <w:t xml:space="preserve"> cubrir las necesidades de las empresas y los profesionales interesados en:    i) adquirir conocimientos especializados en la gestión de los d</w:t>
            </w:r>
            <w:r>
              <w:rPr>
                <w:rFonts w:eastAsia="MS Mincho"/>
                <w:bCs/>
                <w:color w:val="000000"/>
                <w:sz w:val="16"/>
                <w:szCs w:val="16"/>
                <w:lang w:eastAsia="ja-JP" w:bidi="th-TH"/>
              </w:rPr>
              <w:t xml:space="preserve">erechos de propiedad industrial; </w:t>
            </w:r>
            <w:r w:rsidRPr="00515D00">
              <w:rPr>
                <w:rFonts w:eastAsia="MS Mincho"/>
                <w:bCs/>
                <w:color w:val="000000"/>
                <w:sz w:val="16"/>
                <w:szCs w:val="16"/>
                <w:lang w:eastAsia="ja-JP" w:bidi="th-TH"/>
              </w:rPr>
              <w:t xml:space="preserve"> ii) comprender las dificultades que entraña</w:t>
            </w:r>
            <w:r>
              <w:rPr>
                <w:rFonts w:eastAsia="MS Mincho"/>
                <w:bCs/>
                <w:color w:val="000000"/>
                <w:sz w:val="16"/>
                <w:szCs w:val="16"/>
                <w:lang w:eastAsia="ja-JP" w:bidi="th-TH"/>
              </w:rPr>
              <w:t xml:space="preserve"> la propiedad industrial; </w:t>
            </w:r>
            <w:r w:rsidRPr="00515D00">
              <w:rPr>
                <w:rFonts w:eastAsia="MS Mincho"/>
                <w:bCs/>
                <w:color w:val="000000"/>
                <w:sz w:val="16"/>
                <w:szCs w:val="16"/>
                <w:lang w:eastAsia="ja-JP" w:bidi="th-TH"/>
              </w:rPr>
              <w:t xml:space="preserve"> iii) mejorar la eficiencia de la gestión y la valoración de los </w:t>
            </w:r>
            <w:r>
              <w:rPr>
                <w:rFonts w:eastAsia="MS Mincho"/>
                <w:bCs/>
                <w:color w:val="000000"/>
                <w:sz w:val="16"/>
                <w:szCs w:val="16"/>
                <w:lang w:eastAsia="ja-JP" w:bidi="th-TH"/>
              </w:rPr>
              <w:t xml:space="preserve">activos intangibles; </w:t>
            </w:r>
            <w:r w:rsidRPr="00515D00">
              <w:rPr>
                <w:rFonts w:eastAsia="MS Mincho"/>
                <w:bCs/>
                <w:color w:val="000000"/>
                <w:sz w:val="16"/>
                <w:szCs w:val="16"/>
                <w:lang w:eastAsia="ja-JP" w:bidi="th-TH"/>
              </w:rPr>
              <w:t xml:space="preserve"> y iv) dominar el uso de las herramientas de protección y búsqueda.</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color w:val="000000"/>
          <w:sz w:val="20"/>
        </w:rPr>
      </w:pPr>
      <w:r w:rsidRPr="007329AC">
        <w:rPr>
          <w:b/>
          <w:sz w:val="20"/>
        </w:rPr>
        <w:t>FRANCIA – PROPIEDAD INDUSTRIAL – Contribuciones de donantes y gastos en</w:t>
      </w:r>
      <w:r w:rsidRPr="007329AC">
        <w:rPr>
          <w:b/>
          <w:color w:val="000000"/>
          <w:sz w:val="20"/>
        </w:rPr>
        <w:t xml:space="preserve"> 2015</w:t>
      </w:r>
    </w:p>
    <w:p w:rsidR="003E311F" w:rsidRPr="007329AC" w:rsidRDefault="003E311F" w:rsidP="003E311F">
      <w:pPr>
        <w:rPr>
          <w:b/>
          <w:color w:val="000000"/>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1.027.640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292.662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359.804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960.497</w:t>
            </w:r>
          </w:p>
        </w:tc>
      </w:tr>
    </w:tbl>
    <w:p w:rsidR="003E311F" w:rsidRPr="00515D00" w:rsidRDefault="003E311F" w:rsidP="003E311F">
      <w:pPr>
        <w:rPr>
          <w:b/>
        </w:rPr>
      </w:pPr>
    </w:p>
    <w:p w:rsidR="003E311F" w:rsidRPr="007329AC" w:rsidRDefault="003E311F" w:rsidP="003E311F">
      <w:pPr>
        <w:rPr>
          <w:b/>
          <w:sz w:val="20"/>
        </w:rPr>
      </w:pPr>
    </w:p>
    <w:p w:rsidR="003E311F" w:rsidRPr="007329AC" w:rsidRDefault="003E311F" w:rsidP="003E311F">
      <w:pPr>
        <w:rPr>
          <w:b/>
          <w:sz w:val="20"/>
          <w:u w:val="single"/>
        </w:rPr>
      </w:pPr>
      <w:r w:rsidRPr="007329AC">
        <w:rPr>
          <w:b/>
          <w:sz w:val="20"/>
        </w:rPr>
        <w:t>PROGRAMA IBEROAMERICANO DE PROPIEDAD INDUSTRIAL</w:t>
      </w:r>
      <w:r w:rsidRPr="007329AC">
        <w:rPr>
          <w:rStyle w:val="FootnoteReference"/>
          <w:b/>
          <w:sz w:val="20"/>
          <w:u w:val="single"/>
        </w:rPr>
        <w:footnoteReference w:id="156"/>
      </w:r>
    </w:p>
    <w:p w:rsidR="003E311F" w:rsidRPr="007329AC" w:rsidRDefault="003E311F" w:rsidP="003E311F">
      <w:pPr>
        <w:rPr>
          <w:b/>
          <w:sz w:val="20"/>
          <w:u w:val="single"/>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8"/>
      </w:tblGrid>
      <w:tr w:rsidR="003E311F" w:rsidRPr="00057B87" w:rsidTr="007A358B">
        <w:tc>
          <w:tcPr>
            <w:tcW w:w="9781" w:type="dxa"/>
            <w:gridSpan w:val="4"/>
            <w:tcBorders>
              <w:top w:val="single" w:sz="4" w:space="0" w:color="000000"/>
              <w:bottom w:val="single" w:sz="4" w:space="0" w:color="000000"/>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8"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trHeight w:val="520"/>
        </w:trPr>
        <w:tc>
          <w:tcPr>
            <w:tcW w:w="1843" w:type="dxa"/>
            <w:tcBorders>
              <w:bottom w:val="nil"/>
            </w:tcBorders>
          </w:tcPr>
          <w:p w:rsidR="003E311F" w:rsidRPr="00515D00" w:rsidDel="009E0498" w:rsidRDefault="003E311F" w:rsidP="007A358B">
            <w:pPr>
              <w:autoSpaceDE w:val="0"/>
              <w:autoSpaceDN w:val="0"/>
              <w:adjustRightInd w:val="0"/>
              <w:spacing w:before="60" w:after="60"/>
              <w:rPr>
                <w:color w:val="000000"/>
                <w:sz w:val="16"/>
                <w:szCs w:val="16"/>
              </w:rPr>
            </w:pPr>
            <w:r w:rsidRPr="00515D00">
              <w:rPr>
                <w:sz w:val="16"/>
                <w:szCs w:val="16"/>
              </w:rPr>
              <w:t xml:space="preserve">Plataforma en español sobre servicios y contenidos de P.I. adaptada a las necesidades del sector empresarial de América Latina, </w:t>
            </w:r>
            <w:r>
              <w:rPr>
                <w:sz w:val="16"/>
                <w:szCs w:val="16"/>
              </w:rPr>
              <w:t>con atención especial a</w:t>
            </w:r>
            <w:r w:rsidRPr="00515D00">
              <w:rPr>
                <w:sz w:val="16"/>
                <w:szCs w:val="16"/>
              </w:rPr>
              <w:t xml:space="preserve"> las </w:t>
            </w:r>
            <w:r>
              <w:rPr>
                <w:sz w:val="16"/>
                <w:szCs w:val="16"/>
              </w:rPr>
              <w:t>pymes</w:t>
            </w:r>
            <w:r w:rsidRPr="00515D00">
              <w:rPr>
                <w:sz w:val="16"/>
                <w:szCs w:val="16"/>
              </w:rPr>
              <w:t xml:space="preserve"> (CIBEPYME).</w:t>
            </w:r>
          </w:p>
        </w:tc>
        <w:tc>
          <w:tcPr>
            <w:tcW w:w="1134"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2126"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Todos los países de América Latina</w:t>
            </w:r>
          </w:p>
        </w:tc>
        <w:tc>
          <w:tcPr>
            <w:tcW w:w="4678" w:type="dxa"/>
            <w:tcBorders>
              <w:bottom w:val="nil"/>
            </w:tcBorders>
          </w:tcPr>
          <w:p w:rsidR="003E311F" w:rsidRPr="00515D00" w:rsidDel="00152E3E" w:rsidRDefault="003E311F" w:rsidP="007A358B">
            <w:pPr>
              <w:autoSpaceDE w:val="0"/>
              <w:autoSpaceDN w:val="0"/>
              <w:adjustRightInd w:val="0"/>
              <w:spacing w:before="60" w:after="60"/>
              <w:rPr>
                <w:color w:val="000000"/>
                <w:sz w:val="16"/>
                <w:szCs w:val="16"/>
              </w:rPr>
            </w:pPr>
            <w:r w:rsidRPr="00515D00">
              <w:rPr>
                <w:sz w:val="16"/>
                <w:szCs w:val="16"/>
              </w:rPr>
              <w:t xml:space="preserve">Fortalecer la capacidad y promover el uso de la P.I. </w:t>
            </w:r>
            <w:r>
              <w:rPr>
                <w:sz w:val="16"/>
                <w:szCs w:val="16"/>
              </w:rPr>
              <w:t>como</w:t>
            </w:r>
            <w:r w:rsidRPr="00515D00">
              <w:rPr>
                <w:sz w:val="16"/>
                <w:szCs w:val="16"/>
              </w:rPr>
              <w:t xml:space="preserve"> herramienta </w:t>
            </w:r>
            <w:r>
              <w:rPr>
                <w:sz w:val="16"/>
                <w:szCs w:val="16"/>
              </w:rPr>
              <w:t>importante para las empresas</w:t>
            </w:r>
            <w:r w:rsidRPr="00515D00">
              <w:rPr>
                <w:sz w:val="16"/>
                <w:szCs w:val="16"/>
              </w:rPr>
              <w:t>.</w:t>
            </w:r>
          </w:p>
        </w:tc>
      </w:tr>
      <w:tr w:rsidR="003E311F" w:rsidRPr="00057B87" w:rsidTr="007A358B">
        <w:trPr>
          <w:trHeight w:val="520"/>
        </w:trPr>
        <w:tc>
          <w:tcPr>
            <w:tcW w:w="9781" w:type="dxa"/>
            <w:gridSpan w:val="4"/>
            <w:tcBorders>
              <w:top w:val="single" w:sz="4" w:space="0" w:color="000000"/>
              <w:bottom w:val="single" w:sz="4" w:space="0" w:color="000000"/>
            </w:tcBorders>
            <w:shd w:val="clear" w:color="auto" w:fill="C6D9F1"/>
          </w:tcPr>
          <w:p w:rsidR="003E311F" w:rsidRPr="00515D00" w:rsidDel="00152E3E"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color w:val="000000"/>
                <w:sz w:val="16"/>
                <w:szCs w:val="16"/>
              </w:rPr>
              <w:tab/>
              <w:t xml:space="preserve">III.4  </w:t>
            </w:r>
            <w:r w:rsidRPr="00515D00">
              <w:rPr>
                <w:bCs/>
                <w:sz w:val="16"/>
                <w:szCs w:val="16"/>
              </w:rPr>
              <w:t>Fortalecimiento de los mecanismos y de los programas de cooperación conforme a las necesidades de los países en desarrollo y los PMA</w:t>
            </w:r>
          </w:p>
        </w:tc>
      </w:tr>
      <w:tr w:rsidR="003E311F" w:rsidRPr="00515D00" w:rsidTr="007A358B">
        <w:trPr>
          <w:trHeight w:val="520"/>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8"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57B87"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Elaboración de un análisis de situación y una propuesta de plan de acción por un asesor experto externo</w:t>
            </w:r>
            <w:r w:rsidRPr="00515D00">
              <w:rPr>
                <w:color w:val="000000"/>
                <w:sz w:val="16"/>
                <w:szCs w:val="16"/>
              </w:rPr>
              <w:t xml:space="preserve"> </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Todos los países de América Latina</w:t>
            </w:r>
          </w:p>
        </w:tc>
        <w:tc>
          <w:tcPr>
            <w:tcW w:w="4678" w:type="dxa"/>
          </w:tcPr>
          <w:p w:rsidR="003E311F" w:rsidRPr="00515D00" w:rsidRDefault="003E311F" w:rsidP="007A358B">
            <w:pPr>
              <w:autoSpaceDE w:val="0"/>
              <w:autoSpaceDN w:val="0"/>
              <w:adjustRightInd w:val="0"/>
              <w:spacing w:before="120" w:after="120"/>
              <w:rPr>
                <w:sz w:val="16"/>
                <w:szCs w:val="16"/>
              </w:rPr>
            </w:pPr>
            <w:r>
              <w:rPr>
                <w:sz w:val="16"/>
                <w:szCs w:val="16"/>
              </w:rPr>
              <w:t>Diseñar</w:t>
            </w:r>
            <w:r w:rsidRPr="00515D00">
              <w:rPr>
                <w:sz w:val="16"/>
                <w:szCs w:val="16"/>
              </w:rPr>
              <w:t xml:space="preserve"> un plan para fortalecer y desarrollar</w:t>
            </w:r>
            <w:r>
              <w:rPr>
                <w:sz w:val="16"/>
                <w:szCs w:val="16"/>
              </w:rPr>
              <w:t xml:space="preserve"> los</w:t>
            </w:r>
            <w:r w:rsidRPr="00515D00">
              <w:rPr>
                <w:sz w:val="16"/>
                <w:szCs w:val="16"/>
              </w:rPr>
              <w:t xml:space="preserve"> servicios nacionales de información y un calendario </w:t>
            </w:r>
            <w:r>
              <w:rPr>
                <w:sz w:val="16"/>
                <w:szCs w:val="16"/>
              </w:rPr>
              <w:t>para su</w:t>
            </w:r>
            <w:r w:rsidRPr="00515D00">
              <w:rPr>
                <w:sz w:val="16"/>
                <w:szCs w:val="16"/>
              </w:rPr>
              <w:t xml:space="preserve"> ejecución, con el fin de fomentar las capacidades nacionales.</w:t>
            </w:r>
          </w:p>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Cooperación horizontal entre oficinas de P.I. para reducir asimetrías en la gestión de la calidad en las tecnologías de la información.  Las funciones del asesor son:  i) detectar asimetrías entre las oficinas de P.I. en lo que atañe a la </w:t>
            </w:r>
            <w:r w:rsidRPr="00515D00">
              <w:rPr>
                <w:sz w:val="16"/>
                <w:szCs w:val="16"/>
              </w:rPr>
              <w:lastRenderedPageBreak/>
              <w:t>gestión de la calidad y las tecnologías de la información</w:t>
            </w:r>
            <w:r>
              <w:rPr>
                <w:sz w:val="16"/>
                <w:szCs w:val="16"/>
              </w:rPr>
              <w:t xml:space="preserve">; </w:t>
            </w:r>
            <w:r w:rsidRPr="00515D00">
              <w:rPr>
                <w:sz w:val="16"/>
                <w:szCs w:val="16"/>
              </w:rPr>
              <w:t xml:space="preserve"> ii) </w:t>
            </w:r>
            <w:r>
              <w:rPr>
                <w:sz w:val="16"/>
                <w:szCs w:val="16"/>
              </w:rPr>
              <w:t>idear</w:t>
            </w:r>
            <w:r w:rsidRPr="00515D00">
              <w:rPr>
                <w:sz w:val="16"/>
                <w:szCs w:val="16"/>
              </w:rPr>
              <w:t xml:space="preserve"> un programa de acción destinado a eliminar asimetrí</w:t>
            </w:r>
            <w:r>
              <w:rPr>
                <w:sz w:val="16"/>
                <w:szCs w:val="16"/>
              </w:rPr>
              <w:t xml:space="preserve">as mediante cursos de formación; </w:t>
            </w:r>
            <w:r w:rsidRPr="00515D00">
              <w:rPr>
                <w:sz w:val="16"/>
                <w:szCs w:val="16"/>
              </w:rPr>
              <w:t xml:space="preserve"> y iii) coordinar la ejecución de este proyecto</w:t>
            </w:r>
            <w:r w:rsidRPr="00515D00">
              <w:rPr>
                <w:color w:val="000000"/>
                <w:sz w:val="16"/>
                <w:szCs w:val="16"/>
              </w:rPr>
              <w:t xml:space="preserve">.  </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lastRenderedPageBreak/>
              <w:t xml:space="preserve">Fomentar la cooperación entre las </w:t>
            </w:r>
            <w:r>
              <w:rPr>
                <w:sz w:val="16"/>
                <w:szCs w:val="16"/>
              </w:rPr>
              <w:t>oficinas de P.I.</w:t>
            </w:r>
            <w:r w:rsidRPr="00515D00">
              <w:rPr>
                <w:sz w:val="16"/>
                <w:szCs w:val="16"/>
              </w:rPr>
              <w:t xml:space="preserve"> de América Latina</w:t>
            </w:r>
            <w:r>
              <w:rPr>
                <w:sz w:val="16"/>
                <w:szCs w:val="16"/>
              </w:rPr>
              <w:t xml:space="preserve"> a fin de crear </w:t>
            </w:r>
            <w:r w:rsidRPr="00515D00">
              <w:rPr>
                <w:sz w:val="16"/>
                <w:szCs w:val="16"/>
              </w:rPr>
              <w:t xml:space="preserve">una plataforma para los países miembros </w:t>
            </w:r>
            <w:r>
              <w:rPr>
                <w:sz w:val="16"/>
                <w:szCs w:val="16"/>
              </w:rPr>
              <w:t xml:space="preserve">que facilite </w:t>
            </w:r>
            <w:r w:rsidRPr="00515D00">
              <w:rPr>
                <w:sz w:val="16"/>
                <w:szCs w:val="16"/>
              </w:rPr>
              <w:t>el intercambio de experiencias y mejores prácticas entre las oficinas</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Todos los países de América Latina</w:t>
            </w:r>
          </w:p>
        </w:tc>
        <w:tc>
          <w:tcPr>
            <w:tcW w:w="4678"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Promover el intercambio virtual de mejores prácticas entre las </w:t>
            </w:r>
            <w:r>
              <w:rPr>
                <w:sz w:val="16"/>
                <w:szCs w:val="16"/>
              </w:rPr>
              <w:t>oficinas de P.I.</w:t>
            </w:r>
            <w:r w:rsidRPr="00515D00">
              <w:rPr>
                <w:sz w:val="16"/>
                <w:szCs w:val="16"/>
              </w:rPr>
              <w:t xml:space="preserve"> en cuestiones como</w:t>
            </w:r>
            <w:proofErr w:type="gramStart"/>
            <w:r w:rsidRPr="00515D00">
              <w:rPr>
                <w:sz w:val="16"/>
                <w:szCs w:val="16"/>
              </w:rPr>
              <w:t xml:space="preserve">:  </w:t>
            </w:r>
            <w:r>
              <w:rPr>
                <w:sz w:val="16"/>
                <w:szCs w:val="16"/>
              </w:rPr>
              <w:t>i</w:t>
            </w:r>
            <w:proofErr w:type="gramEnd"/>
            <w:r>
              <w:rPr>
                <w:sz w:val="16"/>
                <w:szCs w:val="16"/>
              </w:rPr>
              <w:t xml:space="preserve">) la gestión de la calidad; </w:t>
            </w:r>
            <w:r w:rsidRPr="00515D00">
              <w:rPr>
                <w:sz w:val="16"/>
                <w:szCs w:val="16"/>
              </w:rPr>
              <w:t xml:space="preserve"> ii) la organización de servicios de registro e información en línea</w:t>
            </w:r>
            <w:r>
              <w:rPr>
                <w:sz w:val="16"/>
                <w:szCs w:val="16"/>
              </w:rPr>
              <w:t xml:space="preserve">; </w:t>
            </w:r>
            <w:r w:rsidRPr="00515D00">
              <w:rPr>
                <w:sz w:val="16"/>
                <w:szCs w:val="16"/>
              </w:rPr>
              <w:t xml:space="preserve"> iii) el suministro de bases de datos</w:t>
            </w:r>
            <w:r>
              <w:rPr>
                <w:sz w:val="16"/>
                <w:szCs w:val="16"/>
              </w:rPr>
              <w:t xml:space="preserve">; </w:t>
            </w:r>
            <w:r w:rsidRPr="00515D00">
              <w:rPr>
                <w:sz w:val="16"/>
                <w:szCs w:val="16"/>
              </w:rPr>
              <w:t xml:space="preserve"> iv) el examen de patentes, diseños y marcas</w:t>
            </w:r>
            <w:r>
              <w:rPr>
                <w:sz w:val="16"/>
                <w:szCs w:val="16"/>
              </w:rPr>
              <w:t xml:space="preserve">; </w:t>
            </w:r>
            <w:r w:rsidRPr="00515D00">
              <w:rPr>
                <w:sz w:val="16"/>
                <w:szCs w:val="16"/>
              </w:rPr>
              <w:t xml:space="preserve"> v) la organización de servicios de info</w:t>
            </w:r>
            <w:r>
              <w:rPr>
                <w:sz w:val="16"/>
                <w:szCs w:val="16"/>
              </w:rPr>
              <w:t xml:space="preserve">rmación tecnológica y comercial; </w:t>
            </w:r>
            <w:r w:rsidRPr="00515D00">
              <w:rPr>
                <w:sz w:val="16"/>
                <w:szCs w:val="16"/>
              </w:rPr>
              <w:t xml:space="preserve"> vi) la organización de programas de formación</w:t>
            </w:r>
            <w:r>
              <w:rPr>
                <w:sz w:val="16"/>
                <w:szCs w:val="16"/>
              </w:rPr>
              <w:t xml:space="preserve">; </w:t>
            </w:r>
            <w:r w:rsidRPr="00515D00">
              <w:rPr>
                <w:sz w:val="16"/>
                <w:szCs w:val="16"/>
              </w:rPr>
              <w:t xml:space="preserve"> y vii) la prestación de servicios de mediación o arbitraje.</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color w:val="000000"/>
          <w:sz w:val="20"/>
        </w:rPr>
      </w:pPr>
      <w:r w:rsidRPr="007329AC">
        <w:rPr>
          <w:b/>
          <w:sz w:val="20"/>
        </w:rPr>
        <w:t xml:space="preserve">PROGRAMA IBEROAMERICANO DE PROPIEDAD INDUSTRIAL – Contribuciones de donantes y gastos en </w:t>
      </w:r>
      <w:r w:rsidRPr="007329AC">
        <w:rPr>
          <w:b/>
          <w:color w:val="000000"/>
          <w:sz w:val="20"/>
        </w:rPr>
        <w:t>2015</w:t>
      </w:r>
    </w:p>
    <w:p w:rsidR="003E311F" w:rsidRPr="007329AC" w:rsidRDefault="003E311F" w:rsidP="003E311F">
      <w:pPr>
        <w:rPr>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232.961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13.103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6.110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239.955</w:t>
            </w:r>
          </w:p>
        </w:tc>
      </w:tr>
    </w:tbl>
    <w:p w:rsidR="003E311F" w:rsidRPr="007329AC" w:rsidRDefault="003E311F" w:rsidP="003E311F">
      <w:pPr>
        <w:keepNext/>
        <w:widowControl w:val="0"/>
        <w:tabs>
          <w:tab w:val="left" w:pos="0"/>
          <w:tab w:val="left" w:pos="9071"/>
        </w:tabs>
        <w:rPr>
          <w:b/>
          <w:sz w:val="20"/>
        </w:rPr>
      </w:pPr>
    </w:p>
    <w:p w:rsidR="003E311F" w:rsidRPr="007329AC" w:rsidRDefault="003E311F" w:rsidP="003E311F">
      <w:pPr>
        <w:keepNext/>
        <w:widowControl w:val="0"/>
        <w:tabs>
          <w:tab w:val="left" w:pos="0"/>
          <w:tab w:val="left" w:pos="9071"/>
        </w:tabs>
        <w:rPr>
          <w:b/>
          <w:sz w:val="20"/>
        </w:rPr>
      </w:pPr>
    </w:p>
    <w:p w:rsidR="003E311F" w:rsidRPr="007329AC" w:rsidRDefault="003E311F" w:rsidP="003E311F">
      <w:pPr>
        <w:keepNext/>
        <w:widowControl w:val="0"/>
        <w:tabs>
          <w:tab w:val="left" w:pos="0"/>
          <w:tab w:val="left" w:pos="9071"/>
        </w:tabs>
        <w:rPr>
          <w:b/>
          <w:sz w:val="20"/>
        </w:rPr>
      </w:pPr>
      <w:r w:rsidRPr="007329AC">
        <w:rPr>
          <w:b/>
          <w:sz w:val="20"/>
        </w:rPr>
        <w:t>ITALIA</w:t>
      </w:r>
    </w:p>
    <w:p w:rsidR="003E311F" w:rsidRPr="007329AC" w:rsidRDefault="003E311F" w:rsidP="003E311F">
      <w:pPr>
        <w:keepNext/>
        <w:keepLines/>
        <w:rPr>
          <w:b/>
          <w:sz w:val="20"/>
        </w:rPr>
      </w:pPr>
    </w:p>
    <w:tbl>
      <w:tblPr>
        <w:tblW w:w="9528"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395"/>
      </w:tblGrid>
      <w:tr w:rsidR="003E311F" w:rsidRPr="00092F2E" w:rsidTr="007A358B">
        <w:trPr>
          <w:cantSplit/>
        </w:trPr>
        <w:tc>
          <w:tcPr>
            <w:tcW w:w="9528"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sz w:val="16"/>
                <w:szCs w:val="16"/>
              </w:rPr>
              <w:t>IV.2  Mejora del acceso y uso de información de P.I. por parte de instituciones de P.I. y el público para fomentar la innovación y la creatividad</w:t>
            </w:r>
          </w:p>
        </w:tc>
      </w:tr>
      <w:tr w:rsidR="003E311F" w:rsidRPr="00515D00" w:rsidTr="007A358B">
        <w:trPr>
          <w:cantSplit/>
        </w:trPr>
        <w:tc>
          <w:tcPr>
            <w:tcW w:w="187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tcBorders>
              <w:top w:val="single" w:sz="4" w:space="0" w:color="000000"/>
            </w:tcBorders>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4" w:type="dxa"/>
            <w:tcBorders>
              <w:top w:val="single" w:sz="4" w:space="0" w:color="000000"/>
            </w:tcBorders>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395"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Pr>
        <w:tc>
          <w:tcPr>
            <w:tcW w:w="1873" w:type="dxa"/>
          </w:tcPr>
          <w:p w:rsidR="003E311F" w:rsidRPr="00515D00" w:rsidRDefault="003E311F" w:rsidP="007A358B">
            <w:pPr>
              <w:spacing w:before="60" w:after="60"/>
              <w:rPr>
                <w:color w:val="000000"/>
                <w:sz w:val="16"/>
                <w:szCs w:val="16"/>
              </w:rPr>
            </w:pPr>
            <w:r w:rsidRPr="00515D00">
              <w:rPr>
                <w:sz w:val="16"/>
                <w:szCs w:val="16"/>
              </w:rPr>
              <w:t>Creación de una base de datos nacional de patentes en línea en la Oficina de Patentes y Marcas de Italia (DGLC-UIBM)</w:t>
            </w:r>
          </w:p>
          <w:p w:rsidR="003E311F" w:rsidRPr="00515D00" w:rsidRDefault="003E311F" w:rsidP="007A358B">
            <w:pPr>
              <w:spacing w:before="60" w:after="60"/>
              <w:rPr>
                <w:color w:val="000000"/>
                <w:sz w:val="16"/>
                <w:szCs w:val="16"/>
              </w:rPr>
            </w:pPr>
          </w:p>
        </w:tc>
        <w:tc>
          <w:tcPr>
            <w:tcW w:w="127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(En curso)</w:t>
            </w:r>
            <w:r w:rsidRPr="00515D00">
              <w:rPr>
                <w:rStyle w:val="FootnoteReference"/>
                <w:color w:val="000000"/>
                <w:sz w:val="16"/>
                <w:szCs w:val="16"/>
              </w:rPr>
              <w:footnoteReference w:id="157"/>
            </w:r>
          </w:p>
        </w:tc>
        <w:tc>
          <w:tcPr>
            <w:tcW w:w="1984" w:type="dxa"/>
          </w:tcPr>
          <w:p w:rsidR="003E311F" w:rsidRPr="00515D00" w:rsidRDefault="003E311F" w:rsidP="007A358B">
            <w:pPr>
              <w:keepNext/>
              <w:keepLines/>
              <w:spacing w:before="60" w:after="60"/>
              <w:rPr>
                <w:color w:val="000000"/>
                <w:sz w:val="16"/>
                <w:szCs w:val="16"/>
              </w:rPr>
            </w:pPr>
            <w:r w:rsidRPr="00515D00">
              <w:rPr>
                <w:color w:val="000000"/>
                <w:sz w:val="16"/>
                <w:szCs w:val="16"/>
              </w:rPr>
              <w:t xml:space="preserve">Italia </w:t>
            </w:r>
          </w:p>
        </w:tc>
        <w:tc>
          <w:tcPr>
            <w:tcW w:w="4395" w:type="dxa"/>
          </w:tcPr>
          <w:p w:rsidR="003E311F" w:rsidRPr="00515D00" w:rsidRDefault="003E311F" w:rsidP="007A358B">
            <w:pPr>
              <w:keepNext/>
              <w:keepLines/>
              <w:spacing w:before="60" w:after="60"/>
              <w:rPr>
                <w:color w:val="000000"/>
                <w:sz w:val="16"/>
                <w:szCs w:val="16"/>
              </w:rPr>
            </w:pPr>
            <w:r w:rsidRPr="00515D00">
              <w:rPr>
                <w:sz w:val="16"/>
                <w:szCs w:val="16"/>
              </w:rPr>
              <w:t>i) Facilitar la participación de Italia en los acuerdos multilaterales existentes para el intercambio de documentos e informac</w:t>
            </w:r>
            <w:r>
              <w:rPr>
                <w:sz w:val="16"/>
                <w:szCs w:val="16"/>
              </w:rPr>
              <w:t xml:space="preserve">ión contenida en las patentes; </w:t>
            </w:r>
            <w:r w:rsidRPr="00515D00">
              <w:rPr>
                <w:sz w:val="16"/>
                <w:szCs w:val="16"/>
              </w:rPr>
              <w:t xml:space="preserve"> ii) sentar las bases de la participación de Italia en PATENTSCOPE y en otras bases de datos de patentes a nivel internacional (por ejemplo, Espacenet)</w:t>
            </w:r>
            <w:r>
              <w:rPr>
                <w:sz w:val="16"/>
                <w:szCs w:val="16"/>
              </w:rPr>
              <w:t xml:space="preserve">; </w:t>
            </w:r>
            <w:r w:rsidRPr="00515D00">
              <w:rPr>
                <w:sz w:val="16"/>
                <w:szCs w:val="16"/>
              </w:rPr>
              <w:t xml:space="preserve"> y iii) contribuir a fomentar la difusión de colecciones de patentes digitalizadas en beneficio de todos los Estados miembros de la OMPI, incluidos los países en desarrollo.</w:t>
            </w:r>
          </w:p>
        </w:tc>
      </w:tr>
      <w:tr w:rsidR="003E311F" w:rsidRPr="00092F2E" w:rsidTr="007A358B">
        <w:trPr>
          <w:cantSplit/>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Revisión del contenido y publicación de una guía sobre propiedad intelectual para pequeñas y medianas empresas agroalimentarias</w:t>
            </w:r>
            <w:r w:rsidRPr="00515D00">
              <w:rPr>
                <w:rStyle w:val="FootnoteReference"/>
                <w:color w:val="000000"/>
                <w:sz w:val="16"/>
                <w:szCs w:val="16"/>
              </w:rPr>
              <w:footnoteReference w:id="158"/>
            </w:r>
          </w:p>
        </w:tc>
        <w:tc>
          <w:tcPr>
            <w:tcW w:w="1276" w:type="dxa"/>
          </w:tcPr>
          <w:p w:rsidR="003E311F" w:rsidRPr="00515D00" w:rsidRDefault="003E311F" w:rsidP="007A358B">
            <w:pPr>
              <w:keepNext/>
              <w:keepLines/>
              <w:spacing w:before="60" w:after="60"/>
              <w:rPr>
                <w:color w:val="000000"/>
                <w:sz w:val="16"/>
                <w:szCs w:val="16"/>
              </w:rPr>
            </w:pPr>
            <w:r w:rsidRPr="00515D00">
              <w:rPr>
                <w:bCs/>
                <w:sz w:val="16"/>
                <w:szCs w:val="16"/>
              </w:rPr>
              <w:t>Enero a julio de 2015</w:t>
            </w:r>
            <w:r w:rsidRPr="00515D00">
              <w:rPr>
                <w:rStyle w:val="FootnoteReference"/>
                <w:bCs/>
                <w:sz w:val="16"/>
                <w:szCs w:val="16"/>
              </w:rPr>
              <w:footnoteReference w:id="159"/>
            </w:r>
          </w:p>
        </w:tc>
        <w:tc>
          <w:tcPr>
            <w:tcW w:w="1984" w:type="dxa"/>
          </w:tcPr>
          <w:p w:rsidR="003E311F" w:rsidRPr="00515D00" w:rsidRDefault="003E311F" w:rsidP="007A358B">
            <w:pPr>
              <w:keepNext/>
              <w:keepLines/>
              <w:spacing w:before="60" w:after="60"/>
              <w:rPr>
                <w:color w:val="000000"/>
                <w:sz w:val="16"/>
                <w:szCs w:val="16"/>
              </w:rPr>
            </w:pPr>
            <w:r w:rsidRPr="00515D00">
              <w:rPr>
                <w:color w:val="000000"/>
                <w:sz w:val="16"/>
                <w:szCs w:val="16"/>
              </w:rPr>
              <w:t>Italia</w:t>
            </w:r>
          </w:p>
        </w:tc>
        <w:tc>
          <w:tcPr>
            <w:tcW w:w="4395" w:type="dxa"/>
          </w:tcPr>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 xml:space="preserve">Publicación y difusión de la guía en la Exposición Mundial de Milán 2015, centrada en el tema </w:t>
            </w:r>
            <w:r>
              <w:rPr>
                <w:color w:val="000000"/>
                <w:sz w:val="16"/>
                <w:szCs w:val="16"/>
              </w:rPr>
              <w:t>"</w:t>
            </w:r>
            <w:r w:rsidRPr="00515D00">
              <w:rPr>
                <w:color w:val="000000"/>
                <w:sz w:val="16"/>
                <w:szCs w:val="16"/>
              </w:rPr>
              <w:t>Alimentar al planeta, energía para la vida</w:t>
            </w:r>
            <w:r>
              <w:rPr>
                <w:color w:val="000000"/>
                <w:sz w:val="16"/>
                <w:szCs w:val="16"/>
              </w:rPr>
              <w:t>"</w:t>
            </w:r>
            <w:r w:rsidRPr="00515D00">
              <w:rPr>
                <w:color w:val="000000"/>
                <w:sz w:val="16"/>
                <w:szCs w:val="16"/>
              </w:rPr>
              <w:t xml:space="preserve">, como contribución a la reflexión sobre el uso de </w:t>
            </w:r>
            <w:r>
              <w:rPr>
                <w:color w:val="000000"/>
                <w:sz w:val="16"/>
                <w:szCs w:val="16"/>
              </w:rPr>
              <w:t xml:space="preserve">la </w:t>
            </w:r>
            <w:r w:rsidRPr="00515D00">
              <w:rPr>
                <w:color w:val="000000"/>
                <w:sz w:val="16"/>
                <w:szCs w:val="16"/>
              </w:rPr>
              <w:t>P.I. en el sector de las empresas agroalimentarias.</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color w:val="000000"/>
          <w:sz w:val="20"/>
        </w:rPr>
      </w:pPr>
      <w:r w:rsidRPr="007329AC">
        <w:rPr>
          <w:b/>
          <w:sz w:val="20"/>
        </w:rPr>
        <w:t>ITALIA – Contribuciones de donantes y gastos en </w:t>
      </w:r>
      <w:r w:rsidRPr="007329AC">
        <w:rPr>
          <w:b/>
          <w:color w:val="000000"/>
          <w:sz w:val="20"/>
        </w:rPr>
        <w:t>2015</w:t>
      </w:r>
    </w:p>
    <w:p w:rsidR="003E311F" w:rsidRPr="007329AC" w:rsidRDefault="003E311F" w:rsidP="003E311F">
      <w:pPr>
        <w:rPr>
          <w:color w:val="000000"/>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1.233.536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436.938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796.598</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86789">
      <w:pPr>
        <w:keepNext/>
        <w:keepLines/>
        <w:rPr>
          <w:b/>
          <w:sz w:val="20"/>
        </w:rPr>
      </w:pPr>
      <w:r w:rsidRPr="007329AC">
        <w:rPr>
          <w:b/>
          <w:sz w:val="20"/>
        </w:rPr>
        <w:lastRenderedPageBreak/>
        <w:t>JAPÓN – DERECHO DE AUTOR</w:t>
      </w:r>
    </w:p>
    <w:p w:rsidR="003E311F" w:rsidRPr="007329AC" w:rsidRDefault="003E311F" w:rsidP="00386789">
      <w:pPr>
        <w:keepNext/>
        <w:keepLines/>
        <w:rPr>
          <w:b/>
          <w:sz w:val="20"/>
          <w:lang w:eastAsia="ja-JP"/>
        </w:rPr>
      </w:pP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9"/>
      </w:tblGrid>
      <w:tr w:rsidR="003E311F" w:rsidRPr="00092F2E" w:rsidTr="007A358B">
        <w:tc>
          <w:tcPr>
            <w:tcW w:w="9782"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386789">
            <w:pPr>
              <w:keepNext/>
              <w:keepLines/>
              <w:tabs>
                <w:tab w:val="left" w:pos="1740"/>
              </w:tabs>
              <w:spacing w:before="120" w:after="120"/>
              <w:ind w:left="1740" w:hanging="1740"/>
              <w:rPr>
                <w:b/>
                <w:bCs/>
                <w:sz w:val="16"/>
                <w:szCs w:val="16"/>
              </w:rPr>
            </w:pPr>
            <w:r w:rsidRPr="00515D00">
              <w:rPr>
                <w:b/>
                <w:bCs/>
                <w:color w:val="000000"/>
                <w:sz w:val="16"/>
                <w:szCs w:val="16"/>
                <w:shd w:val="clear" w:color="auto" w:fill="C6D9F1" w:themeFill="text2" w:themeFillTint="33"/>
              </w:rPr>
              <w:t>RESULTADO:</w:t>
            </w:r>
            <w:r w:rsidRPr="00515D00">
              <w:rPr>
                <w:b/>
                <w:bCs/>
                <w:sz w:val="16"/>
                <w:szCs w:val="16"/>
                <w:shd w:val="clear" w:color="auto" w:fill="C6D9F1" w:themeFill="text2" w:themeFillTint="33"/>
              </w:rPr>
              <w:tab/>
            </w:r>
            <w:r w:rsidRPr="00515D00">
              <w:rPr>
                <w:bCs/>
                <w:color w:val="000000"/>
                <w:sz w:val="16"/>
                <w:szCs w:val="16"/>
                <w:shd w:val="clear" w:color="auto" w:fill="C6D9F1" w:themeFill="text2" w:themeFillTint="33"/>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520"/>
        </w:trPr>
        <w:tc>
          <w:tcPr>
            <w:tcW w:w="1843" w:type="dxa"/>
            <w:tcBorders>
              <w:bottom w:val="nil"/>
            </w:tcBorders>
          </w:tcPr>
          <w:p w:rsidR="003E311F" w:rsidRPr="00515D00" w:rsidDel="009E0498" w:rsidRDefault="003E311F" w:rsidP="007A358B">
            <w:pPr>
              <w:autoSpaceDE w:val="0"/>
              <w:autoSpaceDN w:val="0"/>
              <w:adjustRightInd w:val="0"/>
              <w:spacing w:before="60" w:after="60"/>
              <w:rPr>
                <w:color w:val="000000"/>
                <w:sz w:val="16"/>
                <w:szCs w:val="16"/>
              </w:rPr>
            </w:pPr>
            <w:r w:rsidRPr="00515D00">
              <w:rPr>
                <w:sz w:val="16"/>
                <w:szCs w:val="16"/>
              </w:rPr>
              <w:t>Taller nacional sobre el derecho de autor y los derechos conexos</w:t>
            </w:r>
          </w:p>
        </w:tc>
        <w:tc>
          <w:tcPr>
            <w:tcW w:w="1134"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 a 4 de marzo de 2015</w:t>
            </w:r>
          </w:p>
        </w:tc>
        <w:tc>
          <w:tcPr>
            <w:tcW w:w="2126"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Bangladesh/ más de 50 participantes locales</w:t>
            </w:r>
          </w:p>
        </w:tc>
        <w:tc>
          <w:tcPr>
            <w:tcW w:w="4679" w:type="dxa"/>
            <w:tcBorders>
              <w:bottom w:val="nil"/>
            </w:tcBorders>
          </w:tcPr>
          <w:p w:rsidR="003E311F" w:rsidRPr="00515D00" w:rsidDel="00152E3E" w:rsidRDefault="003E311F" w:rsidP="007A358B">
            <w:pPr>
              <w:autoSpaceDE w:val="0"/>
              <w:autoSpaceDN w:val="0"/>
              <w:adjustRightInd w:val="0"/>
              <w:spacing w:before="60" w:after="60"/>
              <w:rPr>
                <w:color w:val="000000"/>
                <w:sz w:val="16"/>
                <w:szCs w:val="16"/>
              </w:rPr>
            </w:pPr>
            <w:r w:rsidRPr="00515D00">
              <w:rPr>
                <w:color w:val="000000"/>
                <w:sz w:val="16"/>
                <w:szCs w:val="16"/>
              </w:rPr>
              <w:t xml:space="preserve">Promover una mayor concienciación sobre el derecho de autor y los derechos conexos y </w:t>
            </w:r>
            <w:r>
              <w:rPr>
                <w:color w:val="000000"/>
                <w:sz w:val="16"/>
                <w:szCs w:val="16"/>
              </w:rPr>
              <w:t xml:space="preserve">sobre </w:t>
            </w:r>
            <w:r w:rsidRPr="00515D00">
              <w:rPr>
                <w:color w:val="000000"/>
                <w:sz w:val="16"/>
                <w:szCs w:val="16"/>
              </w:rPr>
              <w:t>su contribución al desarrollo cultural y económico</w:t>
            </w:r>
            <w:r>
              <w:rPr>
                <w:color w:val="000000"/>
                <w:sz w:val="16"/>
                <w:szCs w:val="16"/>
              </w:rPr>
              <w:t>.</w:t>
            </w:r>
          </w:p>
        </w:tc>
      </w:tr>
      <w:tr w:rsidR="003E311F" w:rsidRPr="00092F2E" w:rsidTr="007A358B">
        <w:trPr>
          <w:trHeight w:val="520"/>
        </w:trPr>
        <w:tc>
          <w:tcPr>
            <w:tcW w:w="1843" w:type="dxa"/>
            <w:tcBorders>
              <w:bottom w:val="nil"/>
            </w:tcBorders>
          </w:tcPr>
          <w:p w:rsidR="003E311F" w:rsidRPr="00515D00" w:rsidDel="009E0498" w:rsidRDefault="003E311F" w:rsidP="007A358B">
            <w:pPr>
              <w:autoSpaceDE w:val="0"/>
              <w:autoSpaceDN w:val="0"/>
              <w:adjustRightInd w:val="0"/>
              <w:spacing w:before="60" w:after="60"/>
              <w:rPr>
                <w:color w:val="000000"/>
                <w:sz w:val="16"/>
                <w:szCs w:val="16"/>
              </w:rPr>
            </w:pPr>
            <w:r w:rsidRPr="00515D00">
              <w:rPr>
                <w:color w:val="000000"/>
                <w:sz w:val="16"/>
                <w:szCs w:val="16"/>
              </w:rPr>
              <w:t>Taller nacional sobre el papel del derecho de autor y los derechos conexos en el desarrollo económico y cultural</w:t>
            </w:r>
          </w:p>
        </w:tc>
        <w:tc>
          <w:tcPr>
            <w:tcW w:w="1134"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6 a 7 de julio de 2015</w:t>
            </w:r>
          </w:p>
        </w:tc>
        <w:tc>
          <w:tcPr>
            <w:tcW w:w="2126"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Myanmar/</w:t>
            </w:r>
            <w:r w:rsidRPr="00515D00">
              <w:rPr>
                <w:sz w:val="16"/>
                <w:szCs w:val="16"/>
              </w:rPr>
              <w:t xml:space="preserve"> </w:t>
            </w:r>
            <w:r w:rsidRPr="00515D00">
              <w:rPr>
                <w:color w:val="000000"/>
                <w:sz w:val="16"/>
                <w:szCs w:val="16"/>
              </w:rPr>
              <w:t>cerca de 90 participantes locales</w:t>
            </w:r>
          </w:p>
        </w:tc>
        <w:tc>
          <w:tcPr>
            <w:tcW w:w="4679" w:type="dxa"/>
            <w:tcBorders>
              <w:bottom w:val="nil"/>
            </w:tcBorders>
          </w:tcPr>
          <w:p w:rsidR="003E311F" w:rsidRPr="00515D00" w:rsidDel="00152E3E" w:rsidRDefault="003E311F" w:rsidP="007A358B">
            <w:pPr>
              <w:autoSpaceDE w:val="0"/>
              <w:autoSpaceDN w:val="0"/>
              <w:adjustRightInd w:val="0"/>
              <w:spacing w:before="60" w:after="60"/>
              <w:rPr>
                <w:color w:val="000000"/>
                <w:sz w:val="16"/>
                <w:szCs w:val="16"/>
              </w:rPr>
            </w:pPr>
            <w:r w:rsidRPr="00515D00">
              <w:rPr>
                <w:color w:val="000000"/>
                <w:sz w:val="16"/>
                <w:szCs w:val="16"/>
              </w:rPr>
              <w:t>i) Promover una mejor comprensión del papel del derecho de autor y los derechos conexos en el desarrollo cultural y económico</w:t>
            </w:r>
            <w:r>
              <w:rPr>
                <w:color w:val="000000"/>
                <w:sz w:val="16"/>
                <w:szCs w:val="16"/>
              </w:rPr>
              <w:t xml:space="preserve">; </w:t>
            </w:r>
            <w:r w:rsidRPr="00515D00">
              <w:rPr>
                <w:color w:val="000000"/>
                <w:sz w:val="16"/>
                <w:szCs w:val="16"/>
              </w:rPr>
              <w:t xml:space="preserve"> y ii) alentar una explotación eficiente de las obras culturales a través del derecho de autor y los derechos conexos</w:t>
            </w:r>
            <w:r>
              <w:rPr>
                <w:color w:val="000000"/>
                <w:sz w:val="16"/>
                <w:szCs w:val="16"/>
              </w:rPr>
              <w:t>.</w:t>
            </w:r>
          </w:p>
        </w:tc>
      </w:tr>
      <w:tr w:rsidR="003E311F" w:rsidRPr="00092F2E" w:rsidTr="007A358B">
        <w:trPr>
          <w:trHeight w:val="520"/>
        </w:trPr>
        <w:tc>
          <w:tcPr>
            <w:tcW w:w="1843" w:type="dxa"/>
            <w:tcBorders>
              <w:top w:val="nil"/>
              <w:bottom w:val="single" w:sz="4" w:space="0" w:color="auto"/>
            </w:tcBorders>
          </w:tcPr>
          <w:p w:rsidR="003E311F" w:rsidRPr="00515D00" w:rsidDel="009E0498" w:rsidRDefault="003E311F" w:rsidP="007A358B">
            <w:pPr>
              <w:autoSpaceDE w:val="0"/>
              <w:autoSpaceDN w:val="0"/>
              <w:adjustRightInd w:val="0"/>
              <w:spacing w:before="60" w:after="60"/>
              <w:rPr>
                <w:color w:val="000000"/>
                <w:sz w:val="16"/>
                <w:szCs w:val="16"/>
              </w:rPr>
            </w:pPr>
            <w:r w:rsidRPr="00515D00">
              <w:rPr>
                <w:sz w:val="16"/>
                <w:szCs w:val="16"/>
              </w:rPr>
              <w:t>Taller nacional sobre el derecho de autor y los derechos conexos</w:t>
            </w:r>
            <w:r w:rsidRPr="00515D00">
              <w:rPr>
                <w:color w:val="000000"/>
                <w:sz w:val="16"/>
                <w:szCs w:val="16"/>
              </w:rPr>
              <w:t xml:space="preserve"> y nuevas cuestiones</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5 a 6 de agosto de 2015</w:t>
            </w:r>
          </w:p>
        </w:tc>
        <w:tc>
          <w:tcPr>
            <w:tcW w:w="2126"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Viet Nam/</w:t>
            </w:r>
            <w:r w:rsidRPr="00515D00">
              <w:rPr>
                <w:sz w:val="16"/>
                <w:szCs w:val="16"/>
              </w:rPr>
              <w:t xml:space="preserve"> </w:t>
            </w:r>
            <w:r w:rsidRPr="00515D00">
              <w:rPr>
                <w:color w:val="000000"/>
                <w:sz w:val="16"/>
                <w:szCs w:val="16"/>
              </w:rPr>
              <w:t>cerca de 100 participantes locales</w:t>
            </w:r>
          </w:p>
        </w:tc>
        <w:tc>
          <w:tcPr>
            <w:tcW w:w="4679" w:type="dxa"/>
            <w:tcBorders>
              <w:top w:val="nil"/>
              <w:bottom w:val="single" w:sz="4" w:space="0" w:color="auto"/>
            </w:tcBorders>
          </w:tcPr>
          <w:p w:rsidR="003E311F" w:rsidRPr="00515D00" w:rsidDel="00152E3E"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Mejorar la comprensión de </w:t>
            </w:r>
            <w:r>
              <w:rPr>
                <w:color w:val="000000"/>
                <w:sz w:val="16"/>
                <w:szCs w:val="16"/>
              </w:rPr>
              <w:t>las novedades recientes en el ámbito</w:t>
            </w:r>
            <w:r w:rsidRPr="00515D00">
              <w:rPr>
                <w:color w:val="000000"/>
                <w:sz w:val="16"/>
                <w:szCs w:val="16"/>
              </w:rPr>
              <w:t xml:space="preserve"> del derecho de autor y los derechos conexos</w:t>
            </w:r>
            <w:r>
              <w:rPr>
                <w:color w:val="000000"/>
                <w:sz w:val="16"/>
                <w:szCs w:val="16"/>
              </w:rPr>
              <w:t>,</w:t>
            </w:r>
            <w:r w:rsidRPr="00515D00">
              <w:rPr>
                <w:color w:val="000000"/>
                <w:sz w:val="16"/>
                <w:szCs w:val="16"/>
              </w:rPr>
              <w:t xml:space="preserve"> así como </w:t>
            </w:r>
            <w:r>
              <w:rPr>
                <w:color w:val="000000"/>
                <w:sz w:val="16"/>
                <w:szCs w:val="16"/>
              </w:rPr>
              <w:t xml:space="preserve">de </w:t>
            </w:r>
            <w:r w:rsidRPr="00515D00">
              <w:rPr>
                <w:color w:val="000000"/>
                <w:sz w:val="16"/>
                <w:szCs w:val="16"/>
              </w:rPr>
              <w:t xml:space="preserve">las implicaciones de la tecnología para </w:t>
            </w:r>
            <w:r>
              <w:rPr>
                <w:color w:val="000000"/>
                <w:sz w:val="16"/>
                <w:szCs w:val="16"/>
              </w:rPr>
              <w:t xml:space="preserve">el sistema del derecho de autor; </w:t>
            </w:r>
            <w:r w:rsidRPr="00515D00">
              <w:rPr>
                <w:color w:val="000000"/>
                <w:sz w:val="16"/>
                <w:szCs w:val="16"/>
              </w:rPr>
              <w:t xml:space="preserve"> y ii) debatir cuestiones y dificultades en el ámbito del derecho de autor y los derechos conexos en el entorno digital.</w:t>
            </w:r>
          </w:p>
        </w:tc>
      </w:tr>
      <w:tr w:rsidR="003E311F" w:rsidRPr="00092F2E" w:rsidTr="007A358B">
        <w:trPr>
          <w:trHeight w:val="520"/>
        </w:trPr>
        <w:tc>
          <w:tcPr>
            <w:tcW w:w="9782" w:type="dxa"/>
            <w:gridSpan w:val="4"/>
            <w:tcBorders>
              <w:top w:val="single" w:sz="4" w:space="0" w:color="auto"/>
              <w:bottom w:val="single" w:sz="4" w:space="0" w:color="000000"/>
            </w:tcBorders>
            <w:shd w:val="clear" w:color="auto" w:fill="C6D9F1" w:themeFill="text2" w:themeFillTint="33"/>
          </w:tcPr>
          <w:p w:rsidR="003E311F" w:rsidRPr="00515D00" w:rsidDel="00152E3E"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color w:val="000000"/>
                <w:sz w:val="16"/>
                <w:szCs w:val="16"/>
              </w:rPr>
              <w:tab/>
              <w:t xml:space="preserve">IV.4  </w:t>
            </w:r>
            <w:r w:rsidRPr="00515D00">
              <w:rPr>
                <w:bCs/>
                <w:sz w:val="16"/>
                <w:szCs w:val="16"/>
              </w:rPr>
              <w:t>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trHeight w:val="520"/>
        </w:trPr>
        <w:tc>
          <w:tcPr>
            <w:tcW w:w="184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126"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9"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nacional sobre protección del derecho de autor y los derechos conexos</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 a 13 de febrero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w:t>
            </w:r>
            <w:r w:rsidRPr="00515D00">
              <w:rPr>
                <w:sz w:val="16"/>
                <w:szCs w:val="16"/>
              </w:rPr>
              <w:t xml:space="preserve"> </w:t>
            </w:r>
            <w:r w:rsidRPr="00515D00">
              <w:rPr>
                <w:sz w:val="16"/>
                <w:szCs w:val="16"/>
                <w:lang w:eastAsia="ja-JP"/>
              </w:rPr>
              <w:t xml:space="preserve">11 </w:t>
            </w:r>
            <w:r w:rsidRPr="00515D00">
              <w:rPr>
                <w:color w:val="000000"/>
                <w:sz w:val="16"/>
                <w:szCs w:val="16"/>
              </w:rPr>
              <w:t xml:space="preserve">participantes </w:t>
            </w:r>
            <w:r w:rsidRPr="00515D00">
              <w:rPr>
                <w:color w:val="000000"/>
                <w:sz w:val="16"/>
                <w:szCs w:val="16"/>
                <w:lang w:eastAsia="ja-JP"/>
              </w:rPr>
              <w:t xml:space="preserve">de </w:t>
            </w:r>
            <w:r w:rsidRPr="00515D00">
              <w:rPr>
                <w:color w:val="000000"/>
                <w:sz w:val="16"/>
                <w:szCs w:val="16"/>
              </w:rPr>
              <w:t>China, India, Malasia, Filipinas, Sri Lanka y Tailandia</w:t>
            </w:r>
          </w:p>
        </w:tc>
        <w:tc>
          <w:tcPr>
            <w:tcW w:w="467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Informar a los funcionarios de las oficinas de derecho de autor y otras instituciones relacionadas de la región de Asia y el Pacífico de la importancia de la protección del derecho de autor y los derechos conexos.</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Visita de estudio a organismos de gestión colectiva del derecho de autor</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9 a 13 de febrero de 2015</w:t>
            </w:r>
          </w:p>
        </w:tc>
        <w:tc>
          <w:tcPr>
            <w:tcW w:w="2126" w:type="dxa"/>
          </w:tcPr>
          <w:p w:rsidR="003E311F" w:rsidRPr="00515D00" w:rsidRDefault="003E311F" w:rsidP="007A358B">
            <w:pPr>
              <w:autoSpaceDE w:val="0"/>
              <w:autoSpaceDN w:val="0"/>
              <w:adjustRightInd w:val="0"/>
              <w:spacing w:before="60" w:after="60"/>
              <w:rPr>
                <w:color w:val="000000"/>
                <w:sz w:val="16"/>
                <w:szCs w:val="16"/>
                <w:lang w:eastAsia="ja-JP"/>
              </w:rPr>
            </w:pPr>
            <w:r w:rsidRPr="00515D00">
              <w:rPr>
                <w:color w:val="000000"/>
                <w:sz w:val="16"/>
                <w:szCs w:val="16"/>
              </w:rPr>
              <w:t>Japón</w:t>
            </w:r>
            <w:r w:rsidRPr="00515D00">
              <w:rPr>
                <w:color w:val="000000"/>
                <w:sz w:val="16"/>
                <w:szCs w:val="16"/>
                <w:lang w:eastAsia="ja-JP"/>
              </w:rPr>
              <w:t>/ 8</w:t>
            </w:r>
            <w:r w:rsidRPr="00515D00">
              <w:rPr>
                <w:sz w:val="16"/>
                <w:szCs w:val="16"/>
              </w:rPr>
              <w:t xml:space="preserve"> </w:t>
            </w:r>
            <w:r w:rsidRPr="00515D00">
              <w:rPr>
                <w:color w:val="000000"/>
                <w:sz w:val="16"/>
                <w:szCs w:val="16"/>
              </w:rPr>
              <w:t xml:space="preserve">participantes </w:t>
            </w:r>
            <w:r w:rsidRPr="00515D00">
              <w:rPr>
                <w:color w:val="000000"/>
                <w:sz w:val="16"/>
                <w:szCs w:val="16"/>
                <w:lang w:eastAsia="ja-JP"/>
              </w:rPr>
              <w:t>de Bhután, Camboya, República Democrática Popular Lao y Myanmar</w:t>
            </w:r>
          </w:p>
        </w:tc>
        <w:tc>
          <w:tcPr>
            <w:tcW w:w="467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w:t>
            </w:r>
            <w:r>
              <w:rPr>
                <w:color w:val="000000"/>
                <w:sz w:val="16"/>
                <w:szCs w:val="16"/>
              </w:rPr>
              <w:t>Mejorar</w:t>
            </w:r>
            <w:r w:rsidRPr="00515D00">
              <w:rPr>
                <w:color w:val="000000"/>
                <w:sz w:val="16"/>
                <w:szCs w:val="16"/>
              </w:rPr>
              <w:t xml:space="preserve"> el conocimiento y la comprensión de los participantes sobre cuestiones relativas a </w:t>
            </w:r>
            <w:r>
              <w:rPr>
                <w:color w:val="000000"/>
                <w:sz w:val="16"/>
                <w:szCs w:val="16"/>
              </w:rPr>
              <w:t xml:space="preserve">la gestión del derecho de autor; </w:t>
            </w:r>
            <w:r w:rsidRPr="00515D00">
              <w:rPr>
                <w:color w:val="000000"/>
                <w:sz w:val="16"/>
                <w:szCs w:val="16"/>
              </w:rPr>
              <w:t xml:space="preserve"> ii) facilitar la colaboración y coordinación entre las oficinas de derecho de autor y los organismos de gestión col</w:t>
            </w:r>
            <w:r>
              <w:rPr>
                <w:color w:val="000000"/>
                <w:sz w:val="16"/>
                <w:szCs w:val="16"/>
              </w:rPr>
              <w:t xml:space="preserve">ectiva de este tipo de derechos; </w:t>
            </w:r>
            <w:r w:rsidRPr="00515D00">
              <w:rPr>
                <w:color w:val="000000"/>
                <w:sz w:val="16"/>
                <w:szCs w:val="16"/>
              </w:rPr>
              <w:t xml:space="preserve"> y iii) estudiar la experiencia japonesa en el ámbito d</w:t>
            </w:r>
            <w:r>
              <w:rPr>
                <w:color w:val="000000"/>
                <w:sz w:val="16"/>
                <w:szCs w:val="16"/>
              </w:rPr>
              <w:t>el derecho de autor y los derechos conexos</w:t>
            </w:r>
            <w:r w:rsidRPr="00515D00">
              <w:rPr>
                <w:color w:val="000000"/>
                <w:sz w:val="16"/>
                <w:szCs w:val="16"/>
              </w:rPr>
              <w:t>.</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sobre protección del derecho de autor y los derechos conexos</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19 a 30 de octubre de 2015</w:t>
            </w:r>
          </w:p>
        </w:tc>
        <w:tc>
          <w:tcPr>
            <w:tcW w:w="2126" w:type="dxa"/>
          </w:tcPr>
          <w:p w:rsidR="003E311F" w:rsidRPr="00515D00" w:rsidRDefault="003E311F" w:rsidP="007A358B">
            <w:pPr>
              <w:autoSpaceDE w:val="0"/>
              <w:autoSpaceDN w:val="0"/>
              <w:adjustRightInd w:val="0"/>
              <w:spacing w:before="60" w:after="60"/>
              <w:rPr>
                <w:color w:val="000000"/>
                <w:sz w:val="16"/>
                <w:szCs w:val="16"/>
                <w:lang w:eastAsia="ja-JP"/>
              </w:rPr>
            </w:pPr>
            <w:r w:rsidRPr="00515D00">
              <w:rPr>
                <w:color w:val="000000"/>
                <w:sz w:val="16"/>
                <w:szCs w:val="16"/>
              </w:rPr>
              <w:t>Japón</w:t>
            </w:r>
            <w:r w:rsidRPr="00515D00">
              <w:rPr>
                <w:color w:val="000000"/>
                <w:sz w:val="16"/>
                <w:szCs w:val="16"/>
                <w:lang w:eastAsia="ja-JP"/>
              </w:rPr>
              <w:t xml:space="preserve">/ 10 </w:t>
            </w:r>
            <w:r w:rsidRPr="00515D00">
              <w:rPr>
                <w:color w:val="000000"/>
                <w:sz w:val="16"/>
                <w:szCs w:val="16"/>
              </w:rPr>
              <w:t xml:space="preserve">participantes </w:t>
            </w:r>
            <w:r w:rsidRPr="00515D00">
              <w:rPr>
                <w:color w:val="000000"/>
                <w:sz w:val="16"/>
                <w:szCs w:val="16"/>
                <w:lang w:eastAsia="ja-JP"/>
              </w:rPr>
              <w:t xml:space="preserve">de Indonesia, Malasia, Filipinas, Tailandia </w:t>
            </w:r>
            <w:r>
              <w:rPr>
                <w:color w:val="000000"/>
                <w:sz w:val="16"/>
                <w:szCs w:val="16"/>
                <w:lang w:eastAsia="ja-JP"/>
              </w:rPr>
              <w:t>y</w:t>
            </w:r>
            <w:r w:rsidRPr="00515D00">
              <w:rPr>
                <w:color w:val="000000"/>
                <w:sz w:val="16"/>
                <w:szCs w:val="16"/>
                <w:lang w:eastAsia="ja-JP"/>
              </w:rPr>
              <w:t xml:space="preserve"> Viet Nam</w:t>
            </w:r>
          </w:p>
        </w:tc>
        <w:tc>
          <w:tcPr>
            <w:tcW w:w="4679" w:type="dxa"/>
          </w:tcPr>
          <w:p w:rsidR="003E311F" w:rsidRPr="00515D00" w:rsidRDefault="003E311F" w:rsidP="007A358B">
            <w:pPr>
              <w:autoSpaceDE w:val="0"/>
              <w:autoSpaceDN w:val="0"/>
              <w:adjustRightInd w:val="0"/>
              <w:spacing w:before="60" w:after="60"/>
              <w:rPr>
                <w:color w:val="000000"/>
                <w:sz w:val="16"/>
                <w:szCs w:val="16"/>
                <w:lang w:eastAsia="ja-JP"/>
              </w:rPr>
            </w:pPr>
            <w:r w:rsidRPr="00515D00">
              <w:rPr>
                <w:color w:val="000000"/>
                <w:sz w:val="16"/>
                <w:szCs w:val="16"/>
              </w:rPr>
              <w:t xml:space="preserve">i) Informar a los funcionarios de las oficinas de derecho de autor y otras instituciones relacionadas de la región de Asia y el Pacífico de la importancia de la protección del derecho </w:t>
            </w:r>
            <w:r>
              <w:rPr>
                <w:color w:val="000000"/>
                <w:sz w:val="16"/>
                <w:szCs w:val="16"/>
              </w:rPr>
              <w:t xml:space="preserve">de autor y los derechos conexos; </w:t>
            </w:r>
            <w:r w:rsidRPr="00515D00">
              <w:rPr>
                <w:color w:val="000000"/>
                <w:sz w:val="16"/>
                <w:szCs w:val="16"/>
              </w:rPr>
              <w:t xml:space="preserve"> </w:t>
            </w:r>
            <w:proofErr w:type="gramStart"/>
            <w:r w:rsidRPr="00515D00">
              <w:rPr>
                <w:color w:val="000000"/>
                <w:sz w:val="16"/>
                <w:szCs w:val="16"/>
              </w:rPr>
              <w:t>y</w:t>
            </w:r>
            <w:proofErr w:type="gramEnd"/>
            <w:r w:rsidRPr="00515D00">
              <w:rPr>
                <w:color w:val="000000"/>
                <w:sz w:val="16"/>
                <w:szCs w:val="16"/>
              </w:rPr>
              <w:t xml:space="preserve"> </w:t>
            </w:r>
            <w:r w:rsidRPr="00515D00">
              <w:rPr>
                <w:color w:val="000000"/>
                <w:sz w:val="16"/>
                <w:szCs w:val="16"/>
                <w:lang w:eastAsia="ja-JP"/>
              </w:rPr>
              <w:t xml:space="preserve">ii) intercambiar experiencias con colegas japoneses.  </w:t>
            </w:r>
          </w:p>
        </w:tc>
      </w:tr>
      <w:tr w:rsidR="003E311F" w:rsidRPr="00092F2E" w:rsidTr="007A358B">
        <w:trPr>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Visita de estudio a organismos de gestión colectiva del derecho de autor</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26 a 30 de octubre de 2015</w:t>
            </w:r>
          </w:p>
        </w:tc>
        <w:tc>
          <w:tcPr>
            <w:tcW w:w="2126"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Japón/ </w:t>
            </w:r>
            <w:r w:rsidRPr="00515D00">
              <w:rPr>
                <w:color w:val="000000"/>
                <w:sz w:val="16"/>
                <w:szCs w:val="16"/>
                <w:lang w:eastAsia="ja-JP"/>
              </w:rPr>
              <w:t xml:space="preserve">6 </w:t>
            </w:r>
            <w:r w:rsidRPr="00515D00">
              <w:rPr>
                <w:color w:val="000000"/>
                <w:sz w:val="16"/>
                <w:szCs w:val="16"/>
              </w:rPr>
              <w:t xml:space="preserve">participantes </w:t>
            </w:r>
            <w:r w:rsidRPr="00515D00">
              <w:rPr>
                <w:color w:val="000000"/>
                <w:sz w:val="16"/>
                <w:szCs w:val="16"/>
                <w:lang w:eastAsia="ja-JP"/>
              </w:rPr>
              <w:t xml:space="preserve">de </w:t>
            </w:r>
            <w:r w:rsidRPr="00515D00">
              <w:rPr>
                <w:color w:val="000000"/>
                <w:sz w:val="16"/>
                <w:szCs w:val="16"/>
              </w:rPr>
              <w:t xml:space="preserve">Bangladesh, Mongolia </w:t>
            </w:r>
            <w:r>
              <w:rPr>
                <w:color w:val="000000"/>
                <w:sz w:val="16"/>
                <w:szCs w:val="16"/>
              </w:rPr>
              <w:t>y</w:t>
            </w:r>
            <w:r w:rsidRPr="00515D00">
              <w:rPr>
                <w:color w:val="000000"/>
                <w:sz w:val="16"/>
                <w:szCs w:val="16"/>
              </w:rPr>
              <w:t xml:space="preserve"> Sri Lanka</w:t>
            </w:r>
          </w:p>
        </w:tc>
        <w:tc>
          <w:tcPr>
            <w:tcW w:w="467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w:t>
            </w:r>
            <w:r>
              <w:rPr>
                <w:color w:val="000000"/>
                <w:sz w:val="16"/>
                <w:szCs w:val="16"/>
              </w:rPr>
              <w:t>Mejorar</w:t>
            </w:r>
            <w:r w:rsidRPr="00515D00">
              <w:rPr>
                <w:color w:val="000000"/>
                <w:sz w:val="16"/>
                <w:szCs w:val="16"/>
              </w:rPr>
              <w:t xml:space="preserve"> el conocimiento y la comprensión de los participantes sobre cuestiones relativas a </w:t>
            </w:r>
            <w:r>
              <w:rPr>
                <w:color w:val="000000"/>
                <w:sz w:val="16"/>
                <w:szCs w:val="16"/>
              </w:rPr>
              <w:t xml:space="preserve">la gestión del derecho de autor; </w:t>
            </w:r>
            <w:r w:rsidRPr="00515D00">
              <w:rPr>
                <w:color w:val="000000"/>
                <w:sz w:val="16"/>
                <w:szCs w:val="16"/>
              </w:rPr>
              <w:t xml:space="preserve"> ii) facilitar la colaboración y coordinación entre las oficinas de derecho de autor y los organismos de gestión colectiva de este</w:t>
            </w:r>
            <w:r>
              <w:rPr>
                <w:color w:val="000000"/>
                <w:sz w:val="16"/>
                <w:szCs w:val="16"/>
              </w:rPr>
              <w:t xml:space="preserve"> tipo de derechos; </w:t>
            </w:r>
            <w:r w:rsidRPr="00515D00">
              <w:rPr>
                <w:color w:val="000000"/>
                <w:sz w:val="16"/>
                <w:szCs w:val="16"/>
              </w:rPr>
              <w:t xml:space="preserve"> y iii) estudiar la experiencia japonesa en el ámbito d</w:t>
            </w:r>
            <w:r>
              <w:rPr>
                <w:color w:val="000000"/>
                <w:sz w:val="16"/>
                <w:szCs w:val="16"/>
              </w:rPr>
              <w:t>el derecho de autor y los derechos conexos</w:t>
            </w:r>
            <w:r w:rsidRPr="00515D00">
              <w:rPr>
                <w:color w:val="000000"/>
                <w:sz w:val="16"/>
                <w:szCs w:val="16"/>
              </w:rPr>
              <w:t>.</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bCs/>
          <w:color w:val="000000"/>
          <w:sz w:val="20"/>
        </w:rPr>
      </w:pPr>
      <w:r w:rsidRPr="007329AC">
        <w:rPr>
          <w:b/>
          <w:sz w:val="20"/>
        </w:rPr>
        <w:t xml:space="preserve">JAPÓN – DERECHO DE AUTOR – Contribuciones de donantes y gastos en </w:t>
      </w:r>
      <w:r w:rsidRPr="007329AC">
        <w:rPr>
          <w:b/>
          <w:bCs/>
          <w:color w:val="000000"/>
          <w:sz w:val="20"/>
        </w:rPr>
        <w:t>2015</w:t>
      </w:r>
    </w:p>
    <w:p w:rsidR="003E311F" w:rsidRPr="007329AC" w:rsidRDefault="003E311F" w:rsidP="003E311F">
      <w:pPr>
        <w:rPr>
          <w:b/>
          <w:bCs/>
          <w:color w:val="000000"/>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339.511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469.462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464.038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344.935</w:t>
            </w:r>
          </w:p>
        </w:tc>
      </w:tr>
    </w:tbl>
    <w:p w:rsidR="003E311F" w:rsidRPr="007329AC" w:rsidRDefault="003E311F" w:rsidP="003E311F">
      <w:pPr>
        <w:rPr>
          <w:b/>
          <w:sz w:val="20"/>
          <w:lang w:eastAsia="ja-JP"/>
        </w:rPr>
      </w:pPr>
    </w:p>
    <w:p w:rsidR="003E311F" w:rsidRPr="007329AC" w:rsidRDefault="003E311F" w:rsidP="003E311F">
      <w:pPr>
        <w:rPr>
          <w:b/>
          <w:sz w:val="20"/>
        </w:rPr>
      </w:pPr>
    </w:p>
    <w:p w:rsidR="003E311F" w:rsidRPr="007329AC" w:rsidRDefault="003E311F" w:rsidP="00386789">
      <w:pPr>
        <w:keepNext/>
        <w:keepLines/>
        <w:rPr>
          <w:b/>
          <w:sz w:val="20"/>
        </w:rPr>
      </w:pPr>
      <w:r w:rsidRPr="007329AC">
        <w:rPr>
          <w:b/>
          <w:sz w:val="20"/>
        </w:rPr>
        <w:lastRenderedPageBreak/>
        <w:t>JAPÓN – PROPIEDAD INDUSTRIAL</w:t>
      </w:r>
    </w:p>
    <w:p w:rsidR="003E311F" w:rsidRPr="007329AC" w:rsidRDefault="003E311F" w:rsidP="00386789">
      <w:pPr>
        <w:keepNext/>
        <w:keepLines/>
        <w:rPr>
          <w:b/>
          <w:sz w:val="20"/>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1"/>
        <w:gridCol w:w="99"/>
        <w:gridCol w:w="43"/>
        <w:gridCol w:w="1134"/>
        <w:gridCol w:w="1973"/>
        <w:gridCol w:w="13"/>
        <w:gridCol w:w="4818"/>
      </w:tblGrid>
      <w:tr w:rsidR="003E311F" w:rsidRPr="00092F2E" w:rsidTr="007A358B">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3E311F" w:rsidRPr="00515D00" w:rsidRDefault="003E311F" w:rsidP="00386789">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02"/>
        </w:trPr>
        <w:tc>
          <w:tcPr>
            <w:tcW w:w="1843" w:type="dxa"/>
            <w:gridSpan w:val="3"/>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gridSpan w:val="2"/>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color w:val="000000" w:themeColor="text1"/>
                <w:sz w:val="16"/>
                <w:szCs w:val="16"/>
                <w:lang w:eastAsia="ja-JP"/>
              </w:rPr>
              <w:t xml:space="preserve">Curso de formación sobre prácticas de examen del programa básico de propiedad industrial </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19 a 30 de enero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Afganistán, Argelia, Brunei Darussalam, Camboya, Chile, Indonesia, Kenya, República Democrática Popular Lao, Madagascar, Malasia, Myanmar, Pakistán, Perú, Singapur, Sri Lanka, Tayikistán, República Unida de Tanzanía, Viet Nam y la ARIPO</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Mejorar los conocimientos básicos fundamentales sobre las leyes y los procedimientos</w:t>
            </w:r>
            <w:r>
              <w:rPr>
                <w:rFonts w:eastAsia="MS Mincho"/>
                <w:sz w:val="16"/>
                <w:szCs w:val="16"/>
                <w:lang w:eastAsia="ja-JP"/>
              </w:rPr>
              <w:t xml:space="preserve"> </w:t>
            </w:r>
            <w:r w:rsidRPr="00515D00">
              <w:rPr>
                <w:rFonts w:eastAsia="MS Mincho"/>
                <w:sz w:val="16"/>
                <w:szCs w:val="16"/>
                <w:lang w:eastAsia="ja-JP"/>
              </w:rPr>
              <w:t xml:space="preserve">de examen </w:t>
            </w:r>
            <w:r>
              <w:rPr>
                <w:rFonts w:eastAsia="MS Mincho"/>
                <w:sz w:val="16"/>
                <w:szCs w:val="16"/>
                <w:lang w:eastAsia="ja-JP"/>
              </w:rPr>
              <w:t>sustantivo</w:t>
            </w:r>
            <w:r w:rsidRPr="00515D00">
              <w:rPr>
                <w:rFonts w:eastAsia="MS Mincho"/>
                <w:sz w:val="16"/>
                <w:szCs w:val="16"/>
                <w:lang w:eastAsia="ja-JP"/>
              </w:rPr>
              <w:t xml:space="preserve"> en el ámbito del examen de los derechos de propiedad industrial.  </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 xml:space="preserve">Curso de formación sobre gestión de P.I. y formulación y aplicación de planes de oficina de P.I. basados en resultados </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6 a 13 de febrero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Bangladesh, Brasil, Brunei Darussalam, Camboya, Chile, India, Indonesia, República Democrática Popular Lao, Malasia, México, Marruecos, Myanmar, Nigeria, Pakistán, Perú, Filipinas, Singapur, Sudáfrica, Tailandia y Viet Nam</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i) Ampliar los conocimientos de los participantes sobre prácticas modernas de gestión de P.I., entre ellas sobre la forma de elaborar políticas, estrategias y planes para el fortalecimiento de la capacidad de los examinadores de patentes</w:t>
            </w:r>
            <w:r>
              <w:rPr>
                <w:rFonts w:eastAsia="MS Mincho"/>
                <w:sz w:val="16"/>
                <w:szCs w:val="16"/>
                <w:lang w:eastAsia="ja-JP"/>
              </w:rPr>
              <w:t xml:space="preserve">; </w:t>
            </w:r>
            <w:r w:rsidRPr="00515D00">
              <w:rPr>
                <w:rFonts w:eastAsia="MS Mincho"/>
                <w:sz w:val="16"/>
                <w:szCs w:val="16"/>
                <w:lang w:eastAsia="ja-JP"/>
              </w:rPr>
              <w:t xml:space="preserve"> y ii) mejorar la capacidad de los participantes de formular, aplicar y evaluar planes de oficina de P.I. sujetos a plazo, orientados a resultados y con efectos mensurables.</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Curso de formación para examinadores de patentes sobre tecnologías específicas (productos farmacéuticos)</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19 a 26 de febrero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China, Egipto, India, Indonesia, Malasia, Pakistán, Filipinas, Tailandia, Turquía, Viet Nam y la ARIPO</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i) Poner al día a los participantes en las tendencias actuales y las prácticas modernas de examen de patentes relacionadas con los productos farmacéuticos</w:t>
            </w:r>
            <w:r>
              <w:rPr>
                <w:rFonts w:eastAsia="MS Mincho"/>
                <w:sz w:val="16"/>
                <w:szCs w:val="16"/>
                <w:lang w:eastAsia="ja-JP"/>
              </w:rPr>
              <w:t xml:space="preserve">; </w:t>
            </w:r>
            <w:r w:rsidRPr="00515D00">
              <w:rPr>
                <w:rFonts w:eastAsia="MS Mincho"/>
                <w:sz w:val="16"/>
                <w:szCs w:val="16"/>
                <w:lang w:eastAsia="ja-JP"/>
              </w:rPr>
              <w:t xml:space="preserve"> ii) impartir conocimientos prácticos sobre met</w:t>
            </w:r>
            <w:r>
              <w:rPr>
                <w:rFonts w:eastAsia="MS Mincho"/>
                <w:sz w:val="16"/>
                <w:szCs w:val="16"/>
                <w:lang w:eastAsia="ja-JP"/>
              </w:rPr>
              <w:t xml:space="preserve">odologías de examen de patentes; </w:t>
            </w:r>
            <w:r w:rsidRPr="00515D00">
              <w:rPr>
                <w:rFonts w:eastAsia="MS Mincho"/>
                <w:sz w:val="16"/>
                <w:szCs w:val="16"/>
                <w:lang w:eastAsia="ja-JP"/>
              </w:rPr>
              <w:t xml:space="preserve"> iii) ofrecer la oportunidad de compartir experiencias y opiniones entre los participantes en asuntos relativos al examen de patentes</w:t>
            </w:r>
            <w:r>
              <w:rPr>
                <w:rFonts w:eastAsia="MS Mincho"/>
                <w:sz w:val="16"/>
                <w:szCs w:val="16"/>
                <w:lang w:eastAsia="ja-JP"/>
              </w:rPr>
              <w:t xml:space="preserve">; </w:t>
            </w:r>
            <w:r w:rsidRPr="00515D00">
              <w:rPr>
                <w:rFonts w:eastAsia="MS Mincho"/>
                <w:sz w:val="16"/>
                <w:szCs w:val="16"/>
                <w:lang w:eastAsia="ja-JP"/>
              </w:rPr>
              <w:t xml:space="preserve"> y iv) fomentar las capacidades profesionales de los participantes para el examen de patentes de productos farmacéuticos.</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 xml:space="preserve">Curso de formación en el uso de las tecnologías de la información para la administración de la propiedad industrial </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26 de octubre a 6 de noviembre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Argelia, Argentina, Brunei Darussalam, Camboya, Chile, India, Indonesia, República Democrática Popular Lao, Malasia, México, Myanmar, Papua Nueva Guinea, Perú, Filipinas, Sudáfrica, Tailandia, Viet Nam y la ARIPO</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i) Familiarizar a los participantes con las novedades recientes en tecnologías de la información para la administración de la propiedad industrial, la difusión de información sobre propiedad industrial y el s</w:t>
            </w:r>
            <w:r>
              <w:rPr>
                <w:rFonts w:eastAsia="MS Mincho"/>
                <w:sz w:val="16"/>
                <w:szCs w:val="16"/>
                <w:lang w:eastAsia="ja-JP"/>
              </w:rPr>
              <w:t xml:space="preserve">uministro de servicios en línea; </w:t>
            </w:r>
            <w:r w:rsidRPr="00515D00">
              <w:rPr>
                <w:rFonts w:eastAsia="MS Mincho"/>
                <w:sz w:val="16"/>
                <w:szCs w:val="16"/>
                <w:lang w:eastAsia="ja-JP"/>
              </w:rPr>
              <w:t xml:space="preserve"> ii) impartir conocimientos prácticos sobre las herramientas y tecnologías más recientes por medio de sesiones interactivas, así como mediante visitas a entidades privadas que resulten pertinentes</w:t>
            </w:r>
            <w:r>
              <w:rPr>
                <w:rFonts w:eastAsia="MS Mincho"/>
                <w:sz w:val="16"/>
                <w:szCs w:val="16"/>
                <w:lang w:eastAsia="ja-JP"/>
              </w:rPr>
              <w:t xml:space="preserve">; </w:t>
            </w:r>
            <w:r w:rsidRPr="00515D00">
              <w:rPr>
                <w:rFonts w:eastAsia="MS Mincho"/>
                <w:sz w:val="16"/>
                <w:szCs w:val="16"/>
                <w:lang w:eastAsia="ja-JP"/>
              </w:rPr>
              <w:t xml:space="preserve"> y iii) proporcionar a los participantes la oportunidad de intercambiar opiniones e inquietudes sobre cuestiones relacionadas con el tema del curso y fomentar sus capacidades profesionales para la planificación y la gestión del uso de las tecnologías de la información en la administración de la propiedad industrial.</w:t>
            </w:r>
          </w:p>
        </w:tc>
      </w:tr>
      <w:tr w:rsidR="003E311F" w:rsidRPr="00092F2E" w:rsidTr="007A358B">
        <w:trPr>
          <w:cantSplit/>
          <w:trHeight w:val="315"/>
        </w:trPr>
        <w:tc>
          <w:tcPr>
            <w:tcW w:w="1800" w:type="dxa"/>
            <w:gridSpan w:val="2"/>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Curso de formación sobre la observancia de los derechos de propiedad intelectual</w:t>
            </w:r>
          </w:p>
        </w:tc>
        <w:tc>
          <w:tcPr>
            <w:tcW w:w="1177" w:type="dxa"/>
            <w:gridSpan w:val="2"/>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30 de noviembre a 10 de diciembre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China, Indonesia, Malasia, Filipinas, Tailandia, Emiratos Árabes Unidos y Viet Nam</w:t>
            </w:r>
          </w:p>
        </w:tc>
        <w:tc>
          <w:tcPr>
            <w:tcW w:w="4819" w:type="dxa"/>
          </w:tcPr>
          <w:p w:rsidR="003E311F" w:rsidRPr="00515D00" w:rsidRDefault="003E311F" w:rsidP="007A358B">
            <w:pPr>
              <w:tabs>
                <w:tab w:val="left" w:pos="403"/>
              </w:tabs>
              <w:spacing w:before="60" w:after="60"/>
              <w:ind w:left="-108"/>
              <w:rPr>
                <w:rFonts w:eastAsia="MS Mincho"/>
                <w:sz w:val="16"/>
                <w:szCs w:val="16"/>
                <w:lang w:eastAsia="ja-JP"/>
              </w:rPr>
            </w:pPr>
            <w:r w:rsidRPr="00515D00">
              <w:rPr>
                <w:rFonts w:eastAsia="MS Mincho"/>
                <w:sz w:val="16"/>
                <w:szCs w:val="16"/>
                <w:lang w:eastAsia="ja-JP"/>
              </w:rPr>
              <w:t xml:space="preserve">i) Fomentar el respeto por la P.I. a través del examen y el debate de las normas mínimas y las flexibilidades en la observancia de la P.I. contenidas en la </w:t>
            </w:r>
            <w:r>
              <w:rPr>
                <w:rFonts w:eastAsia="MS Mincho"/>
                <w:sz w:val="16"/>
                <w:szCs w:val="16"/>
                <w:lang w:eastAsia="ja-JP"/>
              </w:rPr>
              <w:t>p</w:t>
            </w:r>
            <w:r w:rsidRPr="00515D00">
              <w:rPr>
                <w:rFonts w:eastAsia="MS Mincho"/>
                <w:sz w:val="16"/>
                <w:szCs w:val="16"/>
                <w:lang w:eastAsia="ja-JP"/>
              </w:rPr>
              <w:t xml:space="preserve">arte </w:t>
            </w:r>
            <w:r>
              <w:rPr>
                <w:rFonts w:eastAsia="MS Mincho"/>
                <w:sz w:val="16"/>
                <w:szCs w:val="16"/>
                <w:lang w:eastAsia="ja-JP"/>
              </w:rPr>
              <w:t xml:space="preserve">III del Acuerdo sobre los ADPIC; </w:t>
            </w:r>
            <w:r w:rsidRPr="00515D00">
              <w:rPr>
                <w:rFonts w:eastAsia="MS Mincho"/>
                <w:sz w:val="16"/>
                <w:szCs w:val="16"/>
                <w:lang w:eastAsia="ja-JP"/>
              </w:rPr>
              <w:t xml:space="preserve"> ii) </w:t>
            </w:r>
            <w:r>
              <w:rPr>
                <w:rFonts w:eastAsia="MS Mincho"/>
                <w:sz w:val="16"/>
                <w:szCs w:val="16"/>
                <w:lang w:eastAsia="ja-JP"/>
              </w:rPr>
              <w:t>brindar</w:t>
            </w:r>
            <w:r w:rsidRPr="00515D00">
              <w:rPr>
                <w:rFonts w:eastAsia="MS Mincho"/>
                <w:sz w:val="16"/>
                <w:szCs w:val="16"/>
                <w:lang w:eastAsia="ja-JP"/>
              </w:rPr>
              <w:t xml:space="preserve"> a los participantes la oportunidad de demostrar sus competencias </w:t>
            </w:r>
            <w:r>
              <w:rPr>
                <w:rFonts w:eastAsia="MS Mincho"/>
                <w:sz w:val="16"/>
                <w:szCs w:val="16"/>
                <w:lang w:eastAsia="ja-JP"/>
              </w:rPr>
              <w:t>en la valoración de</w:t>
            </w:r>
            <w:r w:rsidRPr="00515D00">
              <w:rPr>
                <w:rFonts w:eastAsia="MS Mincho"/>
                <w:sz w:val="16"/>
                <w:szCs w:val="16"/>
                <w:lang w:eastAsia="ja-JP"/>
              </w:rPr>
              <w:t xml:space="preserve"> pruebas y </w:t>
            </w:r>
            <w:r>
              <w:rPr>
                <w:rFonts w:eastAsia="MS Mincho"/>
                <w:sz w:val="16"/>
                <w:szCs w:val="16"/>
                <w:lang w:eastAsia="ja-JP"/>
              </w:rPr>
              <w:t>la resolución de</w:t>
            </w:r>
            <w:r w:rsidRPr="00515D00">
              <w:rPr>
                <w:rFonts w:eastAsia="MS Mincho"/>
                <w:sz w:val="16"/>
                <w:szCs w:val="16"/>
                <w:lang w:eastAsia="ja-JP"/>
              </w:rPr>
              <w:t xml:space="preserve"> casos relacionados con la P.I., y evaluar las novedades recientes en jurisprudencia y las cuestiones debatidas por el Comité Ases</w:t>
            </w:r>
            <w:r>
              <w:rPr>
                <w:rFonts w:eastAsia="MS Mincho"/>
                <w:sz w:val="16"/>
                <w:szCs w:val="16"/>
                <w:lang w:eastAsia="ja-JP"/>
              </w:rPr>
              <w:t xml:space="preserve">or sobre Observancia de la OMPI; </w:t>
            </w:r>
            <w:r w:rsidRPr="00515D00">
              <w:rPr>
                <w:rFonts w:eastAsia="MS Mincho"/>
                <w:sz w:val="16"/>
                <w:szCs w:val="16"/>
                <w:lang w:eastAsia="ja-JP"/>
              </w:rPr>
              <w:t xml:space="preserve"> iii) </w:t>
            </w:r>
            <w:r>
              <w:rPr>
                <w:rFonts w:eastAsia="MS Mincho"/>
                <w:sz w:val="16"/>
                <w:szCs w:val="16"/>
                <w:lang w:eastAsia="ja-JP"/>
              </w:rPr>
              <w:t>facilitar</w:t>
            </w:r>
            <w:r w:rsidRPr="00515D00">
              <w:rPr>
                <w:rFonts w:eastAsia="MS Mincho"/>
                <w:sz w:val="16"/>
                <w:szCs w:val="16"/>
                <w:lang w:eastAsia="ja-JP"/>
              </w:rPr>
              <w:t xml:space="preserve"> que los participantes amplíen sus conocimientos sobre cuestiones relativas a la propiedad intelectual y a los sistemas jurisdiccionales</w:t>
            </w:r>
            <w:r>
              <w:rPr>
                <w:rFonts w:eastAsia="MS Mincho"/>
                <w:sz w:val="16"/>
                <w:szCs w:val="16"/>
                <w:lang w:eastAsia="ja-JP"/>
              </w:rPr>
              <w:t xml:space="preserve">; </w:t>
            </w:r>
            <w:r w:rsidRPr="00515D00">
              <w:rPr>
                <w:rFonts w:eastAsia="MS Mincho"/>
                <w:sz w:val="16"/>
                <w:szCs w:val="16"/>
                <w:lang w:eastAsia="ja-JP"/>
              </w:rPr>
              <w:t xml:space="preserve"> iv) </w:t>
            </w:r>
            <w:r>
              <w:rPr>
                <w:rFonts w:eastAsia="MS Mincho"/>
                <w:sz w:val="16"/>
                <w:szCs w:val="16"/>
                <w:lang w:eastAsia="ja-JP"/>
              </w:rPr>
              <w:t>facilitar</w:t>
            </w:r>
            <w:r w:rsidRPr="00515D00">
              <w:rPr>
                <w:rFonts w:eastAsia="MS Mincho"/>
                <w:sz w:val="16"/>
                <w:szCs w:val="16"/>
                <w:lang w:eastAsia="ja-JP"/>
              </w:rPr>
              <w:t xml:space="preserve"> que profundicen su comprensión de los procedimientos relativos a los litigios y los métodos de en</w:t>
            </w:r>
            <w:r>
              <w:rPr>
                <w:rFonts w:eastAsia="MS Mincho"/>
                <w:sz w:val="16"/>
                <w:szCs w:val="16"/>
                <w:lang w:eastAsia="ja-JP"/>
              </w:rPr>
              <w:t xml:space="preserve">juiciamiento en materia de P.I.; </w:t>
            </w:r>
            <w:r w:rsidRPr="00515D00">
              <w:rPr>
                <w:rFonts w:eastAsia="MS Mincho"/>
                <w:sz w:val="16"/>
                <w:szCs w:val="16"/>
                <w:lang w:eastAsia="ja-JP"/>
              </w:rPr>
              <w:t xml:space="preserve"> y v) aumentar su capacidad profesional en relación con los litigios por infracciones.</w:t>
            </w:r>
          </w:p>
        </w:tc>
      </w:tr>
      <w:tr w:rsidR="003E311F" w:rsidRPr="00092F2E" w:rsidTr="007A358B">
        <w:trPr>
          <w:cantSplit/>
          <w:trHeight w:val="315"/>
        </w:trPr>
        <w:tc>
          <w:tcPr>
            <w:tcW w:w="1800" w:type="dxa"/>
            <w:gridSpan w:val="2"/>
            <w:tcBorders>
              <w:bottom w:val="nil"/>
            </w:tcBorders>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lastRenderedPageBreak/>
              <w:t>Becas de estudios superiores de larga duración en la Oficina Japonesa de Patentes</w:t>
            </w:r>
          </w:p>
        </w:tc>
        <w:tc>
          <w:tcPr>
            <w:tcW w:w="1177" w:type="dxa"/>
            <w:gridSpan w:val="2"/>
            <w:tcBorders>
              <w:bottom w:val="nil"/>
            </w:tcBorders>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Mayo a septiembre de 2015</w:t>
            </w:r>
          </w:p>
        </w:tc>
        <w:tc>
          <w:tcPr>
            <w:tcW w:w="1985" w:type="dxa"/>
            <w:gridSpan w:val="2"/>
            <w:tcBorders>
              <w:bottom w:val="nil"/>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Viet Nam</w:t>
            </w:r>
          </w:p>
        </w:tc>
        <w:tc>
          <w:tcPr>
            <w:tcW w:w="4819" w:type="dxa"/>
            <w:tcBorders>
              <w:bottom w:val="nil"/>
            </w:tcBorders>
          </w:tcPr>
          <w:p w:rsidR="003E311F" w:rsidRPr="00515D00" w:rsidRDefault="003E311F" w:rsidP="007A358B">
            <w:pPr>
              <w:autoSpaceDE w:val="0"/>
              <w:autoSpaceDN w:val="0"/>
              <w:adjustRightInd w:val="0"/>
              <w:spacing w:before="60" w:after="60"/>
              <w:ind w:left="-108"/>
              <w:rPr>
                <w:rFonts w:eastAsia="MS Mincho"/>
                <w:sz w:val="16"/>
                <w:szCs w:val="16"/>
                <w:lang w:eastAsia="ja-JP"/>
              </w:rPr>
            </w:pPr>
            <w:r>
              <w:rPr>
                <w:rFonts w:eastAsia="MS Mincho"/>
                <w:sz w:val="16"/>
                <w:szCs w:val="16"/>
                <w:lang w:eastAsia="ja-JP"/>
              </w:rPr>
              <w:t>Mejorar</w:t>
            </w:r>
            <w:r w:rsidRPr="00515D00">
              <w:rPr>
                <w:rFonts w:eastAsia="MS Mincho"/>
                <w:sz w:val="16"/>
                <w:szCs w:val="16"/>
                <w:lang w:eastAsia="ja-JP"/>
              </w:rPr>
              <w:t xml:space="preserve"> el conocimiento y la comprensión de los becarios sobre temas específicos en el ámbito de la propiedad industrial, principalmente a través de la oportunidad de realizar investigaciones independientes sobre temas de su elección.  El candidato de la Oficina Nacional de Propiedad Intelectual de Viet Nam eligió el tema "Promoción eficaz de la P.I. en un país en desarrollo".</w:t>
            </w:r>
          </w:p>
        </w:tc>
      </w:tr>
      <w:tr w:rsidR="003E311F" w:rsidRPr="00092F2E" w:rsidTr="007A358B">
        <w:trPr>
          <w:cantSplit/>
          <w:trHeight w:val="473"/>
        </w:trPr>
        <w:tc>
          <w:tcPr>
            <w:tcW w:w="1800"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Prácticas de corta duración en despachos de abogados de patentes</w:t>
            </w:r>
          </w:p>
        </w:tc>
        <w:tc>
          <w:tcPr>
            <w:tcW w:w="1177"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2 a 13 de noviembre 2015</w:t>
            </w:r>
          </w:p>
        </w:tc>
        <w:tc>
          <w:tcPr>
            <w:tcW w:w="1973" w:type="dxa"/>
            <w:tcBorders>
              <w:top w:val="nil"/>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Nepal</w:t>
            </w:r>
          </w:p>
        </w:tc>
        <w:tc>
          <w:tcPr>
            <w:tcW w:w="4831" w:type="dxa"/>
            <w:gridSpan w:val="2"/>
            <w:tcBorders>
              <w:top w:val="nil"/>
              <w:bottom w:val="single" w:sz="4" w:space="0" w:color="auto"/>
            </w:tcBorders>
          </w:tcPr>
          <w:p w:rsidR="003E311F" w:rsidRPr="00515D00" w:rsidRDefault="003E311F" w:rsidP="007A358B">
            <w:pPr>
              <w:autoSpaceDE w:val="0"/>
              <w:autoSpaceDN w:val="0"/>
              <w:adjustRightInd w:val="0"/>
              <w:spacing w:before="60" w:after="60"/>
              <w:ind w:left="-96"/>
              <w:rPr>
                <w:rFonts w:eastAsia="MS Mincho"/>
                <w:color w:val="000000"/>
                <w:sz w:val="16"/>
                <w:szCs w:val="16"/>
                <w:lang w:eastAsia="ja-JP"/>
              </w:rPr>
            </w:pPr>
            <w:r>
              <w:rPr>
                <w:rFonts w:eastAsia="MS Mincho"/>
                <w:color w:val="000000"/>
                <w:sz w:val="16"/>
                <w:szCs w:val="16"/>
                <w:lang w:eastAsia="ja-JP"/>
              </w:rPr>
              <w:t>Facilitar que</w:t>
            </w:r>
            <w:r w:rsidRPr="00515D00">
              <w:rPr>
                <w:rFonts w:eastAsia="MS Mincho"/>
                <w:color w:val="000000"/>
                <w:sz w:val="16"/>
                <w:szCs w:val="16"/>
                <w:lang w:eastAsia="ja-JP"/>
              </w:rPr>
              <w:t xml:space="preserve"> los graduados en propiedad intelectual </w:t>
            </w:r>
            <w:r>
              <w:rPr>
                <w:rFonts w:eastAsia="MS Mincho"/>
                <w:color w:val="000000"/>
                <w:sz w:val="16"/>
                <w:szCs w:val="16"/>
                <w:lang w:eastAsia="ja-JP"/>
              </w:rPr>
              <w:t xml:space="preserve">adquieran </w:t>
            </w:r>
            <w:r w:rsidRPr="00515D00">
              <w:rPr>
                <w:rFonts w:eastAsia="MS Mincho"/>
                <w:color w:val="000000"/>
                <w:sz w:val="16"/>
                <w:szCs w:val="16"/>
                <w:lang w:eastAsia="ja-JP"/>
              </w:rPr>
              <w:t>conocimientos, competencias e impresiones del mundo real de la IP a través de la combinación del aprendizaje en el aula con formación práctica y experiencia real de trabajo.</w:t>
            </w:r>
          </w:p>
        </w:tc>
      </w:tr>
      <w:tr w:rsidR="003E311F" w:rsidRPr="00092F2E" w:rsidTr="007A358B">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III.</w:t>
            </w:r>
            <w:r w:rsidRPr="00515D00">
              <w:rPr>
                <w:bCs/>
                <w:sz w:val="16"/>
                <w:szCs w:val="16"/>
                <w:lang w:eastAsia="ja-JP"/>
              </w:rPr>
              <w:t>4</w:t>
            </w:r>
            <w:r w:rsidRPr="00515D00">
              <w:rPr>
                <w:bCs/>
                <w:sz w:val="16"/>
                <w:szCs w:val="16"/>
              </w:rPr>
              <w:t xml:space="preserve">  </w:t>
            </w:r>
            <w:r w:rsidR="007A358B" w:rsidRPr="007A358B">
              <w:rPr>
                <w:bCs/>
                <w:sz w:val="16"/>
                <w:szCs w:val="16"/>
              </w:rPr>
              <w:t>Fortalecimiento de los mecanismos y de los programas de cooperación conforme a las necesidades de los países en desarrollo y los PMA</w:t>
            </w:r>
          </w:p>
        </w:tc>
      </w:tr>
      <w:tr w:rsidR="003E311F" w:rsidRPr="00515D00" w:rsidTr="007A358B">
        <w:trPr>
          <w:cantSplit/>
          <w:trHeight w:val="500"/>
        </w:trPr>
        <w:tc>
          <w:tcPr>
            <w:tcW w:w="1843" w:type="dxa"/>
            <w:gridSpan w:val="3"/>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gridSpan w:val="2"/>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701" w:type="dxa"/>
          </w:tcPr>
          <w:p w:rsidR="003E311F" w:rsidRPr="00515D00" w:rsidRDefault="003E311F" w:rsidP="007A358B">
            <w:pPr>
              <w:keepNext/>
              <w:keepLines/>
              <w:autoSpaceDE w:val="0"/>
              <w:autoSpaceDN w:val="0"/>
              <w:adjustRightInd w:val="0"/>
              <w:spacing w:before="60" w:after="60"/>
              <w:rPr>
                <w:rFonts w:eastAsia="MS Mincho"/>
                <w:sz w:val="16"/>
                <w:szCs w:val="16"/>
                <w:lang w:eastAsia="ja-JP"/>
              </w:rPr>
            </w:pPr>
            <w:r w:rsidRPr="00515D00">
              <w:rPr>
                <w:rFonts w:eastAsia="MS Mincho"/>
                <w:sz w:val="16"/>
                <w:szCs w:val="16"/>
                <w:lang w:eastAsia="ja-JP"/>
              </w:rPr>
              <w:t>Conferencia de jefes de oficinas de propiedad intelectual</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29 a 30 de junio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sz w:val="16"/>
                <w:szCs w:val="16"/>
                <w:lang w:eastAsia="ja-JP"/>
              </w:rPr>
              <w:t xml:space="preserve">Japón/ </w:t>
            </w:r>
            <w:r w:rsidRPr="00515D00">
              <w:rPr>
                <w:sz w:val="16"/>
                <w:szCs w:val="16"/>
              </w:rPr>
              <w:t xml:space="preserve">Bangladesh, Bhután, Camboya, India, </w:t>
            </w:r>
            <w:r w:rsidRPr="00515D00">
              <w:rPr>
                <w:rFonts w:eastAsia="MS Mincho"/>
                <w:color w:val="000000"/>
                <w:sz w:val="16"/>
                <w:szCs w:val="16"/>
                <w:lang w:eastAsia="ja-JP"/>
              </w:rPr>
              <w:t>República Democrática Popular Lao</w:t>
            </w:r>
            <w:r w:rsidRPr="00515D00">
              <w:rPr>
                <w:sz w:val="16"/>
                <w:szCs w:val="16"/>
              </w:rPr>
              <w:t>, Malasia, Myanmar, Nepal, Pakistán, Filipinas, Singapur, Sri Lanka y Tailandia</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color w:val="000000"/>
                <w:sz w:val="16"/>
                <w:szCs w:val="16"/>
                <w:lang w:eastAsia="ja-JP"/>
              </w:rPr>
              <w:t xml:space="preserve">i) Sensibilizar a los nuevos directores generales acerca del mundo de la P.I. y proporcionales una enseñanza ejecutiva para mejorar su comprensión de la P.I. </w:t>
            </w:r>
            <w:r>
              <w:rPr>
                <w:rFonts w:eastAsia="MS Mincho"/>
                <w:color w:val="000000"/>
                <w:sz w:val="16"/>
                <w:szCs w:val="16"/>
                <w:lang w:eastAsia="ja-JP"/>
              </w:rPr>
              <w:t xml:space="preserve">y el desarrollo; </w:t>
            </w:r>
            <w:r w:rsidRPr="00515D00">
              <w:rPr>
                <w:rFonts w:eastAsia="MS Mincho"/>
                <w:color w:val="000000"/>
                <w:sz w:val="16"/>
                <w:szCs w:val="16"/>
                <w:lang w:eastAsia="ja-JP"/>
              </w:rPr>
              <w:t xml:space="preserve"> ii) debatir la aplicación de la estrategia de asistencia técnica de la OMPI, prestando una atención especial a</w:t>
            </w:r>
            <w:r>
              <w:rPr>
                <w:rFonts w:eastAsia="MS Mincho"/>
                <w:color w:val="000000"/>
                <w:sz w:val="16"/>
                <w:szCs w:val="16"/>
                <w:lang w:eastAsia="ja-JP"/>
              </w:rPr>
              <w:t xml:space="preserve"> la sostenibilidad; </w:t>
            </w:r>
            <w:r w:rsidRPr="00515D00">
              <w:rPr>
                <w:rFonts w:eastAsia="MS Mincho"/>
                <w:color w:val="000000"/>
                <w:sz w:val="16"/>
                <w:szCs w:val="16"/>
                <w:lang w:eastAsia="ja-JP"/>
              </w:rPr>
              <w:t xml:space="preserve"> iii) ofrecer un entorno seguro para que los jefes de las oficinas de P.I. </w:t>
            </w:r>
            <w:r w:rsidRPr="00515D00">
              <w:rPr>
                <w:rFonts w:eastAsia="MS Mincho"/>
                <w:sz w:val="16"/>
                <w:szCs w:val="16"/>
                <w:lang w:eastAsia="ja-JP"/>
              </w:rPr>
              <w:t>puedan intercambiar opiniones y experiencias</w:t>
            </w:r>
            <w:r>
              <w:rPr>
                <w:rFonts w:eastAsia="MS Mincho"/>
                <w:sz w:val="16"/>
                <w:szCs w:val="16"/>
                <w:lang w:eastAsia="ja-JP"/>
              </w:rPr>
              <w:t xml:space="preserve">; </w:t>
            </w:r>
            <w:r w:rsidRPr="00515D00">
              <w:rPr>
                <w:rFonts w:eastAsia="MS Mincho"/>
                <w:sz w:val="16"/>
                <w:szCs w:val="16"/>
                <w:lang w:eastAsia="ja-JP"/>
              </w:rPr>
              <w:t xml:space="preserve"> y iv) facilitar la cooperación sur-sur </w:t>
            </w:r>
            <w:r>
              <w:rPr>
                <w:rFonts w:eastAsia="MS Mincho"/>
                <w:sz w:val="16"/>
                <w:szCs w:val="16"/>
                <w:lang w:eastAsia="ja-JP"/>
              </w:rPr>
              <w:t>mediante el fortalecimiento de</w:t>
            </w:r>
            <w:r w:rsidRPr="00515D00">
              <w:rPr>
                <w:rFonts w:eastAsia="MS Mincho"/>
                <w:sz w:val="16"/>
                <w:szCs w:val="16"/>
                <w:lang w:eastAsia="ja-JP"/>
              </w:rPr>
              <w:t xml:space="preserve"> los lazos entre los jefes de las oficinas de P.I. de la región.</w:t>
            </w:r>
          </w:p>
        </w:tc>
      </w:tr>
      <w:tr w:rsidR="003E311F" w:rsidRPr="00092F2E" w:rsidTr="007A358B">
        <w:trPr>
          <w:cantSplit/>
          <w:trHeight w:val="315"/>
        </w:trPr>
        <w:tc>
          <w:tcPr>
            <w:tcW w:w="9781" w:type="dxa"/>
            <w:gridSpan w:val="7"/>
            <w:tcBorders>
              <w:top w:val="single" w:sz="4" w:space="0" w:color="auto"/>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I</w:t>
            </w:r>
            <w:r w:rsidRPr="00515D00">
              <w:rPr>
                <w:bCs/>
                <w:sz w:val="16"/>
                <w:szCs w:val="16"/>
                <w:lang w:eastAsia="ja-JP"/>
              </w:rPr>
              <w:t>V</w:t>
            </w:r>
            <w:r w:rsidRPr="00515D00">
              <w:rPr>
                <w:bCs/>
                <w:sz w:val="16"/>
                <w:szCs w:val="16"/>
              </w:rPr>
              <w:t>.2  Mejora del acceso y uso de información de P.I. por parte de instituciones de P.I. y el público para fomentar la innovación y la creatividad</w:t>
            </w:r>
          </w:p>
        </w:tc>
      </w:tr>
      <w:tr w:rsidR="003E311F" w:rsidRPr="00515D00" w:rsidTr="007A358B">
        <w:trPr>
          <w:cantSplit/>
          <w:trHeight w:val="402"/>
        </w:trPr>
        <w:tc>
          <w:tcPr>
            <w:tcW w:w="1843" w:type="dxa"/>
            <w:gridSpan w:val="3"/>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gridSpan w:val="2"/>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 xml:space="preserve">Seminario regional sobre difusión y uso eficaz de la información sobre patentes </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5 a 6 de noviembre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Japón/ Indonesia, Malasia, Filipinas, Tailandia y Viet Nam</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rFonts w:eastAsia="MS Mincho"/>
                <w:sz w:val="16"/>
                <w:szCs w:val="16"/>
                <w:lang w:eastAsia="ja-JP"/>
              </w:rPr>
              <w:t xml:space="preserve">Ofrecer a los participantes una oportunidad para conocer i) las ventajas económicas de la información sobre patentes y ii) la tendencia general de intercambio de datos sobre patentes entre oficinas de P.I. </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Manual sobre herramientas de código abierto</w:t>
            </w:r>
            <w:r w:rsidR="007A358B">
              <w:rPr>
                <w:rFonts w:eastAsia="MS Mincho"/>
                <w:color w:val="000000"/>
                <w:sz w:val="16"/>
                <w:szCs w:val="16"/>
                <w:lang w:eastAsia="ja-JP"/>
              </w:rPr>
              <w:t xml:space="preserve"> para el análisis de patentes</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Marzo a diciembre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Todos los Estados miembros de la OMPI</w:t>
            </w:r>
          </w:p>
        </w:tc>
        <w:tc>
          <w:tcPr>
            <w:tcW w:w="4819" w:type="dxa"/>
          </w:tcPr>
          <w:p w:rsidR="003E311F" w:rsidRPr="00515D00" w:rsidRDefault="003E311F" w:rsidP="007A358B">
            <w:pPr>
              <w:autoSpaceDE w:val="0"/>
              <w:autoSpaceDN w:val="0"/>
              <w:adjustRightInd w:val="0"/>
              <w:spacing w:before="60" w:after="60"/>
              <w:ind w:left="-108"/>
              <w:rPr>
                <w:rFonts w:eastAsia="MS Mincho"/>
                <w:color w:val="000000"/>
                <w:sz w:val="16"/>
                <w:szCs w:val="16"/>
                <w:lang w:eastAsia="ja-JP"/>
              </w:rPr>
            </w:pPr>
            <w:r w:rsidRPr="00515D00">
              <w:rPr>
                <w:rFonts w:eastAsia="MS Mincho"/>
                <w:color w:val="000000"/>
                <w:sz w:val="16"/>
                <w:szCs w:val="16"/>
                <w:lang w:eastAsia="ja-JP"/>
              </w:rPr>
              <w:t>Fortalecer las capacidades de los especialistas en la información contenida en patentes de las oficinas de P.I. y otras instituciones públicas en la preparación de informes de patentamiento.</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Taller interregional sobre herramientas de código abierto para el análisis de patentes</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25 a 27 de noviembre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Filipinas/ Brasil, Chile, Brunei Darussalam, India, Indonesia.  Malasia, Mongolia, Pakistán, Filipinas y Viet Nam</w:t>
            </w:r>
          </w:p>
        </w:tc>
        <w:tc>
          <w:tcPr>
            <w:tcW w:w="4819" w:type="dxa"/>
          </w:tcPr>
          <w:p w:rsidR="003E311F" w:rsidRPr="00515D00" w:rsidRDefault="003E311F" w:rsidP="007A358B">
            <w:pPr>
              <w:autoSpaceDE w:val="0"/>
              <w:autoSpaceDN w:val="0"/>
              <w:adjustRightInd w:val="0"/>
              <w:spacing w:before="60" w:after="60"/>
              <w:ind w:left="-108"/>
              <w:rPr>
                <w:rFonts w:eastAsia="MS Mincho"/>
                <w:color w:val="000000"/>
                <w:sz w:val="16"/>
                <w:szCs w:val="16"/>
                <w:lang w:eastAsia="ja-JP"/>
              </w:rPr>
            </w:pPr>
            <w:r w:rsidRPr="00515D00">
              <w:rPr>
                <w:rFonts w:eastAsia="MS Mincho"/>
                <w:color w:val="000000"/>
                <w:sz w:val="16"/>
                <w:szCs w:val="16"/>
                <w:lang w:eastAsia="ja-JP"/>
              </w:rPr>
              <w:t>i) Presentar el ma</w:t>
            </w:r>
            <w:r>
              <w:rPr>
                <w:rFonts w:eastAsia="MS Mincho"/>
                <w:color w:val="000000"/>
                <w:sz w:val="16"/>
                <w:szCs w:val="16"/>
                <w:lang w:eastAsia="ja-JP"/>
              </w:rPr>
              <w:t xml:space="preserve">nual a sus usuarios potenciales; </w:t>
            </w:r>
            <w:r w:rsidRPr="00515D00">
              <w:rPr>
                <w:rFonts w:eastAsia="MS Mincho"/>
                <w:color w:val="000000"/>
                <w:sz w:val="16"/>
                <w:szCs w:val="16"/>
                <w:lang w:eastAsia="ja-JP"/>
              </w:rPr>
              <w:t xml:space="preserve"> ii) proporcionar formación práctica sobre herramientas específicas de código abierto y gratuitas para diversas tareas de análisis de patentes</w:t>
            </w:r>
            <w:r>
              <w:rPr>
                <w:rFonts w:eastAsia="MS Mincho"/>
                <w:color w:val="000000"/>
                <w:sz w:val="16"/>
                <w:szCs w:val="16"/>
                <w:lang w:eastAsia="ja-JP"/>
              </w:rPr>
              <w:t xml:space="preserve">; </w:t>
            </w:r>
            <w:r w:rsidRPr="00515D00">
              <w:rPr>
                <w:rFonts w:eastAsia="MS Mincho"/>
                <w:color w:val="000000"/>
                <w:sz w:val="16"/>
                <w:szCs w:val="16"/>
                <w:lang w:eastAsia="ja-JP"/>
              </w:rPr>
              <w:t xml:space="preserve"> y iii) facilitar la colaboración entre las oficinas de P.I. y otras instituciones que trabajan en el análisis de patentes para intercambiar opiniones y prácticas óptimas.  </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Investigación a cargo de la Oficina de la OMPI en el Japón de casos de éxito que vinculan la actividad empresarial y la P.I.</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Enero a marzo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themeColor="text1"/>
                <w:sz w:val="16"/>
                <w:szCs w:val="16"/>
                <w:lang w:eastAsia="ja-JP"/>
              </w:rPr>
            </w:pPr>
            <w:r w:rsidRPr="00515D00">
              <w:rPr>
                <w:rFonts w:eastAsia="MS Mincho"/>
                <w:color w:val="000000" w:themeColor="text1"/>
                <w:sz w:val="16"/>
                <w:szCs w:val="16"/>
                <w:lang w:eastAsia="ja-JP"/>
              </w:rPr>
              <w:t>Grecia, Jordania y Malasia/ Todos los Estados miembros de la OMPI</w:t>
            </w:r>
          </w:p>
        </w:tc>
        <w:tc>
          <w:tcPr>
            <w:tcW w:w="4819" w:type="dxa"/>
          </w:tcPr>
          <w:p w:rsidR="003E311F" w:rsidRPr="00515D00" w:rsidRDefault="003E311F" w:rsidP="007A358B">
            <w:pPr>
              <w:autoSpaceDE w:val="0"/>
              <w:autoSpaceDN w:val="0"/>
              <w:adjustRightInd w:val="0"/>
              <w:spacing w:before="60" w:after="60"/>
              <w:ind w:left="-108"/>
              <w:rPr>
                <w:rFonts w:eastAsia="MS Mincho"/>
                <w:color w:val="000000" w:themeColor="text1"/>
                <w:sz w:val="16"/>
                <w:szCs w:val="16"/>
                <w:lang w:eastAsia="ja-JP"/>
              </w:rPr>
            </w:pPr>
            <w:r w:rsidRPr="00515D00">
              <w:rPr>
                <w:rFonts w:eastAsia="MS Mincho"/>
                <w:sz w:val="16"/>
                <w:szCs w:val="16"/>
                <w:lang w:eastAsia="ja-JP"/>
              </w:rPr>
              <w:t xml:space="preserve">La Oficina de la OMPI en el Japón </w:t>
            </w:r>
            <w:r w:rsidRPr="00515D00">
              <w:rPr>
                <w:rFonts w:eastAsia="MS Mincho"/>
                <w:color w:val="000000" w:themeColor="text1"/>
                <w:sz w:val="16"/>
                <w:szCs w:val="16"/>
                <w:lang w:eastAsia="ja-JP"/>
              </w:rPr>
              <w:t>llevó a cabo una investigación y recopiló casos de éxito que vincul</w:t>
            </w:r>
            <w:r>
              <w:rPr>
                <w:rFonts w:eastAsia="MS Mincho"/>
                <w:color w:val="000000" w:themeColor="text1"/>
                <w:sz w:val="16"/>
                <w:szCs w:val="16"/>
                <w:lang w:eastAsia="ja-JP"/>
              </w:rPr>
              <w:t>aban</w:t>
            </w:r>
            <w:r w:rsidRPr="00515D00">
              <w:rPr>
                <w:rFonts w:eastAsia="MS Mincho"/>
                <w:color w:val="000000" w:themeColor="text1"/>
                <w:sz w:val="16"/>
                <w:szCs w:val="16"/>
                <w:lang w:eastAsia="ja-JP"/>
              </w:rPr>
              <w:t xml:space="preserve"> la actividad empresarial y la P.I., </w:t>
            </w:r>
            <w:r>
              <w:rPr>
                <w:rFonts w:eastAsia="MS Mincho"/>
                <w:color w:val="000000" w:themeColor="text1"/>
                <w:sz w:val="16"/>
                <w:szCs w:val="16"/>
                <w:lang w:eastAsia="ja-JP"/>
              </w:rPr>
              <w:t>dedicando una atención especial</w:t>
            </w:r>
            <w:r w:rsidRPr="00515D00">
              <w:rPr>
                <w:rFonts w:eastAsia="MS Mincho"/>
                <w:color w:val="000000" w:themeColor="text1"/>
                <w:sz w:val="16"/>
                <w:szCs w:val="16"/>
                <w:lang w:eastAsia="ja-JP"/>
              </w:rPr>
              <w:t xml:space="preserve"> </w:t>
            </w:r>
            <w:r>
              <w:rPr>
                <w:rFonts w:eastAsia="MS Mincho"/>
                <w:color w:val="000000" w:themeColor="text1"/>
                <w:sz w:val="16"/>
                <w:szCs w:val="16"/>
                <w:lang w:eastAsia="ja-JP"/>
              </w:rPr>
              <w:t xml:space="preserve">a </w:t>
            </w:r>
            <w:r w:rsidRPr="00515D00">
              <w:rPr>
                <w:rFonts w:eastAsia="MS Mincho"/>
                <w:color w:val="000000" w:themeColor="text1"/>
                <w:sz w:val="16"/>
                <w:szCs w:val="16"/>
                <w:lang w:eastAsia="ja-JP"/>
              </w:rPr>
              <w:t>los casos relacionados con los países en vías de desarrollo, que contribuyeron a enriquecer la base de datos IP Advantage:</w:t>
            </w:r>
          </w:p>
          <w:p w:rsidR="003E311F" w:rsidRPr="00515D00" w:rsidRDefault="003E311F" w:rsidP="003E311F">
            <w:pPr>
              <w:pStyle w:val="ListParagraph"/>
              <w:numPr>
                <w:ilvl w:val="0"/>
                <w:numId w:val="121"/>
              </w:numPr>
              <w:autoSpaceDE w:val="0"/>
              <w:autoSpaceDN w:val="0"/>
              <w:adjustRightInd w:val="0"/>
              <w:spacing w:before="60" w:after="60"/>
              <w:rPr>
                <w:rFonts w:eastAsia="MS Mincho" w:cs="Arial"/>
                <w:color w:val="000000" w:themeColor="text1"/>
                <w:sz w:val="16"/>
                <w:szCs w:val="16"/>
                <w:lang w:val="es-ES"/>
              </w:rPr>
            </w:pPr>
            <w:r w:rsidRPr="00515D00">
              <w:rPr>
                <w:rFonts w:eastAsia="MS Mincho" w:cs="Arial"/>
                <w:color w:val="000000" w:themeColor="text1"/>
                <w:sz w:val="16"/>
                <w:szCs w:val="16"/>
                <w:lang w:val="es-ES"/>
              </w:rPr>
              <w:t>El caso de</w:t>
            </w:r>
            <w:r>
              <w:rPr>
                <w:rFonts w:eastAsia="MS Mincho" w:cs="Arial"/>
                <w:color w:val="000000" w:themeColor="text1"/>
                <w:sz w:val="16"/>
                <w:szCs w:val="16"/>
                <w:lang w:val="es-ES"/>
              </w:rPr>
              <w:t>l f</w:t>
            </w:r>
            <w:r w:rsidRPr="00515D00">
              <w:rPr>
                <w:rFonts w:eastAsia="MS Mincho" w:cs="Arial"/>
                <w:color w:val="000000" w:themeColor="text1"/>
                <w:sz w:val="16"/>
                <w:szCs w:val="16"/>
                <w:lang w:val="es-ES"/>
              </w:rPr>
              <w:t xml:space="preserve">eta (Grecia);  </w:t>
            </w:r>
          </w:p>
          <w:p w:rsidR="003E311F" w:rsidRPr="00515D00" w:rsidRDefault="003E311F" w:rsidP="003E311F">
            <w:pPr>
              <w:pStyle w:val="ListParagraph"/>
              <w:numPr>
                <w:ilvl w:val="0"/>
                <w:numId w:val="121"/>
              </w:numPr>
              <w:autoSpaceDE w:val="0"/>
              <w:autoSpaceDN w:val="0"/>
              <w:adjustRightInd w:val="0"/>
              <w:spacing w:before="60" w:after="60"/>
              <w:rPr>
                <w:rFonts w:eastAsia="MS Mincho" w:cs="Arial"/>
                <w:color w:val="000000" w:themeColor="text1"/>
                <w:sz w:val="16"/>
                <w:szCs w:val="16"/>
                <w:lang w:val="es-ES"/>
              </w:rPr>
            </w:pPr>
            <w:r w:rsidRPr="00515D00">
              <w:rPr>
                <w:rFonts w:eastAsia="MS Mincho" w:cs="Arial"/>
                <w:color w:val="000000" w:themeColor="text1"/>
                <w:sz w:val="16"/>
                <w:szCs w:val="16"/>
                <w:lang w:val="es-ES"/>
              </w:rPr>
              <w:t>(i) Desarrollar programas informáticos asequibles para la pequeña empresa;  (ii) La innovación evoluciona gracias al impulso de la propiedad intelectual (Jordania);  y</w:t>
            </w:r>
          </w:p>
          <w:p w:rsidR="003E311F" w:rsidRPr="00515D00" w:rsidRDefault="003E311F" w:rsidP="003E311F">
            <w:pPr>
              <w:pStyle w:val="ListParagraph"/>
              <w:numPr>
                <w:ilvl w:val="0"/>
                <w:numId w:val="121"/>
              </w:numPr>
              <w:autoSpaceDE w:val="0"/>
              <w:autoSpaceDN w:val="0"/>
              <w:adjustRightInd w:val="0"/>
              <w:spacing w:before="60" w:after="60"/>
              <w:rPr>
                <w:rFonts w:eastAsia="MS Mincho" w:cs="Arial"/>
                <w:color w:val="000000" w:themeColor="text1"/>
                <w:sz w:val="16"/>
                <w:szCs w:val="16"/>
                <w:lang w:val="es-ES"/>
              </w:rPr>
            </w:pPr>
            <w:r w:rsidRPr="00515D00">
              <w:rPr>
                <w:rFonts w:eastAsia="MS Mincho" w:cs="Arial"/>
                <w:color w:val="000000" w:themeColor="text1"/>
                <w:sz w:val="16"/>
                <w:szCs w:val="16"/>
                <w:lang w:val="es-ES"/>
              </w:rPr>
              <w:t>La tecnología, la negociación de licencias y la I+D de la Universidad de Treesand para alimentar un país (Malasia)</w:t>
            </w:r>
          </w:p>
        </w:tc>
      </w:tr>
      <w:tr w:rsidR="003E311F" w:rsidRPr="00092F2E" w:rsidTr="007A358B">
        <w:trPr>
          <w:cantSplit/>
          <w:trHeight w:val="315"/>
        </w:trPr>
        <w:tc>
          <w:tcPr>
            <w:tcW w:w="1701" w:type="dxa"/>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 xml:space="preserve">Traducción de publicaciones de la OMPI </w:t>
            </w:r>
          </w:p>
        </w:tc>
        <w:tc>
          <w:tcPr>
            <w:tcW w:w="1276" w:type="dxa"/>
            <w:gridSpan w:val="3"/>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2015 (Iniciado)</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Myanmar</w:t>
            </w:r>
          </w:p>
        </w:tc>
        <w:tc>
          <w:tcPr>
            <w:tcW w:w="4819" w:type="dxa"/>
          </w:tcPr>
          <w:p w:rsidR="003E311F" w:rsidRPr="00515D00" w:rsidRDefault="003E311F" w:rsidP="007A358B">
            <w:pPr>
              <w:autoSpaceDE w:val="0"/>
              <w:autoSpaceDN w:val="0"/>
              <w:adjustRightInd w:val="0"/>
              <w:spacing w:before="60" w:after="60"/>
              <w:ind w:left="-108"/>
              <w:rPr>
                <w:rFonts w:eastAsia="MS Mincho"/>
                <w:sz w:val="16"/>
                <w:szCs w:val="16"/>
                <w:lang w:eastAsia="ja-JP"/>
              </w:rPr>
            </w:pPr>
            <w:r w:rsidRPr="00515D00">
              <w:rPr>
                <w:sz w:val="16"/>
                <w:szCs w:val="16"/>
                <w:lang w:eastAsia="ja-JP"/>
              </w:rPr>
              <w:t>Se están traduciendo al birmano las siguientes publicaciones de la OMPI</w:t>
            </w:r>
            <w:proofErr w:type="gramStart"/>
            <w:r w:rsidRPr="00515D00">
              <w:rPr>
                <w:sz w:val="16"/>
                <w:szCs w:val="16"/>
                <w:lang w:eastAsia="ja-JP"/>
              </w:rPr>
              <w:t>::</w:t>
            </w:r>
            <w:proofErr w:type="gramEnd"/>
            <w:r w:rsidRPr="00515D00">
              <w:rPr>
                <w:sz w:val="16"/>
                <w:szCs w:val="16"/>
                <w:lang w:eastAsia="ja-JP"/>
              </w:rPr>
              <w:t xml:space="preserve">  </w:t>
            </w:r>
            <w:r w:rsidRPr="00515D00">
              <w:rPr>
                <w:sz w:val="16"/>
                <w:szCs w:val="16"/>
              </w:rPr>
              <w:t>i)</w:t>
            </w:r>
            <w:r w:rsidRPr="00515D00">
              <w:rPr>
                <w:sz w:val="16"/>
                <w:szCs w:val="16"/>
                <w:lang w:eastAsia="ja-JP"/>
              </w:rPr>
              <w:t xml:space="preserve"> </w:t>
            </w:r>
            <w:r>
              <w:rPr>
                <w:sz w:val="16"/>
                <w:szCs w:val="16"/>
                <w:lang w:eastAsia="ja-JP"/>
              </w:rPr>
              <w:t>"</w:t>
            </w:r>
            <w:r w:rsidRPr="00515D00">
              <w:rPr>
                <w:sz w:val="16"/>
                <w:szCs w:val="16"/>
              </w:rPr>
              <w:t>El secreto está en la marca:  Introducción a las marcas dirigida a las pequeñas y medianas empresas</w:t>
            </w:r>
            <w:r>
              <w:rPr>
                <w:sz w:val="16"/>
                <w:szCs w:val="16"/>
              </w:rPr>
              <w:t>"</w:t>
            </w:r>
            <w:r w:rsidRPr="00515D00">
              <w:rPr>
                <w:sz w:val="16"/>
                <w:szCs w:val="16"/>
              </w:rPr>
              <w:t>;  ii)</w:t>
            </w:r>
            <w:r w:rsidRPr="00515D00">
              <w:rPr>
                <w:sz w:val="16"/>
                <w:szCs w:val="16"/>
                <w:lang w:eastAsia="ja-JP"/>
              </w:rPr>
              <w:t xml:space="preserve"> </w:t>
            </w:r>
            <w:r>
              <w:rPr>
                <w:sz w:val="16"/>
                <w:szCs w:val="16"/>
                <w:lang w:eastAsia="ja-JP"/>
              </w:rPr>
              <w:t>"</w:t>
            </w:r>
            <w:r w:rsidRPr="00515D00">
              <w:rPr>
                <w:sz w:val="16"/>
                <w:szCs w:val="16"/>
              </w:rPr>
              <w:t>Inventar el futuro:  Introducción a las patentes dirigida a las pequeñas y medianas empresas</w:t>
            </w:r>
            <w:r>
              <w:rPr>
                <w:sz w:val="16"/>
                <w:szCs w:val="16"/>
              </w:rPr>
              <w:t>"</w:t>
            </w:r>
            <w:r w:rsidRPr="00515D00">
              <w:rPr>
                <w:sz w:val="16"/>
                <w:szCs w:val="16"/>
              </w:rPr>
              <w:t>;  y</w:t>
            </w:r>
            <w:r w:rsidRPr="00515D00">
              <w:rPr>
                <w:sz w:val="16"/>
                <w:szCs w:val="16"/>
                <w:lang w:eastAsia="ja-JP"/>
              </w:rPr>
              <w:t xml:space="preserve"> </w:t>
            </w:r>
            <w:r w:rsidRPr="00515D00">
              <w:rPr>
                <w:sz w:val="16"/>
                <w:szCs w:val="16"/>
              </w:rPr>
              <w:t xml:space="preserve">iii) </w:t>
            </w:r>
            <w:r>
              <w:rPr>
                <w:sz w:val="16"/>
                <w:szCs w:val="16"/>
              </w:rPr>
              <w:t>"</w:t>
            </w:r>
            <w:r w:rsidRPr="00515D00">
              <w:rPr>
                <w:sz w:val="16"/>
                <w:szCs w:val="16"/>
              </w:rPr>
              <w:t>Expresión creativa:  Introducción al derecho de autor y los derechos conexos para las pequeñas y medianas empresas</w:t>
            </w:r>
            <w:r>
              <w:rPr>
                <w:sz w:val="16"/>
                <w:szCs w:val="16"/>
              </w:rPr>
              <w:t>"</w:t>
            </w:r>
            <w:r w:rsidRPr="00515D00">
              <w:rPr>
                <w:sz w:val="16"/>
                <w:szCs w:val="16"/>
              </w:rPr>
              <w:t xml:space="preserve">.  </w:t>
            </w:r>
          </w:p>
        </w:tc>
      </w:tr>
      <w:tr w:rsidR="003E311F" w:rsidRPr="00092F2E" w:rsidTr="007A358B">
        <w:trPr>
          <w:cantSplit/>
          <w:trHeight w:val="315"/>
        </w:trPr>
        <w:tc>
          <w:tcPr>
            <w:tcW w:w="1701" w:type="dxa"/>
            <w:tcBorders>
              <w:bottom w:val="single" w:sz="4" w:space="0" w:color="auto"/>
            </w:tcBorders>
          </w:tcPr>
          <w:p w:rsidR="003E311F" w:rsidRPr="00515D00" w:rsidRDefault="003E311F" w:rsidP="007A358B">
            <w:pPr>
              <w:autoSpaceDE w:val="0"/>
              <w:autoSpaceDN w:val="0"/>
              <w:adjustRightInd w:val="0"/>
              <w:spacing w:before="60" w:after="60"/>
              <w:rPr>
                <w:rFonts w:eastAsia="MS Mincho"/>
                <w:sz w:val="16"/>
                <w:szCs w:val="16"/>
                <w:lang w:eastAsia="ja-JP"/>
              </w:rPr>
            </w:pPr>
            <w:r w:rsidRPr="00515D00">
              <w:rPr>
                <w:rFonts w:eastAsia="MS Mincho"/>
                <w:sz w:val="16"/>
                <w:szCs w:val="16"/>
                <w:lang w:eastAsia="ja-JP"/>
              </w:rPr>
              <w:t>Suministro de material de referencia sobre P.I.</w:t>
            </w:r>
          </w:p>
        </w:tc>
        <w:tc>
          <w:tcPr>
            <w:tcW w:w="1276" w:type="dxa"/>
            <w:gridSpan w:val="3"/>
            <w:tcBorders>
              <w:bottom w:val="single" w:sz="4" w:space="0" w:color="auto"/>
            </w:tcBorders>
          </w:tcPr>
          <w:p w:rsidR="003E311F" w:rsidRPr="00515D00" w:rsidRDefault="003E311F" w:rsidP="007A358B">
            <w:pPr>
              <w:spacing w:before="60" w:after="60"/>
              <w:rPr>
                <w:rFonts w:eastAsia="MS Mincho"/>
                <w:sz w:val="16"/>
                <w:szCs w:val="16"/>
                <w:lang w:eastAsia="ja-JP"/>
              </w:rPr>
            </w:pPr>
            <w:r w:rsidRPr="00515D00">
              <w:rPr>
                <w:rFonts w:eastAsia="MS Mincho"/>
                <w:sz w:val="16"/>
                <w:szCs w:val="16"/>
                <w:lang w:eastAsia="ja-JP"/>
              </w:rPr>
              <w:t>2015</w:t>
            </w:r>
          </w:p>
        </w:tc>
        <w:tc>
          <w:tcPr>
            <w:tcW w:w="1985" w:type="dxa"/>
            <w:gridSpan w:val="2"/>
            <w:tcBorders>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Tailandia</w:t>
            </w:r>
          </w:p>
        </w:tc>
        <w:tc>
          <w:tcPr>
            <w:tcW w:w="4819" w:type="dxa"/>
            <w:tcBorders>
              <w:bottom w:val="single" w:sz="4" w:space="0" w:color="auto"/>
            </w:tcBorders>
          </w:tcPr>
          <w:p w:rsidR="003E311F" w:rsidRPr="001C15D9" w:rsidRDefault="003E311F" w:rsidP="007A358B">
            <w:pPr>
              <w:pStyle w:val="std"/>
              <w:spacing w:before="40" w:after="40"/>
            </w:pPr>
            <w:r>
              <w:rPr>
                <w:rFonts w:ascii="Arial" w:hAnsi="Arial" w:cs="Arial"/>
                <w:sz w:val="16"/>
                <w:szCs w:val="16"/>
                <w:lang w:eastAsia="en-US"/>
              </w:rPr>
              <w:t>Suministro de</w:t>
            </w:r>
            <w:r w:rsidRPr="001C15D9">
              <w:rPr>
                <w:rFonts w:ascii="Arial" w:hAnsi="Arial" w:cs="Arial"/>
                <w:sz w:val="16"/>
                <w:szCs w:val="16"/>
                <w:lang w:eastAsia="en-US"/>
              </w:rPr>
              <w:t xml:space="preserve"> un conjunto de publicaciones esenciales sobre P.I.</w:t>
            </w:r>
            <w:r>
              <w:rPr>
                <w:rFonts w:ascii="Arial" w:hAnsi="Arial" w:cs="Arial"/>
                <w:sz w:val="16"/>
                <w:szCs w:val="16"/>
                <w:lang w:eastAsia="en-US"/>
              </w:rPr>
              <w:t xml:space="preserve"> </w:t>
            </w:r>
            <w:r w:rsidRPr="001C15D9">
              <w:rPr>
                <w:rFonts w:ascii="Arial" w:hAnsi="Arial" w:cs="Arial"/>
                <w:sz w:val="16"/>
                <w:szCs w:val="16"/>
                <w:lang w:eastAsia="en-US"/>
              </w:rPr>
              <w:t xml:space="preserve">al </w:t>
            </w:r>
            <w:r>
              <w:rPr>
                <w:rFonts w:ascii="Arial" w:hAnsi="Arial" w:cs="Arial"/>
                <w:sz w:val="16"/>
                <w:szCs w:val="16"/>
                <w:lang w:eastAsia="en-US"/>
              </w:rPr>
              <w:t>Tribunal Central de la Propiedad Intelectual y del Comercio Internacional de Tailandia.</w:t>
            </w:r>
          </w:p>
        </w:tc>
      </w:tr>
      <w:tr w:rsidR="003E311F" w:rsidRPr="00092F2E" w:rsidTr="007A358B">
        <w:trPr>
          <w:cantSplit/>
          <w:trHeight w:val="315"/>
        </w:trPr>
        <w:tc>
          <w:tcPr>
            <w:tcW w:w="9781" w:type="dxa"/>
            <w:gridSpan w:val="7"/>
            <w:tcBorders>
              <w:top w:val="single" w:sz="4" w:space="0" w:color="auto"/>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lastRenderedPageBreak/>
              <w:t>RESULTADO:</w:t>
            </w:r>
            <w:r w:rsidRPr="00515D00">
              <w:rPr>
                <w:bCs/>
                <w:sz w:val="16"/>
                <w:szCs w:val="16"/>
              </w:rPr>
              <w:tab/>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Height w:val="429"/>
        </w:trPr>
        <w:tc>
          <w:tcPr>
            <w:tcW w:w="1843" w:type="dxa"/>
            <w:gridSpan w:val="3"/>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6" w:type="dxa"/>
            <w:gridSpan w:val="2"/>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8" w:type="dxa"/>
            <w:tcBorders>
              <w:top w:val="single" w:sz="4" w:space="0" w:color="000000"/>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Taller sobre la utilización de la plataforma CASE y la división eficiente y eficaz del trabajo en la ASEAN </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Febrero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Singapur/ Estados miembros de la ASEAN</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 xml:space="preserve">Ayudar a los miembros de la ASEAN a impulsar la iniciativa de división del trabajo desde una clara comprensión de las necesidades de las empresas y mejorar la calidad de la búsqueda y el examen a nivel nacional.  Los objetivos del seminario eran:  i) mejorar las prácticas </w:t>
            </w:r>
            <w:r w:rsidRPr="001960A4">
              <w:rPr>
                <w:sz w:val="16"/>
                <w:szCs w:val="16"/>
              </w:rPr>
              <w:t xml:space="preserve">operativas del programa de cooperación para el examen de patentes </w:t>
            </w:r>
            <w:r w:rsidRPr="00515D00">
              <w:rPr>
                <w:sz w:val="16"/>
                <w:szCs w:val="16"/>
              </w:rPr>
              <w:t xml:space="preserve">(ASPEC) </w:t>
            </w:r>
            <w:r w:rsidRPr="001960A4">
              <w:rPr>
                <w:sz w:val="16"/>
                <w:szCs w:val="16"/>
              </w:rPr>
              <w:t>de l</w:t>
            </w:r>
            <w:r w:rsidRPr="00515D00">
              <w:rPr>
                <w:sz w:val="16"/>
                <w:szCs w:val="16"/>
              </w:rPr>
              <w:t>a ASEAN a partir de un enfoque más est</w:t>
            </w:r>
            <w:r>
              <w:rPr>
                <w:sz w:val="16"/>
                <w:szCs w:val="16"/>
              </w:rPr>
              <w:t xml:space="preserve">ratégico y orientado al negocio; </w:t>
            </w:r>
            <w:r w:rsidRPr="00515D00">
              <w:rPr>
                <w:sz w:val="16"/>
                <w:szCs w:val="16"/>
              </w:rPr>
              <w:t xml:space="preserve"> ii) examinar el nivel actual de las prácticas del ASPEC y la </w:t>
            </w:r>
            <w:r>
              <w:rPr>
                <w:sz w:val="16"/>
                <w:szCs w:val="16"/>
              </w:rPr>
              <w:t>eficacia</w:t>
            </w:r>
            <w:r w:rsidRPr="00515D00">
              <w:rPr>
                <w:sz w:val="16"/>
                <w:szCs w:val="16"/>
              </w:rPr>
              <w:t xml:space="preserve"> y eficiencia de la plataforma WIPO CASE como instrumento para facilitar los procesos propios del ASPEC</w:t>
            </w:r>
            <w:r>
              <w:rPr>
                <w:sz w:val="16"/>
                <w:szCs w:val="16"/>
              </w:rPr>
              <w:t xml:space="preserve">; </w:t>
            </w:r>
            <w:r w:rsidRPr="00515D00">
              <w:rPr>
                <w:sz w:val="16"/>
                <w:szCs w:val="16"/>
              </w:rPr>
              <w:t xml:space="preserve"> iii) convertir WIPO CASE en una plataforma útil para que los examinadores de patentes aprendan acerca de las prácticas de examen de patentes en diferentes oficinas de P.I. y la</w:t>
            </w:r>
            <w:r>
              <w:rPr>
                <w:sz w:val="16"/>
                <w:szCs w:val="16"/>
              </w:rPr>
              <w:t xml:space="preserve">s apliquen en su trabajo actual; </w:t>
            </w:r>
            <w:r w:rsidRPr="00515D00">
              <w:rPr>
                <w:sz w:val="16"/>
                <w:szCs w:val="16"/>
              </w:rPr>
              <w:t xml:space="preserve"> y iv) ofrecer recomendaciones para potenciar y mejorar la eficiencia del proceso de trabajo del ASPEC, entre ellas medidas específicas.</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Proyecto </w:t>
            </w:r>
            <w:r>
              <w:rPr>
                <w:rFonts w:eastAsia="MS Mincho"/>
                <w:color w:val="000000"/>
                <w:sz w:val="16"/>
                <w:szCs w:val="16"/>
                <w:lang w:eastAsia="ja-JP"/>
              </w:rPr>
              <w:t>sobre el</w:t>
            </w:r>
            <w:r w:rsidRPr="00515D00">
              <w:rPr>
                <w:rFonts w:eastAsia="MS Mincho"/>
                <w:color w:val="000000"/>
                <w:sz w:val="16"/>
                <w:szCs w:val="16"/>
                <w:lang w:eastAsia="ja-JP"/>
              </w:rPr>
              <w:t xml:space="preserve"> fortalecimiento de la infraestructura de las oficinas de P.I. de la ASEAN para respaldar la cooperación regional en la división del trabajo en materia de patentes</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Abril de 2015 (iniciado)</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Estados miembros de la ASEAN</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i) Ampliar y mejorar los procesos de las oficinas de P.I. de la ASEAN dirigidos a compartir con otras oficinas de P.I. la información contenida en sus expedientes, incluidos los resultados de la búsqueda y el examen de patentes, a través de la red WIPO CASE</w:t>
            </w:r>
            <w:r>
              <w:rPr>
                <w:sz w:val="16"/>
                <w:szCs w:val="16"/>
              </w:rPr>
              <w:t xml:space="preserve">; </w:t>
            </w:r>
            <w:r w:rsidRPr="00515D00">
              <w:rPr>
                <w:sz w:val="16"/>
                <w:szCs w:val="16"/>
              </w:rPr>
              <w:t xml:space="preserve"> ii) desarrollar sistemas de información a nivel regional que empleen de forma eficaz una plataforma informática</w:t>
            </w:r>
            <w:r>
              <w:rPr>
                <w:sz w:val="16"/>
                <w:szCs w:val="16"/>
              </w:rPr>
              <w:t xml:space="preserve">; </w:t>
            </w:r>
            <w:r w:rsidRPr="00515D00">
              <w:rPr>
                <w:sz w:val="16"/>
                <w:szCs w:val="16"/>
              </w:rPr>
              <w:t xml:space="preserve"> y iii) ofrecer la asistencia técnica necesaria para que las oficinas de P.I. de la ASEAN puedan respaldar los procesos dirigidos a compartir la información contenida en sus expedientes y otros recursos de información sobre P.I. a través de la mejora de los sistemas de gestión de P.I.</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color w:val="000000"/>
                <w:sz w:val="16"/>
                <w:szCs w:val="16"/>
              </w:rPr>
              <w:t xml:space="preserve">Visita de estudio a la Oficina Japonesa de Patentes de la </w:t>
            </w:r>
            <w:r w:rsidRPr="00515D00">
              <w:rPr>
                <w:rFonts w:eastAsia="MS Mincho"/>
                <w:color w:val="000000"/>
                <w:sz w:val="16"/>
                <w:szCs w:val="16"/>
                <w:lang w:eastAsia="ja-JP"/>
              </w:rPr>
              <w:t xml:space="preserve">Dirección General de Derechos de Propiedad Intelectual de Indonesia (DGIPR) </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Septiembre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Indonesia</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Tomar la Oficina Japonesa de Patentes como referencia en cuanto a la reestructuración de los procesos institucionales y de las prácticas de examen basada en el uso de sistemas de información.</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Taller de la ASEAN sobre las tecnologías de la información y los servicios empresariales por Internet en Camboya</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2 a 6 de noviembre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Camboya/ Brunei Darussalam, Indonesia, República Democrática Popular Lao, Malasia, Myanmar, Filipinas, Singapur, Tailandia y Viet Nam</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 xml:space="preserve">Apoyar el desarrollo técnico de los servicios empresariales por Internet en la región de la ASEAN y fomentar con este fin una mejor utilización del </w:t>
            </w:r>
            <w:r w:rsidRPr="001960A4">
              <w:rPr>
                <w:sz w:val="16"/>
                <w:szCs w:val="16"/>
              </w:rPr>
              <w:t>Sistema de Automatización de la Propiedad Industrial</w:t>
            </w:r>
            <w:r w:rsidRPr="00515D00">
              <w:rPr>
                <w:sz w:val="16"/>
                <w:szCs w:val="16"/>
              </w:rPr>
              <w:t xml:space="preserve"> (IPAS).</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Proyecto de digitalización </w:t>
            </w:r>
            <w:r>
              <w:rPr>
                <w:rFonts w:eastAsia="MS Mincho"/>
                <w:color w:val="000000"/>
                <w:sz w:val="16"/>
                <w:szCs w:val="16"/>
                <w:lang w:eastAsia="ja-JP"/>
              </w:rPr>
              <w:t>y uso</w:t>
            </w:r>
            <w:r w:rsidRPr="001960A4">
              <w:rPr>
                <w:rFonts w:eastAsia="MS Mincho"/>
                <w:color w:val="000000"/>
                <w:sz w:val="16"/>
                <w:szCs w:val="16"/>
                <w:lang w:eastAsia="ja-JP"/>
              </w:rPr>
              <w:t xml:space="preserve"> del</w:t>
            </w:r>
            <w:r w:rsidRPr="00515D00">
              <w:rPr>
                <w:rFonts w:eastAsia="MS Mincho"/>
                <w:color w:val="000000"/>
                <w:sz w:val="16"/>
                <w:szCs w:val="16"/>
                <w:lang w:eastAsia="ja-JP"/>
              </w:rPr>
              <w:t xml:space="preserve"> Sistema de Gestión Electrónica de Documentos</w:t>
            </w:r>
            <w:r>
              <w:rPr>
                <w:rFonts w:eastAsia="MS Mincho"/>
                <w:color w:val="000000"/>
                <w:sz w:val="16"/>
                <w:szCs w:val="16"/>
                <w:lang w:eastAsia="ja-JP"/>
              </w:rPr>
              <w:t xml:space="preserve"> </w:t>
            </w:r>
            <w:r w:rsidRPr="00515D00">
              <w:rPr>
                <w:rFonts w:eastAsia="MS Mincho"/>
                <w:color w:val="000000"/>
                <w:sz w:val="16"/>
                <w:szCs w:val="16"/>
                <w:lang w:eastAsia="ja-JP"/>
              </w:rPr>
              <w:t xml:space="preserve">(SGED) en Camboya </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Febrero a diciembre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Camboya</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Digitalización de los documentos de patente del Departamento de Propiedad Industrial del Ministerio de Industria, Minería y Energía de los documentos de marca del Departamento de Derechos de Propiedad Intelectual del Ministerio de Comercio de Camboya.</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Actividades de desarrollo del acceso centralizado a la búsqueda y el examen (CASE)</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Enero a diciembre de 2015</w:t>
            </w:r>
          </w:p>
        </w:tc>
        <w:tc>
          <w:tcPr>
            <w:tcW w:w="1986"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Oficinas participantes en el CASE</w:t>
            </w:r>
          </w:p>
        </w:tc>
        <w:tc>
          <w:tcPr>
            <w:tcW w:w="4818" w:type="dxa"/>
          </w:tcPr>
          <w:p w:rsidR="003E311F" w:rsidRPr="00515D00" w:rsidRDefault="003E311F" w:rsidP="007A358B">
            <w:pPr>
              <w:autoSpaceDE w:val="0"/>
              <w:autoSpaceDN w:val="0"/>
              <w:adjustRightInd w:val="0"/>
              <w:spacing w:before="60" w:after="60"/>
              <w:ind w:left="-108"/>
              <w:rPr>
                <w:sz w:val="16"/>
                <w:szCs w:val="16"/>
              </w:rPr>
            </w:pPr>
            <w:r w:rsidRPr="00515D00">
              <w:rPr>
                <w:sz w:val="16"/>
                <w:szCs w:val="16"/>
              </w:rPr>
              <w:t>Crear un nuevo portal para los usuarios de oficina y terminar la integración de WIPO CASE con la plataforma OPD.</w:t>
            </w:r>
          </w:p>
        </w:tc>
      </w:tr>
      <w:tr w:rsidR="003E311F" w:rsidRPr="00092F2E" w:rsidTr="007A358B">
        <w:trPr>
          <w:cantSplit/>
          <w:trHeight w:val="80"/>
        </w:trPr>
        <w:tc>
          <w:tcPr>
            <w:tcW w:w="1843" w:type="dxa"/>
            <w:gridSpan w:val="3"/>
            <w:tcBorders>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 xml:space="preserve">Actividades de desarrollo de </w:t>
            </w:r>
            <w:r>
              <w:rPr>
                <w:rFonts w:eastAsia="MS Mincho"/>
                <w:color w:val="000000"/>
                <w:sz w:val="16"/>
                <w:szCs w:val="16"/>
                <w:lang w:eastAsia="ja-JP"/>
              </w:rPr>
              <w:t>s</w:t>
            </w:r>
            <w:r w:rsidRPr="00515D00">
              <w:rPr>
                <w:rFonts w:eastAsia="MS Mincho"/>
                <w:color w:val="000000"/>
                <w:sz w:val="16"/>
                <w:szCs w:val="16"/>
                <w:lang w:eastAsia="ja-JP"/>
              </w:rPr>
              <w:t xml:space="preserve">oluciones </w:t>
            </w:r>
            <w:r>
              <w:rPr>
                <w:rFonts w:eastAsia="MS Mincho"/>
                <w:color w:val="000000"/>
                <w:sz w:val="16"/>
                <w:szCs w:val="16"/>
                <w:lang w:eastAsia="ja-JP"/>
              </w:rPr>
              <w:t>o</w:t>
            </w:r>
            <w:r w:rsidRPr="00515D00">
              <w:rPr>
                <w:rFonts w:eastAsia="MS Mincho"/>
                <w:color w:val="000000"/>
                <w:sz w:val="16"/>
                <w:szCs w:val="16"/>
                <w:lang w:eastAsia="ja-JP"/>
              </w:rPr>
              <w:t>perativas para las Oficinas de P.I.</w:t>
            </w:r>
          </w:p>
        </w:tc>
        <w:tc>
          <w:tcPr>
            <w:tcW w:w="1134" w:type="dxa"/>
            <w:tcBorders>
              <w:bottom w:val="single" w:sz="4" w:space="0" w:color="auto"/>
            </w:tcBorders>
          </w:tcPr>
          <w:p w:rsidR="003E311F" w:rsidRPr="00515D00" w:rsidRDefault="003E311F" w:rsidP="007A358B">
            <w:pPr>
              <w:spacing w:before="60" w:after="60"/>
              <w:rPr>
                <w:rFonts w:eastAsia="MS Mincho"/>
                <w:color w:val="000000"/>
                <w:sz w:val="16"/>
                <w:szCs w:val="16"/>
                <w:lang w:eastAsia="ja-JP"/>
              </w:rPr>
            </w:pPr>
            <w:r w:rsidRPr="00515D00">
              <w:rPr>
                <w:rFonts w:eastAsia="MS Mincho"/>
                <w:color w:val="000000"/>
                <w:sz w:val="16"/>
                <w:szCs w:val="16"/>
                <w:lang w:eastAsia="ja-JP"/>
              </w:rPr>
              <w:t>Enero a diciembre de 2015</w:t>
            </w:r>
          </w:p>
        </w:tc>
        <w:tc>
          <w:tcPr>
            <w:tcW w:w="1986" w:type="dxa"/>
            <w:gridSpan w:val="2"/>
            <w:tcBorders>
              <w:bottom w:val="single" w:sz="4" w:space="0" w:color="auto"/>
            </w:tcBorders>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Estados miembros de la ASEAN y del ASPAC</w:t>
            </w:r>
          </w:p>
        </w:tc>
        <w:tc>
          <w:tcPr>
            <w:tcW w:w="4818" w:type="dxa"/>
            <w:tcBorders>
              <w:bottom w:val="single" w:sz="4" w:space="0" w:color="auto"/>
            </w:tcBorders>
          </w:tcPr>
          <w:p w:rsidR="003E311F" w:rsidRPr="00515D00" w:rsidRDefault="003E311F" w:rsidP="007A358B">
            <w:pPr>
              <w:spacing w:before="60" w:after="60"/>
              <w:rPr>
                <w:sz w:val="16"/>
                <w:szCs w:val="16"/>
              </w:rPr>
            </w:pPr>
            <w:r w:rsidRPr="00515D00">
              <w:rPr>
                <w:sz w:val="16"/>
                <w:szCs w:val="16"/>
              </w:rPr>
              <w:t>Mejorar los sistemas de extracción de datos mediante el desarrollo y la puesta a prueba del sistema WIPO Publish para extraer, formatear y difundir datos.</w:t>
            </w:r>
          </w:p>
        </w:tc>
      </w:tr>
      <w:tr w:rsidR="003E311F" w:rsidRPr="00092F2E" w:rsidTr="007A358B">
        <w:trPr>
          <w:cantSplit/>
          <w:trHeight w:val="746"/>
        </w:trPr>
        <w:tc>
          <w:tcPr>
            <w:tcW w:w="9781" w:type="dxa"/>
            <w:gridSpan w:val="7"/>
            <w:tcBorders>
              <w:top w:val="single" w:sz="4" w:space="0" w:color="auto"/>
              <w:bottom w:val="single" w:sz="4" w:space="0" w:color="auto"/>
            </w:tcBorders>
            <w:shd w:val="clear" w:color="auto" w:fill="C6D9F1" w:themeFill="text2" w:themeFillTint="33"/>
            <w:vAlign w:val="center"/>
          </w:tcPr>
          <w:p w:rsidR="003E311F" w:rsidRPr="00515D00" w:rsidRDefault="003E311F" w:rsidP="007A358B">
            <w:pPr>
              <w:keepNext/>
              <w:keepLines/>
              <w:ind w:left="1735" w:hanging="1735"/>
              <w:rPr>
                <w:sz w:val="16"/>
                <w:szCs w:val="16"/>
              </w:rPr>
            </w:pPr>
            <w:r w:rsidRPr="00515D00">
              <w:rPr>
                <w:b/>
                <w:bCs/>
                <w:color w:val="000000"/>
                <w:sz w:val="16"/>
                <w:szCs w:val="16"/>
              </w:rPr>
              <w:lastRenderedPageBreak/>
              <w:t xml:space="preserve">RESULTADO:  </w:t>
            </w:r>
            <w:r w:rsidRPr="00515D00">
              <w:rPr>
                <w:bCs/>
                <w:sz w:val="16"/>
                <w:szCs w:val="16"/>
              </w:rPr>
              <w:tab/>
              <w:t xml:space="preserve">VII.2  </w:t>
            </w:r>
            <w:r w:rsidRPr="001960A4">
              <w:rPr>
                <w:bCs/>
                <w:sz w:val="16"/>
                <w:szCs w:val="16"/>
              </w:rPr>
              <w:t>Plataformas y herramientas de P.I. utilizadas para la transferencia de conocimiento y la difusión y adaptación de tecnología de los países desarrollados en los países en desarrollo, en particular en los menos adelantados, con el fin de atender los desafíos mundiales</w:t>
            </w:r>
            <w:r w:rsidRPr="00515D00">
              <w:rPr>
                <w:rFonts w:ascii="Calibri" w:hAnsi="Calibri"/>
                <w:sz w:val="16"/>
                <w:szCs w:val="16"/>
              </w:rPr>
              <w:t xml:space="preserve"> </w:t>
            </w:r>
          </w:p>
        </w:tc>
      </w:tr>
      <w:tr w:rsidR="003E311F" w:rsidRPr="00515D00" w:rsidTr="007A358B">
        <w:trPr>
          <w:cantSplit/>
          <w:trHeight w:val="80"/>
        </w:trPr>
        <w:tc>
          <w:tcPr>
            <w:tcW w:w="1843" w:type="dxa"/>
            <w:gridSpan w:val="3"/>
            <w:tcBorders>
              <w:top w:val="single" w:sz="4" w:space="0" w:color="auto"/>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gridSpan w:val="2"/>
            <w:tcBorders>
              <w:top w:val="single" w:sz="4" w:space="0" w:color="auto"/>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sz w:val="16"/>
                <w:szCs w:val="16"/>
                <w:lang w:eastAsia="ja-JP"/>
              </w:rPr>
              <w:t>Elaboración de un estudio monográfico sobre las necesidades y las oportunidades de las tecn</w:t>
            </w:r>
            <w:r w:rsidR="007A358B">
              <w:rPr>
                <w:rFonts w:eastAsia="MS Mincho"/>
                <w:sz w:val="16"/>
                <w:szCs w:val="16"/>
                <w:lang w:eastAsia="ja-JP"/>
              </w:rPr>
              <w:t>ologías ecológicas</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sz w:val="16"/>
                <w:szCs w:val="16"/>
                <w:lang w:eastAsia="ja-JP"/>
              </w:rPr>
              <w:t>Enero a marzo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Filipinas/ Indonesia, Filipinas y Viet Nam</w:t>
            </w:r>
          </w:p>
        </w:tc>
        <w:tc>
          <w:tcPr>
            <w:tcW w:w="4819" w:type="dxa"/>
          </w:tcPr>
          <w:p w:rsidR="003E311F" w:rsidRPr="00515D00" w:rsidRDefault="003E311F" w:rsidP="007A358B">
            <w:pPr>
              <w:tabs>
                <w:tab w:val="left" w:pos="317"/>
              </w:tabs>
              <w:spacing w:before="60" w:after="60"/>
              <w:rPr>
                <w:sz w:val="16"/>
                <w:szCs w:val="16"/>
              </w:rPr>
            </w:pPr>
            <w:r w:rsidRPr="00515D00">
              <w:rPr>
                <w:sz w:val="16"/>
                <w:szCs w:val="16"/>
              </w:rPr>
              <w:t xml:space="preserve">i) Determinar las necesidades específicas de </w:t>
            </w:r>
            <w:r w:rsidRPr="00515D00">
              <w:rPr>
                <w:bCs/>
                <w:sz w:val="16"/>
                <w:szCs w:val="16"/>
                <w:lang w:eastAsia="ja-JP"/>
              </w:rPr>
              <w:t xml:space="preserve">Indonesia, Filipinas y Viet Nam </w:t>
            </w:r>
            <w:r w:rsidRPr="00515D00">
              <w:rPr>
                <w:bCs/>
                <w:sz w:val="16"/>
                <w:szCs w:val="16"/>
              </w:rPr>
              <w:t xml:space="preserve">en </w:t>
            </w:r>
            <w:r>
              <w:rPr>
                <w:bCs/>
                <w:sz w:val="16"/>
                <w:szCs w:val="16"/>
              </w:rPr>
              <w:t xml:space="preserve">materia de tecnología ecológica; </w:t>
            </w:r>
            <w:r w:rsidRPr="00515D00">
              <w:rPr>
                <w:bCs/>
                <w:sz w:val="16"/>
                <w:szCs w:val="16"/>
              </w:rPr>
              <w:t xml:space="preserve"> ii) reconocer las oportunidades de colaboración en relación con las necesidades señaladas, haciendo hincapié en la capacidad nacional y las aportaciones de las </w:t>
            </w:r>
            <w:r>
              <w:rPr>
                <w:bCs/>
                <w:sz w:val="16"/>
                <w:szCs w:val="16"/>
              </w:rPr>
              <w:t xml:space="preserve">pymes; </w:t>
            </w:r>
            <w:r w:rsidRPr="00515D00">
              <w:rPr>
                <w:bCs/>
                <w:sz w:val="16"/>
                <w:szCs w:val="16"/>
              </w:rPr>
              <w:t xml:space="preserve"> iii) facilitar la elaboración de un acuerdo</w:t>
            </w:r>
            <w:r>
              <w:rPr>
                <w:bCs/>
                <w:sz w:val="16"/>
                <w:szCs w:val="16"/>
              </w:rPr>
              <w:t xml:space="preserve"> de transferencia de tecnología; </w:t>
            </w:r>
            <w:r w:rsidRPr="00515D00">
              <w:rPr>
                <w:bCs/>
                <w:sz w:val="16"/>
                <w:szCs w:val="16"/>
              </w:rPr>
              <w:t xml:space="preserve"> iv) elaborar un estudio monográfico sobre las conclusiones y las pruebas obtenidas en el análisis de la transferencia de tecnología, en el que se abordará también la contribución de WIPO G</w:t>
            </w:r>
            <w:r>
              <w:rPr>
                <w:bCs/>
                <w:sz w:val="16"/>
                <w:szCs w:val="16"/>
              </w:rPr>
              <w:t xml:space="preserve">REEN a la solución de problemas; </w:t>
            </w:r>
            <w:r w:rsidRPr="00515D00">
              <w:rPr>
                <w:bCs/>
                <w:sz w:val="16"/>
                <w:szCs w:val="16"/>
              </w:rPr>
              <w:t xml:space="preserve"> y v) poner de relieve la eficacia de WIPO GREEN como herramienta de mercado para hallar y exponer necesidades y soluciones tecnológicas.  </w:t>
            </w:r>
          </w:p>
        </w:tc>
      </w:tr>
      <w:tr w:rsidR="003E311F" w:rsidRPr="00092F2E" w:rsidTr="007A358B">
        <w:trPr>
          <w:cantSplit/>
          <w:trHeight w:val="80"/>
        </w:trPr>
        <w:tc>
          <w:tcPr>
            <w:tcW w:w="1843" w:type="dxa"/>
            <w:gridSpan w:val="3"/>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sz w:val="16"/>
                <w:szCs w:val="16"/>
              </w:rPr>
              <w:t xml:space="preserve">Seminario regional sobre facilitación de la transferencia y la difusión de tecnología limpia:  oportunidades de un proyecto piloto sobre tratamiento de aguas residuales en </w:t>
            </w:r>
            <w:r>
              <w:rPr>
                <w:sz w:val="16"/>
                <w:szCs w:val="16"/>
              </w:rPr>
              <w:t>Asia Sudoriental</w:t>
            </w:r>
          </w:p>
        </w:tc>
        <w:tc>
          <w:tcPr>
            <w:tcW w:w="1134" w:type="dxa"/>
          </w:tcPr>
          <w:p w:rsidR="003E311F" w:rsidRPr="00515D00" w:rsidRDefault="003E311F" w:rsidP="007A358B">
            <w:pPr>
              <w:spacing w:before="60" w:after="60"/>
              <w:rPr>
                <w:rFonts w:eastAsia="MS Mincho"/>
                <w:color w:val="000000"/>
                <w:sz w:val="16"/>
                <w:szCs w:val="16"/>
                <w:lang w:eastAsia="ja-JP"/>
              </w:rPr>
            </w:pPr>
            <w:r w:rsidRPr="00515D00">
              <w:rPr>
                <w:rFonts w:eastAsia="MS Mincho"/>
                <w:sz w:val="16"/>
                <w:szCs w:val="16"/>
                <w:lang w:eastAsia="ja-JP"/>
              </w:rPr>
              <w:t>23 a 24 de abril de 2015</w:t>
            </w:r>
          </w:p>
        </w:tc>
        <w:tc>
          <w:tcPr>
            <w:tcW w:w="1985" w:type="dxa"/>
            <w:gridSpan w:val="2"/>
          </w:tcPr>
          <w:p w:rsidR="003E311F" w:rsidRPr="00515D00" w:rsidRDefault="003E311F" w:rsidP="007A358B">
            <w:pPr>
              <w:autoSpaceDE w:val="0"/>
              <w:autoSpaceDN w:val="0"/>
              <w:adjustRightInd w:val="0"/>
              <w:spacing w:before="60" w:after="60"/>
              <w:rPr>
                <w:rFonts w:eastAsia="MS Mincho"/>
                <w:color w:val="000000"/>
                <w:sz w:val="16"/>
                <w:szCs w:val="16"/>
                <w:lang w:eastAsia="ja-JP"/>
              </w:rPr>
            </w:pPr>
            <w:r w:rsidRPr="00515D00">
              <w:rPr>
                <w:rFonts w:eastAsia="MS Mincho"/>
                <w:color w:val="000000"/>
                <w:sz w:val="16"/>
                <w:szCs w:val="16"/>
                <w:lang w:eastAsia="ja-JP"/>
              </w:rPr>
              <w:t>Filipinas/ Indonesia, Filipinas y Viet Nam</w:t>
            </w:r>
          </w:p>
        </w:tc>
        <w:tc>
          <w:tcPr>
            <w:tcW w:w="4819" w:type="dxa"/>
          </w:tcPr>
          <w:p w:rsidR="003E311F" w:rsidRPr="00515D00" w:rsidRDefault="003E311F" w:rsidP="007A358B">
            <w:pPr>
              <w:tabs>
                <w:tab w:val="left" w:pos="317"/>
              </w:tabs>
              <w:spacing w:before="60" w:after="60"/>
              <w:rPr>
                <w:sz w:val="16"/>
                <w:szCs w:val="16"/>
              </w:rPr>
            </w:pPr>
            <w:r w:rsidRPr="00515D00">
              <w:rPr>
                <w:bCs/>
                <w:sz w:val="16"/>
                <w:szCs w:val="16"/>
              </w:rPr>
              <w:t>Al término del proyecto se organizó un seminario regional en Manila, en colaboración con el Banco Asiático de Desarrollo y la Oficina de la Propiedad Intelectual de Filipinas, uno de cuyos objetivos era facilitar los contactos para reforzar los lazos existentes con el Centro y Red de Tecnología del Clima y el establecimiento de vínculos estratégicos con las entidades nacionales designadas.</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sz w:val="20"/>
        </w:rPr>
      </w:pPr>
      <w:r w:rsidRPr="007329AC">
        <w:rPr>
          <w:b/>
          <w:sz w:val="20"/>
        </w:rPr>
        <w:t>JAPÓN / PROPIEDAD INDUSTRIAL</w:t>
      </w:r>
    </w:p>
    <w:p w:rsidR="003E311F" w:rsidRPr="007329AC" w:rsidRDefault="003E311F" w:rsidP="003E311F">
      <w:pPr>
        <w:rPr>
          <w:b/>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4.912.335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3.828.469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3.770.805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4.969.999</w:t>
            </w:r>
          </w:p>
        </w:tc>
      </w:tr>
    </w:tbl>
    <w:p w:rsidR="003E311F" w:rsidRDefault="003E311F" w:rsidP="003E311F">
      <w:pPr>
        <w:rPr>
          <w:b/>
          <w:sz w:val="20"/>
        </w:rPr>
      </w:pPr>
    </w:p>
    <w:p w:rsidR="009111DF" w:rsidRPr="007329AC" w:rsidRDefault="009111DF" w:rsidP="003E311F">
      <w:pPr>
        <w:rPr>
          <w:b/>
          <w:sz w:val="20"/>
        </w:rPr>
      </w:pPr>
    </w:p>
    <w:p w:rsidR="003E311F" w:rsidRPr="007329AC" w:rsidRDefault="003E311F" w:rsidP="009111DF">
      <w:pPr>
        <w:widowControl w:val="0"/>
        <w:rPr>
          <w:b/>
          <w:sz w:val="20"/>
        </w:rPr>
      </w:pPr>
      <w:r w:rsidRPr="007329AC">
        <w:rPr>
          <w:b/>
          <w:sz w:val="20"/>
        </w:rPr>
        <w:t>JAPÓN – P.I. / ÁFRICA–PMA</w:t>
      </w:r>
    </w:p>
    <w:p w:rsidR="003E311F" w:rsidRPr="007329AC" w:rsidRDefault="003E311F" w:rsidP="009111DF">
      <w:pPr>
        <w:widowControl w:val="0"/>
        <w:rPr>
          <w:b/>
          <w:sz w:val="20"/>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819"/>
      </w:tblGrid>
      <w:tr w:rsidR="003E311F" w:rsidRPr="00092F2E" w:rsidTr="007A358B">
        <w:trPr>
          <w:cantSplit/>
          <w:trHeight w:val="315"/>
        </w:trPr>
        <w:tc>
          <w:tcPr>
            <w:tcW w:w="9781" w:type="dxa"/>
            <w:gridSpan w:val="4"/>
            <w:tcBorders>
              <w:top w:val="single" w:sz="4" w:space="0" w:color="000000"/>
              <w:bottom w:val="single" w:sz="4" w:space="0" w:color="000000"/>
            </w:tcBorders>
            <w:shd w:val="clear" w:color="auto" w:fill="C6D9F1" w:themeFill="text2" w:themeFillTint="33"/>
          </w:tcPr>
          <w:p w:rsidR="003E311F" w:rsidRPr="00515D00" w:rsidRDefault="003E311F" w:rsidP="009111DF">
            <w:pPr>
              <w:widowControl w:val="0"/>
              <w:tabs>
                <w:tab w:val="left" w:pos="1740"/>
              </w:tabs>
              <w:spacing w:before="120" w:after="120"/>
              <w:ind w:left="1740" w:hanging="1740"/>
              <w:rPr>
                <w:color w:val="000000"/>
                <w:sz w:val="16"/>
                <w:szCs w:val="16"/>
              </w:rPr>
            </w:pPr>
            <w:r w:rsidRPr="00515D00">
              <w:rPr>
                <w:b/>
                <w:bCs/>
                <w:color w:val="000000"/>
                <w:sz w:val="16"/>
                <w:szCs w:val="16"/>
              </w:rPr>
              <w:t>RESULTADO:</w:t>
            </w:r>
            <w:r w:rsidRPr="00515D00">
              <w:rPr>
                <w:bCs/>
                <w:sz w:val="16"/>
                <w:szCs w:val="16"/>
              </w:rPr>
              <w:tab/>
              <w:t xml:space="preserve">III.1  </w:t>
            </w:r>
            <w:r w:rsidRPr="001960A4">
              <w:rPr>
                <w:bCs/>
                <w:sz w:val="16"/>
                <w:szCs w:val="16"/>
              </w:rPr>
              <w:t>Estrategias y planes nacionales de innovación y de P.I. que estén en sintonía con los objetivos nacionales de desarrollo</w:t>
            </w:r>
          </w:p>
        </w:tc>
      </w:tr>
      <w:tr w:rsidR="003E311F" w:rsidRPr="00515D00" w:rsidTr="007A358B">
        <w:trPr>
          <w:cantSplit/>
          <w:trHeight w:val="402"/>
        </w:trPr>
        <w:tc>
          <w:tcPr>
            <w:tcW w:w="1843" w:type="dxa"/>
            <w:tcBorders>
              <w:top w:val="single" w:sz="4" w:space="0" w:color="000000"/>
            </w:tcBorders>
            <w:vAlign w:val="center"/>
          </w:tcPr>
          <w:p w:rsidR="003E311F" w:rsidRPr="00515D00" w:rsidRDefault="003E311F" w:rsidP="009111DF">
            <w:pPr>
              <w:widowControl w:val="0"/>
              <w:spacing w:before="60" w:after="60"/>
              <w:rPr>
                <w:b/>
                <w:bCs/>
                <w:sz w:val="16"/>
                <w:szCs w:val="16"/>
              </w:rPr>
            </w:pPr>
            <w:r w:rsidRPr="00515D00">
              <w:rPr>
                <w:b/>
                <w:bCs/>
                <w:sz w:val="16"/>
                <w:szCs w:val="16"/>
              </w:rPr>
              <w:t>Actividad</w:t>
            </w:r>
          </w:p>
        </w:tc>
        <w:tc>
          <w:tcPr>
            <w:tcW w:w="1134" w:type="dxa"/>
            <w:tcBorders>
              <w:top w:val="single" w:sz="4" w:space="0" w:color="000000"/>
            </w:tcBorders>
            <w:vAlign w:val="center"/>
          </w:tcPr>
          <w:p w:rsidR="003E311F" w:rsidRPr="00515D00" w:rsidRDefault="003E311F" w:rsidP="009111DF">
            <w:pPr>
              <w:widowControl w:val="0"/>
              <w:spacing w:before="60" w:after="60"/>
              <w:rPr>
                <w:sz w:val="16"/>
                <w:szCs w:val="16"/>
              </w:rPr>
            </w:pPr>
            <w:r w:rsidRPr="00515D00">
              <w:rPr>
                <w:b/>
                <w:bCs/>
                <w:sz w:val="16"/>
                <w:szCs w:val="16"/>
              </w:rPr>
              <w:t>Fecha</w:t>
            </w:r>
          </w:p>
        </w:tc>
        <w:tc>
          <w:tcPr>
            <w:tcW w:w="1985" w:type="dxa"/>
            <w:tcBorders>
              <w:top w:val="single" w:sz="4" w:space="0" w:color="000000"/>
            </w:tcBorders>
            <w:vAlign w:val="center"/>
          </w:tcPr>
          <w:p w:rsidR="003E311F" w:rsidRPr="00515D00" w:rsidRDefault="003E311F" w:rsidP="009111DF">
            <w:pPr>
              <w:widowControl w:val="0"/>
              <w:rPr>
                <w:sz w:val="16"/>
                <w:szCs w:val="16"/>
              </w:rPr>
            </w:pPr>
            <w:r w:rsidRPr="00515D00">
              <w:rPr>
                <w:b/>
                <w:sz w:val="16"/>
                <w:szCs w:val="16"/>
              </w:rPr>
              <w:t>País anfitrión / Beneficiarios</w:t>
            </w:r>
          </w:p>
        </w:tc>
        <w:tc>
          <w:tcPr>
            <w:tcW w:w="4819" w:type="dxa"/>
            <w:tcBorders>
              <w:top w:val="single" w:sz="4" w:space="0" w:color="000000"/>
            </w:tcBorders>
            <w:vAlign w:val="center"/>
          </w:tcPr>
          <w:p w:rsidR="003E311F" w:rsidRPr="00515D00" w:rsidRDefault="003E311F" w:rsidP="009111DF">
            <w:pPr>
              <w:widowControl w:val="0"/>
              <w:rPr>
                <w:sz w:val="16"/>
                <w:szCs w:val="16"/>
              </w:rPr>
            </w:pPr>
            <w:r w:rsidRPr="00515D00">
              <w:rPr>
                <w:b/>
                <w:sz w:val="16"/>
                <w:szCs w:val="16"/>
              </w:rPr>
              <w:t>Propósito(s)/Descripción</w:t>
            </w:r>
          </w:p>
        </w:tc>
      </w:tr>
      <w:tr w:rsidR="003E311F" w:rsidRPr="00092F2E" w:rsidTr="007A358B">
        <w:trPr>
          <w:cantSplit/>
          <w:trHeight w:val="315"/>
        </w:trPr>
        <w:tc>
          <w:tcPr>
            <w:tcW w:w="1843"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 xml:space="preserve">Reunión de partes interesadas para la integración de las políticas de innovación en el ámbito de la P.I. </w:t>
            </w:r>
          </w:p>
        </w:tc>
        <w:tc>
          <w:tcPr>
            <w:tcW w:w="1134"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4 a 5 de mayo de 2015</w:t>
            </w:r>
          </w:p>
        </w:tc>
        <w:tc>
          <w:tcPr>
            <w:tcW w:w="1985"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Rwanda</w:t>
            </w:r>
          </w:p>
        </w:tc>
        <w:tc>
          <w:tcPr>
            <w:tcW w:w="4819"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Presentar a las partes interesadas en el sistema de innovación del país las constataciones y conclusiones de un informe sobre Integración de la P.I. en la política de formulación de innovaciones en Rwanda para su consideración y validación.</w:t>
            </w:r>
          </w:p>
        </w:tc>
      </w:tr>
      <w:tr w:rsidR="003E311F" w:rsidRPr="00092F2E" w:rsidTr="007A358B">
        <w:trPr>
          <w:cantSplit/>
          <w:trHeight w:val="315"/>
        </w:trPr>
        <w:tc>
          <w:tcPr>
            <w:tcW w:w="1843"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 xml:space="preserve">Conferencia Ministerial Africana de 2015:  </w:t>
            </w:r>
            <w:r>
              <w:rPr>
                <w:color w:val="000000"/>
                <w:sz w:val="16"/>
                <w:szCs w:val="16"/>
              </w:rPr>
              <w:t>"La p</w:t>
            </w:r>
            <w:r w:rsidRPr="00515D00">
              <w:rPr>
                <w:color w:val="000000"/>
                <w:sz w:val="16"/>
                <w:szCs w:val="16"/>
              </w:rPr>
              <w:t>r</w:t>
            </w:r>
            <w:r>
              <w:rPr>
                <w:color w:val="000000"/>
                <w:sz w:val="16"/>
                <w:szCs w:val="16"/>
              </w:rPr>
              <w:t>opiedad i</w:t>
            </w:r>
            <w:r w:rsidRPr="00515D00">
              <w:rPr>
                <w:color w:val="000000"/>
                <w:sz w:val="16"/>
                <w:szCs w:val="16"/>
              </w:rPr>
              <w:t>ntelectual (P.I.) para un África emergente</w:t>
            </w:r>
            <w:r>
              <w:rPr>
                <w:color w:val="000000"/>
                <w:sz w:val="16"/>
                <w:szCs w:val="16"/>
              </w:rPr>
              <w:t>"</w:t>
            </w:r>
          </w:p>
        </w:tc>
        <w:tc>
          <w:tcPr>
            <w:tcW w:w="1134"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3 a 5 de noviembre de 2015</w:t>
            </w:r>
          </w:p>
        </w:tc>
        <w:tc>
          <w:tcPr>
            <w:tcW w:w="1985"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Senegal/</w:t>
            </w:r>
            <w:r w:rsidRPr="00515D00">
              <w:rPr>
                <w:sz w:val="16"/>
                <w:szCs w:val="16"/>
              </w:rPr>
              <w:t xml:space="preserve"> </w:t>
            </w:r>
            <w:r w:rsidRPr="00515D00">
              <w:rPr>
                <w:color w:val="000000"/>
                <w:sz w:val="16"/>
                <w:szCs w:val="16"/>
              </w:rPr>
              <w:t>400 participantes, entre ellos cerca de 50 ministros africanos</w:t>
            </w:r>
          </w:p>
        </w:tc>
        <w:tc>
          <w:tcPr>
            <w:tcW w:w="4819" w:type="dxa"/>
          </w:tcPr>
          <w:p w:rsidR="003E311F" w:rsidRPr="00515D00" w:rsidRDefault="003E311F" w:rsidP="009111DF">
            <w:pPr>
              <w:widowControl w:val="0"/>
              <w:autoSpaceDE w:val="0"/>
              <w:autoSpaceDN w:val="0"/>
              <w:adjustRightInd w:val="0"/>
              <w:spacing w:before="60" w:after="60"/>
              <w:rPr>
                <w:color w:val="000000"/>
                <w:sz w:val="16"/>
                <w:szCs w:val="16"/>
              </w:rPr>
            </w:pPr>
            <w:r w:rsidRPr="00515D00">
              <w:rPr>
                <w:color w:val="000000"/>
                <w:sz w:val="16"/>
                <w:szCs w:val="16"/>
              </w:rPr>
              <w:t>i) Poner de relieve la importancia de la P.I. como herramienta para transformar las economías africanas a través de la ciencia</w:t>
            </w:r>
            <w:r>
              <w:rPr>
                <w:color w:val="000000"/>
                <w:sz w:val="16"/>
                <w:szCs w:val="16"/>
              </w:rPr>
              <w:t xml:space="preserve">, la tecnología y la innovación; </w:t>
            </w:r>
            <w:r w:rsidRPr="00515D00">
              <w:rPr>
                <w:color w:val="000000"/>
                <w:sz w:val="16"/>
                <w:szCs w:val="16"/>
              </w:rPr>
              <w:t xml:space="preserve"> y ii) </w:t>
            </w:r>
            <w:r>
              <w:rPr>
                <w:color w:val="000000"/>
                <w:sz w:val="16"/>
                <w:szCs w:val="16"/>
              </w:rPr>
              <w:t>brindar</w:t>
            </w:r>
            <w:r w:rsidRPr="00515D00">
              <w:rPr>
                <w:color w:val="000000"/>
                <w:sz w:val="16"/>
                <w:szCs w:val="16"/>
              </w:rPr>
              <w:t xml:space="preserve"> un foro para que los encargados de formular políticas y los expertos regionales puedan reunirse e intercambiar opiniones acerca del modo de aprovechar las posibilidades que ofrece el sistema de P.I. para promover la innovación y la creatividad orientadas a la transformación económica.</w:t>
            </w:r>
          </w:p>
        </w:tc>
      </w:tr>
      <w:tr w:rsidR="003E311F" w:rsidRPr="00092F2E" w:rsidTr="007A358B">
        <w:trPr>
          <w:cantSplit/>
          <w:trHeight w:val="315"/>
        </w:trPr>
        <w:tc>
          <w:tcPr>
            <w:tcW w:w="9781" w:type="dxa"/>
            <w:gridSpan w:val="4"/>
            <w:tcBorders>
              <w:top w:val="single" w:sz="4" w:space="0" w:color="000000"/>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color w:val="000000"/>
                <w:sz w:val="16"/>
                <w:szCs w:val="16"/>
              </w:rPr>
            </w:pPr>
            <w:r w:rsidRPr="00515D00">
              <w:rPr>
                <w:b/>
                <w:bCs/>
                <w:color w:val="000000"/>
                <w:sz w:val="16"/>
                <w:szCs w:val="16"/>
              </w:rPr>
              <w:lastRenderedPageBreak/>
              <w:t>RESULTADO:</w:t>
            </w:r>
            <w:r w:rsidRPr="00515D00">
              <w:rPr>
                <w:bCs/>
                <w:sz w:val="16"/>
                <w:szCs w:val="16"/>
              </w:rPr>
              <w:tab/>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29"/>
        </w:trPr>
        <w:tc>
          <w:tcPr>
            <w:tcW w:w="1843" w:type="dxa"/>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Examen de solicitudes de P.I. (nivel básico) – Patentes, Curso de formación sobre examen de solicitudes de propiedad industrial (programa básico)</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19 a 30 de enero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Argelia, Kenya, Madagascar, República Unida de Tanzanía y la ARIPO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Asistir a los participantes en la adquisición de conocimientos básicos sobre la legislación y los procedimientos de examen de fondo en el ámbito de los derechos de propiedad industrial.</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Curso de formación sobre gestión de la P.I.</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6 a 13 de febrero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Marruecos, Nigeria y Sudáfrica</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Ampliar los conocimientos de los participantes sobre prácticas modernas de gestión de la P.I., entre ellas una metodología para elaborar políticas, estrategias y planes relativos al fortalecimiento de las capacidades de los examinadores de patentes y a la gestión de la calidad de los exámenes de patent</w:t>
            </w:r>
            <w:r>
              <w:rPr>
                <w:sz w:val="16"/>
                <w:szCs w:val="16"/>
              </w:rPr>
              <w:t xml:space="preserve">es; </w:t>
            </w:r>
            <w:r w:rsidRPr="00515D00">
              <w:rPr>
                <w:sz w:val="16"/>
                <w:szCs w:val="16"/>
              </w:rPr>
              <w:t xml:space="preserve"> y ii) mejorar la capacidad de los participantes de formular, aplicar y evaluar planes de oficina de P.I. sujetos a plazo, orientados a resultados y con efectos mensurables</w:t>
            </w:r>
            <w:r w:rsidRPr="00515D00">
              <w:rPr>
                <w:color w:val="000000"/>
                <w:sz w:val="16"/>
                <w:szCs w:val="16"/>
              </w:rPr>
              <w:t>.</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Curso de formación para examinadores de patentes sobre tecnologías específicas (productos farmacéuticos)</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19 a 26 de febrero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Egipto y la ARIPO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Familiarizar a los participantes con las tendencias actuales y las nuevas prácticas para el examen de patentes en lo concernient</w:t>
            </w:r>
            <w:r>
              <w:rPr>
                <w:sz w:val="16"/>
                <w:szCs w:val="16"/>
              </w:rPr>
              <w:t xml:space="preserve">e a los productos farmacéuticos; </w:t>
            </w:r>
            <w:r w:rsidRPr="00515D00">
              <w:rPr>
                <w:sz w:val="16"/>
                <w:szCs w:val="16"/>
              </w:rPr>
              <w:t xml:space="preserve"> ii) ofrecer ideas y conocimientos práctic</w:t>
            </w:r>
            <w:r>
              <w:rPr>
                <w:sz w:val="16"/>
                <w:szCs w:val="16"/>
              </w:rPr>
              <w:t xml:space="preserve">os sobre metodologías de examen; </w:t>
            </w:r>
            <w:r w:rsidRPr="00515D00">
              <w:rPr>
                <w:sz w:val="16"/>
                <w:szCs w:val="16"/>
              </w:rPr>
              <w:t xml:space="preserve"> iii) brindar a los participantes la oportunidad de compartir experiencias y opiniones sobre cuestiones relativas al examen de patentes;  y iv) fortalecer las capacidades profesionales de los participantes para el examen de patentes en el ámbito de la industria farmacéutica.</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Reunión de partes interesadas y Taller de formación para un </w:t>
            </w:r>
            <w:r>
              <w:rPr>
                <w:color w:val="000000"/>
                <w:sz w:val="16"/>
                <w:szCs w:val="16"/>
              </w:rPr>
              <w:t>proyecto de desarrollo de marca</w:t>
            </w:r>
            <w:r w:rsidRPr="00515D00">
              <w:rPr>
                <w:color w:val="000000"/>
                <w:sz w:val="16"/>
                <w:szCs w:val="16"/>
              </w:rPr>
              <w:t xml:space="preserve"> para Kisii Soapstone</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16 a 20 de marzo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Kenya</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Poner en marcha un proyecto de desarrollo de marca que aproveche el potencial de mercado y el activo intangible de Kisii Soapstone a través de la innovación y la P.I.</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Reunión de Alto Nivel de parlamentarios de Estados miembros de la ARIPO:  Uso estratégico del sistema de P.I. para el desarrollo económico, cultural, social y tecnológico </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25 a 27 de marzo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Uganda/ 28 parlamentarios de Gambia, Ghana, Kenya, Malawi, Mozambique, Santo Tomé y Príncipe, Swazilandia, Uganda, Zambia y Zimbabwe</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Ofrecer una plataforma que permita a los parlamentarios comprender mejor la importancia del sistema de P.I. como pilar del desarrollo económico,</w:t>
            </w:r>
            <w:r>
              <w:rPr>
                <w:color w:val="000000"/>
                <w:sz w:val="16"/>
                <w:szCs w:val="16"/>
              </w:rPr>
              <w:t xml:space="preserve"> cultural, social y tecnológico; </w:t>
            </w:r>
            <w:r w:rsidRPr="00515D00">
              <w:rPr>
                <w:color w:val="000000"/>
                <w:sz w:val="16"/>
                <w:szCs w:val="16"/>
              </w:rPr>
              <w:t xml:space="preserve"> ii) sensibilizarlos </w:t>
            </w:r>
            <w:r>
              <w:rPr>
                <w:color w:val="000000"/>
                <w:sz w:val="16"/>
                <w:szCs w:val="16"/>
              </w:rPr>
              <w:t>acerca de</w:t>
            </w:r>
            <w:r w:rsidRPr="00515D00">
              <w:rPr>
                <w:color w:val="000000"/>
                <w:sz w:val="16"/>
                <w:szCs w:val="16"/>
              </w:rPr>
              <w:t xml:space="preserve"> la diversidad de perspectivas e intereses políticos presentes en los tratados de la</w:t>
            </w:r>
            <w:r>
              <w:rPr>
                <w:color w:val="000000"/>
                <w:sz w:val="16"/>
                <w:szCs w:val="16"/>
              </w:rPr>
              <w:t xml:space="preserve"> OMPI; </w:t>
            </w:r>
            <w:r w:rsidRPr="00515D00">
              <w:rPr>
                <w:color w:val="000000"/>
                <w:sz w:val="16"/>
                <w:szCs w:val="16"/>
              </w:rPr>
              <w:t xml:space="preserve"> iii) concienciarlos de la necesidad de incrementar y fortalecer el uso del sistema de P.I. </w:t>
            </w:r>
            <w:r>
              <w:rPr>
                <w:color w:val="000000"/>
                <w:sz w:val="16"/>
                <w:szCs w:val="16"/>
              </w:rPr>
              <w:t xml:space="preserve">en sus respectivos países; </w:t>
            </w:r>
            <w:r w:rsidRPr="00515D00">
              <w:rPr>
                <w:color w:val="000000"/>
                <w:sz w:val="16"/>
                <w:szCs w:val="16"/>
              </w:rPr>
              <w:t xml:space="preserve"> y iv) dotarlos de las herramientas necesarias para tener un papel influyente en la elaboración y adopción de una legislación nacional sobre P.I. adaptada a los objetivos de desarrollo</w:t>
            </w:r>
            <w:r>
              <w:rPr>
                <w:color w:val="000000"/>
                <w:sz w:val="16"/>
                <w:szCs w:val="16"/>
              </w:rPr>
              <w:t xml:space="preserve"> de sus respectivos</w:t>
            </w:r>
            <w:r w:rsidRPr="00515D00">
              <w:rPr>
                <w:color w:val="000000"/>
                <w:sz w:val="16"/>
                <w:szCs w:val="16"/>
              </w:rPr>
              <w:t xml:space="preserve"> país</w:t>
            </w:r>
            <w:r>
              <w:rPr>
                <w:color w:val="000000"/>
                <w:sz w:val="16"/>
                <w:szCs w:val="16"/>
              </w:rPr>
              <w:t>es</w:t>
            </w:r>
            <w:r w:rsidRPr="00515D00">
              <w:rPr>
                <w:color w:val="000000"/>
                <w:sz w:val="16"/>
                <w:szCs w:val="16"/>
              </w:rPr>
              <w:t>.</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Misión de expertos sobre transferencia de tecnología y comercialización de P.I.</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6 a 10 de abril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Marruecos</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Compartir los conocimientos y la experiencia del Japón en la promoción de la transferencia de tecnología y la comercialización de los resultados de las investigaciones realizadas por las universidades y las</w:t>
            </w:r>
            <w:r>
              <w:rPr>
                <w:color w:val="000000"/>
                <w:sz w:val="16"/>
                <w:szCs w:val="16"/>
              </w:rPr>
              <w:t xml:space="preserve"> instituciones de investigación; </w:t>
            </w:r>
            <w:r w:rsidRPr="00515D00">
              <w:rPr>
                <w:color w:val="000000"/>
                <w:sz w:val="16"/>
                <w:szCs w:val="16"/>
              </w:rPr>
              <w:t xml:space="preserve"> ii) determinar las cuestiones que debían abordarse</w:t>
            </w:r>
            <w:r>
              <w:rPr>
                <w:color w:val="000000"/>
                <w:sz w:val="16"/>
                <w:szCs w:val="16"/>
              </w:rPr>
              <w:t xml:space="preserve">; </w:t>
            </w:r>
            <w:r w:rsidRPr="00515D00">
              <w:rPr>
                <w:color w:val="000000"/>
                <w:sz w:val="16"/>
                <w:szCs w:val="16"/>
              </w:rPr>
              <w:t xml:space="preserve"> y iii) proponer posibles soluciones para el país.</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Asociación entre la OMPI / OAPI y la Universidad de Yaundé II</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junio de 2015 (En curso)</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Camerún/ 10 becas otorgadas a estudiantes seleccionados de Benin, Burkina Faso, Camerún, Comoras, Congo, Gabón, Guinea, Madagascar, Níger y Togo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i) Impartir formación general y especializada sobre P.I. a los funcionarios gubernamentales y profesionales </w:t>
            </w:r>
            <w:r>
              <w:rPr>
                <w:sz w:val="16"/>
                <w:szCs w:val="16"/>
              </w:rPr>
              <w:t>que trabajan en este ámbito</w:t>
            </w:r>
            <w:r w:rsidRPr="00515D00">
              <w:rPr>
                <w:sz w:val="16"/>
                <w:szCs w:val="16"/>
              </w:rPr>
              <w:t xml:space="preserve">;  y ii) </w:t>
            </w:r>
            <w:r>
              <w:rPr>
                <w:sz w:val="16"/>
                <w:szCs w:val="16"/>
              </w:rPr>
              <w:t>brindar</w:t>
            </w:r>
            <w:r w:rsidRPr="00515D00">
              <w:rPr>
                <w:sz w:val="16"/>
                <w:szCs w:val="16"/>
              </w:rPr>
              <w:t xml:space="preserve"> oportunidades para el desarrollo de los recursos humanos y el fortalecimiento de las capacidades </w:t>
            </w:r>
            <w:r>
              <w:rPr>
                <w:sz w:val="16"/>
                <w:szCs w:val="16"/>
              </w:rPr>
              <w:t>a través de cursos de</w:t>
            </w:r>
            <w:r w:rsidRPr="00515D00">
              <w:rPr>
                <w:sz w:val="16"/>
                <w:szCs w:val="16"/>
              </w:rPr>
              <w:t xml:space="preserve"> formación y enseñanza </w:t>
            </w:r>
            <w:r>
              <w:rPr>
                <w:sz w:val="16"/>
                <w:szCs w:val="16"/>
              </w:rPr>
              <w:t>sobre</w:t>
            </w:r>
            <w:r w:rsidRPr="00515D00">
              <w:rPr>
                <w:sz w:val="16"/>
                <w:szCs w:val="16"/>
              </w:rPr>
              <w:t xml:space="preserve"> P.I. </w:t>
            </w:r>
            <w:r>
              <w:rPr>
                <w:sz w:val="16"/>
                <w:szCs w:val="16"/>
              </w:rPr>
              <w:t>dirigidos a</w:t>
            </w:r>
            <w:r w:rsidRPr="00515D00">
              <w:rPr>
                <w:sz w:val="16"/>
                <w:szCs w:val="16"/>
              </w:rPr>
              <w:t xml:space="preserve"> personas que se dedican a la enseñanza y la investigación en</w:t>
            </w:r>
            <w:r>
              <w:rPr>
                <w:sz w:val="16"/>
                <w:szCs w:val="16"/>
              </w:rPr>
              <w:t xml:space="preserve"> esta</w:t>
            </w:r>
            <w:r w:rsidRPr="00515D00">
              <w:rPr>
                <w:sz w:val="16"/>
                <w:szCs w:val="16"/>
              </w:rPr>
              <w:t xml:space="preserve"> materia en las universidades y otras instituciones.</w:t>
            </w:r>
          </w:p>
        </w:tc>
      </w:tr>
      <w:tr w:rsidR="003E311F" w:rsidRPr="00092F2E" w:rsidTr="009111DF">
        <w:trPr>
          <w:cantSplit/>
          <w:trHeight w:val="315"/>
        </w:trPr>
        <w:tc>
          <w:tcPr>
            <w:tcW w:w="1843" w:type="dxa"/>
            <w:tcBorders>
              <w:top w:val="nil"/>
              <w:left w:val="single" w:sz="4" w:space="0" w:color="auto"/>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Asociación entre la OMPI / ARIPO y la </w:t>
            </w:r>
            <w:r w:rsidRPr="00515D00">
              <w:rPr>
                <w:i/>
                <w:sz w:val="16"/>
                <w:szCs w:val="16"/>
              </w:rPr>
              <w:t>Africa University</w:t>
            </w:r>
            <w:r w:rsidRPr="00515D00">
              <w:rPr>
                <w:sz w:val="16"/>
                <w:szCs w:val="16"/>
              </w:rPr>
              <w:t>, en Mutare (Zimbabwe)</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Mayo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1985"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Zimbabwe/ 9 becas otorgadas a estudiantes seleccionados de Ghana, Kenya, Namibia, Nigeria, Rwanda, Sierra Leona, Uganda, República Unida de Tanzanía y Zimbabwe</w:t>
            </w:r>
          </w:p>
        </w:tc>
        <w:tc>
          <w:tcPr>
            <w:tcW w:w="4819" w:type="dxa"/>
            <w:tcBorders>
              <w:top w:val="nil"/>
              <w:bottom w:val="single" w:sz="4" w:space="0" w:color="auto"/>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Impartir formación general y especializada sobre P.I. a los funcionarios gubernamentales y profesionales</w:t>
            </w:r>
            <w:r>
              <w:rPr>
                <w:sz w:val="16"/>
                <w:szCs w:val="16"/>
              </w:rPr>
              <w:t xml:space="preserve"> que trabajan en este ámbito</w:t>
            </w:r>
            <w:r w:rsidRPr="00515D00">
              <w:rPr>
                <w:sz w:val="16"/>
                <w:szCs w:val="16"/>
              </w:rPr>
              <w:t xml:space="preserve">;  y ii) </w:t>
            </w:r>
            <w:r>
              <w:rPr>
                <w:sz w:val="16"/>
                <w:szCs w:val="16"/>
              </w:rPr>
              <w:t>brindar</w:t>
            </w:r>
            <w:r w:rsidRPr="00515D00">
              <w:rPr>
                <w:sz w:val="16"/>
                <w:szCs w:val="16"/>
              </w:rPr>
              <w:t xml:space="preserve"> oportunidades para el desarrollo de los recursos humanos y el fortalecimiento de las capacidades </w:t>
            </w:r>
            <w:r>
              <w:rPr>
                <w:sz w:val="16"/>
                <w:szCs w:val="16"/>
              </w:rPr>
              <w:t>a través de cursos de</w:t>
            </w:r>
            <w:r w:rsidRPr="00515D00">
              <w:rPr>
                <w:sz w:val="16"/>
                <w:szCs w:val="16"/>
              </w:rPr>
              <w:t xml:space="preserve"> formación y enseñanza </w:t>
            </w:r>
            <w:r>
              <w:rPr>
                <w:sz w:val="16"/>
                <w:szCs w:val="16"/>
              </w:rPr>
              <w:t>sobre</w:t>
            </w:r>
            <w:r w:rsidRPr="00515D00">
              <w:rPr>
                <w:sz w:val="16"/>
                <w:szCs w:val="16"/>
              </w:rPr>
              <w:t xml:space="preserve"> P.I. </w:t>
            </w:r>
            <w:r>
              <w:rPr>
                <w:sz w:val="16"/>
                <w:szCs w:val="16"/>
              </w:rPr>
              <w:t>dirigidos a</w:t>
            </w:r>
            <w:r w:rsidRPr="00515D00">
              <w:rPr>
                <w:sz w:val="16"/>
                <w:szCs w:val="16"/>
              </w:rPr>
              <w:t xml:space="preserve"> personas que se dedican a la enseñanza y la investigación en</w:t>
            </w:r>
            <w:r>
              <w:rPr>
                <w:sz w:val="16"/>
                <w:szCs w:val="16"/>
              </w:rPr>
              <w:t xml:space="preserve"> esta</w:t>
            </w:r>
            <w:r w:rsidRPr="00515D00">
              <w:rPr>
                <w:sz w:val="16"/>
                <w:szCs w:val="16"/>
              </w:rPr>
              <w:t xml:space="preserve"> materia en las universidades y otras instituciones.</w:t>
            </w:r>
          </w:p>
        </w:tc>
      </w:tr>
      <w:tr w:rsidR="003E311F" w:rsidRPr="00092F2E" w:rsidTr="009111DF">
        <w:trPr>
          <w:cantSplit/>
          <w:trHeight w:val="315"/>
        </w:trPr>
        <w:tc>
          <w:tcPr>
            <w:tcW w:w="1843" w:type="dxa"/>
            <w:tcBorders>
              <w:top w:val="single" w:sz="4" w:space="0" w:color="auto"/>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lastRenderedPageBreak/>
              <w:t>Producción de una película que muestre el éxito de la industria del clavo en Zanzíbar</w:t>
            </w:r>
          </w:p>
        </w:tc>
        <w:tc>
          <w:tcPr>
            <w:tcW w:w="1134" w:type="dxa"/>
            <w:tcBorders>
              <w:top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Agosto a noviembre de 2015</w:t>
            </w:r>
          </w:p>
        </w:tc>
        <w:tc>
          <w:tcPr>
            <w:tcW w:w="1985" w:type="dxa"/>
            <w:tcBorders>
              <w:top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República Unida de Tanzanía</w:t>
            </w:r>
          </w:p>
        </w:tc>
        <w:tc>
          <w:tcPr>
            <w:tcW w:w="4819" w:type="dxa"/>
            <w:tcBorders>
              <w:top w:val="single" w:sz="4" w:space="0" w:color="auto"/>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Destacar la importancia de la P.I. y de la implicación del gobierno nacional y otros socios en un proyecto de desarrollo de marca</w:t>
            </w:r>
            <w:r>
              <w:rPr>
                <w:color w:val="000000"/>
                <w:sz w:val="16"/>
                <w:szCs w:val="16"/>
              </w:rPr>
              <w:t>.</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Curso de redacción de solicitudes de patentes para agentes de patentes</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7 de septiembre a 9 de octubre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Zimbabwe/ 22 participantes de Gambia, Ghana, Kenya, Malawi, Mozambique, Namibia, Nigeria, Rwanda, Santo Tomé y Príncipe, Sierra Leona, Swazilandia, República Unida de Tanzanía, Zambia y Zimbabwe</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Mejorar las capacidades de redacción de los profesionales y agentes de patentes de los Estados miembros de la ARIPO y Estados observadores;  y ii) familiarizarlos con nuevas técnicas que les permitan definir mejor el alcance y la naturaleza de las reivindicaciones.</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Misión de estudio de la viabilidad de un proyecto de desarrollo de marca</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21 a 25 de septiembre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Kenya</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Evaluar la viabilidad de un proyecto de desarrollo de marca basado en P.I. para Taita Basket, en Kenya.</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Curso de formación en el uso de las tecnologías de la información para la administración de la propiedad industrial</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26 de octubre a 6 de noviembre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Argelia, Sudáfrica y la ARIPO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Familiarizar a los participantes con las últimas novedades en materia de tecnologías de la información en relación con la administración de la propiedad industrial, la difusión de información sobre propiedad industrial y la prestación de servicios en línea;  ii) impartir conocimientos prácticos sobre las herramientas y tecnologías más recientes mediante sesiones interactivas, así como a través de visitas a las instituciones privadas pertinentes;  y iii) brindar una oportunidad para que los participantes intercambien opiniones y manifiesten sus preocupaciones sobre cuestiones conexas, ampliando así las capacidades profesionales de los participantes en la planificación del uso de las tecnologías de información para la administración de la propiedad industrial.</w:t>
            </w:r>
          </w:p>
        </w:tc>
      </w:tr>
      <w:tr w:rsidR="003E311F" w:rsidRPr="00092F2E" w:rsidTr="009111DF">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Examen de solicitudes de P.I. (nivel avanzado) – Curso de formación sobre examen de solicitudes de propiedad industrial – Patente I</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9 a 20 de noviembre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Japón/ Egipto</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i) Impartir a los participantes conocimientos básicos acerca de la legislación y los procedimientos de examen de derechos de propiedad industrial;  </w:t>
            </w:r>
            <w:proofErr w:type="gramStart"/>
            <w:r w:rsidRPr="00515D00">
              <w:rPr>
                <w:sz w:val="16"/>
                <w:szCs w:val="16"/>
              </w:rPr>
              <w:t>y</w:t>
            </w:r>
            <w:proofErr w:type="gramEnd"/>
            <w:r w:rsidRPr="00515D00">
              <w:rPr>
                <w:sz w:val="16"/>
                <w:szCs w:val="16"/>
              </w:rPr>
              <w:t xml:space="preserve"> ii) intercambiar opiniones sobre cuestiones relacionadas con el ámbito de la propiedad intelectual.</w:t>
            </w:r>
          </w:p>
        </w:tc>
      </w:tr>
      <w:tr w:rsidR="003E311F" w:rsidRPr="00092F2E" w:rsidTr="007A358B">
        <w:trPr>
          <w:cantSplit/>
          <w:trHeight w:val="31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Curso avanzado de verano OMPI-Sudáfrica sobre propiedad intelectual y transferencia de tecnología</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30 de noviembre a 11 de diciembre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Sudáfrica/ </w:t>
            </w:r>
            <w:r w:rsidRPr="00515D00">
              <w:rPr>
                <w:sz w:val="16"/>
                <w:szCs w:val="16"/>
              </w:rPr>
              <w:t>10 becas otorgadas a estudiantes de</w:t>
            </w:r>
            <w:r w:rsidRPr="00515D00">
              <w:rPr>
                <w:color w:val="000000"/>
                <w:sz w:val="16"/>
                <w:szCs w:val="16"/>
              </w:rPr>
              <w:t xml:space="preserve"> Botswana, Kenya, Lesotho, Malawi, Namibia, Nigeria y Zimbabwe</w:t>
            </w:r>
          </w:p>
        </w:tc>
        <w:tc>
          <w:tcPr>
            <w:tcW w:w="4819"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Brindar la oportunidad a estudiantes universitarios avanzados (de grado y posgrado) y profesionales jóvenes de i) adquirir conocimientos profundos sobre la propiedad intelectual y la transferencia de tecnología;  y ii) debatir cuestiones de P.I. relacionadas con las negociaciones de licencia a través de casos prácticos y ejercicios de simulación.</w:t>
            </w:r>
          </w:p>
        </w:tc>
      </w:tr>
      <w:tr w:rsidR="003E311F" w:rsidRPr="00092F2E" w:rsidTr="007A358B">
        <w:trPr>
          <w:cantSplit/>
          <w:trHeight w:val="315"/>
        </w:trPr>
        <w:tc>
          <w:tcPr>
            <w:tcW w:w="9781" w:type="dxa"/>
            <w:gridSpan w:val="4"/>
            <w:tcBorders>
              <w:top w:val="single" w:sz="4" w:space="0" w:color="auto"/>
              <w:bottom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sz w:val="16"/>
                <w:szCs w:val="16"/>
              </w:rPr>
            </w:pPr>
            <w:r w:rsidRPr="00515D00">
              <w:rPr>
                <w:b/>
                <w:bCs/>
                <w:color w:val="000000"/>
                <w:sz w:val="16"/>
                <w:szCs w:val="16"/>
              </w:rPr>
              <w:t>RESULTADO:</w:t>
            </w:r>
            <w:r w:rsidRPr="00515D00">
              <w:rPr>
                <w:b/>
                <w:bCs/>
                <w:color w:val="000000"/>
                <w:sz w:val="16"/>
                <w:szCs w:val="16"/>
              </w:rPr>
              <w:tab/>
            </w:r>
            <w:r w:rsidRPr="00515D00">
              <w:rPr>
                <w:bCs/>
                <w:sz w:val="16"/>
                <w:szCs w:val="16"/>
              </w:rPr>
              <w:t xml:space="preserve">III.6  Mayor capacidad de las </w:t>
            </w:r>
            <w:r>
              <w:rPr>
                <w:bCs/>
                <w:sz w:val="16"/>
                <w:szCs w:val="16"/>
              </w:rPr>
              <w:t>pymes</w:t>
            </w:r>
            <w:r w:rsidRPr="00515D00">
              <w:rPr>
                <w:bCs/>
                <w:sz w:val="16"/>
                <w:szCs w:val="16"/>
              </w:rPr>
              <w:t xml:space="preserve"> para utilizar con éxito la P.I. con el fin de apoyar la innovación</w:t>
            </w:r>
          </w:p>
        </w:tc>
      </w:tr>
      <w:tr w:rsidR="003E311F" w:rsidRPr="00515D00" w:rsidTr="007A358B">
        <w:trPr>
          <w:cantSplit/>
          <w:trHeight w:val="315"/>
        </w:trPr>
        <w:tc>
          <w:tcPr>
            <w:tcW w:w="1843" w:type="dxa"/>
            <w:tcBorders>
              <w:top w:val="single" w:sz="4" w:space="0" w:color="auto"/>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auto"/>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315"/>
        </w:trPr>
        <w:tc>
          <w:tcPr>
            <w:tcW w:w="184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Taller regional sobre modelos de utilidad y diseño industrial para </w:t>
            </w:r>
            <w:r>
              <w:rPr>
                <w:color w:val="000000"/>
                <w:sz w:val="16"/>
                <w:szCs w:val="16"/>
              </w:rPr>
              <w:t>pymes</w:t>
            </w:r>
            <w:r w:rsidRPr="00515D00">
              <w:rPr>
                <w:color w:val="000000"/>
                <w:sz w:val="16"/>
                <w:szCs w:val="16"/>
              </w:rPr>
              <w:t xml:space="preserve"> en los Estados miembros de ARIPO</w:t>
            </w:r>
          </w:p>
        </w:tc>
        <w:tc>
          <w:tcPr>
            <w:tcW w:w="1134"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24 a 26 de junio de 2015</w:t>
            </w:r>
          </w:p>
        </w:tc>
        <w:tc>
          <w:tcPr>
            <w:tcW w:w="1985"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Zimbabwe/ 25 participantes de Botswana, Gambia, Ghana, Kenya, Malawi, Namibia, Uganda, República Unida de Tanzanía y Zambia</w:t>
            </w:r>
          </w:p>
        </w:tc>
        <w:tc>
          <w:tcPr>
            <w:tcW w:w="481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Brindar una plataforma para que los funcionarios de oficinas de P.I., las </w:t>
            </w:r>
            <w:r>
              <w:rPr>
                <w:color w:val="000000"/>
                <w:sz w:val="16"/>
                <w:szCs w:val="16"/>
              </w:rPr>
              <w:t>pymes</w:t>
            </w:r>
            <w:r w:rsidRPr="00515D00">
              <w:rPr>
                <w:color w:val="000000"/>
                <w:sz w:val="16"/>
                <w:szCs w:val="16"/>
              </w:rPr>
              <w:t xml:space="preserve">, los inventores, las instituciones de investigación, las universidades, los centros de innovación, las cámaras de comercio, las asociaciones de </w:t>
            </w:r>
            <w:r>
              <w:rPr>
                <w:color w:val="000000"/>
                <w:sz w:val="16"/>
                <w:szCs w:val="16"/>
              </w:rPr>
              <w:t>pymes</w:t>
            </w:r>
            <w:r w:rsidRPr="00515D00">
              <w:rPr>
                <w:color w:val="000000"/>
                <w:sz w:val="16"/>
                <w:szCs w:val="16"/>
              </w:rPr>
              <w:t xml:space="preserve"> y los diseñadores de la región puedan saber más acerca del modelo de utilidad y los sistemas de diseño industrial;  y ii) intercambiar opiniones con expertos internacionales y nacionales sobre las ventajas de los modelos de utilidad y los diseños para las </w:t>
            </w:r>
            <w:r>
              <w:rPr>
                <w:color w:val="000000"/>
                <w:sz w:val="16"/>
                <w:szCs w:val="16"/>
              </w:rPr>
              <w:t>pymes y las microempresas</w:t>
            </w:r>
            <w:r w:rsidRPr="00515D00">
              <w:rPr>
                <w:color w:val="000000"/>
                <w:sz w:val="16"/>
                <w:szCs w:val="16"/>
              </w:rPr>
              <w:t>.</w:t>
            </w:r>
          </w:p>
        </w:tc>
      </w:tr>
      <w:tr w:rsidR="003E311F" w:rsidRPr="00092F2E" w:rsidTr="007A358B">
        <w:trPr>
          <w:cantSplit/>
          <w:trHeight w:val="315"/>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b/>
                <w:bCs/>
                <w:color w:val="000000"/>
                <w:sz w:val="16"/>
                <w:szCs w:val="16"/>
              </w:rPr>
            </w:pPr>
            <w:r w:rsidRPr="00515D00">
              <w:rPr>
                <w:b/>
                <w:bCs/>
                <w:color w:val="000000"/>
                <w:sz w:val="16"/>
                <w:szCs w:val="16"/>
              </w:rPr>
              <w:t>RESULTADO:</w:t>
            </w:r>
            <w:r w:rsidRPr="00515D00">
              <w:rPr>
                <w:b/>
                <w:bCs/>
                <w:color w:val="000000"/>
                <w:sz w:val="16"/>
                <w:szCs w:val="16"/>
              </w:rPr>
              <w:tab/>
            </w:r>
            <w:r w:rsidRPr="00515D00">
              <w:rPr>
                <w:bCs/>
                <w:color w:val="000000"/>
                <w:sz w:val="16"/>
                <w:szCs w:val="16"/>
              </w:rPr>
              <w:t>IV.2  Mejora del acceso y uso de información de P.I. por parte de instituciones de P.I. y el público para fomentar la innovación y la creatividad</w:t>
            </w:r>
          </w:p>
        </w:tc>
      </w:tr>
      <w:tr w:rsidR="003E311F" w:rsidRPr="00515D00" w:rsidTr="009111DF">
        <w:trPr>
          <w:cantSplit/>
          <w:trHeight w:val="315"/>
        </w:trPr>
        <w:tc>
          <w:tcPr>
            <w:tcW w:w="1843" w:type="dxa"/>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right w:val="single" w:sz="4" w:space="0" w:color="auto"/>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9111DF">
        <w:trPr>
          <w:cantSplit/>
          <w:trHeight w:val="432"/>
        </w:trPr>
        <w:tc>
          <w:tcPr>
            <w:tcW w:w="1843" w:type="dxa"/>
            <w:tcBorders>
              <w:top w:val="nil"/>
              <w:left w:val="single" w:sz="4" w:space="0" w:color="auto"/>
              <w:bottom w:val="single" w:sz="4" w:space="0" w:color="auto"/>
            </w:tcBorders>
          </w:tcPr>
          <w:p w:rsidR="003E311F" w:rsidRPr="00515D00" w:rsidRDefault="003E311F" w:rsidP="007A358B">
            <w:pPr>
              <w:spacing w:before="60" w:after="60"/>
              <w:rPr>
                <w:color w:val="000000"/>
                <w:sz w:val="16"/>
                <w:szCs w:val="16"/>
              </w:rPr>
            </w:pPr>
            <w:r w:rsidRPr="00515D00">
              <w:rPr>
                <w:sz w:val="16"/>
                <w:szCs w:val="16"/>
              </w:rPr>
              <w:t>CATI – Segundo taller sobre la utilización eficaz de la información técnica y científica</w:t>
            </w:r>
          </w:p>
        </w:tc>
        <w:tc>
          <w:tcPr>
            <w:tcW w:w="1134" w:type="dxa"/>
            <w:tcBorders>
              <w:top w:val="nil"/>
              <w:bottom w:val="single" w:sz="4" w:space="0" w:color="auto"/>
            </w:tcBorders>
          </w:tcPr>
          <w:p w:rsidR="003E311F" w:rsidRPr="00515D00" w:rsidRDefault="003E311F" w:rsidP="007A358B">
            <w:pPr>
              <w:spacing w:before="60" w:after="60"/>
              <w:rPr>
                <w:color w:val="000000"/>
                <w:sz w:val="16"/>
                <w:szCs w:val="16"/>
              </w:rPr>
            </w:pPr>
            <w:r w:rsidRPr="00515D00">
              <w:rPr>
                <w:color w:val="000000"/>
                <w:sz w:val="16"/>
                <w:szCs w:val="16"/>
              </w:rPr>
              <w:t>24 a 26 de febrero de 2015</w:t>
            </w:r>
          </w:p>
        </w:tc>
        <w:tc>
          <w:tcPr>
            <w:tcW w:w="1985" w:type="dxa"/>
            <w:tcBorders>
              <w:top w:val="nil"/>
              <w:bottom w:val="single" w:sz="4" w:space="0" w:color="auto"/>
            </w:tcBorders>
          </w:tcPr>
          <w:p w:rsidR="003E311F" w:rsidRPr="00515D00" w:rsidRDefault="003E311F" w:rsidP="007A358B">
            <w:pPr>
              <w:spacing w:before="60" w:after="60"/>
              <w:rPr>
                <w:color w:val="000000"/>
                <w:sz w:val="16"/>
                <w:szCs w:val="16"/>
              </w:rPr>
            </w:pPr>
            <w:r w:rsidRPr="00515D00">
              <w:rPr>
                <w:color w:val="000000"/>
                <w:sz w:val="16"/>
                <w:szCs w:val="16"/>
              </w:rPr>
              <w:t>Ghana/ Aproximadamente 50 participantes locales</w:t>
            </w:r>
          </w:p>
        </w:tc>
        <w:tc>
          <w:tcPr>
            <w:tcW w:w="4819" w:type="dxa"/>
            <w:tcBorders>
              <w:top w:val="nil"/>
              <w:bottom w:val="single" w:sz="4" w:space="0" w:color="auto"/>
              <w:right w:val="single" w:sz="4" w:space="0" w:color="auto"/>
            </w:tcBorders>
          </w:tcPr>
          <w:p w:rsidR="003E311F" w:rsidRPr="00515D00" w:rsidRDefault="003E311F" w:rsidP="007A358B">
            <w:pPr>
              <w:spacing w:before="60" w:after="60"/>
              <w:rPr>
                <w:color w:val="000000"/>
                <w:sz w:val="16"/>
                <w:szCs w:val="16"/>
              </w:rPr>
            </w:pPr>
            <w:r w:rsidRPr="00515D00">
              <w:rPr>
                <w:sz w:val="16"/>
                <w:szCs w:val="16"/>
              </w:rPr>
              <w:t>Fortalecer las capacidades de los participantes en materia de búsqueda y aprovechamiento la información técnica y científica para mejorar el desempeño de sus actividades.</w:t>
            </w:r>
          </w:p>
        </w:tc>
      </w:tr>
      <w:tr w:rsidR="003E311F" w:rsidRPr="00092F2E" w:rsidTr="009111DF">
        <w:trPr>
          <w:cantSplit/>
          <w:trHeight w:val="315"/>
        </w:trPr>
        <w:tc>
          <w:tcPr>
            <w:tcW w:w="1843" w:type="dxa"/>
            <w:tcBorders>
              <w:top w:val="single" w:sz="4" w:space="0" w:color="auto"/>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lastRenderedPageBreak/>
              <w:t>CATI – Seminario sobre la utilización de la información técnica y científica</w:t>
            </w:r>
          </w:p>
        </w:tc>
        <w:tc>
          <w:tcPr>
            <w:tcW w:w="1134" w:type="dxa"/>
            <w:tcBorders>
              <w:top w:val="single" w:sz="4" w:space="0" w:color="auto"/>
              <w:bottom w:val="nil"/>
            </w:tcBorders>
          </w:tcPr>
          <w:p w:rsidR="003E311F" w:rsidRPr="00515D00" w:rsidRDefault="003E311F" w:rsidP="007A358B">
            <w:pPr>
              <w:spacing w:before="60" w:after="60"/>
              <w:rPr>
                <w:color w:val="000000"/>
                <w:sz w:val="16"/>
                <w:szCs w:val="16"/>
              </w:rPr>
            </w:pPr>
            <w:r w:rsidRPr="00515D00">
              <w:rPr>
                <w:color w:val="000000"/>
                <w:sz w:val="16"/>
                <w:szCs w:val="16"/>
              </w:rPr>
              <w:t>23 a 27 de marzo de 2015</w:t>
            </w:r>
          </w:p>
        </w:tc>
        <w:tc>
          <w:tcPr>
            <w:tcW w:w="1985" w:type="dxa"/>
            <w:tcBorders>
              <w:top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Burkina Faso/ Aproximadamente 50 participantes locales</w:t>
            </w:r>
          </w:p>
        </w:tc>
        <w:tc>
          <w:tcPr>
            <w:tcW w:w="4819" w:type="dxa"/>
            <w:tcBorders>
              <w:top w:val="single" w:sz="4" w:space="0" w:color="auto"/>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Formar a investigadores, profesores y estudiantes en la búsqueda y utilización de información sobre patentes y bibliografía ajena a las patentes</w:t>
            </w:r>
          </w:p>
        </w:tc>
      </w:tr>
      <w:tr w:rsidR="003E311F" w:rsidRPr="00092F2E" w:rsidTr="007A358B">
        <w:trPr>
          <w:cantSplit/>
          <w:trHeight w:val="315"/>
        </w:trPr>
        <w:tc>
          <w:tcPr>
            <w:tcW w:w="1843" w:type="dxa"/>
            <w:tcBorders>
              <w:top w:val="nil"/>
              <w:left w:val="single" w:sz="4" w:space="0" w:color="auto"/>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Seminario sobre la utilización eficaz de la información técnica y científica</w:t>
            </w:r>
            <w:r w:rsidRPr="00515D00">
              <w:rPr>
                <w:color w:val="000000"/>
                <w:sz w:val="16"/>
                <w:szCs w:val="16"/>
              </w:rPr>
              <w:t xml:space="preserve"> </w:t>
            </w:r>
            <w:r w:rsidRPr="00515D00">
              <w:rPr>
                <w:sz w:val="16"/>
                <w:szCs w:val="16"/>
              </w:rPr>
              <w:t>e inauguración de CATI</w:t>
            </w:r>
          </w:p>
        </w:tc>
        <w:tc>
          <w:tcPr>
            <w:tcW w:w="1134" w:type="dxa"/>
            <w:tcBorders>
              <w:top w:val="nil"/>
              <w:bottom w:val="single" w:sz="4" w:space="0" w:color="auto"/>
            </w:tcBorders>
          </w:tcPr>
          <w:p w:rsidR="003E311F" w:rsidRPr="00515D00" w:rsidRDefault="003E311F" w:rsidP="007A358B">
            <w:pPr>
              <w:spacing w:before="60" w:after="60"/>
              <w:rPr>
                <w:color w:val="000000"/>
                <w:sz w:val="16"/>
                <w:szCs w:val="16"/>
              </w:rPr>
            </w:pPr>
            <w:r w:rsidRPr="00515D00">
              <w:rPr>
                <w:color w:val="000000"/>
                <w:sz w:val="16"/>
                <w:szCs w:val="16"/>
              </w:rPr>
              <w:t>1 a 5 de junio de 2015</w:t>
            </w:r>
          </w:p>
        </w:tc>
        <w:tc>
          <w:tcPr>
            <w:tcW w:w="1985"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Rwanda/ Aproximadamente 350 participantes locales</w:t>
            </w:r>
          </w:p>
        </w:tc>
        <w:tc>
          <w:tcPr>
            <w:tcW w:w="4819" w:type="dxa"/>
            <w:tcBorders>
              <w:top w:val="nil"/>
              <w:bottom w:val="single" w:sz="4" w:space="0" w:color="auto"/>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Presentar el proyecto CATI y sus ventajas en dos instituciones de educación superior del país.</w:t>
            </w:r>
          </w:p>
        </w:tc>
      </w:tr>
      <w:tr w:rsidR="003E311F" w:rsidRPr="00092F2E" w:rsidTr="007A358B">
        <w:trPr>
          <w:cantSplit/>
          <w:trHeight w:val="315"/>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b/>
                <w:bCs/>
                <w:color w:val="000000"/>
                <w:sz w:val="16"/>
                <w:szCs w:val="16"/>
              </w:rPr>
            </w:pPr>
            <w:r w:rsidRPr="00515D00">
              <w:rPr>
                <w:b/>
                <w:bCs/>
                <w:color w:val="000000"/>
                <w:sz w:val="16"/>
                <w:szCs w:val="16"/>
              </w:rPr>
              <w:t>RESULTADO:</w:t>
            </w:r>
            <w:r w:rsidRPr="00515D00">
              <w:rPr>
                <w:b/>
                <w:bCs/>
                <w:color w:val="000000"/>
                <w:sz w:val="16"/>
                <w:szCs w:val="16"/>
              </w:rPr>
              <w:tab/>
            </w:r>
            <w:r w:rsidRPr="00515D00">
              <w:rPr>
                <w:bCs/>
                <w:color w:val="000000"/>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Height w:val="315"/>
        </w:trPr>
        <w:tc>
          <w:tcPr>
            <w:tcW w:w="1843" w:type="dxa"/>
            <w:tcBorders>
              <w:top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auto"/>
              <w:bottom w:val="nil"/>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872371">
        <w:trPr>
          <w:cantSplit/>
          <w:trHeight w:val="315"/>
        </w:trPr>
        <w:tc>
          <w:tcPr>
            <w:tcW w:w="1843"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Digitalización de documentos de P.I. para ARIPO</w:t>
            </w:r>
          </w:p>
        </w:tc>
        <w:tc>
          <w:tcPr>
            <w:tcW w:w="1134" w:type="dxa"/>
            <w:tcBorders>
              <w:top w:val="nil"/>
              <w:bottom w:val="nil"/>
            </w:tcBorders>
          </w:tcPr>
          <w:p w:rsidR="003E311F" w:rsidRPr="00515D00" w:rsidRDefault="003E311F" w:rsidP="007A358B">
            <w:pPr>
              <w:spacing w:before="60" w:after="60"/>
              <w:rPr>
                <w:sz w:val="16"/>
                <w:szCs w:val="16"/>
              </w:rPr>
            </w:pPr>
            <w:r w:rsidRPr="00515D00">
              <w:rPr>
                <w:sz w:val="16"/>
                <w:szCs w:val="16"/>
              </w:rPr>
              <w:t>Abril a diciembre de 2015</w:t>
            </w:r>
          </w:p>
          <w:p w:rsidR="003E311F" w:rsidRPr="00515D00" w:rsidRDefault="003E311F" w:rsidP="007A358B">
            <w:pPr>
              <w:spacing w:before="60" w:after="60"/>
              <w:rPr>
                <w:sz w:val="16"/>
                <w:szCs w:val="16"/>
              </w:rPr>
            </w:pPr>
            <w:r w:rsidRPr="00515D00">
              <w:rPr>
                <w:sz w:val="16"/>
                <w:szCs w:val="16"/>
              </w:rPr>
              <w:t>(En curso)</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ARIPO</w:t>
            </w:r>
          </w:p>
        </w:tc>
        <w:tc>
          <w:tcPr>
            <w:tcW w:w="4819"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i) Facilitar los procedimientos de examen y procesamiento de solicitudes y registros;  ii) asegurar y preservar los archivos de P.I. </w:t>
            </w:r>
            <w:r>
              <w:rPr>
                <w:sz w:val="16"/>
                <w:szCs w:val="16"/>
              </w:rPr>
              <w:t>mediante su disponibilidad</w:t>
            </w:r>
            <w:r w:rsidRPr="00515D00">
              <w:rPr>
                <w:sz w:val="16"/>
                <w:szCs w:val="16"/>
              </w:rPr>
              <w:t xml:space="preserve"> en formato físico y digital;  iii) facilitar el intercambio de datos de P.I. a nivel tanto nacional como internacional;  y iv) mejorar la gobernanza, la transparencia y la rendición de cuentas en el proceso de la P.I.</w:t>
            </w:r>
          </w:p>
        </w:tc>
      </w:tr>
      <w:tr w:rsidR="003E311F" w:rsidRPr="00092F2E" w:rsidTr="00872371">
        <w:trPr>
          <w:cantSplit/>
          <w:trHeight w:val="315"/>
        </w:trPr>
        <w:tc>
          <w:tcPr>
            <w:tcW w:w="1843"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Digitalización de documentos de P.I. para el Instituto de Propiedad Industrial de Kenya (KIPI)</w:t>
            </w:r>
          </w:p>
        </w:tc>
        <w:tc>
          <w:tcPr>
            <w:tcW w:w="1134" w:type="dxa"/>
            <w:tcBorders>
              <w:top w:val="nil"/>
              <w:bottom w:val="nil"/>
            </w:tcBorders>
          </w:tcPr>
          <w:p w:rsidR="003E311F" w:rsidRPr="00515D00" w:rsidRDefault="003E311F" w:rsidP="007A358B">
            <w:pPr>
              <w:spacing w:before="60" w:after="60"/>
              <w:rPr>
                <w:sz w:val="16"/>
                <w:szCs w:val="16"/>
              </w:rPr>
            </w:pPr>
            <w:r w:rsidRPr="00515D00">
              <w:rPr>
                <w:sz w:val="16"/>
                <w:szCs w:val="16"/>
              </w:rPr>
              <w:t>Abril a diciembre de 2015</w:t>
            </w:r>
          </w:p>
          <w:p w:rsidR="003E311F" w:rsidRPr="00515D00" w:rsidRDefault="003E311F" w:rsidP="007A358B">
            <w:pPr>
              <w:spacing w:before="60" w:after="60"/>
              <w:rPr>
                <w:sz w:val="16"/>
                <w:szCs w:val="16"/>
              </w:rPr>
            </w:pPr>
            <w:r w:rsidRPr="00515D00">
              <w:rPr>
                <w:sz w:val="16"/>
                <w:szCs w:val="16"/>
              </w:rPr>
              <w:t>(En curso)</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Kenya</w:t>
            </w:r>
          </w:p>
        </w:tc>
        <w:tc>
          <w:tcPr>
            <w:tcW w:w="4819"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i) Facilitar los procedimientos de examen y procesamiento de solicitudes y registros;  ii) asegurar y preservar los archivos de P.I. </w:t>
            </w:r>
            <w:r>
              <w:rPr>
                <w:sz w:val="16"/>
                <w:szCs w:val="16"/>
              </w:rPr>
              <w:t>mediante su disponibilidad</w:t>
            </w:r>
            <w:r w:rsidRPr="00515D00">
              <w:rPr>
                <w:sz w:val="16"/>
                <w:szCs w:val="16"/>
              </w:rPr>
              <w:t xml:space="preserve"> en formato físico y digital;  iii) facilitar el intercambio de datos de P.I. a nivel tanto nacional como internacional;  y iv) mejorar la gobernanza, la transparencia y la rendición de cuentas en el proceso de la P.I.</w:t>
            </w:r>
          </w:p>
        </w:tc>
      </w:tr>
      <w:tr w:rsidR="003E311F" w:rsidRPr="00092F2E" w:rsidTr="00872371">
        <w:trPr>
          <w:cantSplit/>
          <w:trHeight w:val="315"/>
        </w:trPr>
        <w:tc>
          <w:tcPr>
            <w:tcW w:w="1843"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Proyecto de digitalización de patentes y marcas para la Oficina de Propiedad Intelectual de Zimbabwe</w:t>
            </w:r>
          </w:p>
        </w:tc>
        <w:tc>
          <w:tcPr>
            <w:tcW w:w="1134" w:type="dxa"/>
            <w:tcBorders>
              <w:top w:val="nil"/>
              <w:bottom w:val="nil"/>
            </w:tcBorders>
          </w:tcPr>
          <w:p w:rsidR="003E311F" w:rsidRPr="00515D00" w:rsidRDefault="003E311F" w:rsidP="007A358B">
            <w:pPr>
              <w:spacing w:before="60" w:after="60"/>
              <w:rPr>
                <w:sz w:val="16"/>
                <w:szCs w:val="16"/>
              </w:rPr>
            </w:pPr>
            <w:r w:rsidRPr="00515D00">
              <w:rPr>
                <w:sz w:val="16"/>
                <w:szCs w:val="16"/>
              </w:rPr>
              <w:t>Abril a diciembre de 2015</w:t>
            </w:r>
          </w:p>
          <w:p w:rsidR="003E311F" w:rsidRPr="00515D00" w:rsidRDefault="003E311F" w:rsidP="007A358B">
            <w:pPr>
              <w:spacing w:before="60" w:after="60"/>
              <w:rPr>
                <w:sz w:val="16"/>
                <w:szCs w:val="16"/>
              </w:rPr>
            </w:pPr>
            <w:r w:rsidRPr="00515D00">
              <w:rPr>
                <w:sz w:val="16"/>
                <w:szCs w:val="16"/>
              </w:rPr>
              <w:t>(En curso)</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Zimbabwe</w:t>
            </w:r>
          </w:p>
        </w:tc>
        <w:tc>
          <w:tcPr>
            <w:tcW w:w="4819"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i) Crear expedientes electrónicos de todas las patentes y marcas;  ii) acelerar los procesos de administración y examen en la oficina de P.I.;  iii) mejorar la accesibilidad de la información sobre P.I.;  y iv) mejorar el la gobernanza, la transparencia y la rendición de cuentas garantizando que toda la información sea fácilmente accesible y esté disponible en formato digital.</w:t>
            </w:r>
          </w:p>
        </w:tc>
      </w:tr>
      <w:tr w:rsidR="003E311F" w:rsidRPr="00092F2E" w:rsidTr="007A358B">
        <w:trPr>
          <w:cantSplit/>
          <w:trHeight w:val="315"/>
        </w:trPr>
        <w:tc>
          <w:tcPr>
            <w:tcW w:w="1843"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Taller regional de formación de la OMPI sobre el IPAS para </w:t>
            </w:r>
            <w:r w:rsidRPr="00A210DE">
              <w:rPr>
                <w:sz w:val="16"/>
                <w:szCs w:val="16"/>
              </w:rPr>
              <w:t>supervisores del proceso y la gobernanza de la P.I.</w:t>
            </w:r>
          </w:p>
        </w:tc>
        <w:tc>
          <w:tcPr>
            <w:tcW w:w="1134" w:type="dxa"/>
            <w:tcBorders>
              <w:top w:val="nil"/>
              <w:bottom w:val="nil"/>
            </w:tcBorders>
          </w:tcPr>
          <w:p w:rsidR="003E311F" w:rsidRPr="00515D00" w:rsidRDefault="003E311F" w:rsidP="007A358B">
            <w:pPr>
              <w:spacing w:before="60" w:after="60"/>
              <w:rPr>
                <w:sz w:val="16"/>
                <w:szCs w:val="16"/>
              </w:rPr>
            </w:pPr>
            <w:r w:rsidRPr="00515D00">
              <w:rPr>
                <w:color w:val="000000"/>
                <w:sz w:val="16"/>
                <w:szCs w:val="16"/>
              </w:rPr>
              <w:t>13 a 17 de abril de 2015</w:t>
            </w:r>
          </w:p>
        </w:tc>
        <w:tc>
          <w:tcPr>
            <w:tcW w:w="1985"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Namibia/ 24 participantes de Botswana, Etiopía, Gambia, Ghana, Kenya, Lesotho, Madagascar, Malawi, Mauricio, Mozambique, Namibia, Nigeria, Rwanda, Seychelles, Swazilandia, Uganda, República Unida de Tanzanía, Zambia, Zimbabwe, </w:t>
            </w:r>
            <w:r>
              <w:rPr>
                <w:color w:val="000000"/>
                <w:sz w:val="16"/>
                <w:szCs w:val="16"/>
              </w:rPr>
              <w:t xml:space="preserve">la </w:t>
            </w:r>
            <w:r w:rsidRPr="00515D00">
              <w:rPr>
                <w:color w:val="000000"/>
                <w:sz w:val="16"/>
                <w:szCs w:val="16"/>
              </w:rPr>
              <w:t xml:space="preserve">ARIPO y </w:t>
            </w:r>
            <w:r>
              <w:rPr>
                <w:color w:val="000000"/>
                <w:sz w:val="16"/>
                <w:szCs w:val="16"/>
              </w:rPr>
              <w:t xml:space="preserve">la </w:t>
            </w:r>
            <w:r w:rsidRPr="00515D00">
              <w:rPr>
                <w:color w:val="000000"/>
                <w:sz w:val="16"/>
                <w:szCs w:val="16"/>
              </w:rPr>
              <w:t>OAPI</w:t>
            </w:r>
          </w:p>
        </w:tc>
        <w:tc>
          <w:tcPr>
            <w:tcW w:w="4819" w:type="dxa"/>
            <w:tcBorders>
              <w:top w:val="nil"/>
              <w:bottom w:val="nil"/>
            </w:tcBorders>
          </w:tcPr>
          <w:p w:rsidR="003E311F" w:rsidRPr="00515D00" w:rsidRDefault="003E311F" w:rsidP="007A358B">
            <w:pPr>
              <w:autoSpaceDE w:val="0"/>
              <w:autoSpaceDN w:val="0"/>
              <w:adjustRightInd w:val="0"/>
              <w:spacing w:before="60" w:after="60"/>
              <w:rPr>
                <w:sz w:val="16"/>
                <w:szCs w:val="16"/>
              </w:rPr>
            </w:pPr>
            <w:r w:rsidRPr="00515D00">
              <w:rPr>
                <w:sz w:val="16"/>
                <w:szCs w:val="16"/>
              </w:rPr>
              <w:t>i) Presentar a los participantes los conceptos básicos y las herramientas del IPAS para la gobernanza, la rendición de cuentas, la transparencia y la supervisión del proceso interno;  y ii) mejorar la comprensión de las capacidades y herramientas del IPAS para producir informes estadísticos, informes sobre gobernanza del proceso y rendición de cuentas para su supervisión, e informes sobre productividad en relación con el procesamiento administrativo de las solicitudes y los registros de P.I.</w:t>
            </w:r>
          </w:p>
        </w:tc>
      </w:tr>
      <w:tr w:rsidR="003E311F" w:rsidRPr="00092F2E" w:rsidTr="007A358B">
        <w:trPr>
          <w:cantSplit/>
          <w:trHeight w:val="315"/>
        </w:trPr>
        <w:tc>
          <w:tcPr>
            <w:tcW w:w="1843" w:type="dxa"/>
            <w:tcBorders>
              <w:top w:val="nil"/>
              <w:bottom w:val="single" w:sz="4" w:space="0" w:color="auto"/>
            </w:tcBorders>
          </w:tcPr>
          <w:p w:rsidR="003E311F" w:rsidRPr="00515D00" w:rsidRDefault="003E311F" w:rsidP="007A358B">
            <w:pPr>
              <w:autoSpaceDE w:val="0"/>
              <w:autoSpaceDN w:val="0"/>
              <w:adjustRightInd w:val="0"/>
              <w:spacing w:before="60" w:after="60"/>
              <w:rPr>
                <w:sz w:val="16"/>
                <w:szCs w:val="16"/>
              </w:rPr>
            </w:pPr>
            <w:r w:rsidRPr="00515D00">
              <w:rPr>
                <w:sz w:val="16"/>
                <w:szCs w:val="16"/>
              </w:rPr>
              <w:t xml:space="preserve">Taller regional de formación de la OMPI sobre validación e intercambio de datos </w:t>
            </w:r>
            <w:r>
              <w:rPr>
                <w:sz w:val="16"/>
                <w:szCs w:val="16"/>
              </w:rPr>
              <w:t>en materia de</w:t>
            </w:r>
            <w:r w:rsidRPr="00515D00">
              <w:rPr>
                <w:sz w:val="16"/>
                <w:szCs w:val="16"/>
              </w:rPr>
              <w:t xml:space="preserve"> P.I.</w:t>
            </w:r>
          </w:p>
        </w:tc>
        <w:tc>
          <w:tcPr>
            <w:tcW w:w="1134" w:type="dxa"/>
            <w:tcBorders>
              <w:top w:val="nil"/>
              <w:bottom w:val="single" w:sz="4" w:space="0" w:color="auto"/>
            </w:tcBorders>
          </w:tcPr>
          <w:p w:rsidR="003E311F" w:rsidRPr="00515D00" w:rsidRDefault="003E311F" w:rsidP="007A358B">
            <w:pPr>
              <w:spacing w:before="60" w:after="60"/>
              <w:rPr>
                <w:sz w:val="16"/>
                <w:szCs w:val="16"/>
              </w:rPr>
            </w:pPr>
            <w:r w:rsidRPr="00515D00">
              <w:rPr>
                <w:color w:val="000000"/>
                <w:sz w:val="16"/>
                <w:szCs w:val="16"/>
              </w:rPr>
              <w:t>19 a 23 de octubre de 2015</w:t>
            </w:r>
          </w:p>
        </w:tc>
        <w:tc>
          <w:tcPr>
            <w:tcW w:w="1985"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Zimbabwe/ 33 participantes de Botswana, Etiopía, Gambia, Ghana, Kenya, Lesotho, Madagascar, Malawi, Mauricio, Mozambique, Namibia, Rwanda, Seychelles, Swazilandia, Uganda, República Unida de Tanzanía, Zambia, Zimbabwe, la ARIPO y la OAPI.</w:t>
            </w:r>
          </w:p>
        </w:tc>
        <w:tc>
          <w:tcPr>
            <w:tcW w:w="4819" w:type="dxa"/>
            <w:tcBorders>
              <w:top w:val="nil"/>
              <w:bottom w:val="single" w:sz="4" w:space="0" w:color="auto"/>
            </w:tcBorders>
          </w:tcPr>
          <w:p w:rsidR="003E311F" w:rsidRPr="00515D00" w:rsidRDefault="003E311F" w:rsidP="007A358B">
            <w:pPr>
              <w:autoSpaceDE w:val="0"/>
              <w:autoSpaceDN w:val="0"/>
              <w:adjustRightInd w:val="0"/>
              <w:spacing w:before="60" w:after="60"/>
              <w:rPr>
                <w:sz w:val="16"/>
                <w:szCs w:val="16"/>
              </w:rPr>
            </w:pPr>
            <w:r w:rsidRPr="00515D00">
              <w:rPr>
                <w:sz w:val="16"/>
                <w:szCs w:val="16"/>
              </w:rPr>
              <w:t>i) Presentar a los participantes las normas técnicas de la OMPI sobre datos de P.I. y prácticas óptimas;  ii) presentar el sistema IPAS y sus funciones automáticas de validación y verificación de datos;  iii) presentar las funciones y herramientas del sistema para la supervisión, la producción y la gobernanza del proceso;  y iv) mostrar a los participantes el modo de generar informes de control de calidad de datos para realizar verificaciones y controles aleatorios.</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bCs/>
          <w:color w:val="000000"/>
          <w:sz w:val="20"/>
        </w:rPr>
      </w:pPr>
      <w:r w:rsidRPr="007329AC">
        <w:rPr>
          <w:b/>
          <w:bCs/>
          <w:sz w:val="20"/>
        </w:rPr>
        <w:t>JAPÓN – P.I. / ÁFRICA–PMA – Contribuciones de donantes y gastos en</w:t>
      </w:r>
      <w:r w:rsidRPr="007329AC">
        <w:rPr>
          <w:b/>
          <w:bCs/>
          <w:color w:val="000000"/>
          <w:sz w:val="20"/>
        </w:rPr>
        <w:t xml:space="preserve"> 2015</w:t>
      </w:r>
    </w:p>
    <w:p w:rsidR="003E311F" w:rsidRPr="007329AC" w:rsidRDefault="003E311F" w:rsidP="003E311F">
      <w:pPr>
        <w:rPr>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1.435.090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1.602.617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1.386.067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1.651.640</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keepNext/>
        <w:keepLines/>
        <w:rPr>
          <w:b/>
          <w:sz w:val="20"/>
        </w:rPr>
      </w:pPr>
      <w:r w:rsidRPr="007329AC">
        <w:rPr>
          <w:b/>
          <w:sz w:val="20"/>
        </w:rPr>
        <w:lastRenderedPageBreak/>
        <w:t>REPÚBLICA DE COREA/ FOMENTAR EL RESPETO POR LA PROPIEDAD INTELECTUAL</w:t>
      </w:r>
    </w:p>
    <w:p w:rsidR="003E311F" w:rsidRPr="007329AC" w:rsidRDefault="003E311F" w:rsidP="003E311F">
      <w:pPr>
        <w:keepNext/>
        <w:keepLines/>
        <w:rPr>
          <w:b/>
          <w:sz w:val="20"/>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961"/>
      </w:tblGrid>
      <w:tr w:rsidR="003E311F" w:rsidRPr="00092F2E" w:rsidTr="007A358B">
        <w:tc>
          <w:tcPr>
            <w:tcW w:w="9811"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spacing w:before="120" w:after="60"/>
              <w:ind w:left="1701" w:hanging="1701"/>
              <w:rPr>
                <w:bCs/>
                <w:sz w:val="16"/>
                <w:szCs w:val="16"/>
              </w:rPr>
            </w:pPr>
            <w:r w:rsidRPr="00515D00">
              <w:rPr>
                <w:b/>
                <w:bCs/>
                <w:color w:val="000000"/>
                <w:sz w:val="16"/>
                <w:szCs w:val="16"/>
              </w:rPr>
              <w:t>RESULTADO:</w:t>
            </w:r>
            <w:r w:rsidRPr="00515D00">
              <w:rPr>
                <w:b/>
                <w:bCs/>
                <w:sz w:val="16"/>
                <w:szCs w:val="16"/>
              </w:rPr>
              <w:tab/>
            </w:r>
            <w:r w:rsidRPr="00515D00">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872371">
        <w:trPr>
          <w:trHeight w:val="438"/>
        </w:trPr>
        <w:tc>
          <w:tcPr>
            <w:tcW w:w="1873" w:type="dxa"/>
            <w:tcBorders>
              <w:top w:val="single" w:sz="4" w:space="0" w:color="000000"/>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bottom w:val="nil"/>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bottom w:val="nil"/>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bottom w:val="nil"/>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872371">
        <w:trPr>
          <w:trHeight w:val="420"/>
        </w:trPr>
        <w:tc>
          <w:tcPr>
            <w:tcW w:w="1873" w:type="dxa"/>
            <w:tcBorders>
              <w:top w:val="nil"/>
              <w:bottom w:val="nil"/>
            </w:tcBorders>
          </w:tcPr>
          <w:p w:rsidR="003E311F" w:rsidRPr="00515D00" w:rsidRDefault="003E311F" w:rsidP="007A358B">
            <w:pPr>
              <w:spacing w:before="60" w:after="60"/>
              <w:rPr>
                <w:bCs/>
                <w:sz w:val="16"/>
                <w:szCs w:val="16"/>
              </w:rPr>
            </w:pPr>
            <w:r w:rsidRPr="00515D00">
              <w:rPr>
                <w:rFonts w:eastAsia="Batang"/>
                <w:sz w:val="16"/>
                <w:szCs w:val="16"/>
                <w:lang w:eastAsia="ko-KR"/>
              </w:rPr>
              <w:t>Taller interregional sobre observancia del derecho de autor</w:t>
            </w:r>
          </w:p>
        </w:tc>
        <w:tc>
          <w:tcPr>
            <w:tcW w:w="1134" w:type="dxa"/>
            <w:tcBorders>
              <w:top w:val="nil"/>
              <w:bottom w:val="nil"/>
            </w:tcBorders>
            <w:shd w:val="clear" w:color="auto" w:fill="auto"/>
            <w:tcMar>
              <w:top w:w="110" w:type="dxa"/>
            </w:tcMar>
          </w:tcPr>
          <w:p w:rsidR="003E311F" w:rsidRPr="00515D00" w:rsidRDefault="003E311F" w:rsidP="007A358B">
            <w:pPr>
              <w:spacing w:before="60" w:after="60"/>
              <w:rPr>
                <w:bCs/>
                <w:sz w:val="16"/>
                <w:szCs w:val="16"/>
              </w:rPr>
            </w:pPr>
            <w:r w:rsidRPr="00515D00">
              <w:rPr>
                <w:bCs/>
                <w:sz w:val="16"/>
                <w:szCs w:val="16"/>
              </w:rPr>
              <w:t>14 a 18 de septiembre de 2015</w:t>
            </w:r>
          </w:p>
        </w:tc>
        <w:tc>
          <w:tcPr>
            <w:tcW w:w="1843" w:type="dxa"/>
            <w:tcBorders>
              <w:top w:val="nil"/>
              <w:bottom w:val="nil"/>
            </w:tcBorders>
            <w:shd w:val="clear" w:color="auto" w:fill="auto"/>
            <w:tcMar>
              <w:top w:w="110" w:type="dxa"/>
            </w:tcMar>
          </w:tcPr>
          <w:p w:rsidR="003E311F" w:rsidRPr="00515D00" w:rsidRDefault="003E311F" w:rsidP="007A358B">
            <w:pPr>
              <w:spacing w:before="60" w:after="60"/>
              <w:rPr>
                <w:bCs/>
                <w:sz w:val="16"/>
                <w:szCs w:val="16"/>
              </w:rPr>
            </w:pPr>
            <w:r w:rsidRPr="00515D00">
              <w:rPr>
                <w:bCs/>
                <w:sz w:val="16"/>
                <w:szCs w:val="16"/>
              </w:rPr>
              <w:t>República de Corea/ 20 participantes extranjeros de 10 países</w:t>
            </w:r>
          </w:p>
        </w:tc>
        <w:tc>
          <w:tcPr>
            <w:tcW w:w="4961" w:type="dxa"/>
            <w:tcBorders>
              <w:top w:val="nil"/>
              <w:bottom w:val="nil"/>
            </w:tcBorders>
            <w:shd w:val="clear" w:color="auto" w:fill="FFFFFF"/>
            <w:tcMar>
              <w:top w:w="110" w:type="dxa"/>
            </w:tcMar>
          </w:tcPr>
          <w:p w:rsidR="003E311F" w:rsidRPr="00515D00" w:rsidRDefault="003E311F" w:rsidP="007A358B">
            <w:pPr>
              <w:spacing w:before="60" w:after="60"/>
              <w:rPr>
                <w:bCs/>
                <w:sz w:val="16"/>
                <w:szCs w:val="16"/>
              </w:rPr>
            </w:pPr>
            <w:r w:rsidRPr="00515D00">
              <w:rPr>
                <w:sz w:val="16"/>
                <w:szCs w:val="16"/>
                <w:lang w:eastAsia="ko-KR"/>
              </w:rPr>
              <w:t xml:space="preserve">En el marco de la meta estratégica VI de la OMPI:  </w:t>
            </w:r>
            <w:r w:rsidRPr="00515D00">
              <w:rPr>
                <w:bCs/>
                <w:sz w:val="16"/>
                <w:szCs w:val="16"/>
              </w:rPr>
              <w:t xml:space="preserve">i) </w:t>
            </w:r>
            <w:r w:rsidRPr="00515D00">
              <w:rPr>
                <w:sz w:val="16"/>
                <w:szCs w:val="16"/>
                <w:lang w:eastAsia="ko-KR"/>
              </w:rPr>
              <w:t xml:space="preserve">examinar el valor de la protección y la observancia del derecho de autor y los derechos conexos para el desarrollo social, económico y cultural de los países participantes;  </w:t>
            </w:r>
            <w:r w:rsidRPr="00515D00">
              <w:rPr>
                <w:bCs/>
                <w:sz w:val="16"/>
                <w:szCs w:val="16"/>
              </w:rPr>
              <w:t xml:space="preserve">ii) </w:t>
            </w:r>
            <w:r w:rsidRPr="00515D00">
              <w:rPr>
                <w:sz w:val="16"/>
                <w:szCs w:val="16"/>
                <w:lang w:eastAsia="ko-KR"/>
              </w:rPr>
              <w:t xml:space="preserve">impartir formación básica sobre las vías de recurso y las medidas de observancia del derecho de autor y los derechos conexos, centrando la atención, en particular, en el entorno digital;  </w:t>
            </w:r>
            <w:r w:rsidRPr="00515D00">
              <w:rPr>
                <w:bCs/>
                <w:sz w:val="16"/>
                <w:szCs w:val="16"/>
              </w:rPr>
              <w:t xml:space="preserve">iii) </w:t>
            </w:r>
            <w:r w:rsidRPr="00515D00">
              <w:rPr>
                <w:sz w:val="16"/>
                <w:szCs w:val="16"/>
                <w:lang w:eastAsia="ko-KR"/>
              </w:rPr>
              <w:t>examinar diversas cuestiones relacionadas con el fomento del respeto por el derecho de autor y los derechos conexos;  y</w:t>
            </w:r>
            <w:r w:rsidRPr="00515D00">
              <w:rPr>
                <w:bCs/>
                <w:sz w:val="16"/>
                <w:szCs w:val="16"/>
              </w:rPr>
              <w:t xml:space="preserve"> iv) </w:t>
            </w:r>
            <w:r w:rsidRPr="00515D00">
              <w:rPr>
                <w:sz w:val="16"/>
                <w:szCs w:val="16"/>
                <w:lang w:eastAsia="ko-KR"/>
              </w:rPr>
              <w:t>elaborar estrategias nacionales y transnacionales de cooperación eficaz para fomentar el respeto por la propiedad intelectual</w:t>
            </w:r>
            <w:r w:rsidRPr="00515D00">
              <w:rPr>
                <w:bCs/>
                <w:sz w:val="16"/>
                <w:szCs w:val="16"/>
              </w:rPr>
              <w:t>.</w:t>
            </w:r>
          </w:p>
        </w:tc>
      </w:tr>
      <w:tr w:rsidR="003E311F" w:rsidRPr="00092F2E" w:rsidTr="00872371">
        <w:trPr>
          <w:trHeight w:val="340"/>
        </w:trPr>
        <w:tc>
          <w:tcPr>
            <w:tcW w:w="1873" w:type="dxa"/>
            <w:tcBorders>
              <w:top w:val="nil"/>
            </w:tcBorders>
          </w:tcPr>
          <w:p w:rsidR="003E311F" w:rsidRPr="00515D00" w:rsidRDefault="003E311F" w:rsidP="007A358B">
            <w:pPr>
              <w:spacing w:before="60" w:after="60"/>
              <w:rPr>
                <w:rFonts w:eastAsia="Batang"/>
                <w:sz w:val="16"/>
                <w:szCs w:val="16"/>
                <w:lang w:eastAsia="ko-KR"/>
              </w:rPr>
            </w:pPr>
            <w:r w:rsidRPr="00515D00">
              <w:rPr>
                <w:sz w:val="16"/>
                <w:szCs w:val="16"/>
                <w:lang w:eastAsia="ko-KR"/>
              </w:rPr>
              <w:t xml:space="preserve">Materiales didácticos sobre el respeto del derecho de autor elaborados por la OMPI y el </w:t>
            </w:r>
            <w:r w:rsidRPr="00515D00">
              <w:rPr>
                <w:rFonts w:eastAsia="Batang"/>
                <w:sz w:val="16"/>
                <w:szCs w:val="16"/>
                <w:lang w:eastAsia="ko-KR"/>
              </w:rPr>
              <w:t>Ministerio de Cultura, Deporte y Turismo</w:t>
            </w:r>
          </w:p>
        </w:tc>
        <w:tc>
          <w:tcPr>
            <w:tcW w:w="1134" w:type="dxa"/>
            <w:tcBorders>
              <w:top w:val="nil"/>
            </w:tcBorders>
            <w:shd w:val="clear" w:color="auto" w:fill="auto"/>
            <w:tcMar>
              <w:top w:w="110" w:type="dxa"/>
            </w:tcMar>
          </w:tcPr>
          <w:p w:rsidR="003E311F" w:rsidRPr="00515D00" w:rsidRDefault="003E311F" w:rsidP="007A358B">
            <w:pPr>
              <w:spacing w:before="60" w:after="60"/>
              <w:rPr>
                <w:bCs/>
                <w:sz w:val="16"/>
                <w:szCs w:val="16"/>
              </w:rPr>
            </w:pPr>
            <w:r w:rsidRPr="00515D00">
              <w:rPr>
                <w:bCs/>
                <w:sz w:val="16"/>
                <w:szCs w:val="16"/>
              </w:rPr>
              <w:t>Enero a octubre de 2015</w:t>
            </w:r>
          </w:p>
        </w:tc>
        <w:tc>
          <w:tcPr>
            <w:tcW w:w="1843" w:type="dxa"/>
            <w:tcBorders>
              <w:top w:val="nil"/>
            </w:tcBorders>
            <w:shd w:val="clear" w:color="auto" w:fill="auto"/>
            <w:tcMar>
              <w:top w:w="110" w:type="dxa"/>
            </w:tcMar>
          </w:tcPr>
          <w:p w:rsidR="003E311F" w:rsidRPr="00515D00" w:rsidRDefault="003E311F" w:rsidP="007A358B">
            <w:pPr>
              <w:spacing w:before="60" w:after="60"/>
              <w:rPr>
                <w:bCs/>
                <w:kern w:val="36"/>
                <w:sz w:val="16"/>
                <w:szCs w:val="16"/>
                <w:lang w:eastAsia="ko-KR"/>
              </w:rPr>
            </w:pPr>
            <w:r w:rsidRPr="00515D00">
              <w:rPr>
                <w:bCs/>
                <w:kern w:val="36"/>
                <w:sz w:val="16"/>
                <w:szCs w:val="16"/>
                <w:lang w:eastAsia="ko-KR"/>
              </w:rPr>
              <w:t>Todos los Estados miembros de la OMPI</w:t>
            </w:r>
          </w:p>
        </w:tc>
        <w:tc>
          <w:tcPr>
            <w:tcW w:w="4961" w:type="dxa"/>
            <w:tcBorders>
              <w:top w:val="nil"/>
            </w:tcBorders>
            <w:shd w:val="clear" w:color="auto" w:fill="FFFFFF"/>
            <w:tcMar>
              <w:top w:w="110" w:type="dxa"/>
            </w:tcMar>
          </w:tcPr>
          <w:p w:rsidR="003E311F" w:rsidRPr="00515D00" w:rsidRDefault="003E311F" w:rsidP="007A358B">
            <w:pPr>
              <w:spacing w:before="60" w:after="60"/>
              <w:rPr>
                <w:sz w:val="16"/>
                <w:szCs w:val="16"/>
                <w:lang w:eastAsia="ko-KR"/>
              </w:rPr>
            </w:pPr>
            <w:r w:rsidRPr="00515D00">
              <w:rPr>
                <w:sz w:val="16"/>
                <w:szCs w:val="16"/>
                <w:lang w:eastAsia="ko-KR"/>
              </w:rPr>
              <w:t xml:space="preserve">Elaboración de una herramienta de divulgación para ayudar a los docentes a </w:t>
            </w:r>
            <w:r>
              <w:rPr>
                <w:sz w:val="16"/>
                <w:szCs w:val="16"/>
                <w:lang w:eastAsia="ko-KR"/>
              </w:rPr>
              <w:t>educar</w:t>
            </w:r>
            <w:r w:rsidRPr="00515D00">
              <w:rPr>
                <w:sz w:val="16"/>
                <w:szCs w:val="16"/>
                <w:lang w:eastAsia="ko-KR"/>
              </w:rPr>
              <w:t xml:space="preserve"> a los niños </w:t>
            </w:r>
            <w:r>
              <w:rPr>
                <w:sz w:val="16"/>
                <w:szCs w:val="16"/>
                <w:lang w:eastAsia="ko-KR"/>
              </w:rPr>
              <w:t>acerca del</w:t>
            </w:r>
            <w:r w:rsidRPr="00515D00">
              <w:rPr>
                <w:sz w:val="16"/>
                <w:szCs w:val="16"/>
                <w:lang w:eastAsia="ko-KR"/>
              </w:rPr>
              <w:t xml:space="preserve"> derecho de autor, </w:t>
            </w:r>
            <w:r>
              <w:rPr>
                <w:sz w:val="16"/>
                <w:szCs w:val="16"/>
                <w:lang w:eastAsia="ko-KR"/>
              </w:rPr>
              <w:t>integrada por</w:t>
            </w:r>
            <w:r w:rsidRPr="00515D00">
              <w:rPr>
                <w:sz w:val="16"/>
                <w:szCs w:val="16"/>
                <w:lang w:eastAsia="ko-KR"/>
              </w:rPr>
              <w:t xml:space="preserve"> cinco guiones de clase </w:t>
            </w:r>
            <w:r>
              <w:rPr>
                <w:sz w:val="16"/>
                <w:szCs w:val="16"/>
                <w:lang w:eastAsia="ko-KR"/>
              </w:rPr>
              <w:t>para</w:t>
            </w:r>
            <w:r w:rsidRPr="00515D00">
              <w:rPr>
                <w:sz w:val="16"/>
                <w:szCs w:val="16"/>
                <w:lang w:eastAsia="ko-KR"/>
              </w:rPr>
              <w:t xml:space="preserve"> alumnos de edades comprendidas entre 10 y 15 años.</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rPr>
          <w:b/>
          <w:bCs/>
          <w:color w:val="000000"/>
          <w:sz w:val="20"/>
        </w:rPr>
      </w:pPr>
      <w:r w:rsidRPr="007329AC">
        <w:rPr>
          <w:b/>
          <w:sz w:val="20"/>
        </w:rPr>
        <w:t xml:space="preserve">REPÚBLICA DE COREA / FOMENTAR EL RESPETO POR LA PROPIEDAD INTELECTUAL - Contribuciones de donantes y gastos en </w:t>
      </w:r>
      <w:r w:rsidRPr="007329AC">
        <w:rPr>
          <w:b/>
          <w:bCs/>
          <w:color w:val="000000"/>
          <w:sz w:val="20"/>
        </w:rPr>
        <w:t>2015</w:t>
      </w:r>
    </w:p>
    <w:p w:rsidR="003E311F" w:rsidRPr="007329AC" w:rsidRDefault="003E311F" w:rsidP="003E311F">
      <w:pPr>
        <w:rPr>
          <w:b/>
          <w:bCs/>
          <w:color w:val="000000"/>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42.310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122.960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114.795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50.475</w:t>
            </w:r>
          </w:p>
        </w:tc>
      </w:tr>
    </w:tbl>
    <w:p w:rsidR="003E311F" w:rsidRPr="007329AC" w:rsidRDefault="003E311F" w:rsidP="003E311F">
      <w:pPr>
        <w:keepNext/>
        <w:keepLines/>
        <w:rPr>
          <w:b/>
          <w:sz w:val="20"/>
        </w:rPr>
      </w:pPr>
    </w:p>
    <w:p w:rsidR="003E311F" w:rsidRPr="007329AC" w:rsidRDefault="003E311F" w:rsidP="003E311F">
      <w:pPr>
        <w:rPr>
          <w:sz w:val="20"/>
        </w:rPr>
      </w:pPr>
    </w:p>
    <w:p w:rsidR="003E311F" w:rsidRPr="007329AC" w:rsidRDefault="003E311F" w:rsidP="003E311F">
      <w:pPr>
        <w:widowControl w:val="0"/>
        <w:rPr>
          <w:b/>
          <w:sz w:val="20"/>
        </w:rPr>
      </w:pPr>
      <w:r w:rsidRPr="007329AC">
        <w:rPr>
          <w:b/>
          <w:sz w:val="20"/>
        </w:rPr>
        <w:t>REPÚBLICA DE COREA – DERECHO DE AUTOR</w:t>
      </w:r>
    </w:p>
    <w:p w:rsidR="003E311F" w:rsidRPr="007329AC" w:rsidRDefault="003E311F" w:rsidP="003E311F">
      <w:pPr>
        <w:keepNext/>
        <w:keepLines/>
        <w:rPr>
          <w:b/>
          <w:sz w:val="20"/>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819"/>
      </w:tblGrid>
      <w:tr w:rsidR="003E311F" w:rsidRPr="00092F2E" w:rsidTr="007A358B">
        <w:trPr>
          <w:trHeight w:val="755"/>
        </w:trPr>
        <w:tc>
          <w:tcPr>
            <w:tcW w:w="9811"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spacing w:before="120" w:after="60"/>
              <w:ind w:left="1701" w:hanging="1701"/>
              <w:rPr>
                <w:bCs/>
                <w:sz w:val="16"/>
                <w:szCs w:val="16"/>
              </w:rPr>
            </w:pPr>
            <w:r w:rsidRPr="00515D00">
              <w:rPr>
                <w:b/>
                <w:bCs/>
                <w:color w:val="000000"/>
                <w:sz w:val="16"/>
                <w:szCs w:val="16"/>
              </w:rPr>
              <w:t>RESULTADO:</w:t>
            </w:r>
            <w:r w:rsidRPr="00515D00">
              <w:rPr>
                <w:b/>
                <w:bCs/>
                <w:sz w:val="16"/>
                <w:szCs w:val="16"/>
              </w:rPr>
              <w:tab/>
            </w:r>
            <w:r w:rsidRPr="00515D00">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trHeight w:val="457"/>
        </w:trPr>
        <w:tc>
          <w:tcPr>
            <w:tcW w:w="187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670"/>
        </w:trPr>
        <w:tc>
          <w:tcPr>
            <w:tcW w:w="1873" w:type="dxa"/>
          </w:tcPr>
          <w:p w:rsidR="003E311F" w:rsidRPr="00515D00" w:rsidDel="009E0498" w:rsidRDefault="003E311F" w:rsidP="007A358B">
            <w:pPr>
              <w:autoSpaceDE w:val="0"/>
              <w:autoSpaceDN w:val="0"/>
              <w:adjustRightInd w:val="0"/>
              <w:spacing w:before="60" w:after="60"/>
              <w:rPr>
                <w:color w:val="000000"/>
                <w:sz w:val="16"/>
                <w:szCs w:val="16"/>
              </w:rPr>
            </w:pPr>
            <w:r w:rsidRPr="00515D00">
              <w:rPr>
                <w:color w:val="000000"/>
                <w:sz w:val="16"/>
                <w:szCs w:val="16"/>
              </w:rPr>
              <w:t>Taller nacional sobre el derecho de autor y los derechos conexos</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31 de agosto a 1 de septiembre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Camboya / cerca de 100 participantes locales</w:t>
            </w:r>
          </w:p>
        </w:tc>
        <w:tc>
          <w:tcPr>
            <w:tcW w:w="4819" w:type="dxa"/>
            <w:shd w:val="clear" w:color="auto" w:fill="FFFFFF"/>
            <w:tcMar>
              <w:top w:w="110" w:type="dxa"/>
            </w:tcMar>
          </w:tcPr>
          <w:p w:rsidR="003E311F" w:rsidRPr="00515D00" w:rsidDel="00152E3E" w:rsidRDefault="003E311F" w:rsidP="007A358B">
            <w:pPr>
              <w:autoSpaceDE w:val="0"/>
              <w:autoSpaceDN w:val="0"/>
              <w:adjustRightInd w:val="0"/>
              <w:spacing w:before="60" w:after="60"/>
              <w:rPr>
                <w:color w:val="000000"/>
                <w:sz w:val="16"/>
                <w:szCs w:val="16"/>
              </w:rPr>
            </w:pPr>
            <w:r w:rsidRPr="00515D00">
              <w:rPr>
                <w:kern w:val="2"/>
                <w:sz w:val="16"/>
                <w:szCs w:val="16"/>
              </w:rPr>
              <w:t>Fomentar la sensibilización de los encargados de formular políticas y</w:t>
            </w:r>
            <w:r>
              <w:rPr>
                <w:kern w:val="2"/>
                <w:sz w:val="16"/>
                <w:szCs w:val="16"/>
              </w:rPr>
              <w:t xml:space="preserve"> de</w:t>
            </w:r>
            <w:r w:rsidRPr="00515D00">
              <w:rPr>
                <w:kern w:val="2"/>
                <w:sz w:val="16"/>
                <w:szCs w:val="16"/>
              </w:rPr>
              <w:t xml:space="preserve"> los principales sectores interesados acerca de la importancia del derecho de autor y los derechos conexos.</w:t>
            </w:r>
          </w:p>
        </w:tc>
      </w:tr>
      <w:tr w:rsidR="003E311F" w:rsidRPr="00092F2E" w:rsidTr="007A358B">
        <w:trPr>
          <w:trHeight w:val="820"/>
        </w:trPr>
        <w:tc>
          <w:tcPr>
            <w:tcW w:w="1873" w:type="dxa"/>
          </w:tcPr>
          <w:p w:rsidR="003E311F" w:rsidRPr="00515D00" w:rsidRDefault="003E311F" w:rsidP="007A358B">
            <w:pPr>
              <w:keepNext/>
              <w:keepLines/>
              <w:spacing w:before="60" w:after="60"/>
              <w:rPr>
                <w:b/>
                <w:bCs/>
                <w:sz w:val="16"/>
                <w:szCs w:val="16"/>
              </w:rPr>
            </w:pPr>
            <w:r w:rsidRPr="00515D00">
              <w:rPr>
                <w:color w:val="000000"/>
                <w:sz w:val="16"/>
                <w:szCs w:val="16"/>
              </w:rPr>
              <w:t xml:space="preserve">Proyecto nacional de aumento de la concienciación sobre </w:t>
            </w:r>
            <w:r>
              <w:rPr>
                <w:color w:val="000000"/>
                <w:sz w:val="16"/>
                <w:szCs w:val="16"/>
              </w:rPr>
              <w:t>el derecho de autor y los derechos conexos</w:t>
            </w:r>
            <w:r w:rsidRPr="00515D00">
              <w:rPr>
                <w:color w:val="000000"/>
                <w:sz w:val="16"/>
                <w:szCs w:val="16"/>
              </w:rPr>
              <w:t xml:space="preserve"> </w:t>
            </w:r>
          </w:p>
        </w:tc>
        <w:tc>
          <w:tcPr>
            <w:tcW w:w="1134" w:type="dxa"/>
            <w:shd w:val="clear" w:color="auto" w:fill="auto"/>
            <w:tcMar>
              <w:top w:w="110" w:type="dxa"/>
            </w:tcMar>
          </w:tcPr>
          <w:p w:rsidR="003E311F" w:rsidRPr="00515D00" w:rsidRDefault="003E311F" w:rsidP="007A358B">
            <w:pPr>
              <w:keepNext/>
              <w:keepLines/>
              <w:spacing w:before="60" w:after="60"/>
              <w:rPr>
                <w:sz w:val="16"/>
                <w:szCs w:val="16"/>
              </w:rPr>
            </w:pPr>
            <w:r w:rsidRPr="00515D00">
              <w:rPr>
                <w:sz w:val="16"/>
                <w:szCs w:val="16"/>
              </w:rPr>
              <w:t>Febrero a junio de 2015</w:t>
            </w:r>
          </w:p>
        </w:tc>
        <w:tc>
          <w:tcPr>
            <w:tcW w:w="1985" w:type="dxa"/>
            <w:shd w:val="clear" w:color="auto" w:fill="auto"/>
            <w:tcMar>
              <w:top w:w="110" w:type="dxa"/>
            </w:tcMar>
          </w:tcPr>
          <w:p w:rsidR="003E311F" w:rsidRPr="00515D00" w:rsidRDefault="003E311F" w:rsidP="007A358B">
            <w:pPr>
              <w:keepNext/>
              <w:keepLines/>
              <w:spacing w:before="60" w:after="60"/>
              <w:rPr>
                <w:sz w:val="16"/>
                <w:szCs w:val="16"/>
              </w:rPr>
            </w:pPr>
            <w:r w:rsidRPr="00515D00">
              <w:rPr>
                <w:sz w:val="16"/>
                <w:szCs w:val="16"/>
              </w:rPr>
              <w:t>Malawi / cerca de 350participantes locales en cinco programas</w:t>
            </w:r>
          </w:p>
        </w:tc>
        <w:tc>
          <w:tcPr>
            <w:tcW w:w="4819" w:type="dxa"/>
            <w:shd w:val="clear" w:color="auto" w:fill="FFFFFF"/>
            <w:tcMar>
              <w:top w:w="110" w:type="dxa"/>
            </w:tcMar>
          </w:tcPr>
          <w:p w:rsidR="003E311F" w:rsidRPr="00515D00" w:rsidRDefault="003E311F" w:rsidP="007A358B">
            <w:pPr>
              <w:spacing w:before="60" w:after="60"/>
              <w:rPr>
                <w:sz w:val="16"/>
                <w:szCs w:val="16"/>
              </w:rPr>
            </w:pPr>
            <w:r w:rsidRPr="00515D00">
              <w:rPr>
                <w:sz w:val="16"/>
                <w:szCs w:val="16"/>
              </w:rPr>
              <w:t>Ayudar a Malawi en sus esfuerzos por crear una infraestructura viable de derecho de autor y fortalecer la capacidad del país para llevar a cabo programas de concienciación pública en el ámbito d</w:t>
            </w:r>
            <w:r>
              <w:rPr>
                <w:sz w:val="16"/>
                <w:szCs w:val="16"/>
              </w:rPr>
              <w:t>el derecho de autor y los derechos conexos</w:t>
            </w:r>
            <w:r w:rsidRPr="00515D00">
              <w:rPr>
                <w:sz w:val="16"/>
                <w:szCs w:val="16"/>
              </w:rPr>
              <w:t>.</w:t>
            </w:r>
          </w:p>
        </w:tc>
      </w:tr>
      <w:tr w:rsidR="003E311F" w:rsidRPr="00092F2E" w:rsidTr="007A358B">
        <w:trPr>
          <w:trHeight w:val="842"/>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Proyecto de Consorcio de Libros Accesibles (ABC)</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 de enero a 31 de julio de 2015</w:t>
            </w:r>
            <w:r w:rsidRPr="00515D00">
              <w:rPr>
                <w:rStyle w:val="FootnoteReference"/>
                <w:color w:val="000000"/>
                <w:sz w:val="16"/>
                <w:szCs w:val="16"/>
              </w:rPr>
              <w:footnoteReference w:id="160"/>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India </w:t>
            </w:r>
          </w:p>
        </w:tc>
        <w:tc>
          <w:tcPr>
            <w:tcW w:w="4819" w:type="dxa"/>
            <w:shd w:val="clear" w:color="auto" w:fill="FFFFFF"/>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Poner fin a la carestía de libros que padecen los estudiantes de secundaria con dificultades para acceder al texto impreso en Madhya Pradesh, Bihar y Rajasthan (India);  y ii) fortalecer la capacidad de los editores públicos de libros de texto para que los libros que se produzcan en el futuro sean accesibles.</w:t>
            </w:r>
          </w:p>
        </w:tc>
      </w:tr>
      <w:tr w:rsidR="003E311F" w:rsidRPr="00092F2E" w:rsidTr="007A358B">
        <w:trPr>
          <w:trHeight w:val="912"/>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lastRenderedPageBreak/>
              <w:t xml:space="preserve">Proyecto nacional de traducción y publicación </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r w:rsidRPr="00515D00">
              <w:rPr>
                <w:rStyle w:val="FootnoteReference"/>
                <w:color w:val="000000"/>
                <w:sz w:val="16"/>
                <w:szCs w:val="16"/>
              </w:rPr>
              <w:footnoteReference w:id="161"/>
            </w:r>
          </w:p>
          <w:p w:rsidR="003E311F" w:rsidRPr="00515D00" w:rsidRDefault="003E311F" w:rsidP="007A358B">
            <w:pPr>
              <w:autoSpaceDE w:val="0"/>
              <w:autoSpaceDN w:val="0"/>
              <w:adjustRightInd w:val="0"/>
              <w:spacing w:before="60" w:after="60"/>
              <w:rPr>
                <w:color w:val="000000"/>
                <w:sz w:val="16"/>
                <w:szCs w:val="16"/>
              </w:rPr>
            </w:pP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 curso)</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Tonga </w:t>
            </w:r>
          </w:p>
        </w:tc>
        <w:tc>
          <w:tcPr>
            <w:tcW w:w="4819" w:type="dxa"/>
            <w:shd w:val="clear" w:color="auto" w:fill="FFFFFF"/>
            <w:tcMar>
              <w:top w:w="110" w:type="dxa"/>
            </w:tcMar>
          </w:tcPr>
          <w:p w:rsidR="003E311F" w:rsidRPr="00515D00" w:rsidRDefault="003E311F" w:rsidP="007A358B">
            <w:pPr>
              <w:pStyle w:val="ListParagraph"/>
              <w:tabs>
                <w:tab w:val="center" w:pos="4536"/>
                <w:tab w:val="right" w:pos="9072"/>
              </w:tabs>
              <w:spacing w:before="60" w:after="60"/>
              <w:ind w:left="0"/>
              <w:rPr>
                <w:rFonts w:eastAsia="Batang" w:cs="Arial"/>
                <w:sz w:val="16"/>
                <w:szCs w:val="16"/>
                <w:lang w:val="es-ES"/>
              </w:rPr>
            </w:pPr>
            <w:r w:rsidRPr="00515D00">
              <w:rPr>
                <w:rFonts w:cs="Arial"/>
                <w:sz w:val="16"/>
                <w:szCs w:val="16"/>
                <w:lang w:val="es-ES"/>
              </w:rPr>
              <w:t>Mejorar la capacidad de la Oficina de P.I. para llevar a cabo programas de divulgación pública, creando así el ambiente propicio para la utilización y protección eficaz del derecho de autor y los derechos conexos</w:t>
            </w:r>
            <w:r w:rsidRPr="00515D00">
              <w:rPr>
                <w:rFonts w:cs="Arial"/>
                <w:kern w:val="2"/>
                <w:sz w:val="16"/>
                <w:szCs w:val="16"/>
                <w:lang w:val="es-ES"/>
              </w:rPr>
              <w:t>.</w:t>
            </w:r>
          </w:p>
        </w:tc>
      </w:tr>
      <w:tr w:rsidR="003E311F" w:rsidRPr="00092F2E" w:rsidTr="007A358B">
        <w:tc>
          <w:tcPr>
            <w:tcW w:w="9811" w:type="dxa"/>
            <w:gridSpan w:val="4"/>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01" w:hanging="1701"/>
              <w:rPr>
                <w:bCs/>
                <w:color w:val="000000"/>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c>
          <w:tcPr>
            <w:tcW w:w="187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5"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81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1063"/>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interregional de jefes de oficina de derecho de autor sobre fortalecimiento de capacidades en esta materia</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 a 5 de febrero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República de Corea/ 27 participantes de China, Ecuador, Kenya, Líbano, Malawi, México, Mongolia, Paraguay, Filipinas, Qatar, Arabia Saudita, Tailandia, Viet Nam y la ARIPO</w:t>
            </w:r>
          </w:p>
        </w:tc>
        <w:tc>
          <w:tcPr>
            <w:tcW w:w="4819" w:type="dxa"/>
            <w:shd w:val="clear" w:color="auto" w:fill="FFFFFF"/>
            <w:tcMar>
              <w:top w:w="110" w:type="dxa"/>
            </w:tcMar>
          </w:tcPr>
          <w:p w:rsidR="003E311F" w:rsidRPr="00515D00" w:rsidRDefault="003E311F" w:rsidP="007A358B">
            <w:pPr>
              <w:pStyle w:val="Header"/>
              <w:spacing w:before="60" w:after="60"/>
              <w:rPr>
                <w:kern w:val="2"/>
                <w:sz w:val="16"/>
                <w:szCs w:val="16"/>
                <w:lang w:eastAsia="ko-KR"/>
              </w:rPr>
            </w:pPr>
            <w:r w:rsidRPr="00515D00">
              <w:rPr>
                <w:sz w:val="16"/>
                <w:szCs w:val="16"/>
                <w:lang w:eastAsia="ko-KR"/>
              </w:rPr>
              <w:t xml:space="preserve">Actualizar conocimientos, compartir experiencias sobre fortalecimiento de capacidades en materia de derecho de autor, intercambiar opiniones sobre las metodologías aplicadas en diversos programas de fortalecimiento de capacidades en esta materia, y debatir sobre el modo de mejorar estos programas a nivel nacional, regional e internacional.  </w:t>
            </w:r>
          </w:p>
        </w:tc>
      </w:tr>
      <w:tr w:rsidR="003E311F" w:rsidRPr="00092F2E" w:rsidTr="007A358B">
        <w:trPr>
          <w:trHeight w:val="670"/>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subregional sobre cooperación en materia de derecho de autor y derechos conexos</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18 a 20 de junio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Mongolia/ 15 participantes de China, Mongolia, República de Corea y Federación de Rusia</w:t>
            </w:r>
          </w:p>
        </w:tc>
        <w:tc>
          <w:tcPr>
            <w:tcW w:w="4819" w:type="dxa"/>
            <w:shd w:val="clear" w:color="auto" w:fill="FFFFFF"/>
            <w:tcMar>
              <w:top w:w="110" w:type="dxa"/>
            </w:tcMar>
          </w:tcPr>
          <w:p w:rsidR="003E311F" w:rsidRPr="00515D00" w:rsidRDefault="003E311F" w:rsidP="007A358B">
            <w:pPr>
              <w:spacing w:before="60" w:after="60"/>
              <w:rPr>
                <w:sz w:val="16"/>
                <w:szCs w:val="16"/>
                <w:lang w:eastAsia="ko-KR"/>
              </w:rPr>
            </w:pPr>
            <w:r w:rsidRPr="00515D00">
              <w:rPr>
                <w:sz w:val="16"/>
                <w:szCs w:val="16"/>
                <w:lang w:eastAsia="ko-KR"/>
              </w:rPr>
              <w:t xml:space="preserve">Intercambiar información y experiencias entre los países participantes en relación con el desarrollo del sistema de derecho de autor y explorar posibles colaboraciones entre dichos países en el ámbito del derecho de autor y los derechos conexos.  </w:t>
            </w:r>
          </w:p>
        </w:tc>
      </w:tr>
      <w:tr w:rsidR="003E311F" w:rsidRPr="00092F2E" w:rsidTr="007A358B">
        <w:trPr>
          <w:trHeight w:val="883"/>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subregional sobre derecho de autor y derechos conexos</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 a 4 de septiembre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Camboya/ 15 participantes de Camboya, República Democrática Popular Lao, Myanmar, Tailandia y Viet Nam</w:t>
            </w:r>
          </w:p>
        </w:tc>
        <w:tc>
          <w:tcPr>
            <w:tcW w:w="4819" w:type="dxa"/>
            <w:shd w:val="clear" w:color="auto" w:fill="FFFFFF"/>
            <w:tcMar>
              <w:top w:w="110" w:type="dxa"/>
            </w:tcMar>
          </w:tcPr>
          <w:p w:rsidR="003E311F" w:rsidRPr="00515D00" w:rsidRDefault="003E311F" w:rsidP="007A358B">
            <w:pPr>
              <w:spacing w:before="60" w:after="60"/>
              <w:rPr>
                <w:sz w:val="16"/>
                <w:szCs w:val="16"/>
                <w:lang w:eastAsia="ko-KR"/>
              </w:rPr>
            </w:pPr>
            <w:r w:rsidRPr="00515D00">
              <w:rPr>
                <w:sz w:val="16"/>
                <w:szCs w:val="16"/>
                <w:lang w:eastAsia="ko-KR"/>
              </w:rPr>
              <w:t>Intercambiar información y experiencias entre los países participantes en relación con el desarrollo de las políticas y los sistemas de derecho de autor, con especial hincapié en el fortalecimiento de capacidades</w:t>
            </w:r>
          </w:p>
        </w:tc>
      </w:tr>
      <w:tr w:rsidR="003E311F" w:rsidRPr="00092F2E" w:rsidTr="007A358B">
        <w:trPr>
          <w:trHeight w:val="1330"/>
        </w:trPr>
        <w:tc>
          <w:tcPr>
            <w:tcW w:w="1873"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Visita de estudio a la Comisión de Derecho de Autor de la República de Corea</w:t>
            </w:r>
          </w:p>
        </w:tc>
        <w:tc>
          <w:tcPr>
            <w:tcW w:w="1134"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 a 6 de noviembre de 2015</w:t>
            </w:r>
          </w:p>
        </w:tc>
        <w:tc>
          <w:tcPr>
            <w:tcW w:w="1985"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República de Corea/ 13 participantes de Camboya, China, Islas Cook, Costa Rica, Côte d’Ivoire, El Salvador, Ghana, Honduras, India, Filipinas, Tonga, Túnez y República Unida de Tanzanía</w:t>
            </w:r>
          </w:p>
        </w:tc>
        <w:tc>
          <w:tcPr>
            <w:tcW w:w="4819" w:type="dxa"/>
            <w:shd w:val="clear" w:color="auto" w:fill="FFFFFF"/>
            <w:tcMar>
              <w:top w:w="110" w:type="dxa"/>
            </w:tcMar>
          </w:tcPr>
          <w:p w:rsidR="003E311F" w:rsidRPr="00515D00" w:rsidRDefault="003E311F" w:rsidP="007A358B">
            <w:pPr>
              <w:spacing w:before="60" w:after="60"/>
              <w:rPr>
                <w:color w:val="000000"/>
                <w:sz w:val="16"/>
                <w:szCs w:val="16"/>
              </w:rPr>
            </w:pPr>
            <w:r w:rsidRPr="00515D00">
              <w:rPr>
                <w:sz w:val="16"/>
                <w:szCs w:val="16"/>
                <w:lang w:eastAsia="ko-KR"/>
              </w:rPr>
              <w:t xml:space="preserve">Compartir la experiencia de la República de Corea en la administración del derecho de autor y los derechos conexos para fortalecer la capacidad de los participantes de formular políticas en materia de derecho de autor, modernizar los marcos legislativo y administrativo y mejorar el funcionamiento de las organizaciones de derecho de autor en sus respectivos países.  </w:t>
            </w:r>
          </w:p>
        </w:tc>
      </w:tr>
    </w:tbl>
    <w:p w:rsidR="003E311F" w:rsidRPr="007329AC" w:rsidRDefault="003E311F" w:rsidP="003E311F">
      <w:pPr>
        <w:keepNext/>
        <w:keepLines/>
        <w:rPr>
          <w:b/>
          <w:sz w:val="20"/>
        </w:rPr>
      </w:pPr>
    </w:p>
    <w:p w:rsidR="003E311F" w:rsidRPr="007329AC" w:rsidRDefault="003E311F" w:rsidP="003E311F">
      <w:pPr>
        <w:keepNext/>
        <w:keepLines/>
        <w:rPr>
          <w:b/>
          <w:sz w:val="20"/>
        </w:rPr>
      </w:pPr>
    </w:p>
    <w:p w:rsidR="003E311F" w:rsidRPr="007329AC" w:rsidRDefault="003E311F" w:rsidP="003E311F">
      <w:pPr>
        <w:rPr>
          <w:b/>
          <w:bCs/>
          <w:color w:val="000000"/>
          <w:sz w:val="20"/>
        </w:rPr>
      </w:pPr>
      <w:r w:rsidRPr="007329AC">
        <w:rPr>
          <w:b/>
          <w:bCs/>
          <w:sz w:val="20"/>
        </w:rPr>
        <w:t xml:space="preserve">REPÚBLICA DE COREA / DERECHO DE AUTOR – Contribuciones de donantes y gastos en </w:t>
      </w:r>
      <w:r w:rsidRPr="007329AC">
        <w:rPr>
          <w:b/>
          <w:bCs/>
          <w:color w:val="000000"/>
          <w:sz w:val="20"/>
        </w:rPr>
        <w:t>2015</w:t>
      </w:r>
    </w:p>
    <w:p w:rsidR="003E311F" w:rsidRPr="007329AC" w:rsidRDefault="003E311F" w:rsidP="003E311F">
      <w:pPr>
        <w:rPr>
          <w:b/>
          <w:bCs/>
          <w:color w:val="000000"/>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579.780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310.768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360.896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529.652</w:t>
            </w:r>
          </w:p>
        </w:tc>
      </w:tr>
    </w:tbl>
    <w:p w:rsidR="003E311F" w:rsidRPr="00515D00" w:rsidRDefault="003E311F" w:rsidP="003E311F"/>
    <w:p w:rsidR="003E311F" w:rsidRPr="00515D00" w:rsidRDefault="003E311F" w:rsidP="003E311F">
      <w:pPr>
        <w:spacing w:after="200" w:line="276" w:lineRule="auto"/>
        <w:rPr>
          <w:b/>
        </w:rPr>
      </w:pPr>
      <w:r w:rsidRPr="00515D00">
        <w:rPr>
          <w:b/>
        </w:rPr>
        <w:br w:type="page"/>
      </w:r>
    </w:p>
    <w:p w:rsidR="003E311F" w:rsidRPr="007329AC" w:rsidRDefault="003E311F" w:rsidP="003E311F">
      <w:pPr>
        <w:keepNext/>
        <w:keepLines/>
        <w:rPr>
          <w:b/>
          <w:sz w:val="20"/>
        </w:rPr>
      </w:pPr>
      <w:r w:rsidRPr="007329AC">
        <w:rPr>
          <w:b/>
          <w:sz w:val="20"/>
        </w:rPr>
        <w:lastRenderedPageBreak/>
        <w:t>REPÚBLICA DE COREA (EDUCACIÓN) – Becas en P.I. (Academia)</w:t>
      </w:r>
    </w:p>
    <w:p w:rsidR="003E311F" w:rsidRPr="007329AC" w:rsidRDefault="003E311F" w:rsidP="003E311F">
      <w:pPr>
        <w:rPr>
          <w:b/>
          <w:sz w:val="20"/>
        </w:rPr>
      </w:pP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33"/>
        <w:gridCol w:w="4471"/>
      </w:tblGrid>
      <w:tr w:rsidR="003E311F" w:rsidRPr="00092F2E" w:rsidTr="007A358B">
        <w:trPr>
          <w:trHeight w:val="694"/>
        </w:trPr>
        <w:tc>
          <w:tcPr>
            <w:tcW w:w="9781" w:type="dxa"/>
            <w:gridSpan w:val="4"/>
            <w:tcBorders>
              <w:top w:val="single" w:sz="4" w:space="0" w:color="000000"/>
              <w:bottom w:val="single" w:sz="4" w:space="0" w:color="auto"/>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c>
          <w:tcPr>
            <w:tcW w:w="1843" w:type="dxa"/>
            <w:tcBorders>
              <w:top w:val="single" w:sz="4" w:space="0" w:color="auto"/>
              <w:left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auto"/>
              <w:bottom w:val="nil"/>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2333" w:type="dxa"/>
            <w:tcBorders>
              <w:top w:val="single" w:sz="4" w:space="0" w:color="auto"/>
              <w:bottom w:val="nil"/>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471" w:type="dxa"/>
            <w:tcBorders>
              <w:top w:val="single" w:sz="4" w:space="0" w:color="auto"/>
              <w:bottom w:val="nil"/>
              <w:right w:val="single" w:sz="4" w:space="0" w:color="auto"/>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trHeight w:val="49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Becas para el Programa de Máster en Derecho de P.I. (MIP) de la Academia de la OMPI – </w:t>
            </w:r>
            <w:r w:rsidRPr="00515D00">
              <w:rPr>
                <w:i/>
                <w:sz w:val="16"/>
                <w:szCs w:val="16"/>
              </w:rPr>
              <w:t>Queensland University of Technology</w:t>
            </w:r>
            <w:r w:rsidRPr="00515D00">
              <w:rPr>
                <w:sz w:val="16"/>
                <w:szCs w:val="16"/>
              </w:rPr>
              <w:t xml:space="preserve"> (OMPI-QUT)</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 de febrero a 30 de octubre de 2015</w:t>
            </w:r>
          </w:p>
        </w:tc>
        <w:tc>
          <w:tcPr>
            <w:tcW w:w="233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Australia/ 6 estudiantes de Bangladesh (1) y República de Corea (5)</w:t>
            </w:r>
          </w:p>
        </w:tc>
        <w:tc>
          <w:tcPr>
            <w:tcW w:w="4471"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Impartir educación superior a los funcionarios gubernamentales y otros expertos en P.I. para mejorar su capacidad de utilizar la P.I. y administrar derechos de P.I.</w:t>
            </w:r>
          </w:p>
        </w:tc>
      </w:tr>
      <w:tr w:rsidR="003E311F" w:rsidRPr="00092F2E" w:rsidTr="007A358B">
        <w:trPr>
          <w:trHeight w:val="495"/>
        </w:trPr>
        <w:tc>
          <w:tcPr>
            <w:tcW w:w="1843"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Becas para el Programa MIP de la Academia de la OMPI – Universidad Nacional de Seúl (OMPI-SNU)</w:t>
            </w:r>
          </w:p>
        </w:tc>
        <w:tc>
          <w:tcPr>
            <w:tcW w:w="1134"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Marzo de 2015 a diciembre de 2016</w:t>
            </w:r>
          </w:p>
        </w:tc>
        <w:tc>
          <w:tcPr>
            <w:tcW w:w="233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República de Corea/ 2 estudiantes de India (1) y Pakistán (1) </w:t>
            </w:r>
          </w:p>
        </w:tc>
        <w:tc>
          <w:tcPr>
            <w:tcW w:w="4471" w:type="dxa"/>
            <w:tcBorders>
              <w:top w:val="nil"/>
              <w:bottom w:val="nil"/>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Impartir educación superior a los funcionarios gubernamentales y otros expertos en P.I. para mejorar su capacidad de utilizar la P.I. y administrar derechos de P.I.</w:t>
            </w:r>
          </w:p>
        </w:tc>
      </w:tr>
      <w:tr w:rsidR="003E311F" w:rsidRPr="00092F2E" w:rsidTr="007A358B">
        <w:trPr>
          <w:trHeight w:val="495"/>
        </w:trPr>
        <w:tc>
          <w:tcPr>
            <w:tcW w:w="1843" w:type="dxa"/>
            <w:tcBorders>
              <w:top w:val="nil"/>
              <w:left w:val="single" w:sz="4" w:space="0" w:color="auto"/>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Becas para el Curso de verano OMPI-República de Corea</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13 a 24 de julio de 2015</w:t>
            </w:r>
          </w:p>
        </w:tc>
        <w:tc>
          <w:tcPr>
            <w:tcW w:w="2333" w:type="dxa"/>
            <w:tcBorders>
              <w:top w:val="nil"/>
              <w:bottom w:val="single" w:sz="4" w:space="0" w:color="auto"/>
            </w:tcBorders>
          </w:tcPr>
          <w:p w:rsidR="003E311F" w:rsidRPr="00515D00" w:rsidRDefault="003E311F" w:rsidP="007A358B">
            <w:pPr>
              <w:autoSpaceDE w:val="0"/>
              <w:autoSpaceDN w:val="0"/>
              <w:adjustRightInd w:val="0"/>
              <w:spacing w:before="60" w:after="60"/>
              <w:ind w:right="-108"/>
              <w:rPr>
                <w:color w:val="000000"/>
                <w:sz w:val="16"/>
                <w:szCs w:val="16"/>
              </w:rPr>
            </w:pPr>
            <w:r w:rsidRPr="00515D00">
              <w:rPr>
                <w:color w:val="000000"/>
                <w:sz w:val="16"/>
                <w:szCs w:val="16"/>
              </w:rPr>
              <w:t>República de Corea/ 6 participantes de Brasil, Bangladesh, India, Mongolia, Rumania y Zimbabwe</w:t>
            </w:r>
          </w:p>
        </w:tc>
        <w:tc>
          <w:tcPr>
            <w:tcW w:w="4471" w:type="dxa"/>
            <w:tcBorders>
              <w:top w:val="nil"/>
              <w:bottom w:val="single" w:sz="4" w:space="0" w:color="auto"/>
              <w:right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Fortalecer las capacidades de estudiantes universitarios avanzados y jóvenes profesionales mediante un conocimiento más profundo de los campos relacionados con los derechos de P.I.;  y ii) mejorar su comprensión del papel y la función del sistema de P.I.</w:t>
            </w:r>
          </w:p>
        </w:tc>
      </w:tr>
    </w:tbl>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rPr>
          <w:b/>
          <w:sz w:val="20"/>
        </w:rPr>
      </w:pPr>
      <w:r w:rsidRPr="007329AC">
        <w:rPr>
          <w:b/>
          <w:sz w:val="20"/>
        </w:rPr>
        <w:t>REPÚBLICA DE COREA (EDUCACIÓN) – Becas en P.I. (Academia) – Contribuciones de donantes y gastos en 2015</w:t>
      </w:r>
    </w:p>
    <w:p w:rsidR="003E311F" w:rsidRPr="007329AC" w:rsidRDefault="003E311F" w:rsidP="003E311F">
      <w:pPr>
        <w:rPr>
          <w:b/>
          <w:bCs/>
          <w:color w:val="000000"/>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276.726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164.735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124.143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317.318</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keepNext/>
        <w:keepLines/>
        <w:rPr>
          <w:b/>
          <w:sz w:val="20"/>
        </w:rPr>
      </w:pPr>
      <w:r w:rsidRPr="007329AC">
        <w:rPr>
          <w:b/>
          <w:sz w:val="20"/>
        </w:rPr>
        <w:t>REPÚBLICA DE COREA – PROPIEDAD IN</w:t>
      </w:r>
      <w:r w:rsidR="00386789">
        <w:rPr>
          <w:b/>
          <w:sz w:val="20"/>
        </w:rPr>
        <w:t>DUSTRIAL</w:t>
      </w:r>
    </w:p>
    <w:p w:rsidR="003E311F" w:rsidRPr="007329AC" w:rsidRDefault="003E311F" w:rsidP="003E311F">
      <w:pPr>
        <w:keepNext/>
        <w:keepLines/>
        <w:rPr>
          <w:b/>
          <w:sz w:val="20"/>
        </w:rPr>
      </w:pP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0"/>
        <w:gridCol w:w="43"/>
        <w:gridCol w:w="1134"/>
        <w:gridCol w:w="1843"/>
        <w:gridCol w:w="4961"/>
      </w:tblGrid>
      <w:tr w:rsidR="003E311F" w:rsidRPr="00092F2E" w:rsidTr="007A358B">
        <w:trPr>
          <w:trHeight w:val="328"/>
        </w:trPr>
        <w:tc>
          <w:tcPr>
            <w:tcW w:w="9811" w:type="dxa"/>
            <w:gridSpan w:val="5"/>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shd w:val="clear" w:color="auto" w:fill="C6D9F1" w:themeFill="text2" w:themeFillTint="33"/>
              </w:rPr>
              <w:t>RESULTADO:</w:t>
            </w:r>
            <w:r w:rsidRPr="00515D00">
              <w:rPr>
                <w:b/>
                <w:bCs/>
                <w:sz w:val="16"/>
                <w:szCs w:val="16"/>
                <w:shd w:val="clear" w:color="auto" w:fill="C6D9F1" w:themeFill="text2" w:themeFillTint="33"/>
              </w:rPr>
              <w:tab/>
            </w:r>
            <w:r w:rsidRPr="00515D00">
              <w:rPr>
                <w:bCs/>
                <w:sz w:val="16"/>
                <w:szCs w:val="16"/>
                <w:shd w:val="clear" w:color="auto" w:fill="C6D9F1" w:themeFill="text2" w:themeFillTint="33"/>
              </w:rPr>
              <w:t>I</w:t>
            </w:r>
            <w:r w:rsidRPr="00515D00">
              <w:rPr>
                <w:bCs/>
                <w:color w:val="000000"/>
                <w:sz w:val="16"/>
                <w:szCs w:val="16"/>
                <w:shd w:val="clear" w:color="auto" w:fill="C6D9F1" w:themeFill="text2" w:themeFillTint="33"/>
              </w:rPr>
              <w:t>.2  Marcos de P.I. adaptados y equilibrados en el ámbito legislativo, reglamentario y de política</w:t>
            </w:r>
          </w:p>
        </w:tc>
      </w:tr>
      <w:tr w:rsidR="003E311F" w:rsidRPr="00515D00" w:rsidTr="007A358B">
        <w:trPr>
          <w:trHeight w:val="483"/>
        </w:trPr>
        <w:tc>
          <w:tcPr>
            <w:tcW w:w="1873" w:type="dxa"/>
            <w:gridSpan w:val="2"/>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c>
          <w:tcPr>
            <w:tcW w:w="1873" w:type="dxa"/>
            <w:gridSpan w:val="2"/>
          </w:tcPr>
          <w:p w:rsidR="003E311F" w:rsidRPr="00515D00" w:rsidRDefault="003E311F" w:rsidP="007A358B">
            <w:pPr>
              <w:spacing w:before="60" w:after="60"/>
              <w:rPr>
                <w:color w:val="000000"/>
                <w:sz w:val="16"/>
                <w:szCs w:val="16"/>
                <w:lang w:eastAsia="ko-KR"/>
              </w:rPr>
            </w:pPr>
            <w:r w:rsidRPr="00515D00">
              <w:rPr>
                <w:color w:val="000000"/>
                <w:sz w:val="16"/>
                <w:szCs w:val="16"/>
                <w:lang w:eastAsia="ko-KR"/>
              </w:rPr>
              <w:t>Estudio sobre el diseño industrial en los países de Asia Sudoriental</w:t>
            </w:r>
          </w:p>
        </w:tc>
        <w:tc>
          <w:tcPr>
            <w:tcW w:w="1134" w:type="dxa"/>
          </w:tcPr>
          <w:p w:rsidR="003E311F" w:rsidRPr="00515D00" w:rsidRDefault="003E311F" w:rsidP="007A358B">
            <w:pPr>
              <w:spacing w:before="60" w:after="60"/>
              <w:rPr>
                <w:color w:val="000000"/>
                <w:sz w:val="16"/>
                <w:szCs w:val="16"/>
              </w:rPr>
            </w:pPr>
            <w:r w:rsidRPr="00515D00">
              <w:rPr>
                <w:rFonts w:eastAsia="Malgun Gothic"/>
                <w:color w:val="000000"/>
                <w:sz w:val="16"/>
                <w:szCs w:val="16"/>
                <w:lang w:eastAsia="ko-KR"/>
              </w:rPr>
              <w:t>Mayo de</w:t>
            </w:r>
            <w:r w:rsidRPr="00515D00">
              <w:rPr>
                <w:color w:val="000000"/>
                <w:sz w:val="16"/>
                <w:szCs w:val="16"/>
                <w:lang w:eastAsia="ko-KR"/>
              </w:rPr>
              <w:t xml:space="preserve"> 2015 </w:t>
            </w:r>
            <w:r w:rsidRPr="008458B0">
              <w:rPr>
                <w:color w:val="000000"/>
                <w:sz w:val="14"/>
                <w:szCs w:val="14"/>
                <w:lang w:eastAsia="ko-KR"/>
              </w:rPr>
              <w:t>(comenzado)</w:t>
            </w:r>
          </w:p>
        </w:tc>
        <w:tc>
          <w:tcPr>
            <w:tcW w:w="1843" w:type="dxa"/>
          </w:tcPr>
          <w:p w:rsidR="003E311F" w:rsidRPr="00515D00" w:rsidRDefault="003E311F" w:rsidP="007A358B">
            <w:pPr>
              <w:autoSpaceDE w:val="0"/>
              <w:autoSpaceDN w:val="0"/>
              <w:adjustRightInd w:val="0"/>
              <w:spacing w:before="60" w:after="60"/>
              <w:rPr>
                <w:rFonts w:eastAsia="Malgun Gothic"/>
                <w:bCs/>
                <w:sz w:val="16"/>
                <w:szCs w:val="16"/>
                <w:lang w:eastAsia="ko-KR"/>
              </w:rPr>
            </w:pPr>
            <w:r w:rsidRPr="00515D00">
              <w:rPr>
                <w:rFonts w:eastAsia="Malgun Gothic"/>
                <w:color w:val="000000"/>
                <w:sz w:val="16"/>
                <w:szCs w:val="16"/>
                <w:lang w:eastAsia="ko-KR"/>
              </w:rPr>
              <w:t>Indonesia, Filipinas y Tailandia</w:t>
            </w:r>
          </w:p>
        </w:tc>
        <w:tc>
          <w:tcPr>
            <w:tcW w:w="4961" w:type="dxa"/>
          </w:tcPr>
          <w:p w:rsidR="003E311F" w:rsidRPr="00515D00" w:rsidRDefault="003E311F" w:rsidP="007A358B">
            <w:pPr>
              <w:spacing w:before="60" w:after="60"/>
              <w:ind w:left="60"/>
              <w:rPr>
                <w:rFonts w:eastAsia="Malgun Gothic"/>
                <w:color w:val="000000"/>
                <w:sz w:val="16"/>
                <w:szCs w:val="16"/>
              </w:rPr>
            </w:pPr>
            <w:r w:rsidRPr="00515D00">
              <w:rPr>
                <w:rFonts w:eastAsia="Malgun Gothic"/>
                <w:color w:val="000000"/>
                <w:sz w:val="16"/>
                <w:szCs w:val="16"/>
              </w:rPr>
              <w:t xml:space="preserve">i) Crear registros unitarios de datos sobre solicitudes de diseños industriales en diversos países de Asia Sudoriental;  ii) elaborar un examen comparativo de la utilización de los diseños industriales;  iii) examinar las principales tendencias históricas;  iv) desglosar los datos por tipo de usuario, sector y otras características;  y v) analizar las tasas de concesión </w:t>
            </w:r>
            <w:r w:rsidRPr="00A210DE">
              <w:rPr>
                <w:rFonts w:eastAsia="Malgun Gothic"/>
                <w:color w:val="000000"/>
                <w:sz w:val="16"/>
                <w:szCs w:val="16"/>
              </w:rPr>
              <w:t>y</w:t>
            </w:r>
            <w:r>
              <w:rPr>
                <w:rFonts w:eastAsia="Malgun Gothic"/>
                <w:color w:val="000000"/>
                <w:sz w:val="16"/>
                <w:szCs w:val="16"/>
              </w:rPr>
              <w:t xml:space="preserve"> las tendencias en materia de</w:t>
            </w:r>
            <w:r w:rsidRPr="00A210DE">
              <w:rPr>
                <w:rFonts w:eastAsia="Malgun Gothic"/>
                <w:color w:val="000000"/>
                <w:sz w:val="16"/>
                <w:szCs w:val="16"/>
              </w:rPr>
              <w:t xml:space="preserve"> renovación</w:t>
            </w:r>
            <w:r w:rsidRPr="00515D00">
              <w:rPr>
                <w:rFonts w:eastAsia="Malgun Gothic"/>
                <w:color w:val="000000"/>
                <w:sz w:val="16"/>
                <w:szCs w:val="16"/>
              </w:rPr>
              <w:t xml:space="preserve"> en base a los datos disponibles.</w:t>
            </w:r>
          </w:p>
        </w:tc>
      </w:tr>
      <w:tr w:rsidR="003E311F" w:rsidRPr="00092F2E" w:rsidTr="007A358B">
        <w:tc>
          <w:tcPr>
            <w:tcW w:w="1873" w:type="dxa"/>
            <w:gridSpan w:val="2"/>
          </w:tcPr>
          <w:p w:rsidR="003E311F" w:rsidRPr="00515D00" w:rsidRDefault="003E311F" w:rsidP="007A358B">
            <w:pPr>
              <w:spacing w:before="60" w:after="60"/>
              <w:rPr>
                <w:color w:val="000000"/>
                <w:sz w:val="16"/>
                <w:szCs w:val="16"/>
                <w:lang w:eastAsia="ko-KR"/>
              </w:rPr>
            </w:pPr>
            <w:r w:rsidRPr="00515D00">
              <w:rPr>
                <w:sz w:val="16"/>
                <w:szCs w:val="16"/>
              </w:rPr>
              <w:t>Producción de una Guía sobre procedimientos extrajudiciales de solución de controversias</w:t>
            </w:r>
          </w:p>
        </w:tc>
        <w:tc>
          <w:tcPr>
            <w:tcW w:w="1134" w:type="dxa"/>
          </w:tcPr>
          <w:p w:rsidR="003E311F" w:rsidRPr="00515D00" w:rsidRDefault="003E311F" w:rsidP="007A358B">
            <w:pPr>
              <w:spacing w:before="60" w:after="60"/>
              <w:rPr>
                <w:rFonts w:eastAsia="Malgun Gothic"/>
                <w:color w:val="000000"/>
                <w:sz w:val="16"/>
                <w:szCs w:val="16"/>
                <w:lang w:eastAsia="ko-KR"/>
              </w:rPr>
            </w:pPr>
            <w:r w:rsidRPr="00515D00">
              <w:rPr>
                <w:color w:val="000000"/>
                <w:sz w:val="16"/>
                <w:szCs w:val="16"/>
                <w:lang w:eastAsia="ko-KR"/>
              </w:rPr>
              <w:t>Enero a julio de 2015</w:t>
            </w:r>
            <w:r w:rsidRPr="00515D00">
              <w:rPr>
                <w:rStyle w:val="FootnoteReference"/>
                <w:color w:val="000000"/>
                <w:sz w:val="16"/>
                <w:szCs w:val="16"/>
                <w:lang w:eastAsia="ko-KR"/>
              </w:rPr>
              <w:footnoteReference w:id="162"/>
            </w:r>
          </w:p>
        </w:tc>
        <w:tc>
          <w:tcPr>
            <w:tcW w:w="1843" w:type="dxa"/>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bCs/>
                <w:sz w:val="16"/>
                <w:szCs w:val="16"/>
                <w:lang w:eastAsia="ko-KR"/>
              </w:rPr>
              <w:t>Todos los Estados miembros de la OMPI</w:t>
            </w:r>
          </w:p>
        </w:tc>
        <w:tc>
          <w:tcPr>
            <w:tcW w:w="4961" w:type="dxa"/>
          </w:tcPr>
          <w:p w:rsidR="003E311F" w:rsidRPr="00515D00" w:rsidDel="0018277F" w:rsidRDefault="003E311F" w:rsidP="007A358B">
            <w:pPr>
              <w:spacing w:before="60" w:after="60"/>
              <w:ind w:left="60"/>
              <w:rPr>
                <w:rFonts w:eastAsia="Malgun Gothic"/>
                <w:color w:val="000000"/>
                <w:sz w:val="16"/>
                <w:szCs w:val="16"/>
              </w:rPr>
            </w:pPr>
            <w:r w:rsidRPr="00515D00">
              <w:rPr>
                <w:sz w:val="16"/>
                <w:szCs w:val="16"/>
                <w:lang w:eastAsia="ko-KR"/>
              </w:rPr>
              <w:t>i) Mejorar la comprensión de los procedimientos de solución extrajudicial de controversias en los litigios sobre P.I.</w:t>
            </w:r>
            <w:r w:rsidRPr="00515D00">
              <w:rPr>
                <w:rFonts w:eastAsia="Malgun Gothic"/>
                <w:sz w:val="16"/>
                <w:szCs w:val="16"/>
                <w:lang w:eastAsia="ko-KR"/>
              </w:rPr>
              <w:t>;  ii)</w:t>
            </w:r>
            <w:r w:rsidRPr="00515D00">
              <w:rPr>
                <w:sz w:val="16"/>
                <w:szCs w:val="16"/>
                <w:lang w:eastAsia="ko-KR"/>
              </w:rPr>
              <w:t xml:space="preserve"> compartir con las autoridades nacionales en la materia la experiencia del Centro de Arbitraje y Mediación de la OMPI en solución extrajudicial de controversias</w:t>
            </w:r>
            <w:r w:rsidRPr="00515D00">
              <w:rPr>
                <w:rFonts w:eastAsia="Malgun Gothic"/>
                <w:sz w:val="16"/>
                <w:szCs w:val="16"/>
                <w:lang w:eastAsia="ko-KR"/>
              </w:rPr>
              <w:t>;  y iii)</w:t>
            </w:r>
            <w:r w:rsidRPr="00515D00">
              <w:rPr>
                <w:sz w:val="16"/>
                <w:szCs w:val="16"/>
                <w:lang w:eastAsia="ko-KR"/>
              </w:rPr>
              <w:t xml:space="preserve"> alentar a los países en desarrollo a elaborar y aplicar procedimientos adecuados de solución extrajudicial de controversias.  </w:t>
            </w:r>
          </w:p>
        </w:tc>
      </w:tr>
      <w:tr w:rsidR="003E311F" w:rsidRPr="00092F2E" w:rsidTr="007A358B">
        <w:tc>
          <w:tcPr>
            <w:tcW w:w="9811" w:type="dxa"/>
            <w:gridSpan w:val="5"/>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lastRenderedPageBreak/>
              <w:t>RESULTADO:</w:t>
            </w:r>
            <w:r w:rsidRPr="00515D00">
              <w:rPr>
                <w:b/>
                <w:bCs/>
                <w:sz w:val="16"/>
                <w:szCs w:val="16"/>
              </w:rPr>
              <w:tab/>
            </w:r>
            <w:r w:rsidRPr="00515D00">
              <w:rPr>
                <w:bCs/>
                <w:color w:val="000000"/>
                <w:sz w:val="16"/>
                <w:szCs w:val="16"/>
              </w:rPr>
              <w:t>III.1  Estrategias y planes nacionales de innovación y de P.I. que estén en sintonía con los objetivos nacionales de desarrollo</w:t>
            </w:r>
          </w:p>
        </w:tc>
      </w:tr>
      <w:tr w:rsidR="003E311F" w:rsidRPr="00515D00" w:rsidTr="007A358B">
        <w:tc>
          <w:tcPr>
            <w:tcW w:w="1873" w:type="dxa"/>
            <w:gridSpan w:val="2"/>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c>
          <w:tcPr>
            <w:tcW w:w="1873" w:type="dxa"/>
            <w:gridSpan w:val="2"/>
          </w:tcPr>
          <w:p w:rsidR="003E311F" w:rsidRPr="00515D00" w:rsidRDefault="003E311F" w:rsidP="007A358B">
            <w:pPr>
              <w:keepNext/>
              <w:keepLines/>
              <w:spacing w:before="60" w:after="60"/>
              <w:rPr>
                <w:color w:val="000000"/>
                <w:sz w:val="16"/>
                <w:szCs w:val="16"/>
                <w:lang w:eastAsia="ko-KR"/>
              </w:rPr>
            </w:pPr>
            <w:r w:rsidRPr="00515D00">
              <w:rPr>
                <w:sz w:val="16"/>
                <w:szCs w:val="16"/>
              </w:rPr>
              <w:t>Visita de estudio sobre la gestión de la P.I. en la cadena de valor de la innovación para un número limitado de funcionarios africanos</w:t>
            </w:r>
          </w:p>
        </w:tc>
        <w:tc>
          <w:tcPr>
            <w:tcW w:w="1134" w:type="dxa"/>
            <w:shd w:val="clear" w:color="auto" w:fill="auto"/>
            <w:tcMar>
              <w:top w:w="110" w:type="dxa"/>
            </w:tcMar>
          </w:tcPr>
          <w:p w:rsidR="003E311F" w:rsidRPr="00515D00" w:rsidRDefault="003E311F" w:rsidP="007A358B">
            <w:pPr>
              <w:spacing w:before="60" w:after="60"/>
              <w:rPr>
                <w:color w:val="000000"/>
                <w:sz w:val="16"/>
                <w:szCs w:val="16"/>
              </w:rPr>
            </w:pPr>
            <w:r w:rsidRPr="00515D00">
              <w:rPr>
                <w:rFonts w:eastAsia="Malgun Gothic"/>
                <w:color w:val="000000"/>
                <w:sz w:val="16"/>
                <w:szCs w:val="16"/>
                <w:lang w:eastAsia="ko-KR"/>
              </w:rPr>
              <w:t>2 a 5 de junio de 2015</w:t>
            </w:r>
          </w:p>
        </w:tc>
        <w:tc>
          <w:tcPr>
            <w:tcW w:w="1843" w:type="dxa"/>
            <w:shd w:val="clear" w:color="auto" w:fill="auto"/>
            <w:tcMar>
              <w:top w:w="110" w:type="dxa"/>
            </w:tcMar>
          </w:tcPr>
          <w:p w:rsidR="003E311F" w:rsidRPr="00515D00" w:rsidRDefault="003E311F" w:rsidP="007A358B">
            <w:pPr>
              <w:autoSpaceDE w:val="0"/>
              <w:autoSpaceDN w:val="0"/>
              <w:adjustRightInd w:val="0"/>
              <w:spacing w:before="60" w:after="60"/>
              <w:rPr>
                <w:rFonts w:eastAsia="Malgun Gothic"/>
                <w:bCs/>
                <w:sz w:val="16"/>
                <w:szCs w:val="16"/>
                <w:lang w:eastAsia="ko-KR"/>
              </w:rPr>
            </w:pPr>
            <w:r w:rsidRPr="00515D00">
              <w:rPr>
                <w:rFonts w:eastAsia="Malgun Gothic"/>
                <w:color w:val="000000"/>
                <w:sz w:val="16"/>
                <w:szCs w:val="16"/>
                <w:lang w:eastAsia="ko-KR"/>
              </w:rPr>
              <w:t>República de Corea/ Botswana, Rwanda y República Unida de Tanzanía</w:t>
            </w:r>
          </w:p>
        </w:tc>
        <w:tc>
          <w:tcPr>
            <w:tcW w:w="4961" w:type="dxa"/>
            <w:shd w:val="clear" w:color="auto" w:fill="FFFFFF"/>
            <w:tcMar>
              <w:top w:w="110" w:type="dxa"/>
            </w:tcMar>
          </w:tcPr>
          <w:p w:rsidR="003E311F" w:rsidRPr="00515D00" w:rsidRDefault="003E311F" w:rsidP="007A358B">
            <w:pPr>
              <w:spacing w:before="60" w:after="60"/>
              <w:contextualSpacing/>
              <w:rPr>
                <w:rFonts w:eastAsia="Malgun Gothic"/>
                <w:color w:val="000000"/>
                <w:sz w:val="16"/>
                <w:szCs w:val="16"/>
                <w:lang w:eastAsia="ko-KR"/>
              </w:rPr>
            </w:pPr>
            <w:r w:rsidRPr="00515D00">
              <w:rPr>
                <w:rFonts w:eastAsia="Malgun Gothic"/>
                <w:sz w:val="16"/>
                <w:szCs w:val="16"/>
              </w:rPr>
              <w:t xml:space="preserve">Dar a conocer i) la experiencia de la República de Corea en la transformación del conocimiento en productos comercialmente viables;  ii) el papel que desempeñan las políticas públicas en el proceso;  iii) </w:t>
            </w:r>
            <w:r>
              <w:rPr>
                <w:rFonts w:eastAsia="Malgun Gothic"/>
                <w:sz w:val="16"/>
                <w:szCs w:val="16"/>
              </w:rPr>
              <w:t>la función</w:t>
            </w:r>
            <w:r w:rsidRPr="00515D00">
              <w:rPr>
                <w:rFonts w:eastAsia="Malgun Gothic"/>
                <w:sz w:val="16"/>
                <w:szCs w:val="16"/>
              </w:rPr>
              <w:t xml:space="preserve"> de las oficinas de transferencia de tecnología como puntos de contacto entre la investigación y la industria;  y iv) la organización del conjunto de la cadena de valor de la innovación (desde el laboratorio hasta el mercado).</w:t>
            </w:r>
          </w:p>
        </w:tc>
      </w:tr>
      <w:tr w:rsidR="003E311F" w:rsidRPr="00092F2E" w:rsidTr="007A358B">
        <w:trPr>
          <w:trHeight w:val="1442"/>
        </w:trPr>
        <w:tc>
          <w:tcPr>
            <w:tcW w:w="1873" w:type="dxa"/>
            <w:gridSpan w:val="2"/>
          </w:tcPr>
          <w:p w:rsidR="003E311F" w:rsidRPr="00515D00" w:rsidRDefault="003E311F" w:rsidP="007A358B">
            <w:pPr>
              <w:spacing w:before="60" w:after="60"/>
              <w:rPr>
                <w:color w:val="000000"/>
                <w:sz w:val="16"/>
                <w:szCs w:val="16"/>
                <w:lang w:eastAsia="ko-KR"/>
              </w:rPr>
            </w:pPr>
            <w:r w:rsidRPr="00515D00">
              <w:rPr>
                <w:sz w:val="16"/>
                <w:szCs w:val="16"/>
                <w:lang w:eastAsia="ko-KR"/>
              </w:rPr>
              <w:t xml:space="preserve">Visita de estudio de la delegación indonesia sobre la formulación de una estrategia nacional de propiedad intelectual (P.I.) para el desarrollo de un ecosistema eficaz de P.I. </w:t>
            </w:r>
          </w:p>
        </w:tc>
        <w:tc>
          <w:tcPr>
            <w:tcW w:w="1134" w:type="dxa"/>
            <w:shd w:val="clear" w:color="auto" w:fill="auto"/>
            <w:tcMar>
              <w:top w:w="110" w:type="dxa"/>
            </w:tcMar>
          </w:tcPr>
          <w:p w:rsidR="003E311F" w:rsidRPr="00515D00" w:rsidRDefault="003E311F" w:rsidP="007A358B">
            <w:pPr>
              <w:spacing w:before="60" w:after="60"/>
              <w:rPr>
                <w:color w:val="000000"/>
                <w:sz w:val="16"/>
                <w:szCs w:val="16"/>
              </w:rPr>
            </w:pPr>
            <w:r w:rsidRPr="00515D00">
              <w:rPr>
                <w:sz w:val="16"/>
                <w:szCs w:val="16"/>
                <w:lang w:eastAsia="ko-KR"/>
              </w:rPr>
              <w:t>21 a 24 de diciembre de 2015</w:t>
            </w:r>
          </w:p>
        </w:tc>
        <w:tc>
          <w:tcPr>
            <w:tcW w:w="1843" w:type="dxa"/>
            <w:shd w:val="clear" w:color="auto" w:fill="auto"/>
            <w:tcMar>
              <w:top w:w="110" w:type="dxa"/>
            </w:tcMar>
          </w:tcPr>
          <w:p w:rsidR="003E311F" w:rsidRPr="00515D00" w:rsidRDefault="003E311F" w:rsidP="007A358B">
            <w:pPr>
              <w:autoSpaceDE w:val="0"/>
              <w:autoSpaceDN w:val="0"/>
              <w:adjustRightInd w:val="0"/>
              <w:spacing w:before="60" w:after="60"/>
              <w:rPr>
                <w:rFonts w:eastAsia="Malgun Gothic"/>
                <w:bCs/>
                <w:sz w:val="16"/>
                <w:szCs w:val="16"/>
                <w:lang w:eastAsia="ko-KR"/>
              </w:rPr>
            </w:pPr>
            <w:r w:rsidRPr="00515D00">
              <w:rPr>
                <w:sz w:val="16"/>
                <w:szCs w:val="16"/>
                <w:lang w:eastAsia="ko-KR"/>
              </w:rPr>
              <w:t>República de Corea/ Indonesia</w:t>
            </w:r>
          </w:p>
        </w:tc>
        <w:tc>
          <w:tcPr>
            <w:tcW w:w="4961" w:type="dxa"/>
            <w:shd w:val="clear" w:color="auto" w:fill="FFFFFF"/>
            <w:tcMar>
              <w:top w:w="110" w:type="dxa"/>
            </w:tcMar>
          </w:tcPr>
          <w:p w:rsidR="003E311F" w:rsidRPr="00515D00" w:rsidRDefault="003E311F" w:rsidP="007A358B">
            <w:pPr>
              <w:spacing w:before="60" w:after="60"/>
              <w:rPr>
                <w:rFonts w:eastAsia="Malgun Gothic"/>
                <w:color w:val="000000"/>
                <w:sz w:val="16"/>
                <w:szCs w:val="16"/>
              </w:rPr>
            </w:pPr>
            <w:r w:rsidRPr="00515D00">
              <w:rPr>
                <w:sz w:val="16"/>
                <w:szCs w:val="16"/>
              </w:rPr>
              <w:t>i) Mejorar el conocimiento de los funcionarios y profesionales gubernamentales en el ámbito de la P.I. de las iniciativas y enfoques de política que pueden adoptarse para fortalecer los sistemas de P.I.;  y ii) ayudar a desarrollar las capacidades de las oficinas y organizaciones nacionales de P.I. para poner en marcha programas que utilicen de forma eficaz la P.I. al servicio del desarrollo.</w:t>
            </w:r>
          </w:p>
        </w:tc>
      </w:tr>
      <w:tr w:rsidR="003E311F" w:rsidRPr="00092F2E" w:rsidTr="007A358B">
        <w:tc>
          <w:tcPr>
            <w:tcW w:w="1873"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Misión de expertos</w:t>
            </w:r>
          </w:p>
        </w:tc>
        <w:tc>
          <w:tcPr>
            <w:tcW w:w="1134" w:type="dxa"/>
            <w:shd w:val="clear" w:color="auto" w:fill="auto"/>
            <w:tcMar>
              <w:top w:w="110" w:type="dxa"/>
            </w:tcMar>
          </w:tcPr>
          <w:p w:rsidR="003E311F" w:rsidRPr="00515D00" w:rsidRDefault="003E311F" w:rsidP="007A358B">
            <w:pPr>
              <w:pStyle w:val="Normal-table"/>
              <w:spacing w:before="60" w:after="60"/>
              <w:rPr>
                <w:rFonts w:cs="Arial"/>
                <w:sz w:val="16"/>
                <w:szCs w:val="16"/>
                <w:lang w:val="es-ES" w:eastAsia="ko-KR"/>
              </w:rPr>
            </w:pPr>
            <w:r w:rsidRPr="00515D00">
              <w:rPr>
                <w:rFonts w:cs="Arial"/>
                <w:sz w:val="16"/>
                <w:szCs w:val="16"/>
                <w:lang w:val="es-ES" w:eastAsia="ko-KR"/>
              </w:rPr>
              <w:t>4 a 5 de noviembre de 2015</w:t>
            </w:r>
          </w:p>
        </w:tc>
        <w:tc>
          <w:tcPr>
            <w:tcW w:w="1843" w:type="dxa"/>
            <w:shd w:val="clear" w:color="auto" w:fill="auto"/>
            <w:tcMar>
              <w:top w:w="110" w:type="dxa"/>
            </w:tcMar>
          </w:tcPr>
          <w:p w:rsidR="003E311F" w:rsidRPr="00515D00" w:rsidRDefault="003E311F" w:rsidP="007A358B">
            <w:pPr>
              <w:spacing w:before="60" w:after="60"/>
              <w:contextualSpacing/>
              <w:rPr>
                <w:color w:val="000000"/>
                <w:sz w:val="16"/>
                <w:szCs w:val="16"/>
              </w:rPr>
            </w:pPr>
            <w:r w:rsidRPr="00515D00">
              <w:rPr>
                <w:color w:val="000000"/>
                <w:sz w:val="16"/>
                <w:szCs w:val="16"/>
              </w:rPr>
              <w:t>República de Corea</w:t>
            </w:r>
          </w:p>
        </w:tc>
        <w:tc>
          <w:tcPr>
            <w:tcW w:w="4961" w:type="dxa"/>
            <w:shd w:val="clear" w:color="auto" w:fill="FFFFFF"/>
            <w:tcMar>
              <w:top w:w="110" w:type="dxa"/>
            </w:tcMar>
          </w:tcPr>
          <w:p w:rsidR="003E311F" w:rsidRPr="00515D00" w:rsidRDefault="003E311F" w:rsidP="007A358B">
            <w:pPr>
              <w:keepNext/>
              <w:keepLines/>
              <w:autoSpaceDE w:val="0"/>
              <w:autoSpaceDN w:val="0"/>
              <w:adjustRightInd w:val="0"/>
              <w:spacing w:before="60" w:after="60"/>
              <w:rPr>
                <w:sz w:val="16"/>
                <w:szCs w:val="16"/>
                <w:lang w:eastAsia="ko-KR"/>
              </w:rPr>
            </w:pPr>
            <w:r w:rsidRPr="00515D00">
              <w:rPr>
                <w:sz w:val="16"/>
                <w:szCs w:val="16"/>
                <w:lang w:eastAsia="ko-KR"/>
              </w:rPr>
              <w:t xml:space="preserve">i) Evaluar el progreso realizado en las operaciones del PCT;  y ii) fortalecer la cooperación entre la OMPI y la Oficina Coreana de Propiedad Intelectual.  </w:t>
            </w:r>
          </w:p>
        </w:tc>
      </w:tr>
      <w:tr w:rsidR="003E311F" w:rsidRPr="00092F2E" w:rsidTr="007A358B">
        <w:tc>
          <w:tcPr>
            <w:tcW w:w="9811" w:type="dxa"/>
            <w:gridSpan w:val="5"/>
            <w:tcBorders>
              <w:top w:val="single" w:sz="4" w:space="0" w:color="000000"/>
              <w:bottom w:val="single" w:sz="4" w:space="0" w:color="000000"/>
            </w:tcBorders>
            <w:shd w:val="clear" w:color="auto" w:fill="C6D9F1" w:themeFill="text2" w:themeFillTint="33"/>
            <w:vAlign w:val="center"/>
          </w:tcPr>
          <w:p w:rsidR="003E311F" w:rsidRPr="00515D00" w:rsidRDefault="003E311F" w:rsidP="007A358B">
            <w:pPr>
              <w:keepNext/>
              <w:keepLines/>
              <w:tabs>
                <w:tab w:val="left" w:pos="1740"/>
              </w:tabs>
              <w:spacing w:before="60" w:after="60"/>
              <w:ind w:left="1741" w:hanging="1741"/>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trHeight w:val="402"/>
        </w:trPr>
        <w:tc>
          <w:tcPr>
            <w:tcW w:w="1873" w:type="dxa"/>
            <w:gridSpan w:val="2"/>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tcBorders>
              <w:top w:val="single" w:sz="4" w:space="0" w:color="000000"/>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c>
          <w:tcPr>
            <w:tcW w:w="1873"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Coloquio regional</w:t>
            </w:r>
            <w:r>
              <w:rPr>
                <w:sz w:val="16"/>
                <w:szCs w:val="16"/>
              </w:rPr>
              <w:t xml:space="preserve"> de</w:t>
            </w:r>
            <w:r w:rsidRPr="00515D00">
              <w:rPr>
                <w:sz w:val="16"/>
                <w:szCs w:val="16"/>
              </w:rPr>
              <w:t xml:space="preserve"> la OMPI, la</w:t>
            </w:r>
            <w:r w:rsidRPr="00515D00">
              <w:rPr>
                <w:sz w:val="16"/>
                <w:szCs w:val="16"/>
                <w:lang w:eastAsia="ko-KR"/>
              </w:rPr>
              <w:t xml:space="preserve"> Oficina Coreana de Propiedad Intelectual</w:t>
            </w:r>
            <w:r w:rsidRPr="00515D00">
              <w:rPr>
                <w:sz w:val="16"/>
                <w:szCs w:val="16"/>
              </w:rPr>
              <w:t xml:space="preserve"> y el Departamento de Propiedad Intelectual de Tailandia sobre la observancia de la P.I. para jueces y fiscales</w:t>
            </w:r>
          </w:p>
        </w:tc>
        <w:tc>
          <w:tcPr>
            <w:tcW w:w="1134" w:type="dxa"/>
            <w:tcBorders>
              <w:bottom w:val="nil"/>
            </w:tcBorders>
          </w:tcPr>
          <w:p w:rsidR="003E311F" w:rsidRPr="00515D00" w:rsidRDefault="003E311F" w:rsidP="007A358B">
            <w:pPr>
              <w:keepNext/>
              <w:spacing w:before="60" w:after="60"/>
              <w:rPr>
                <w:bCs/>
                <w:sz w:val="16"/>
                <w:szCs w:val="16"/>
              </w:rPr>
            </w:pPr>
            <w:r w:rsidRPr="00515D00">
              <w:rPr>
                <w:bCs/>
                <w:sz w:val="16"/>
                <w:szCs w:val="16"/>
              </w:rPr>
              <w:t>28 a 29 de octubre de 2015</w:t>
            </w:r>
          </w:p>
        </w:tc>
        <w:tc>
          <w:tcPr>
            <w:tcW w:w="1843" w:type="dxa"/>
            <w:tcBorders>
              <w:bottom w:val="nil"/>
            </w:tcBorders>
          </w:tcPr>
          <w:p w:rsidR="003E311F" w:rsidRPr="00515D00" w:rsidRDefault="003E311F" w:rsidP="007A358B">
            <w:pPr>
              <w:keepNext/>
              <w:spacing w:before="60" w:after="60"/>
              <w:rPr>
                <w:bCs/>
                <w:sz w:val="16"/>
                <w:szCs w:val="16"/>
              </w:rPr>
            </w:pPr>
            <w:r w:rsidRPr="00515D00">
              <w:rPr>
                <w:bCs/>
                <w:sz w:val="16"/>
                <w:szCs w:val="16"/>
              </w:rPr>
              <w:t xml:space="preserve">Tailandia/Brunei Darussalam, Camboya, China, Indonesia, </w:t>
            </w:r>
            <w:r w:rsidRPr="00515D00">
              <w:rPr>
                <w:sz w:val="16"/>
                <w:szCs w:val="16"/>
                <w:lang w:eastAsia="ko-KR"/>
              </w:rPr>
              <w:t>República Democrática Popular Lao</w:t>
            </w:r>
            <w:r w:rsidRPr="00515D00">
              <w:rPr>
                <w:rFonts w:eastAsia="Malgun Gothic"/>
                <w:sz w:val="16"/>
                <w:szCs w:val="16"/>
                <w:lang w:eastAsia="ko-KR"/>
              </w:rPr>
              <w:t>,</w:t>
            </w:r>
            <w:r w:rsidRPr="00515D00">
              <w:rPr>
                <w:bCs/>
                <w:sz w:val="16"/>
                <w:szCs w:val="16"/>
              </w:rPr>
              <w:t xml:space="preserve"> Malasia, Myanmar, Filipinas, República de Corea, Singapur, Tailandia y Viet Nam</w:t>
            </w:r>
          </w:p>
        </w:tc>
        <w:tc>
          <w:tcPr>
            <w:tcW w:w="4961" w:type="dxa"/>
            <w:tcBorders>
              <w:bottom w:val="nil"/>
            </w:tcBorders>
          </w:tcPr>
          <w:p w:rsidR="003E311F" w:rsidRPr="00515D00" w:rsidRDefault="003E311F" w:rsidP="007A358B">
            <w:pPr>
              <w:keepNext/>
              <w:spacing w:before="60" w:after="60"/>
              <w:rPr>
                <w:bCs/>
                <w:sz w:val="16"/>
                <w:szCs w:val="16"/>
              </w:rPr>
            </w:pPr>
            <w:r w:rsidRPr="00515D00">
              <w:rPr>
                <w:bCs/>
                <w:sz w:val="16"/>
                <w:szCs w:val="16"/>
              </w:rPr>
              <w:t>i) Ampliar el conocimiento sobre la observancia de la P.I. y sus dificultades;  ii) aumentar la eficacia de los procedimientos civiles y penales sobre P.I. en aras del desarrollo y la protección del consumidor;  y iii) crear una red internacional de expertos de P.I. del poder judicial que permita el intercambio y la colaboración permanentes.</w:t>
            </w:r>
          </w:p>
        </w:tc>
      </w:tr>
      <w:tr w:rsidR="003E311F" w:rsidRPr="00092F2E" w:rsidTr="007A358B">
        <w:trPr>
          <w:trHeight w:val="2101"/>
        </w:trPr>
        <w:tc>
          <w:tcPr>
            <w:tcW w:w="1873"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Taller sobre derecho de patentes y examen de patentes</w:t>
            </w:r>
          </w:p>
        </w:tc>
        <w:tc>
          <w:tcPr>
            <w:tcW w:w="1134" w:type="dxa"/>
            <w:tcBorders>
              <w:bottom w:val="nil"/>
            </w:tcBorders>
          </w:tcPr>
          <w:p w:rsidR="003E311F" w:rsidRPr="00515D00" w:rsidRDefault="003E311F" w:rsidP="007A358B">
            <w:pPr>
              <w:keepNext/>
              <w:keepLines/>
              <w:autoSpaceDE w:val="0"/>
              <w:autoSpaceDN w:val="0"/>
              <w:adjustRightInd w:val="0"/>
              <w:spacing w:before="60" w:after="60"/>
              <w:rPr>
                <w:color w:val="000000"/>
                <w:sz w:val="16"/>
                <w:szCs w:val="16"/>
                <w:lang w:eastAsia="ko-KR"/>
              </w:rPr>
            </w:pPr>
            <w:r w:rsidRPr="00515D00">
              <w:rPr>
                <w:color w:val="000000"/>
                <w:sz w:val="16"/>
                <w:szCs w:val="16"/>
                <w:lang w:eastAsia="ko-KR"/>
              </w:rPr>
              <w:t>3 a 12 de marzo de 2015</w:t>
            </w:r>
          </w:p>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color w:val="000000"/>
                <w:sz w:val="16"/>
                <w:szCs w:val="16"/>
              </w:rPr>
              <w:t>(programa piloto de capacitación práctica en el trabajo</w:t>
            </w:r>
            <w:r w:rsidRPr="00515D00">
              <w:rPr>
                <w:sz w:val="16"/>
                <w:szCs w:val="16"/>
                <w:lang w:eastAsia="ko-KR"/>
              </w:rPr>
              <w:t>;  16 a 27 de marzo de 2015)</w:t>
            </w:r>
          </w:p>
        </w:tc>
        <w:tc>
          <w:tcPr>
            <w:tcW w:w="1843" w:type="dxa"/>
            <w:tcBorders>
              <w:bottom w:val="nil"/>
            </w:tcBorders>
          </w:tcPr>
          <w:p w:rsidR="003E311F" w:rsidRPr="00515D00" w:rsidRDefault="003E311F" w:rsidP="007A358B">
            <w:pPr>
              <w:keepNext/>
              <w:keepLines/>
              <w:autoSpaceDE w:val="0"/>
              <w:autoSpaceDN w:val="0"/>
              <w:adjustRightInd w:val="0"/>
              <w:spacing w:before="60" w:after="60"/>
              <w:rPr>
                <w:rFonts w:eastAsia="Malgun Gothic"/>
                <w:color w:val="000000"/>
                <w:sz w:val="16"/>
                <w:szCs w:val="16"/>
                <w:lang w:eastAsia="ko-KR"/>
              </w:rPr>
            </w:pPr>
            <w:r w:rsidRPr="00515D00">
              <w:rPr>
                <w:color w:val="000000"/>
                <w:sz w:val="16"/>
                <w:szCs w:val="16"/>
              </w:rPr>
              <w:t xml:space="preserve">República de Corea/ </w:t>
            </w:r>
            <w:r w:rsidRPr="00515D00">
              <w:rPr>
                <w:rFonts w:eastAsia="Batang"/>
                <w:sz w:val="16"/>
                <w:szCs w:val="16"/>
                <w:lang w:eastAsia="ko-KR"/>
              </w:rPr>
              <w:t>Bangladesh, Camboya,</w:t>
            </w:r>
            <w:r w:rsidRPr="00515D00">
              <w:rPr>
                <w:sz w:val="16"/>
                <w:szCs w:val="16"/>
                <w:lang w:eastAsia="ko-KR"/>
              </w:rPr>
              <w:t xml:space="preserve"> Colombia, Ghana, India, Indonesia, República Democrática Popular Lao</w:t>
            </w:r>
            <w:r w:rsidRPr="00515D00">
              <w:rPr>
                <w:rFonts w:eastAsia="Malgun Gothic"/>
                <w:sz w:val="16"/>
                <w:szCs w:val="16"/>
                <w:lang w:eastAsia="ko-KR"/>
              </w:rPr>
              <w:t xml:space="preserve">, </w:t>
            </w:r>
            <w:r w:rsidRPr="00515D00">
              <w:rPr>
                <w:rFonts w:eastAsia="Batang"/>
                <w:sz w:val="16"/>
                <w:szCs w:val="16"/>
                <w:lang w:eastAsia="ko-KR"/>
              </w:rPr>
              <w:t xml:space="preserve">Malasia, </w:t>
            </w:r>
            <w:r w:rsidRPr="00515D00">
              <w:rPr>
                <w:sz w:val="16"/>
                <w:szCs w:val="16"/>
                <w:lang w:eastAsia="ko-KR"/>
              </w:rPr>
              <w:t>Mongolia,</w:t>
            </w:r>
            <w:r w:rsidRPr="00515D00">
              <w:rPr>
                <w:rFonts w:eastAsia="Batang"/>
                <w:sz w:val="16"/>
                <w:szCs w:val="16"/>
                <w:lang w:eastAsia="ko-KR"/>
              </w:rPr>
              <w:t xml:space="preserve"> </w:t>
            </w:r>
            <w:r w:rsidRPr="00515D00">
              <w:rPr>
                <w:sz w:val="16"/>
                <w:szCs w:val="16"/>
                <w:lang w:eastAsia="ko-KR"/>
              </w:rPr>
              <w:t>Pakistán, Perú, Filipinas</w:t>
            </w:r>
            <w:r w:rsidRPr="00515D00">
              <w:rPr>
                <w:rFonts w:eastAsia="Batang"/>
                <w:sz w:val="16"/>
                <w:szCs w:val="16"/>
                <w:lang w:eastAsia="ko-KR"/>
              </w:rPr>
              <w:t xml:space="preserve">, Sri Lanka, </w:t>
            </w:r>
            <w:r w:rsidRPr="00515D00">
              <w:rPr>
                <w:sz w:val="16"/>
                <w:szCs w:val="16"/>
                <w:lang w:eastAsia="ko-KR"/>
              </w:rPr>
              <w:t>Tailandia,</w:t>
            </w:r>
            <w:r w:rsidRPr="00515D00">
              <w:rPr>
                <w:rFonts w:eastAsia="Malgun Gothic"/>
                <w:sz w:val="16"/>
                <w:szCs w:val="16"/>
                <w:lang w:eastAsia="ko-KR"/>
              </w:rPr>
              <w:t xml:space="preserve"> Túnez y </w:t>
            </w:r>
            <w:r w:rsidRPr="00515D00">
              <w:rPr>
                <w:sz w:val="16"/>
                <w:szCs w:val="16"/>
                <w:lang w:eastAsia="ko-KR"/>
              </w:rPr>
              <w:t>Viet Nam</w:t>
            </w:r>
          </w:p>
        </w:tc>
        <w:tc>
          <w:tcPr>
            <w:tcW w:w="4961" w:type="dxa"/>
            <w:tcBorders>
              <w:bottom w:val="nil"/>
            </w:tcBorders>
          </w:tcPr>
          <w:p w:rsidR="003E311F" w:rsidRPr="00515D00" w:rsidRDefault="003E311F" w:rsidP="007A358B">
            <w:pPr>
              <w:spacing w:before="60" w:after="60"/>
              <w:rPr>
                <w:color w:val="000000"/>
                <w:sz w:val="16"/>
                <w:szCs w:val="16"/>
                <w:lang w:eastAsia="ko-KR"/>
              </w:rPr>
            </w:pPr>
            <w:r w:rsidRPr="00515D00">
              <w:rPr>
                <w:color w:val="000000"/>
                <w:sz w:val="16"/>
                <w:szCs w:val="16"/>
                <w:lang w:eastAsia="ko-KR"/>
              </w:rPr>
              <w:t xml:space="preserve">i) Mejorar el conocimiento y las competencias de los examinadores de patentes en relación con los procedimientos de examen;  ii) realizar prácticas sobre el acceso a los resultados de exámenes extranjeros y su utilización;  iii) brindar a los participantes un foro donde compartir opiniones y descubrir </w:t>
            </w:r>
            <w:r>
              <w:rPr>
                <w:color w:val="000000"/>
                <w:sz w:val="16"/>
                <w:szCs w:val="16"/>
                <w:lang w:eastAsia="ko-KR"/>
              </w:rPr>
              <w:t>los aspectos comunes y divergentes en</w:t>
            </w:r>
            <w:r w:rsidRPr="00515D00">
              <w:rPr>
                <w:color w:val="000000"/>
                <w:sz w:val="16"/>
                <w:szCs w:val="16"/>
                <w:lang w:eastAsia="ko-KR"/>
              </w:rPr>
              <w:t xml:space="preserve"> la práctica del examen sustantivo de patentes entre distintas oficinas nacionales de patentes;  y iv) mejorar la credibilidad del examen de patentes mediante un control de calidad de las patentes.</w:t>
            </w:r>
          </w:p>
        </w:tc>
      </w:tr>
      <w:tr w:rsidR="003E311F" w:rsidRPr="00092F2E" w:rsidTr="007A358B">
        <w:tc>
          <w:tcPr>
            <w:tcW w:w="1873" w:type="dxa"/>
            <w:gridSpan w:val="2"/>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rFonts w:eastAsia="Malgun Gothic"/>
                <w:sz w:val="16"/>
                <w:szCs w:val="16"/>
                <w:lang w:eastAsia="ko-KR"/>
              </w:rPr>
              <w:t>Exposición sobre IP IGNITE</w:t>
            </w:r>
          </w:p>
        </w:tc>
        <w:tc>
          <w:tcPr>
            <w:tcW w:w="1134" w:type="dxa"/>
            <w:tcBorders>
              <w:top w:val="nil"/>
              <w:bottom w:val="single" w:sz="4" w:space="0" w:color="auto"/>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rFonts w:eastAsia="Malgun Gothic"/>
                <w:color w:val="000000"/>
                <w:sz w:val="16"/>
                <w:szCs w:val="16"/>
                <w:lang w:eastAsia="ko-KR"/>
              </w:rPr>
              <w:t>20 de abril de 2015</w:t>
            </w:r>
          </w:p>
        </w:tc>
        <w:tc>
          <w:tcPr>
            <w:tcW w:w="1843"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Todos los Estados miembros de la OMPI</w:t>
            </w:r>
          </w:p>
        </w:tc>
        <w:tc>
          <w:tcPr>
            <w:tcW w:w="4961" w:type="dxa"/>
            <w:tcBorders>
              <w:top w:val="nil"/>
              <w:bottom w:val="single" w:sz="4" w:space="0" w:color="auto"/>
            </w:tcBorders>
          </w:tcPr>
          <w:p w:rsidR="003E311F" w:rsidRPr="00515D00" w:rsidRDefault="003E311F" w:rsidP="007A358B">
            <w:pPr>
              <w:autoSpaceDE w:val="0"/>
              <w:autoSpaceDN w:val="0"/>
              <w:adjustRightInd w:val="0"/>
              <w:spacing w:before="60" w:after="60"/>
              <w:rPr>
                <w:color w:val="000000"/>
                <w:sz w:val="16"/>
                <w:szCs w:val="16"/>
                <w:lang w:eastAsia="ko-KR"/>
              </w:rPr>
            </w:pPr>
            <w:r w:rsidRPr="00515D00">
              <w:rPr>
                <w:sz w:val="16"/>
                <w:szCs w:val="16"/>
                <w:lang w:eastAsia="ko-KR"/>
              </w:rPr>
              <w:t>Conmemoración de la inauguración de IP IGNITE, una plataforma desarrollada por la Oficina Coreana de Propiedad Intelectual en colaboración con la Academia de la OMPI para ofrecer un curso general acerca de la propiedad intelectual basado en los contenidos del curso DL-101 de la OMPI y reforzado con elementos sonoros y visuales.</w:t>
            </w:r>
          </w:p>
        </w:tc>
      </w:tr>
      <w:tr w:rsidR="003E311F" w:rsidRPr="00092F2E" w:rsidTr="007A358B">
        <w:tc>
          <w:tcPr>
            <w:tcW w:w="1873" w:type="dxa"/>
            <w:gridSpan w:val="2"/>
            <w:tcBorders>
              <w:top w:val="single" w:sz="4" w:space="0" w:color="auto"/>
              <w:bottom w:val="nil"/>
            </w:tcBorders>
          </w:tcPr>
          <w:p w:rsidR="003E311F" w:rsidRPr="00515D00" w:rsidRDefault="003E311F" w:rsidP="007A358B">
            <w:pPr>
              <w:keepNext/>
              <w:autoSpaceDE w:val="0"/>
              <w:autoSpaceDN w:val="0"/>
              <w:adjustRightInd w:val="0"/>
              <w:spacing w:before="60" w:after="60"/>
              <w:rPr>
                <w:rFonts w:eastAsia="Malgun Gothic"/>
                <w:sz w:val="16"/>
                <w:szCs w:val="16"/>
                <w:lang w:eastAsia="ko-KR"/>
              </w:rPr>
            </w:pPr>
            <w:r w:rsidRPr="00515D00">
              <w:rPr>
                <w:color w:val="000000"/>
                <w:sz w:val="16"/>
                <w:szCs w:val="16"/>
              </w:rPr>
              <w:lastRenderedPageBreak/>
              <w:t>Seminario regional sobre formulación y aplicación de políticas nacionales de propiedad intelectual</w:t>
            </w:r>
          </w:p>
        </w:tc>
        <w:tc>
          <w:tcPr>
            <w:tcW w:w="1134" w:type="dxa"/>
            <w:tcBorders>
              <w:top w:val="single" w:sz="4" w:space="0" w:color="auto"/>
              <w:bottom w:val="nil"/>
            </w:tcBorders>
          </w:tcPr>
          <w:p w:rsidR="003E311F" w:rsidRPr="00515D00" w:rsidRDefault="003E311F" w:rsidP="007A358B">
            <w:pPr>
              <w:keepNext/>
              <w:autoSpaceDE w:val="0"/>
              <w:autoSpaceDN w:val="0"/>
              <w:adjustRightInd w:val="0"/>
              <w:spacing w:before="60" w:after="60"/>
              <w:rPr>
                <w:rFonts w:eastAsia="Malgun Gothic"/>
                <w:color w:val="000000"/>
                <w:sz w:val="16"/>
                <w:szCs w:val="16"/>
                <w:lang w:eastAsia="ko-KR"/>
              </w:rPr>
            </w:pPr>
            <w:r w:rsidRPr="00515D00">
              <w:rPr>
                <w:rFonts w:eastAsia="Malgun Gothic"/>
                <w:color w:val="000000"/>
                <w:sz w:val="16"/>
                <w:szCs w:val="16"/>
                <w:lang w:eastAsia="ko-KR"/>
              </w:rPr>
              <w:t>9 a 11 de junio de 2015</w:t>
            </w:r>
          </w:p>
        </w:tc>
        <w:tc>
          <w:tcPr>
            <w:tcW w:w="1843" w:type="dxa"/>
            <w:tcBorders>
              <w:top w:val="single" w:sz="4" w:space="0" w:color="auto"/>
              <w:bottom w:val="nil"/>
            </w:tcBorders>
          </w:tcPr>
          <w:p w:rsidR="003E311F" w:rsidRPr="00515D00" w:rsidRDefault="003E311F" w:rsidP="00386789">
            <w:pPr>
              <w:keepNext/>
              <w:spacing w:before="120" w:after="60"/>
              <w:contextualSpacing/>
              <w:rPr>
                <w:sz w:val="16"/>
                <w:szCs w:val="16"/>
              </w:rPr>
            </w:pPr>
            <w:r w:rsidRPr="00515D00">
              <w:rPr>
                <w:color w:val="000000"/>
                <w:sz w:val="16"/>
                <w:szCs w:val="16"/>
              </w:rPr>
              <w:t>República de Corea/</w:t>
            </w:r>
            <w:r w:rsidRPr="00515D00">
              <w:rPr>
                <w:sz w:val="16"/>
                <w:szCs w:val="16"/>
                <w:lang w:eastAsia="ko-KR"/>
              </w:rPr>
              <w:t xml:space="preserve"> </w:t>
            </w:r>
            <w:r w:rsidRPr="00515D00">
              <w:rPr>
                <w:sz w:val="16"/>
                <w:szCs w:val="16"/>
              </w:rPr>
              <w:t>Camboya, Camerún, República Dominicana, Gambia, Ghana, India, México, Mongolia, Myanmar, Paraguay, Filipinas, Arabia Saudita, Viet Nam, Zambia y Zimbabwe</w:t>
            </w:r>
          </w:p>
          <w:p w:rsidR="003E311F" w:rsidRPr="00515D00" w:rsidRDefault="003E311F" w:rsidP="007A358B">
            <w:pPr>
              <w:keepNext/>
              <w:spacing w:before="60" w:after="60"/>
              <w:contextualSpacing/>
              <w:rPr>
                <w:color w:val="000000"/>
                <w:sz w:val="16"/>
                <w:szCs w:val="16"/>
              </w:rPr>
            </w:pPr>
          </w:p>
        </w:tc>
        <w:tc>
          <w:tcPr>
            <w:tcW w:w="4961" w:type="dxa"/>
            <w:tcBorders>
              <w:top w:val="single" w:sz="4" w:space="0" w:color="auto"/>
              <w:bottom w:val="nil"/>
            </w:tcBorders>
          </w:tcPr>
          <w:p w:rsidR="003E311F" w:rsidRPr="00515D00" w:rsidRDefault="003E311F" w:rsidP="007A358B">
            <w:pPr>
              <w:keepNext/>
              <w:spacing w:before="60" w:after="60"/>
              <w:rPr>
                <w:sz w:val="16"/>
                <w:szCs w:val="16"/>
                <w:lang w:eastAsia="ko-KR"/>
              </w:rPr>
            </w:pPr>
            <w:r w:rsidRPr="00515D00">
              <w:rPr>
                <w:rFonts w:eastAsia="Malgun Gothic"/>
                <w:sz w:val="16"/>
                <w:szCs w:val="16"/>
              </w:rPr>
              <w:t xml:space="preserve">i) Compartir la experiencia de la </w:t>
            </w:r>
            <w:r w:rsidRPr="00515D00">
              <w:rPr>
                <w:sz w:val="16"/>
                <w:szCs w:val="16"/>
                <w:lang w:eastAsia="ko-KR"/>
              </w:rPr>
              <w:t xml:space="preserve">Oficina Coreana de Propiedad Intelectual </w:t>
            </w:r>
            <w:r w:rsidRPr="00515D00">
              <w:rPr>
                <w:rFonts w:eastAsia="Malgun Gothic"/>
                <w:sz w:val="16"/>
                <w:szCs w:val="16"/>
              </w:rPr>
              <w:t>en la formulación y aplicación de políticas en materia de P.I.;  ii) examinar las dificultades a las que se enfrentan los países en desarrollo en el ámbito de las políticas de P.I.;  iii) debatir posibles metodologías para formular y aplicar políticas de P.I. en los países en desarrollo.</w:t>
            </w:r>
          </w:p>
        </w:tc>
      </w:tr>
      <w:tr w:rsidR="003E311F" w:rsidRPr="00092F2E" w:rsidTr="007A358B">
        <w:tc>
          <w:tcPr>
            <w:tcW w:w="1873" w:type="dxa"/>
            <w:gridSpan w:val="2"/>
            <w:tcBorders>
              <w:top w:val="nil"/>
              <w:bottom w:val="nil"/>
            </w:tcBorders>
          </w:tcPr>
          <w:p w:rsidR="003E311F" w:rsidRPr="00515D00" w:rsidRDefault="003E311F" w:rsidP="007A358B">
            <w:pPr>
              <w:keepNext/>
              <w:autoSpaceDE w:val="0"/>
              <w:autoSpaceDN w:val="0"/>
              <w:adjustRightInd w:val="0"/>
              <w:spacing w:before="60" w:after="60"/>
              <w:rPr>
                <w:rFonts w:eastAsia="Malgun Gothic"/>
                <w:sz w:val="16"/>
                <w:szCs w:val="16"/>
                <w:lang w:eastAsia="ko-KR"/>
              </w:rPr>
            </w:pPr>
            <w:r w:rsidRPr="00515D00">
              <w:rPr>
                <w:color w:val="000000"/>
                <w:sz w:val="16"/>
                <w:szCs w:val="16"/>
              </w:rPr>
              <w:t>Instrumento multimedios IP PANORAMA</w:t>
            </w:r>
          </w:p>
        </w:tc>
        <w:tc>
          <w:tcPr>
            <w:tcW w:w="1134" w:type="dxa"/>
            <w:tcBorders>
              <w:top w:val="nil"/>
              <w:bottom w:val="nil"/>
            </w:tcBorders>
          </w:tcPr>
          <w:p w:rsidR="003E311F" w:rsidRPr="00515D00" w:rsidRDefault="003E311F" w:rsidP="007A358B">
            <w:pPr>
              <w:keepNext/>
              <w:autoSpaceDE w:val="0"/>
              <w:autoSpaceDN w:val="0"/>
              <w:adjustRightInd w:val="0"/>
              <w:spacing w:before="60" w:after="60"/>
              <w:rPr>
                <w:rFonts w:eastAsia="Malgun Gothic"/>
                <w:color w:val="000000"/>
                <w:sz w:val="16"/>
                <w:szCs w:val="16"/>
                <w:lang w:eastAsia="ko-KR"/>
              </w:rPr>
            </w:pPr>
            <w:r w:rsidRPr="00515D00">
              <w:rPr>
                <w:color w:val="000000"/>
                <w:sz w:val="16"/>
                <w:szCs w:val="16"/>
                <w:lang w:eastAsia="ko-KR"/>
              </w:rPr>
              <w:t>Enero a diciembre de 2015</w:t>
            </w:r>
            <w:r w:rsidRPr="00515D00">
              <w:rPr>
                <w:rStyle w:val="FootnoteReference"/>
                <w:color w:val="000000"/>
                <w:sz w:val="16"/>
                <w:szCs w:val="16"/>
                <w:lang w:eastAsia="ko-KR"/>
              </w:rPr>
              <w:footnoteReference w:id="163"/>
            </w:r>
          </w:p>
        </w:tc>
        <w:tc>
          <w:tcPr>
            <w:tcW w:w="1843" w:type="dxa"/>
            <w:tcBorders>
              <w:top w:val="nil"/>
              <w:bottom w:val="nil"/>
            </w:tcBorders>
          </w:tcPr>
          <w:p w:rsidR="003E311F" w:rsidRPr="00515D00" w:rsidRDefault="003E311F" w:rsidP="007A358B">
            <w:pPr>
              <w:keepNext/>
              <w:autoSpaceDE w:val="0"/>
              <w:autoSpaceDN w:val="0"/>
              <w:adjustRightInd w:val="0"/>
              <w:spacing w:before="60" w:after="60"/>
              <w:rPr>
                <w:color w:val="000000"/>
                <w:sz w:val="16"/>
                <w:szCs w:val="16"/>
              </w:rPr>
            </w:pPr>
            <w:r w:rsidRPr="00515D00">
              <w:rPr>
                <w:color w:val="000000"/>
                <w:sz w:val="16"/>
                <w:szCs w:val="16"/>
              </w:rPr>
              <w:t xml:space="preserve">Camboya, </w:t>
            </w:r>
            <w:r w:rsidRPr="00515D00">
              <w:rPr>
                <w:sz w:val="16"/>
                <w:szCs w:val="16"/>
                <w:lang w:eastAsia="ko-KR"/>
              </w:rPr>
              <w:t xml:space="preserve">República Democrática Popular Lao y </w:t>
            </w:r>
            <w:r w:rsidRPr="00515D00">
              <w:rPr>
                <w:color w:val="000000"/>
                <w:sz w:val="16"/>
                <w:szCs w:val="16"/>
              </w:rPr>
              <w:t xml:space="preserve">Myanmar </w:t>
            </w:r>
          </w:p>
        </w:tc>
        <w:tc>
          <w:tcPr>
            <w:tcW w:w="4961" w:type="dxa"/>
            <w:tcBorders>
              <w:top w:val="nil"/>
              <w:bottom w:val="nil"/>
            </w:tcBorders>
          </w:tcPr>
          <w:p w:rsidR="003E311F" w:rsidRPr="00515D00" w:rsidRDefault="003E311F" w:rsidP="007A358B">
            <w:pPr>
              <w:keepNext/>
              <w:autoSpaceDE w:val="0"/>
              <w:autoSpaceDN w:val="0"/>
              <w:adjustRightInd w:val="0"/>
              <w:spacing w:before="60" w:after="60"/>
              <w:rPr>
                <w:sz w:val="16"/>
                <w:szCs w:val="16"/>
                <w:lang w:eastAsia="ko-KR"/>
              </w:rPr>
            </w:pPr>
            <w:r w:rsidRPr="00515D00">
              <w:rPr>
                <w:color w:val="000000"/>
                <w:sz w:val="16"/>
                <w:szCs w:val="16"/>
              </w:rPr>
              <w:t xml:space="preserve">Traducción de los 12 módulos del instrumento multimedios IP PANORAMA de la OMPI en tres países, concretamente Camboya, la </w:t>
            </w:r>
            <w:r w:rsidRPr="00515D00">
              <w:rPr>
                <w:sz w:val="16"/>
                <w:szCs w:val="16"/>
                <w:lang w:eastAsia="ko-KR"/>
              </w:rPr>
              <w:t xml:space="preserve">República Democrática Popular Lao y </w:t>
            </w:r>
            <w:r w:rsidRPr="00515D00">
              <w:rPr>
                <w:color w:val="000000"/>
                <w:sz w:val="16"/>
                <w:szCs w:val="16"/>
              </w:rPr>
              <w:t>Myanmar.</w:t>
            </w:r>
          </w:p>
        </w:tc>
      </w:tr>
      <w:tr w:rsidR="003E311F" w:rsidRPr="00092F2E" w:rsidTr="007A358B">
        <w:tc>
          <w:tcPr>
            <w:tcW w:w="1873" w:type="dxa"/>
            <w:gridSpan w:val="2"/>
            <w:tcBorders>
              <w:top w:val="nil"/>
              <w:bottom w:val="nil"/>
            </w:tcBorders>
          </w:tcPr>
          <w:p w:rsidR="003E311F" w:rsidRPr="00515D00" w:rsidRDefault="003E311F" w:rsidP="007A358B">
            <w:pPr>
              <w:autoSpaceDE w:val="0"/>
              <w:autoSpaceDN w:val="0"/>
              <w:adjustRightInd w:val="0"/>
              <w:spacing w:before="60" w:after="60"/>
              <w:rPr>
                <w:rFonts w:eastAsia="Malgun Gothic"/>
                <w:sz w:val="16"/>
                <w:szCs w:val="16"/>
                <w:lang w:eastAsia="ko-KR"/>
              </w:rPr>
            </w:pPr>
            <w:r w:rsidRPr="00515D00">
              <w:rPr>
                <w:color w:val="000000"/>
                <w:sz w:val="16"/>
                <w:szCs w:val="16"/>
              </w:rPr>
              <w:t>Elaboración de una guía de animación de Póroro en español y francés</w:t>
            </w:r>
          </w:p>
        </w:tc>
        <w:tc>
          <w:tcPr>
            <w:tcW w:w="1134" w:type="dxa"/>
            <w:tcBorders>
              <w:top w:val="nil"/>
              <w:bottom w:val="nil"/>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rFonts w:eastAsia="Malgun Gothic"/>
                <w:color w:val="000000"/>
                <w:sz w:val="16"/>
                <w:szCs w:val="16"/>
                <w:lang w:eastAsia="ko-KR"/>
              </w:rPr>
              <w:t>Febrero a abril de</w:t>
            </w:r>
            <w:r w:rsidRPr="00515D00">
              <w:rPr>
                <w:color w:val="000000"/>
                <w:sz w:val="16"/>
                <w:szCs w:val="16"/>
                <w:lang w:eastAsia="ko-KR"/>
              </w:rPr>
              <w:t xml:space="preserve"> 2015</w:t>
            </w:r>
          </w:p>
        </w:tc>
        <w:tc>
          <w:tcPr>
            <w:tcW w:w="184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República de Corea/ Todos los Estados miembros de la OMPI</w:t>
            </w:r>
          </w:p>
        </w:tc>
        <w:tc>
          <w:tcPr>
            <w:tcW w:w="4961" w:type="dxa"/>
            <w:tcBorders>
              <w:top w:val="nil"/>
              <w:bottom w:val="nil"/>
            </w:tcBorders>
          </w:tcPr>
          <w:p w:rsidR="003E311F" w:rsidRPr="00515D00" w:rsidRDefault="003E311F" w:rsidP="007A358B">
            <w:pPr>
              <w:autoSpaceDE w:val="0"/>
              <w:autoSpaceDN w:val="0"/>
              <w:adjustRightInd w:val="0"/>
              <w:spacing w:before="60" w:after="60"/>
              <w:rPr>
                <w:sz w:val="16"/>
                <w:szCs w:val="16"/>
                <w:lang w:eastAsia="ko-KR"/>
              </w:rPr>
            </w:pPr>
            <w:r w:rsidRPr="00515D00">
              <w:rPr>
                <w:sz w:val="16"/>
                <w:szCs w:val="16"/>
                <w:lang w:eastAsia="ko-KR"/>
              </w:rPr>
              <w:t>i) Elaborar material educativo sobre propiedad intelectual que resulte accesible para los no expertos en la materia;  ii) estimular el interés del público en cuestiones relacionadas con la P.I.;  y iii) ayudar a los colegios y otros centros educativos a elaborar planes de estudios que estimulen la creatividad;  y (iv) mejorar el acceso de los usuarios de P.I. a materiales en idiomas locales.</w:t>
            </w:r>
          </w:p>
        </w:tc>
      </w:tr>
      <w:tr w:rsidR="003E311F" w:rsidRPr="00092F2E" w:rsidTr="007A358B">
        <w:tc>
          <w:tcPr>
            <w:tcW w:w="1873" w:type="dxa"/>
            <w:gridSpan w:val="2"/>
            <w:tcBorders>
              <w:top w:val="nil"/>
              <w:bottom w:val="single" w:sz="4" w:space="0" w:color="000000"/>
            </w:tcBorders>
          </w:tcPr>
          <w:p w:rsidR="003E311F" w:rsidRPr="00515D00" w:rsidRDefault="003E311F" w:rsidP="007A358B">
            <w:pPr>
              <w:autoSpaceDE w:val="0"/>
              <w:autoSpaceDN w:val="0"/>
              <w:adjustRightInd w:val="0"/>
              <w:spacing w:before="60" w:after="60"/>
              <w:rPr>
                <w:rFonts w:eastAsia="Malgun Gothic"/>
                <w:sz w:val="16"/>
                <w:szCs w:val="16"/>
                <w:lang w:eastAsia="ko-KR"/>
              </w:rPr>
            </w:pPr>
            <w:r w:rsidRPr="00515D00">
              <w:rPr>
                <w:color w:val="000000"/>
                <w:sz w:val="16"/>
                <w:szCs w:val="16"/>
              </w:rPr>
              <w:t>Elaboración de material educativo sobre propiedad intelectual</w:t>
            </w:r>
          </w:p>
        </w:tc>
        <w:tc>
          <w:tcPr>
            <w:tcW w:w="1134" w:type="dxa"/>
            <w:tcBorders>
              <w:top w:val="nil"/>
              <w:bottom w:val="single" w:sz="4" w:space="0" w:color="000000"/>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color w:val="000000"/>
                <w:sz w:val="16"/>
                <w:szCs w:val="16"/>
                <w:lang w:eastAsia="ko-KR"/>
              </w:rPr>
              <w:t>Enero a diciembre de 2015</w:t>
            </w:r>
            <w:r w:rsidRPr="00515D00">
              <w:rPr>
                <w:rStyle w:val="FootnoteReference"/>
                <w:color w:val="000000"/>
                <w:sz w:val="16"/>
                <w:szCs w:val="16"/>
                <w:lang w:eastAsia="ko-KR"/>
              </w:rPr>
              <w:footnoteReference w:id="164"/>
            </w:r>
          </w:p>
        </w:tc>
        <w:tc>
          <w:tcPr>
            <w:tcW w:w="1843" w:type="dxa"/>
            <w:tcBorders>
              <w:top w:val="nil"/>
              <w:bottom w:val="single" w:sz="4" w:space="0" w:color="000000"/>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República de Corea</w:t>
            </w:r>
          </w:p>
        </w:tc>
        <w:tc>
          <w:tcPr>
            <w:tcW w:w="4961" w:type="dxa"/>
            <w:tcBorders>
              <w:top w:val="nil"/>
              <w:bottom w:val="single" w:sz="4" w:space="0" w:color="000000"/>
            </w:tcBorders>
          </w:tcPr>
          <w:p w:rsidR="003E311F" w:rsidRPr="00515D00" w:rsidRDefault="003E311F" w:rsidP="007A358B">
            <w:pPr>
              <w:autoSpaceDE w:val="0"/>
              <w:autoSpaceDN w:val="0"/>
              <w:adjustRightInd w:val="0"/>
              <w:spacing w:before="60" w:after="60"/>
              <w:rPr>
                <w:sz w:val="16"/>
                <w:szCs w:val="16"/>
                <w:lang w:eastAsia="ko-KR"/>
              </w:rPr>
            </w:pPr>
            <w:r w:rsidRPr="00515D00">
              <w:rPr>
                <w:sz w:val="16"/>
                <w:szCs w:val="16"/>
                <w:lang w:eastAsia="ko-KR"/>
              </w:rPr>
              <w:t>i) Elaborar material educativo sobre propiedad intelectual dirigido a estudiantes de secundaria que explique el proceso de invención y la transformación de las ideas en propiedad intelectual;  ii) estimular el interés del público en cuestiones relacionadas con la P.I.;  y iii) ayudar a los colegios y otros centros educativos a elaborar planes de estudios que estimulen la creatividad.</w:t>
            </w:r>
          </w:p>
        </w:tc>
      </w:tr>
      <w:tr w:rsidR="003E311F" w:rsidRPr="00092F2E" w:rsidTr="007A358B">
        <w:tc>
          <w:tcPr>
            <w:tcW w:w="9811" w:type="dxa"/>
            <w:gridSpan w:val="5"/>
            <w:tcBorders>
              <w:top w:val="single" w:sz="4" w:space="0" w:color="000000"/>
              <w:bottom w:val="single" w:sz="4" w:space="0" w:color="000000"/>
            </w:tcBorders>
            <w:shd w:val="clear" w:color="auto" w:fill="C6D9F1" w:themeFill="text2" w:themeFillTint="33"/>
          </w:tcPr>
          <w:p w:rsidR="003E311F" w:rsidRPr="00515D00" w:rsidRDefault="003E311F" w:rsidP="007A358B">
            <w:pPr>
              <w:keepNext/>
              <w:keepLines/>
              <w:tabs>
                <w:tab w:val="left" w:pos="1740"/>
              </w:tabs>
              <w:spacing w:before="120" w:after="120"/>
              <w:ind w:left="1740" w:hanging="1740"/>
              <w:rPr>
                <w:rFonts w:eastAsia="Malgun Gothic"/>
                <w:color w:val="000000"/>
                <w:sz w:val="16"/>
                <w:szCs w:val="16"/>
                <w:lang w:eastAsia="ko-KR"/>
              </w:rPr>
            </w:pPr>
            <w:r w:rsidRPr="00515D00">
              <w:rPr>
                <w:b/>
                <w:bCs/>
                <w:color w:val="000000"/>
                <w:sz w:val="16"/>
                <w:szCs w:val="16"/>
              </w:rPr>
              <w:t>RESULTADO:</w:t>
            </w:r>
            <w:r w:rsidRPr="00515D00">
              <w:rPr>
                <w:b/>
                <w:bCs/>
                <w:color w:val="000000"/>
                <w:sz w:val="16"/>
                <w:szCs w:val="16"/>
              </w:rPr>
              <w:tab/>
            </w:r>
            <w:r w:rsidRPr="00D64282">
              <w:rPr>
                <w:bCs/>
                <w:color w:val="000000"/>
                <w:sz w:val="16"/>
                <w:szCs w:val="16"/>
              </w:rPr>
              <w:t>IV.2  Mejora del acceso y uso de información de P.I. por parte de instituciones de P.I. y el público para fomentar la innovación y la creatividad</w:t>
            </w:r>
          </w:p>
        </w:tc>
      </w:tr>
      <w:tr w:rsidR="003E311F" w:rsidRPr="00515D00" w:rsidTr="007A358B">
        <w:trPr>
          <w:trHeight w:val="500"/>
        </w:trPr>
        <w:tc>
          <w:tcPr>
            <w:tcW w:w="1830" w:type="dxa"/>
            <w:tcBorders>
              <w:top w:val="single" w:sz="4" w:space="0" w:color="000000"/>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77" w:type="dxa"/>
            <w:gridSpan w:val="2"/>
            <w:tcBorders>
              <w:top w:val="single" w:sz="4" w:space="0" w:color="000000"/>
              <w:bottom w:val="nil"/>
            </w:tcBorders>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tcBorders>
              <w:top w:val="single" w:sz="4" w:space="0" w:color="000000"/>
              <w:bottom w:val="nil"/>
            </w:tcBorders>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961" w:type="dxa"/>
            <w:tcBorders>
              <w:top w:val="single" w:sz="4" w:space="0" w:color="000000"/>
              <w:bottom w:val="nil"/>
            </w:tcBorders>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c>
          <w:tcPr>
            <w:tcW w:w="1830" w:type="dxa"/>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lang w:eastAsia="ko-KR"/>
              </w:rPr>
              <w:t>Seminario regional sobre difusión de invenciones de tecnologías apropiadas</w:t>
            </w:r>
          </w:p>
        </w:tc>
        <w:tc>
          <w:tcPr>
            <w:tcW w:w="1177" w:type="dxa"/>
            <w:gridSpan w:val="2"/>
            <w:tcBorders>
              <w:bottom w:val="nil"/>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sz w:val="16"/>
                <w:szCs w:val="16"/>
                <w:lang w:eastAsia="ko-KR"/>
              </w:rPr>
              <w:t>29 a 30 de abril de 2015</w:t>
            </w:r>
          </w:p>
        </w:tc>
        <w:tc>
          <w:tcPr>
            <w:tcW w:w="1843" w:type="dxa"/>
            <w:tcBorders>
              <w:bottom w:val="nil"/>
            </w:tcBorders>
          </w:tcPr>
          <w:p w:rsidR="003E311F" w:rsidRPr="00515D00" w:rsidRDefault="003E311F" w:rsidP="007A358B">
            <w:pPr>
              <w:keepNext/>
              <w:keepLines/>
              <w:spacing w:before="60" w:after="60"/>
              <w:rPr>
                <w:color w:val="000000"/>
                <w:sz w:val="16"/>
                <w:szCs w:val="16"/>
              </w:rPr>
            </w:pPr>
            <w:r w:rsidRPr="00515D00">
              <w:rPr>
                <w:sz w:val="16"/>
                <w:szCs w:val="16"/>
              </w:rPr>
              <w:t xml:space="preserve">República de Corea/ Etiopía, </w:t>
            </w:r>
            <w:r w:rsidRPr="00515D00">
              <w:rPr>
                <w:rFonts w:eastAsiaTheme="minorEastAsia"/>
                <w:sz w:val="16"/>
                <w:szCs w:val="16"/>
                <w:lang w:eastAsia="ko-KR"/>
              </w:rPr>
              <w:t>México, Mongolia, Filipinas and Viet Nam.</w:t>
            </w:r>
          </w:p>
        </w:tc>
        <w:tc>
          <w:tcPr>
            <w:tcW w:w="4961" w:type="dxa"/>
            <w:tcBorders>
              <w:bottom w:val="nil"/>
            </w:tcBorders>
          </w:tcPr>
          <w:p w:rsidR="003E311F" w:rsidRPr="00515D00" w:rsidRDefault="003E311F" w:rsidP="007A358B">
            <w:pPr>
              <w:autoSpaceDE w:val="0"/>
              <w:autoSpaceDN w:val="0"/>
              <w:adjustRightInd w:val="0"/>
              <w:spacing w:before="60" w:after="60"/>
              <w:rPr>
                <w:color w:val="000000"/>
                <w:sz w:val="16"/>
                <w:szCs w:val="16"/>
                <w:lang w:eastAsia="ko-KR"/>
              </w:rPr>
            </w:pPr>
            <w:r w:rsidRPr="00515D00">
              <w:rPr>
                <w:sz w:val="16"/>
                <w:szCs w:val="16"/>
                <w:lang w:eastAsia="ko-KR"/>
              </w:rPr>
              <w:t>i) Compartir experiencias en el ámbito del desarrollo y la difusión de invenciones de tecnologías apropiadas;  ii) mejorar la comprensión de las cuestiones relacionadas con la propiedad local y la sostenibilidad de las tecnologías apropiadas;  iii) debatir posibles medidas para propiciar una estrecha colaboración entre el sector privado, las instituciones de investigación/universidades y los gobiernos para elaborar y difundir tecnologías apropiadas;  y iv) determinar los obstáculos que se oponen a la difusión de las tecnologías apropiadas y buscar formas de superarlos.</w:t>
            </w:r>
          </w:p>
        </w:tc>
      </w:tr>
      <w:tr w:rsidR="003E311F" w:rsidRPr="00092F2E" w:rsidTr="007A358B">
        <w:tc>
          <w:tcPr>
            <w:tcW w:w="1830" w:type="dxa"/>
            <w:tcBorders>
              <w:top w:val="nil"/>
              <w:left w:val="single" w:sz="4" w:space="0" w:color="auto"/>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Concurso sobre tecnologías apropiadas</w:t>
            </w:r>
          </w:p>
        </w:tc>
        <w:tc>
          <w:tcPr>
            <w:tcW w:w="1177" w:type="dxa"/>
            <w:gridSpan w:val="2"/>
            <w:tcBorders>
              <w:top w:val="nil"/>
              <w:bottom w:val="nil"/>
            </w:tcBorders>
          </w:tcPr>
          <w:p w:rsidR="003E311F" w:rsidRPr="00515D00" w:rsidRDefault="003E311F" w:rsidP="007A358B">
            <w:pPr>
              <w:autoSpaceDE w:val="0"/>
              <w:autoSpaceDN w:val="0"/>
              <w:adjustRightInd w:val="0"/>
              <w:spacing w:before="60" w:after="60"/>
              <w:rPr>
                <w:rFonts w:eastAsia="Malgun Gothic"/>
                <w:color w:val="000000"/>
                <w:sz w:val="16"/>
                <w:szCs w:val="16"/>
                <w:lang w:eastAsia="ko-KR"/>
              </w:rPr>
            </w:pPr>
            <w:r w:rsidRPr="00515D00">
              <w:rPr>
                <w:rFonts w:eastAsia="Malgun Gothic"/>
                <w:color w:val="000000"/>
                <w:sz w:val="16"/>
                <w:szCs w:val="16"/>
                <w:lang w:eastAsia="ko-KR"/>
              </w:rPr>
              <w:t>1</w:t>
            </w:r>
            <w:r w:rsidRPr="00515D00">
              <w:rPr>
                <w:color w:val="000000"/>
                <w:sz w:val="16"/>
                <w:szCs w:val="16"/>
              </w:rPr>
              <w:t xml:space="preserve"> de abril a </w:t>
            </w:r>
            <w:r w:rsidRPr="00515D00">
              <w:rPr>
                <w:color w:val="000000"/>
                <w:sz w:val="16"/>
                <w:szCs w:val="16"/>
                <w:lang w:eastAsia="ko-KR"/>
              </w:rPr>
              <w:t>18 de diciembre de 2015</w:t>
            </w:r>
          </w:p>
        </w:tc>
        <w:tc>
          <w:tcPr>
            <w:tcW w:w="1843" w:type="dxa"/>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rFonts w:eastAsia="Malgun Gothic"/>
                <w:color w:val="000000"/>
                <w:sz w:val="16"/>
                <w:szCs w:val="16"/>
                <w:lang w:eastAsia="ko-KR"/>
              </w:rPr>
              <w:t>Mongolia</w:t>
            </w:r>
          </w:p>
        </w:tc>
        <w:tc>
          <w:tcPr>
            <w:tcW w:w="4961" w:type="dxa"/>
            <w:tcBorders>
              <w:top w:val="nil"/>
              <w:bottom w:val="nil"/>
              <w:right w:val="single" w:sz="4" w:space="0" w:color="auto"/>
            </w:tcBorders>
          </w:tcPr>
          <w:p w:rsidR="003E311F" w:rsidRPr="00515D00" w:rsidRDefault="003E311F" w:rsidP="007A358B">
            <w:pPr>
              <w:spacing w:before="60" w:after="60"/>
              <w:contextualSpacing/>
              <w:rPr>
                <w:sz w:val="16"/>
                <w:szCs w:val="16"/>
              </w:rPr>
            </w:pPr>
            <w:r w:rsidRPr="00515D00">
              <w:rPr>
                <w:sz w:val="16"/>
                <w:szCs w:val="16"/>
              </w:rPr>
              <w:t xml:space="preserve">i) Fomentar y recompensar la excelencia en la invención de tecnologías apropiadas que permitan a las comunidades locales cubrir sus necesidades de forma fácil y asequible;  y ii) </w:t>
            </w:r>
            <w:r w:rsidRPr="00515D00">
              <w:rPr>
                <w:rFonts w:eastAsia="Malgun Gothic"/>
                <w:sz w:val="16"/>
                <w:szCs w:val="16"/>
                <w:lang w:eastAsia="ko-KR"/>
              </w:rPr>
              <w:t>contribuir al desarrollo sostenible de las comunidades locales</w:t>
            </w:r>
            <w:r w:rsidRPr="00515D00">
              <w:rPr>
                <w:sz w:val="16"/>
                <w:szCs w:val="16"/>
              </w:rPr>
              <w:t>.</w:t>
            </w:r>
          </w:p>
          <w:p w:rsidR="003E311F" w:rsidRPr="00515D00" w:rsidRDefault="003E311F" w:rsidP="007A358B">
            <w:pPr>
              <w:spacing w:before="60" w:after="60"/>
              <w:contextualSpacing/>
              <w:rPr>
                <w:sz w:val="16"/>
                <w:szCs w:val="16"/>
              </w:rPr>
            </w:pPr>
          </w:p>
          <w:p w:rsidR="003E311F" w:rsidRPr="00515D00" w:rsidRDefault="003E311F" w:rsidP="007A358B">
            <w:pPr>
              <w:spacing w:before="60" w:after="60"/>
              <w:contextualSpacing/>
              <w:rPr>
                <w:sz w:val="16"/>
                <w:szCs w:val="16"/>
                <w:lang w:eastAsia="ko-KR"/>
              </w:rPr>
            </w:pPr>
            <w:r w:rsidRPr="00515D00">
              <w:rPr>
                <w:sz w:val="16"/>
                <w:szCs w:val="16"/>
              </w:rPr>
              <w:t>La utilización de la información contenida en las patentes para diseñar las soluciones constituyó un elemento fundamental del concurso</w:t>
            </w:r>
          </w:p>
        </w:tc>
      </w:tr>
      <w:tr w:rsidR="003E311F" w:rsidRPr="00092F2E" w:rsidTr="007A358B">
        <w:trPr>
          <w:trHeight w:val="80"/>
        </w:trPr>
        <w:tc>
          <w:tcPr>
            <w:tcW w:w="1830" w:type="dxa"/>
            <w:tcBorders>
              <w:top w:val="nil"/>
              <w:left w:val="single" w:sz="4" w:space="0" w:color="auto"/>
              <w:bottom w:val="single" w:sz="4" w:space="0" w:color="auto"/>
            </w:tcBorders>
          </w:tcPr>
          <w:p w:rsidR="003E311F" w:rsidRPr="00515D00" w:rsidRDefault="003E311F" w:rsidP="007A358B">
            <w:pPr>
              <w:autoSpaceDE w:val="0"/>
              <w:autoSpaceDN w:val="0"/>
              <w:adjustRightInd w:val="0"/>
              <w:spacing w:before="60" w:after="60"/>
              <w:rPr>
                <w:color w:val="000000"/>
                <w:sz w:val="16"/>
                <w:szCs w:val="16"/>
                <w:highlight w:val="yellow"/>
              </w:rPr>
            </w:pPr>
            <w:r w:rsidRPr="00515D00">
              <w:rPr>
                <w:color w:val="000000"/>
                <w:sz w:val="16"/>
                <w:szCs w:val="16"/>
              </w:rPr>
              <w:t>Concurso sobre tecnologías apropiadas</w:t>
            </w:r>
          </w:p>
        </w:tc>
        <w:tc>
          <w:tcPr>
            <w:tcW w:w="1177" w:type="dxa"/>
            <w:gridSpan w:val="2"/>
            <w:tcBorders>
              <w:top w:val="nil"/>
              <w:bottom w:val="single" w:sz="4" w:space="0" w:color="auto"/>
            </w:tcBorders>
          </w:tcPr>
          <w:p w:rsidR="003E311F" w:rsidRPr="00515D00" w:rsidRDefault="003E311F" w:rsidP="007A358B">
            <w:pPr>
              <w:spacing w:before="60" w:after="60"/>
              <w:rPr>
                <w:color w:val="000000"/>
                <w:sz w:val="16"/>
                <w:szCs w:val="16"/>
                <w:lang w:eastAsia="ko-KR"/>
              </w:rPr>
            </w:pPr>
            <w:r w:rsidRPr="00515D00">
              <w:rPr>
                <w:rFonts w:eastAsia="Malgun Gothic"/>
                <w:color w:val="000000"/>
                <w:sz w:val="16"/>
                <w:szCs w:val="16"/>
                <w:lang w:eastAsia="ko-KR"/>
              </w:rPr>
              <w:t>Julio de</w:t>
            </w:r>
            <w:r w:rsidRPr="00515D00">
              <w:rPr>
                <w:color w:val="000000"/>
                <w:sz w:val="16"/>
                <w:szCs w:val="16"/>
                <w:lang w:eastAsia="ko-KR"/>
              </w:rPr>
              <w:t xml:space="preserve"> 2015 (comenzado)</w:t>
            </w:r>
          </w:p>
          <w:p w:rsidR="003E311F" w:rsidRPr="00515D00" w:rsidRDefault="003E311F" w:rsidP="007A358B">
            <w:pPr>
              <w:autoSpaceDE w:val="0"/>
              <w:autoSpaceDN w:val="0"/>
              <w:adjustRightInd w:val="0"/>
              <w:spacing w:before="60" w:after="60"/>
              <w:rPr>
                <w:rFonts w:eastAsia="Malgun Gothic"/>
                <w:color w:val="000000"/>
                <w:sz w:val="16"/>
                <w:szCs w:val="16"/>
                <w:highlight w:val="yellow"/>
                <w:lang w:eastAsia="ko-KR"/>
              </w:rPr>
            </w:pPr>
          </w:p>
        </w:tc>
        <w:tc>
          <w:tcPr>
            <w:tcW w:w="1843" w:type="dxa"/>
            <w:tcBorders>
              <w:top w:val="nil"/>
              <w:bottom w:val="single" w:sz="4" w:space="0" w:color="auto"/>
            </w:tcBorders>
          </w:tcPr>
          <w:p w:rsidR="003E311F" w:rsidRPr="00515D00" w:rsidRDefault="003E311F" w:rsidP="007A358B">
            <w:pPr>
              <w:spacing w:before="60" w:after="60"/>
              <w:contextualSpacing/>
              <w:rPr>
                <w:color w:val="000000"/>
                <w:sz w:val="16"/>
                <w:szCs w:val="16"/>
                <w:highlight w:val="yellow"/>
              </w:rPr>
            </w:pPr>
            <w:r w:rsidRPr="00515D00">
              <w:rPr>
                <w:rFonts w:eastAsia="Malgun Gothic"/>
                <w:color w:val="000000"/>
                <w:sz w:val="16"/>
                <w:szCs w:val="16"/>
                <w:lang w:eastAsia="ko-KR"/>
              </w:rPr>
              <w:t>República Dominicana</w:t>
            </w:r>
          </w:p>
        </w:tc>
        <w:tc>
          <w:tcPr>
            <w:tcW w:w="4961" w:type="dxa"/>
            <w:tcBorders>
              <w:top w:val="nil"/>
              <w:bottom w:val="single" w:sz="4" w:space="0" w:color="auto"/>
              <w:right w:val="single" w:sz="4" w:space="0" w:color="auto"/>
            </w:tcBorders>
          </w:tcPr>
          <w:p w:rsidR="003E311F" w:rsidRPr="00515D00" w:rsidRDefault="003E311F" w:rsidP="007A358B">
            <w:pPr>
              <w:spacing w:before="60" w:after="60"/>
              <w:contextualSpacing/>
              <w:rPr>
                <w:sz w:val="16"/>
                <w:szCs w:val="16"/>
              </w:rPr>
            </w:pPr>
            <w:r w:rsidRPr="00515D00">
              <w:rPr>
                <w:sz w:val="16"/>
                <w:szCs w:val="16"/>
              </w:rPr>
              <w:t xml:space="preserve">Fomentar y recompensar la excelencia en la invención de tecnologías apropiadas para la agricultura que permitan a las comunidades locales cubrir sus necesidades de forma fácil y asequible;  y ii) </w:t>
            </w:r>
            <w:r w:rsidRPr="00515D00">
              <w:rPr>
                <w:rFonts w:eastAsia="Malgun Gothic"/>
                <w:sz w:val="16"/>
                <w:szCs w:val="16"/>
                <w:lang w:eastAsia="ko-KR"/>
              </w:rPr>
              <w:t>contribuir al desarrollo sostenible de las comunidades locales</w:t>
            </w:r>
            <w:r w:rsidRPr="00515D00">
              <w:rPr>
                <w:sz w:val="16"/>
                <w:szCs w:val="16"/>
              </w:rPr>
              <w:t xml:space="preserve">.  </w:t>
            </w:r>
          </w:p>
          <w:p w:rsidR="003E311F" w:rsidRPr="00515D00" w:rsidRDefault="003E311F" w:rsidP="007A358B">
            <w:pPr>
              <w:spacing w:before="60" w:after="60"/>
              <w:contextualSpacing/>
              <w:rPr>
                <w:sz w:val="16"/>
                <w:szCs w:val="16"/>
              </w:rPr>
            </w:pPr>
          </w:p>
          <w:p w:rsidR="003E311F" w:rsidRPr="00515D00" w:rsidRDefault="003E311F" w:rsidP="007A358B">
            <w:pPr>
              <w:spacing w:before="60" w:after="60"/>
              <w:contextualSpacing/>
              <w:rPr>
                <w:sz w:val="16"/>
                <w:szCs w:val="16"/>
                <w:highlight w:val="yellow"/>
                <w:lang w:eastAsia="ko-KR"/>
              </w:rPr>
            </w:pPr>
            <w:r w:rsidRPr="00515D00">
              <w:rPr>
                <w:sz w:val="16"/>
                <w:szCs w:val="16"/>
              </w:rPr>
              <w:t>La utilización de la información contenida en las patentes para diseñar las soluciones constituyó un elemento fundamental del concurso</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keepNext/>
        <w:rPr>
          <w:b/>
          <w:bCs/>
          <w:color w:val="000000"/>
          <w:sz w:val="20"/>
        </w:rPr>
      </w:pPr>
      <w:r w:rsidRPr="007329AC">
        <w:rPr>
          <w:b/>
          <w:bCs/>
          <w:sz w:val="20"/>
        </w:rPr>
        <w:t>REPÚBLICA DE COREA – PROPIEDAD IN</w:t>
      </w:r>
      <w:r w:rsidR="00386789">
        <w:rPr>
          <w:b/>
          <w:bCs/>
          <w:sz w:val="20"/>
        </w:rPr>
        <w:t>DUSTRI</w:t>
      </w:r>
      <w:r w:rsidRPr="007329AC">
        <w:rPr>
          <w:b/>
          <w:bCs/>
          <w:sz w:val="20"/>
        </w:rPr>
        <w:t xml:space="preserve">AL </w:t>
      </w:r>
      <w:r w:rsidRPr="007329AC">
        <w:rPr>
          <w:b/>
          <w:sz w:val="20"/>
        </w:rPr>
        <w:t>– Contribuciones de donantes y gastos en </w:t>
      </w:r>
      <w:r w:rsidRPr="007329AC">
        <w:rPr>
          <w:b/>
          <w:bCs/>
          <w:color w:val="000000"/>
          <w:sz w:val="20"/>
        </w:rPr>
        <w:t>2015</w:t>
      </w:r>
    </w:p>
    <w:p w:rsidR="003E311F" w:rsidRPr="007329AC" w:rsidRDefault="003E311F" w:rsidP="003E311F">
      <w:pPr>
        <w:keepNext/>
        <w:rPr>
          <w:b/>
          <w:bCs/>
          <w:color w:val="000000"/>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3E311F" w:rsidRPr="00515D00" w:rsidRDefault="005C708A" w:rsidP="007A358B">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3E311F" w:rsidP="007A358B">
            <w:pPr>
              <w:keepNext/>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3E311F" w:rsidRPr="00515D00" w:rsidRDefault="005C708A" w:rsidP="007A358B">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1.180.774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659.148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786.531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1.053.391</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3E311F">
      <w:pPr>
        <w:keepNext/>
        <w:keepLines/>
        <w:rPr>
          <w:b/>
          <w:sz w:val="20"/>
        </w:rPr>
      </w:pPr>
      <w:r w:rsidRPr="007329AC">
        <w:rPr>
          <w:b/>
          <w:sz w:val="20"/>
        </w:rPr>
        <w:t>MÉXICO</w:t>
      </w:r>
      <w:r w:rsidRPr="00386789">
        <w:rPr>
          <w:rStyle w:val="FootnoteReference"/>
          <w:b/>
          <w:sz w:val="20"/>
        </w:rPr>
        <w:footnoteReference w:id="165"/>
      </w:r>
    </w:p>
    <w:p w:rsidR="003E311F" w:rsidRPr="007329AC" w:rsidRDefault="003E311F" w:rsidP="003E311F">
      <w:pPr>
        <w:keepNext/>
        <w:keepLines/>
        <w:rPr>
          <w:b/>
          <w:sz w:val="20"/>
        </w:rPr>
      </w:pPr>
    </w:p>
    <w:tbl>
      <w:tblPr>
        <w:tblW w:w="981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679"/>
      </w:tblGrid>
      <w:tr w:rsidR="003E311F" w:rsidRPr="00092F2E" w:rsidTr="007A358B">
        <w:trPr>
          <w:cantSplit/>
        </w:trPr>
        <w:tc>
          <w:tcPr>
            <w:tcW w:w="9812" w:type="dxa"/>
            <w:gridSpan w:val="4"/>
            <w:tcBorders>
              <w:top w:val="single" w:sz="4" w:space="0" w:color="000000"/>
              <w:bottom w:val="single" w:sz="4" w:space="0" w:color="000000"/>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sz w:val="16"/>
                <w:szCs w:val="16"/>
              </w:rPr>
              <w:t>III.1  Estrategias y planes nacionales de innovación y de P.I. que estén en sintonía con los objetivos nacionales de desarrollo</w:t>
            </w:r>
          </w:p>
        </w:tc>
      </w:tr>
      <w:tr w:rsidR="003E311F" w:rsidRPr="00515D00" w:rsidTr="007A358B">
        <w:trPr>
          <w:cantSplit/>
        </w:trPr>
        <w:tc>
          <w:tcPr>
            <w:tcW w:w="1873" w:type="dxa"/>
            <w:tcBorders>
              <w:top w:val="single" w:sz="4" w:space="0" w:color="000000"/>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76" w:type="dxa"/>
            <w:tcBorders>
              <w:top w:val="single" w:sz="4" w:space="0" w:color="000000"/>
            </w:tcBorders>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984" w:type="dxa"/>
            <w:tcBorders>
              <w:top w:val="single" w:sz="4" w:space="0" w:color="000000"/>
            </w:tcBorders>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79" w:type="dxa"/>
            <w:tcBorders>
              <w:top w:val="single" w:sz="4" w:space="0" w:color="000000"/>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Pr>
        <w:tc>
          <w:tcPr>
            <w:tcW w:w="1873" w:type="dxa"/>
          </w:tcPr>
          <w:p w:rsidR="003E311F" w:rsidRPr="00515D00" w:rsidDel="000B184E"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Reunión consultiva de los países de la Alianza del Pacífico y otros países invitados, celebrada en Ginebra</w:t>
            </w:r>
          </w:p>
        </w:tc>
        <w:tc>
          <w:tcPr>
            <w:tcW w:w="1276" w:type="dxa"/>
          </w:tcPr>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6 de octubre de 2015</w:t>
            </w:r>
          </w:p>
        </w:tc>
        <w:tc>
          <w:tcPr>
            <w:tcW w:w="1984" w:type="dxa"/>
          </w:tcPr>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México/ Chile, Colombia, Cuba, Perú, la Oficina Europea de Patentes (OEB), y la Oficina Española de Patentes y Marcas.</w:t>
            </w:r>
          </w:p>
        </w:tc>
        <w:tc>
          <w:tcPr>
            <w:tcW w:w="4679" w:type="dxa"/>
          </w:tcPr>
          <w:p w:rsidR="003E311F" w:rsidRPr="00515D00" w:rsidDel="000B184E"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Promover el diálogo sobre temas comunes en la esfera de la propiedad industrial entre los países de la Alianza del Pacífico y otros países invitados.</w:t>
            </w:r>
          </w:p>
        </w:tc>
      </w:tr>
    </w:tbl>
    <w:p w:rsidR="003E311F" w:rsidRPr="007329AC" w:rsidRDefault="003E311F" w:rsidP="003E311F">
      <w:pPr>
        <w:rPr>
          <w:b/>
          <w:sz w:val="20"/>
        </w:rPr>
      </w:pPr>
    </w:p>
    <w:p w:rsidR="003E311F" w:rsidRPr="007329AC" w:rsidRDefault="003E311F" w:rsidP="003E311F">
      <w:pPr>
        <w:rPr>
          <w:sz w:val="20"/>
        </w:rPr>
      </w:pPr>
    </w:p>
    <w:p w:rsidR="003E311F" w:rsidRPr="007329AC" w:rsidRDefault="003E311F" w:rsidP="003E311F">
      <w:pPr>
        <w:rPr>
          <w:b/>
          <w:bCs/>
          <w:color w:val="000000"/>
          <w:sz w:val="20"/>
        </w:rPr>
      </w:pPr>
      <w:r w:rsidRPr="007329AC">
        <w:rPr>
          <w:b/>
          <w:sz w:val="20"/>
        </w:rPr>
        <w:t>MÉXICO</w:t>
      </w:r>
      <w:r w:rsidRPr="007329AC">
        <w:rPr>
          <w:b/>
          <w:bCs/>
          <w:color w:val="000000"/>
          <w:sz w:val="20"/>
        </w:rPr>
        <w:t xml:space="preserve"> </w:t>
      </w:r>
      <w:r w:rsidRPr="007329AC">
        <w:rPr>
          <w:b/>
          <w:sz w:val="20"/>
        </w:rPr>
        <w:t xml:space="preserve">– Contribuciones de donantes y gastos en </w:t>
      </w:r>
      <w:r w:rsidRPr="007329AC">
        <w:rPr>
          <w:b/>
          <w:bCs/>
          <w:color w:val="000000"/>
          <w:sz w:val="20"/>
        </w:rPr>
        <w:t>2015</w:t>
      </w:r>
    </w:p>
    <w:p w:rsidR="003E311F" w:rsidRPr="007329AC" w:rsidRDefault="003E311F" w:rsidP="003E311F">
      <w:pPr>
        <w:keepNext/>
        <w:keepLines/>
        <w:rPr>
          <w:b/>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auto" w:fill="C6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163.131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18.758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144.426</w:t>
            </w:r>
          </w:p>
        </w:tc>
      </w:tr>
    </w:tbl>
    <w:p w:rsidR="003E311F" w:rsidRPr="007329AC" w:rsidRDefault="003E311F" w:rsidP="003E311F">
      <w:pPr>
        <w:keepNext/>
        <w:keepLines/>
        <w:rPr>
          <w:b/>
          <w:sz w:val="20"/>
        </w:rPr>
      </w:pPr>
    </w:p>
    <w:p w:rsidR="003E311F" w:rsidRPr="007329AC" w:rsidRDefault="003E311F" w:rsidP="003E311F">
      <w:pPr>
        <w:keepNext/>
        <w:keepLines/>
        <w:rPr>
          <w:b/>
          <w:sz w:val="20"/>
        </w:rPr>
      </w:pPr>
    </w:p>
    <w:p w:rsidR="003E311F" w:rsidRPr="007329AC" w:rsidRDefault="003E311F" w:rsidP="003E311F">
      <w:pPr>
        <w:rPr>
          <w:b/>
          <w:sz w:val="20"/>
        </w:rPr>
      </w:pPr>
      <w:r w:rsidRPr="007329AC">
        <w:rPr>
          <w:b/>
          <w:sz w:val="20"/>
        </w:rPr>
        <w:t>ESPAÑA</w:t>
      </w:r>
      <w:r w:rsidRPr="007329AC">
        <w:rPr>
          <w:rStyle w:val="FootnoteReference"/>
          <w:b/>
          <w:sz w:val="20"/>
        </w:rPr>
        <w:footnoteReference w:id="166"/>
      </w:r>
    </w:p>
    <w:p w:rsidR="003E311F" w:rsidRPr="007329AC" w:rsidRDefault="003E311F" w:rsidP="003E311F">
      <w:pPr>
        <w:rPr>
          <w:b/>
          <w:sz w:val="20"/>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90"/>
        <w:gridCol w:w="57"/>
        <w:gridCol w:w="142"/>
        <w:gridCol w:w="971"/>
        <w:gridCol w:w="163"/>
        <w:gridCol w:w="1699"/>
        <w:gridCol w:w="28"/>
        <w:gridCol w:w="116"/>
        <w:gridCol w:w="4536"/>
      </w:tblGrid>
      <w:tr w:rsidR="003E311F" w:rsidRPr="00092F2E" w:rsidTr="007A358B">
        <w:trPr>
          <w:cantSplit/>
        </w:trPr>
        <w:tc>
          <w:tcPr>
            <w:tcW w:w="9782" w:type="dxa"/>
            <w:gridSpan w:val="10"/>
            <w:tcBorders>
              <w:top w:val="single" w:sz="4" w:space="0" w:color="auto"/>
              <w:bottom w:val="single" w:sz="4" w:space="0" w:color="auto"/>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Pr>
        <w:tc>
          <w:tcPr>
            <w:tcW w:w="2269" w:type="dxa"/>
            <w:gridSpan w:val="4"/>
            <w:tcBorders>
              <w:top w:val="single" w:sz="4" w:space="0" w:color="auto"/>
              <w:bottom w:val="nil"/>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34" w:type="dxa"/>
            <w:gridSpan w:val="2"/>
            <w:tcBorders>
              <w:top w:val="single" w:sz="4" w:space="0" w:color="auto"/>
              <w:bottom w:val="nil"/>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43" w:type="dxa"/>
            <w:gridSpan w:val="3"/>
            <w:tcBorders>
              <w:top w:val="single" w:sz="4" w:space="0" w:color="auto"/>
              <w:bottom w:val="nil"/>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536" w:type="dxa"/>
            <w:tcBorders>
              <w:top w:val="single" w:sz="4" w:space="0" w:color="auto"/>
              <w:bottom w:val="nil"/>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Pr>
        <w:tc>
          <w:tcPr>
            <w:tcW w:w="2269" w:type="dxa"/>
            <w:gridSpan w:val="4"/>
            <w:tcBorders>
              <w:top w:val="nil"/>
              <w:bottom w:val="single" w:sz="4" w:space="0" w:color="auto"/>
            </w:tcBorders>
          </w:tcPr>
          <w:p w:rsidR="003E311F" w:rsidRPr="00515D00" w:rsidRDefault="003E311F" w:rsidP="007A358B">
            <w:pPr>
              <w:spacing w:before="60" w:after="60"/>
              <w:rPr>
                <w:sz w:val="16"/>
                <w:szCs w:val="16"/>
              </w:rPr>
            </w:pPr>
            <w:r w:rsidRPr="00515D00">
              <w:rPr>
                <w:sz w:val="16"/>
                <w:szCs w:val="16"/>
              </w:rPr>
              <w:t>III Seminario regional OMPI / OEPM / AECID sobre las marcas y los diseños industriales como factores y activos empresariales:  Crear una estrategia nacional de desarrollo de marcas</w:t>
            </w:r>
          </w:p>
        </w:tc>
        <w:tc>
          <w:tcPr>
            <w:tcW w:w="1134" w:type="dxa"/>
            <w:gridSpan w:val="2"/>
            <w:tcBorders>
              <w:top w:val="nil"/>
              <w:bottom w:val="single" w:sz="4" w:space="0" w:color="auto"/>
            </w:tcBorders>
            <w:shd w:val="clear" w:color="auto" w:fill="auto"/>
            <w:tcMar>
              <w:top w:w="110" w:type="dxa"/>
            </w:tcMar>
          </w:tcPr>
          <w:p w:rsidR="003E311F" w:rsidRPr="00515D00" w:rsidRDefault="003E311F" w:rsidP="007A358B">
            <w:pPr>
              <w:spacing w:before="60" w:after="60"/>
              <w:rPr>
                <w:sz w:val="16"/>
                <w:szCs w:val="16"/>
              </w:rPr>
            </w:pPr>
            <w:r w:rsidRPr="00515D00">
              <w:rPr>
                <w:sz w:val="16"/>
                <w:szCs w:val="16"/>
              </w:rPr>
              <w:t>26 a 29 de octubre de 2015</w:t>
            </w:r>
          </w:p>
        </w:tc>
        <w:tc>
          <w:tcPr>
            <w:tcW w:w="1843" w:type="dxa"/>
            <w:gridSpan w:val="3"/>
            <w:tcBorders>
              <w:top w:val="nil"/>
              <w:bottom w:val="single" w:sz="4" w:space="0" w:color="auto"/>
            </w:tcBorders>
            <w:shd w:val="clear" w:color="auto" w:fill="auto"/>
            <w:tcMar>
              <w:top w:w="110" w:type="dxa"/>
            </w:tcMar>
          </w:tcPr>
          <w:p w:rsidR="003E311F" w:rsidRPr="00515D00" w:rsidRDefault="003E311F" w:rsidP="007A358B">
            <w:pPr>
              <w:spacing w:before="60" w:after="60"/>
              <w:rPr>
                <w:sz w:val="16"/>
                <w:szCs w:val="16"/>
              </w:rPr>
            </w:pPr>
            <w:r w:rsidRPr="00515D00">
              <w:rPr>
                <w:sz w:val="16"/>
                <w:szCs w:val="16"/>
              </w:rPr>
              <w:t>Colombia / Todos los países de América Latina</w:t>
            </w:r>
          </w:p>
        </w:tc>
        <w:tc>
          <w:tcPr>
            <w:tcW w:w="4536" w:type="dxa"/>
            <w:tcBorders>
              <w:top w:val="nil"/>
              <w:bottom w:val="single" w:sz="4" w:space="0" w:color="auto"/>
            </w:tcBorders>
            <w:shd w:val="clear" w:color="auto" w:fill="FFFFFF"/>
            <w:tcMar>
              <w:top w:w="110" w:type="dxa"/>
            </w:tcMar>
          </w:tcPr>
          <w:p w:rsidR="003E311F" w:rsidRPr="00515D00" w:rsidRDefault="003E311F" w:rsidP="007A358B">
            <w:pPr>
              <w:spacing w:before="60" w:after="60"/>
              <w:rPr>
                <w:sz w:val="16"/>
                <w:szCs w:val="16"/>
              </w:rPr>
            </w:pPr>
            <w:r w:rsidRPr="00515D00">
              <w:rPr>
                <w:sz w:val="16"/>
                <w:szCs w:val="16"/>
              </w:rPr>
              <w:t>i) Alentar la creación de programas nacionales de desarrollo de marcas;  ii) brindar un foro de debate sobre la naturaleza jurídica de dichos programas y promover un enfoque regional a la cuestión;  iii) promover el intercambio de experiencias y la presentación de prácticas óptimas.</w:t>
            </w:r>
          </w:p>
        </w:tc>
      </w:tr>
      <w:tr w:rsidR="003E311F" w:rsidRPr="00092F2E" w:rsidTr="007A358B">
        <w:trPr>
          <w:cantSplit/>
        </w:trPr>
        <w:tc>
          <w:tcPr>
            <w:tcW w:w="9782" w:type="dxa"/>
            <w:gridSpan w:val="10"/>
            <w:tcBorders>
              <w:top w:val="single" w:sz="4" w:space="0" w:color="auto"/>
              <w:bottom w:val="single" w:sz="4" w:space="0" w:color="auto"/>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lastRenderedPageBreak/>
              <w:t>RESULTADO:</w:t>
            </w:r>
            <w:r w:rsidRPr="00515D00">
              <w:rPr>
                <w:b/>
                <w:bCs/>
                <w:sz w:val="16"/>
                <w:szCs w:val="16"/>
              </w:rPr>
              <w:tab/>
            </w:r>
            <w:r w:rsidRPr="00515D00">
              <w:rPr>
                <w:bCs/>
                <w:color w:val="000000"/>
                <w:sz w:val="16"/>
                <w:szCs w:val="16"/>
              </w:rPr>
              <w:t>III.4  Fortalecimiento de los mecanismos y de los programas de cooperación conforme a las necesidades de los países en desarrollo y los PMA</w:t>
            </w:r>
          </w:p>
        </w:tc>
      </w:tr>
      <w:tr w:rsidR="003E311F" w:rsidRPr="00515D00" w:rsidTr="007A358B">
        <w:trPr>
          <w:cantSplit/>
        </w:trPr>
        <w:tc>
          <w:tcPr>
            <w:tcW w:w="2070" w:type="dxa"/>
            <w:gridSpan w:val="2"/>
            <w:tcBorders>
              <w:top w:val="single" w:sz="4" w:space="0" w:color="auto"/>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170" w:type="dxa"/>
            <w:gridSpan w:val="3"/>
            <w:tcBorders>
              <w:top w:val="single" w:sz="4" w:space="0" w:color="auto"/>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62" w:type="dxa"/>
            <w:gridSpan w:val="2"/>
            <w:tcBorders>
              <w:top w:val="single" w:sz="4" w:space="0" w:color="auto"/>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80" w:type="dxa"/>
            <w:gridSpan w:val="3"/>
            <w:tcBorders>
              <w:top w:val="single" w:sz="4" w:space="0" w:color="auto"/>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1155"/>
        </w:trPr>
        <w:tc>
          <w:tcPr>
            <w:tcW w:w="2070" w:type="dxa"/>
            <w:gridSpan w:val="2"/>
            <w:tcBorders>
              <w:top w:val="nil"/>
              <w:bottom w:val="nil"/>
            </w:tcBorders>
          </w:tcPr>
          <w:p w:rsidR="003E311F" w:rsidRPr="00515D00" w:rsidRDefault="003E311F" w:rsidP="007A358B">
            <w:pPr>
              <w:keepNext/>
              <w:keepLines/>
              <w:autoSpaceDE w:val="0"/>
              <w:autoSpaceDN w:val="0"/>
              <w:adjustRightInd w:val="0"/>
              <w:spacing w:before="60" w:after="60"/>
              <w:rPr>
                <w:color w:val="000000"/>
                <w:sz w:val="16"/>
                <w:szCs w:val="16"/>
              </w:rPr>
            </w:pPr>
            <w:r w:rsidRPr="00515D00">
              <w:rPr>
                <w:sz w:val="16"/>
                <w:szCs w:val="16"/>
              </w:rPr>
              <w:t>XIV Seminario regional OMPI / OEPM / AECID sobre P.I. para jueces y fiscales de América Latina</w:t>
            </w:r>
            <w:r w:rsidRPr="00515D00">
              <w:rPr>
                <w:color w:val="000000"/>
                <w:sz w:val="16"/>
                <w:szCs w:val="16"/>
              </w:rPr>
              <w:t xml:space="preserve"> </w:t>
            </w:r>
          </w:p>
        </w:tc>
        <w:tc>
          <w:tcPr>
            <w:tcW w:w="1170" w:type="dxa"/>
            <w:gridSpan w:val="3"/>
            <w:tcBorders>
              <w:top w:val="nil"/>
              <w:bottom w:val="nil"/>
            </w:tcBorders>
          </w:tcPr>
          <w:p w:rsidR="003E311F" w:rsidRPr="00515D00" w:rsidRDefault="003E311F" w:rsidP="007A358B">
            <w:pPr>
              <w:keepNext/>
              <w:keepLines/>
              <w:autoSpaceDE w:val="0"/>
              <w:autoSpaceDN w:val="0"/>
              <w:adjustRightInd w:val="0"/>
              <w:spacing w:before="60" w:after="60"/>
              <w:rPr>
                <w:color w:val="000000"/>
                <w:sz w:val="16"/>
                <w:szCs w:val="16"/>
              </w:rPr>
            </w:pPr>
            <w:r w:rsidRPr="00515D00">
              <w:rPr>
                <w:color w:val="000000"/>
                <w:sz w:val="16"/>
                <w:szCs w:val="16"/>
              </w:rPr>
              <w:t>16 a 20 de febrero de 2015</w:t>
            </w:r>
          </w:p>
        </w:tc>
        <w:tc>
          <w:tcPr>
            <w:tcW w:w="1862" w:type="dxa"/>
            <w:gridSpan w:val="2"/>
            <w:tcBorders>
              <w:top w:val="nil"/>
              <w:bottom w:val="nil"/>
            </w:tcBorders>
          </w:tcPr>
          <w:p w:rsidR="003E311F" w:rsidRPr="00515D00" w:rsidRDefault="003E311F" w:rsidP="007A358B">
            <w:pPr>
              <w:keepNext/>
              <w:keepLines/>
              <w:autoSpaceDE w:val="0"/>
              <w:autoSpaceDN w:val="0"/>
              <w:adjustRightInd w:val="0"/>
              <w:spacing w:before="60" w:after="60"/>
              <w:rPr>
                <w:color w:val="000000"/>
                <w:sz w:val="16"/>
                <w:szCs w:val="16"/>
              </w:rPr>
            </w:pPr>
            <w:r w:rsidRPr="00515D00">
              <w:rPr>
                <w:sz w:val="16"/>
                <w:szCs w:val="16"/>
              </w:rPr>
              <w:t>Todos los países de América Latina y el Tribunal de la Comunidad Andina</w:t>
            </w:r>
          </w:p>
        </w:tc>
        <w:tc>
          <w:tcPr>
            <w:tcW w:w="4680" w:type="dxa"/>
            <w:gridSpan w:val="3"/>
            <w:tcBorders>
              <w:top w:val="nil"/>
              <w:bottom w:val="nil"/>
            </w:tcBorders>
          </w:tcPr>
          <w:p w:rsidR="003E311F" w:rsidRPr="00515D00" w:rsidRDefault="003E311F" w:rsidP="007A358B">
            <w:pPr>
              <w:keepNext/>
              <w:keepLines/>
              <w:autoSpaceDE w:val="0"/>
              <w:autoSpaceDN w:val="0"/>
              <w:adjustRightInd w:val="0"/>
              <w:spacing w:before="60" w:after="60"/>
              <w:rPr>
                <w:color w:val="000000"/>
                <w:sz w:val="16"/>
                <w:szCs w:val="16"/>
              </w:rPr>
            </w:pPr>
            <w:r w:rsidRPr="00515D00">
              <w:rPr>
                <w:sz w:val="16"/>
                <w:szCs w:val="16"/>
              </w:rPr>
              <w:t xml:space="preserve">i) Impartir formación sobre cuestiones de P.I. a los jueces y fiscales </w:t>
            </w:r>
            <w:r>
              <w:rPr>
                <w:sz w:val="16"/>
                <w:szCs w:val="16"/>
              </w:rPr>
              <w:t>con responsabilidades en esta materia</w:t>
            </w:r>
            <w:r w:rsidRPr="00515D00">
              <w:rPr>
                <w:sz w:val="16"/>
                <w:szCs w:val="16"/>
              </w:rPr>
              <w:t xml:space="preserve"> en los países de América Latina, con el fin de mejorar el proceso de toma de decisiones en la </w:t>
            </w:r>
            <w:r>
              <w:rPr>
                <w:sz w:val="16"/>
                <w:szCs w:val="16"/>
              </w:rPr>
              <w:t>re</w:t>
            </w:r>
            <w:r w:rsidRPr="00515D00">
              <w:rPr>
                <w:sz w:val="16"/>
                <w:szCs w:val="16"/>
              </w:rPr>
              <w:t>solución de litigios;  y ii) dar información actualizada e impartir formación práctica a los participantes en el ámbito de las patentes, las marcas y el derecho de autor, así como en contenciosos relacionados con la observancia.</w:t>
            </w:r>
          </w:p>
        </w:tc>
      </w:tr>
      <w:tr w:rsidR="003E311F" w:rsidRPr="00092F2E" w:rsidTr="007A358B">
        <w:tblPrEx>
          <w:tblBorders>
            <w:top w:val="single" w:sz="4" w:space="0" w:color="000000"/>
            <w:left w:val="single" w:sz="4" w:space="0" w:color="000000"/>
            <w:bottom w:val="single" w:sz="4" w:space="0" w:color="000000"/>
            <w:right w:val="single" w:sz="4" w:space="0" w:color="000000"/>
          </w:tblBorders>
        </w:tblPrEx>
        <w:trPr>
          <w:cantSplit/>
          <w:trHeight w:val="1388"/>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Plataforma en español sobre servicios y contenidos de P.I. adaptada a las necesidades del sector empresarial de América Latina, con especial hincapié en las </w:t>
            </w:r>
            <w:r>
              <w:rPr>
                <w:sz w:val="16"/>
                <w:szCs w:val="16"/>
              </w:rPr>
              <w:t>pymes</w:t>
            </w:r>
            <w:r w:rsidRPr="00515D00">
              <w:rPr>
                <w:sz w:val="16"/>
                <w:szCs w:val="16"/>
              </w:rPr>
              <w:t xml:space="preserve"> (CIBEPYME)</w:t>
            </w:r>
          </w:p>
        </w:tc>
        <w:tc>
          <w:tcPr>
            <w:tcW w:w="1170" w:type="dxa"/>
            <w:gridSpan w:val="3"/>
            <w:tcBorders>
              <w:top w:val="nil"/>
              <w:bottom w:val="nil"/>
            </w:tcBorders>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(Proyecto en curso desde 2010)</w:t>
            </w:r>
          </w:p>
        </w:tc>
        <w:tc>
          <w:tcPr>
            <w:tcW w:w="1890" w:type="dxa"/>
            <w:gridSpan w:val="3"/>
            <w:tcBorders>
              <w:top w:val="nil"/>
              <w:bottom w:val="nil"/>
            </w:tcBorders>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Todos los países de América Latina</w:t>
            </w:r>
          </w:p>
        </w:tc>
        <w:tc>
          <w:tcPr>
            <w:tcW w:w="4652" w:type="dxa"/>
            <w:gridSpan w:val="2"/>
            <w:tcBorders>
              <w:top w:val="nil"/>
              <w:bottom w:val="nil"/>
            </w:tcBorders>
            <w:shd w:val="clear" w:color="auto" w:fill="FFFFFF"/>
            <w:tcMar>
              <w:top w:w="110" w:type="dxa"/>
            </w:tcMar>
          </w:tcPr>
          <w:p w:rsidR="003E311F" w:rsidRPr="00515D00" w:rsidRDefault="003E311F" w:rsidP="007A358B">
            <w:pPr>
              <w:autoSpaceDE w:val="0"/>
              <w:autoSpaceDN w:val="0"/>
              <w:adjustRightInd w:val="0"/>
              <w:spacing w:before="60" w:after="60"/>
              <w:rPr>
                <w:color w:val="000000"/>
                <w:sz w:val="16"/>
                <w:szCs w:val="16"/>
              </w:rPr>
            </w:pPr>
            <w:r>
              <w:rPr>
                <w:sz w:val="16"/>
                <w:szCs w:val="16"/>
              </w:rPr>
              <w:t>Proseguir el proceso de diseño y creación de</w:t>
            </w:r>
            <w:r w:rsidRPr="00515D00">
              <w:rPr>
                <w:sz w:val="16"/>
                <w:szCs w:val="16"/>
              </w:rPr>
              <w:t xml:space="preserve"> una plataforma dirigida al sector privado para i) proporcionar asistencia y servicios relacionados con </w:t>
            </w:r>
            <w:r>
              <w:rPr>
                <w:sz w:val="16"/>
                <w:szCs w:val="16"/>
              </w:rPr>
              <w:t>el</w:t>
            </w:r>
            <w:r w:rsidRPr="00515D00">
              <w:rPr>
                <w:sz w:val="16"/>
                <w:szCs w:val="16"/>
              </w:rPr>
              <w:t xml:space="preserve"> uso </w:t>
            </w:r>
            <w:r>
              <w:rPr>
                <w:sz w:val="16"/>
                <w:szCs w:val="16"/>
              </w:rPr>
              <w:t xml:space="preserve">que hace este sector </w:t>
            </w:r>
            <w:r w:rsidRPr="00515D00">
              <w:rPr>
                <w:sz w:val="16"/>
                <w:szCs w:val="16"/>
              </w:rPr>
              <w:t xml:space="preserve">de la P.I.;  ii) aumentar el valor de sus negocios;  y iii) ofrecer un foro para </w:t>
            </w:r>
            <w:r>
              <w:rPr>
                <w:sz w:val="16"/>
                <w:szCs w:val="16"/>
              </w:rPr>
              <w:t>el intercambio de</w:t>
            </w:r>
            <w:r w:rsidRPr="00515D00">
              <w:rPr>
                <w:sz w:val="16"/>
                <w:szCs w:val="16"/>
              </w:rPr>
              <w:t xml:space="preserve"> ideas y experiencias.</w:t>
            </w:r>
          </w:p>
        </w:tc>
      </w:tr>
      <w:tr w:rsidR="003E311F" w:rsidRPr="00092F2E" w:rsidTr="007A358B">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Proyecto regional de automatización para la traducción al español del nivel avanzado de la Clasificación Internacional de Patentes (CIP)</w:t>
            </w:r>
          </w:p>
        </w:tc>
        <w:tc>
          <w:tcPr>
            <w:tcW w:w="117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(Proyecto en curso desde 2010)</w:t>
            </w:r>
          </w:p>
        </w:tc>
        <w:tc>
          <w:tcPr>
            <w:tcW w:w="189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Todos los países de América Latina</w:t>
            </w:r>
          </w:p>
        </w:tc>
        <w:tc>
          <w:tcPr>
            <w:tcW w:w="4652"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Instrumentar la automatización de la traducción al español del nivel avanzado de la CIP, puesto que se encargó inicialmente solo al francés e inglés;  y ii) ponerla a disposición de las oficinas de propiedad industrial de los países de América Latina.</w:t>
            </w:r>
          </w:p>
        </w:tc>
      </w:tr>
      <w:tr w:rsidR="003E311F" w:rsidRPr="00092F2E" w:rsidTr="007A358B">
        <w:tblPrEx>
          <w:tblBorders>
            <w:top w:val="single" w:sz="4" w:space="0" w:color="000000"/>
            <w:left w:val="single" w:sz="4" w:space="0" w:color="000000"/>
            <w:bottom w:val="single" w:sz="4" w:space="0" w:color="000000"/>
            <w:right w:val="single" w:sz="4" w:space="0" w:color="000000"/>
          </w:tblBorders>
        </w:tblPrEx>
        <w:trPr>
          <w:cantSplit/>
        </w:trPr>
        <w:tc>
          <w:tcPr>
            <w:tcW w:w="2127" w:type="dxa"/>
            <w:gridSpan w:val="3"/>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Seminario regional del PCT y el Tratado de Budapest para los países de América Latina</w:t>
            </w:r>
          </w:p>
        </w:tc>
        <w:tc>
          <w:tcPr>
            <w:tcW w:w="1113"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28 a 31 de julio de 2015</w:t>
            </w:r>
          </w:p>
        </w:tc>
        <w:tc>
          <w:tcPr>
            <w:tcW w:w="1890" w:type="dxa"/>
            <w:gridSpan w:val="3"/>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Ecuador/ Todos los países de América Latina</w:t>
            </w:r>
          </w:p>
        </w:tc>
        <w:tc>
          <w:tcPr>
            <w:tcW w:w="4652" w:type="dxa"/>
            <w:gridSpan w:val="2"/>
            <w:tcBorders>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Compartir experiencias y mantener informadas a las oficinas nacionales acerca de las novedades recientes en el sistema del PCT.</w:t>
            </w:r>
          </w:p>
        </w:tc>
      </w:tr>
      <w:tr w:rsidR="003E311F" w:rsidRPr="00092F2E" w:rsidTr="007A358B">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Seminario sobre observancia de derechos de propiedad intelectual</w:t>
            </w:r>
            <w:r w:rsidR="005871AE" w:rsidRPr="00386789">
              <w:rPr>
                <w:rStyle w:val="FootnoteReference"/>
                <w:color w:val="000000"/>
                <w:sz w:val="16"/>
                <w:szCs w:val="16"/>
              </w:rPr>
              <w:footnoteReference w:id="167"/>
            </w:r>
          </w:p>
        </w:tc>
        <w:tc>
          <w:tcPr>
            <w:tcW w:w="117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27 a 28 de julio de 2015</w:t>
            </w:r>
          </w:p>
        </w:tc>
        <w:tc>
          <w:tcPr>
            <w:tcW w:w="189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México/ Ecuador, Honduras, Paraguay, Perú, México y España</w:t>
            </w:r>
          </w:p>
        </w:tc>
        <w:tc>
          <w:tcPr>
            <w:tcW w:w="4652"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i) </w:t>
            </w:r>
            <w:r>
              <w:rPr>
                <w:color w:val="000000"/>
                <w:sz w:val="16"/>
                <w:szCs w:val="16"/>
              </w:rPr>
              <w:t>Proporcionar</w:t>
            </w:r>
            <w:r w:rsidRPr="00515D00">
              <w:rPr>
                <w:color w:val="000000"/>
                <w:sz w:val="16"/>
                <w:szCs w:val="16"/>
              </w:rPr>
              <w:t xml:space="preserve"> información actualizada a las autoridades responsables de la P.I. sobre diferentes enfoques de la observancia de los derechos de P.I.;  ii) brindar un foro donde las oficinas nacionales de P.I. de los países de América Latina puedan intercambiar experiencias sobre la promoción y el desarrollo del respeto a los derechos de P.I.;  </w:t>
            </w:r>
            <w:r>
              <w:rPr>
                <w:color w:val="000000"/>
                <w:sz w:val="16"/>
                <w:szCs w:val="16"/>
              </w:rPr>
              <w:t>iii</w:t>
            </w:r>
            <w:r w:rsidRPr="00515D00">
              <w:rPr>
                <w:color w:val="000000"/>
                <w:sz w:val="16"/>
                <w:szCs w:val="16"/>
              </w:rPr>
              <w:t>) fortalecer los lazos de colaboración territorial e institucional en el ámbito de la observancia.</w:t>
            </w:r>
          </w:p>
        </w:tc>
      </w:tr>
      <w:tr w:rsidR="003E311F" w:rsidRPr="00092F2E" w:rsidTr="00F8003C">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Día contra la falsificación para las cámaras de comercio y los empresarios</w:t>
            </w:r>
            <w:r w:rsidRPr="00386789">
              <w:rPr>
                <w:rStyle w:val="FootnoteReference"/>
                <w:color w:val="000000"/>
                <w:sz w:val="16"/>
                <w:szCs w:val="16"/>
              </w:rPr>
              <w:footnoteReference w:id="168"/>
            </w:r>
          </w:p>
        </w:tc>
        <w:tc>
          <w:tcPr>
            <w:tcW w:w="117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29 de julio de 2015</w:t>
            </w:r>
          </w:p>
        </w:tc>
        <w:tc>
          <w:tcPr>
            <w:tcW w:w="189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México/ Ecuador, Honduras, Paraguay, Perú, México y España</w:t>
            </w:r>
          </w:p>
        </w:tc>
        <w:tc>
          <w:tcPr>
            <w:tcW w:w="4652"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i) Reunir a funcionarios gubernamentales de alto nivel y a líderes empresariales para que pongan su experiencia al servicio de mejorar la coordinación y la cooperación internacional con el fin de desarrollar soluciones más eficaces en la lucha contra la falsificación;  y ii) ofrecer una visión de conjunto de los servicios y el apoyo público disponibles en el ámbito de la observancia de los derechos de P.I.</w:t>
            </w:r>
          </w:p>
        </w:tc>
      </w:tr>
      <w:tr w:rsidR="003E311F" w:rsidRPr="00092F2E" w:rsidTr="00F8003C">
        <w:tblPrEx>
          <w:tblBorders>
            <w:top w:val="single" w:sz="4" w:space="0" w:color="000000"/>
            <w:left w:val="single" w:sz="4" w:space="0" w:color="000000"/>
            <w:bottom w:val="single" w:sz="4" w:space="0" w:color="000000"/>
            <w:right w:val="single" w:sz="4" w:space="0" w:color="000000"/>
          </w:tblBorders>
        </w:tblPrEx>
        <w:trPr>
          <w:cantSplit/>
        </w:trPr>
        <w:tc>
          <w:tcPr>
            <w:tcW w:w="2070"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Reunión subregional sobre patentes para países de América Central, Panamá y la República Dominicana para el examen y la aprobación de un manual sobre el examen de solicitudes de patente y el fortalecimiento de los mecanismos de cooperación</w:t>
            </w:r>
          </w:p>
        </w:tc>
        <w:tc>
          <w:tcPr>
            <w:tcW w:w="117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30 de junio a 2 de julio de 2015</w:t>
            </w:r>
          </w:p>
        </w:tc>
        <w:tc>
          <w:tcPr>
            <w:tcW w:w="1890" w:type="dxa"/>
            <w:gridSpan w:val="3"/>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Panamá/ </w:t>
            </w:r>
            <w:r w:rsidRPr="00515D00">
              <w:rPr>
                <w:sz w:val="16"/>
                <w:szCs w:val="16"/>
              </w:rPr>
              <w:t>países de América Central</w:t>
            </w:r>
            <w:r w:rsidRPr="00515D00">
              <w:rPr>
                <w:color w:val="000000"/>
                <w:sz w:val="16"/>
                <w:szCs w:val="16"/>
              </w:rPr>
              <w:t xml:space="preserve"> y República Dominicana</w:t>
            </w:r>
          </w:p>
        </w:tc>
        <w:tc>
          <w:tcPr>
            <w:tcW w:w="4652" w:type="dxa"/>
            <w:gridSpan w:val="2"/>
            <w:tcBorders>
              <w:top w:val="nil"/>
              <w:bottom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i) Brindar la oportunidad de actualizar el manual sobre el examen de patentes para países de América Central, Panamá y la República Dominicana;  ii) proponer medidas conducentes a la utilización futura del manual en los procedimientos de examen de esos países;  y iii) establecer medidas para fortalecer los mecanismos de cooperación con miras a lograr el consenso para que el manual siga siendo de utilidad.</w:t>
            </w:r>
          </w:p>
        </w:tc>
      </w:tr>
      <w:tr w:rsidR="003E311F" w:rsidRPr="00092F2E" w:rsidTr="00F8003C">
        <w:trPr>
          <w:cantSplit/>
        </w:trPr>
        <w:tc>
          <w:tcPr>
            <w:tcW w:w="2070" w:type="dxa"/>
            <w:gridSpan w:val="2"/>
            <w:tcBorders>
              <w:top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Programa Iberoamericano de P.I. (IBEPI)</w:t>
            </w:r>
          </w:p>
        </w:tc>
        <w:tc>
          <w:tcPr>
            <w:tcW w:w="1170" w:type="dxa"/>
            <w:gridSpan w:val="3"/>
            <w:tcBorders>
              <w:top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tc>
        <w:tc>
          <w:tcPr>
            <w:tcW w:w="1862" w:type="dxa"/>
            <w:gridSpan w:val="2"/>
            <w:tcBorders>
              <w:top w:val="nil"/>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Todos los países de América Latina</w:t>
            </w:r>
          </w:p>
        </w:tc>
        <w:tc>
          <w:tcPr>
            <w:tcW w:w="4680" w:type="dxa"/>
            <w:gridSpan w:val="3"/>
            <w:tcBorders>
              <w:top w:val="nil"/>
            </w:tcBorders>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Fomentar el desarrollo social y económico en la región, en el marco de la Cumbre Iberoamericana de Jefes de Estado y de Gobierno.</w:t>
            </w:r>
          </w:p>
        </w:tc>
      </w:tr>
      <w:tr w:rsidR="003E311F" w:rsidRPr="00092F2E" w:rsidTr="007A358B">
        <w:trPr>
          <w:cantSplit/>
        </w:trPr>
        <w:tc>
          <w:tcPr>
            <w:tcW w:w="2070" w:type="dxa"/>
            <w:gridSpan w:val="2"/>
            <w:tcBorders>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lastRenderedPageBreak/>
              <w:t xml:space="preserve">Reunión del Comité Intergubernamental del IBEPI </w:t>
            </w:r>
          </w:p>
        </w:tc>
        <w:tc>
          <w:tcPr>
            <w:tcW w:w="1170" w:type="dxa"/>
            <w:gridSpan w:val="3"/>
            <w:tcBorders>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1 </w:t>
            </w:r>
            <w:r>
              <w:rPr>
                <w:color w:val="000000"/>
                <w:sz w:val="16"/>
                <w:szCs w:val="16"/>
              </w:rPr>
              <w:t>a</w:t>
            </w:r>
            <w:r w:rsidRPr="00515D00">
              <w:rPr>
                <w:color w:val="000000"/>
                <w:sz w:val="16"/>
                <w:szCs w:val="16"/>
              </w:rPr>
              <w:t xml:space="preserve"> 2 de octubre de 2015</w:t>
            </w:r>
          </w:p>
        </w:tc>
        <w:tc>
          <w:tcPr>
            <w:tcW w:w="1862" w:type="dxa"/>
            <w:gridSpan w:val="2"/>
            <w:tcBorders>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España/ Todos los países de América Latina</w:t>
            </w:r>
          </w:p>
        </w:tc>
        <w:tc>
          <w:tcPr>
            <w:tcW w:w="4680" w:type="dxa"/>
            <w:gridSpan w:val="3"/>
            <w:tcBorders>
              <w:bottom w:val="single" w:sz="4" w:space="0" w:color="auto"/>
            </w:tcBorders>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Facilitar la organización de la reunión del Comité Intergubernamental del IBEPI, organizado en colaboración con la Secretaría del IBEPI.</w:t>
            </w:r>
          </w:p>
        </w:tc>
      </w:tr>
      <w:tr w:rsidR="003E311F" w:rsidRPr="00092F2E" w:rsidTr="007A358B">
        <w:trPr>
          <w:cantSplit/>
        </w:trPr>
        <w:tc>
          <w:tcPr>
            <w:tcW w:w="9782" w:type="dxa"/>
            <w:gridSpan w:val="10"/>
            <w:tcBorders>
              <w:top w:val="single" w:sz="4" w:space="0" w:color="auto"/>
              <w:bottom w:val="single" w:sz="4" w:space="0" w:color="auto"/>
            </w:tcBorders>
            <w:shd w:val="clear" w:color="auto" w:fill="C6D9F1"/>
            <w:vAlign w:val="center"/>
          </w:tcPr>
          <w:p w:rsidR="003E311F" w:rsidRPr="00515D00" w:rsidRDefault="003E311F" w:rsidP="007A358B">
            <w:pPr>
              <w:keepNext/>
              <w:keepLines/>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Pr>
        <w:tc>
          <w:tcPr>
            <w:tcW w:w="1980" w:type="dxa"/>
            <w:tcBorders>
              <w:top w:val="single" w:sz="4" w:space="0" w:color="auto"/>
            </w:tcBorders>
            <w:vAlign w:val="center"/>
          </w:tcPr>
          <w:p w:rsidR="003E311F" w:rsidRPr="00515D00" w:rsidRDefault="003E311F" w:rsidP="007A358B">
            <w:pPr>
              <w:keepNext/>
              <w:keepLines/>
              <w:spacing w:before="60" w:after="60"/>
              <w:rPr>
                <w:b/>
                <w:bCs/>
                <w:sz w:val="16"/>
                <w:szCs w:val="16"/>
              </w:rPr>
            </w:pPr>
            <w:r w:rsidRPr="00515D00">
              <w:rPr>
                <w:b/>
                <w:bCs/>
                <w:sz w:val="16"/>
                <w:szCs w:val="16"/>
              </w:rPr>
              <w:t>Actividad</w:t>
            </w:r>
          </w:p>
        </w:tc>
        <w:tc>
          <w:tcPr>
            <w:tcW w:w="1260" w:type="dxa"/>
            <w:gridSpan w:val="4"/>
            <w:tcBorders>
              <w:top w:val="single" w:sz="4" w:space="0" w:color="auto"/>
            </w:tcBorders>
            <w:shd w:val="clear" w:color="auto" w:fill="auto"/>
            <w:tcMar>
              <w:top w:w="110" w:type="dxa"/>
            </w:tcMar>
            <w:vAlign w:val="center"/>
          </w:tcPr>
          <w:p w:rsidR="003E311F" w:rsidRPr="00515D00" w:rsidRDefault="003E311F" w:rsidP="007A358B">
            <w:pPr>
              <w:keepNext/>
              <w:keepLines/>
              <w:spacing w:before="60" w:after="60"/>
              <w:rPr>
                <w:sz w:val="16"/>
                <w:szCs w:val="16"/>
              </w:rPr>
            </w:pPr>
            <w:r w:rsidRPr="00515D00">
              <w:rPr>
                <w:b/>
                <w:bCs/>
                <w:sz w:val="16"/>
                <w:szCs w:val="16"/>
              </w:rPr>
              <w:t>Fecha</w:t>
            </w:r>
          </w:p>
        </w:tc>
        <w:tc>
          <w:tcPr>
            <w:tcW w:w="1862" w:type="dxa"/>
            <w:gridSpan w:val="2"/>
            <w:tcBorders>
              <w:top w:val="single" w:sz="4" w:space="0" w:color="auto"/>
            </w:tcBorders>
            <w:shd w:val="clear" w:color="auto" w:fill="auto"/>
            <w:tcMar>
              <w:top w:w="110" w:type="dxa"/>
            </w:tcMar>
            <w:vAlign w:val="center"/>
          </w:tcPr>
          <w:p w:rsidR="003E311F" w:rsidRPr="00515D00" w:rsidRDefault="003E311F" w:rsidP="007A358B">
            <w:pPr>
              <w:widowControl w:val="0"/>
              <w:rPr>
                <w:sz w:val="16"/>
                <w:szCs w:val="16"/>
              </w:rPr>
            </w:pPr>
            <w:r w:rsidRPr="00515D00">
              <w:rPr>
                <w:b/>
                <w:sz w:val="16"/>
                <w:szCs w:val="16"/>
              </w:rPr>
              <w:t>País anfitrión / Beneficiarios</w:t>
            </w:r>
          </w:p>
        </w:tc>
        <w:tc>
          <w:tcPr>
            <w:tcW w:w="4680" w:type="dxa"/>
            <w:gridSpan w:val="3"/>
            <w:tcBorders>
              <w:top w:val="single" w:sz="4" w:space="0" w:color="auto"/>
            </w:tcBorders>
            <w:shd w:val="clear" w:color="auto" w:fill="FFFFFF"/>
            <w:tcMar>
              <w:top w:w="110" w:type="dxa"/>
            </w:tcMar>
            <w:vAlign w:val="center"/>
          </w:tcPr>
          <w:p w:rsidR="003E311F" w:rsidRPr="00515D00" w:rsidRDefault="003E311F" w:rsidP="007A358B">
            <w:pPr>
              <w:widowControl w:val="0"/>
              <w:rPr>
                <w:sz w:val="16"/>
                <w:szCs w:val="16"/>
              </w:rPr>
            </w:pPr>
            <w:r w:rsidRPr="00515D00">
              <w:rPr>
                <w:b/>
                <w:sz w:val="16"/>
                <w:szCs w:val="16"/>
              </w:rPr>
              <w:t>Propósito(s)/Descripción</w:t>
            </w:r>
          </w:p>
        </w:tc>
      </w:tr>
      <w:tr w:rsidR="003E311F" w:rsidRPr="00092F2E" w:rsidTr="007A358B">
        <w:trPr>
          <w:cantSplit/>
          <w:trHeight w:val="1517"/>
        </w:trPr>
        <w:tc>
          <w:tcPr>
            <w:tcW w:w="1980" w:type="dxa"/>
          </w:tcPr>
          <w:p w:rsidR="003E311F" w:rsidRPr="00515D00" w:rsidRDefault="003E311F" w:rsidP="007A358B">
            <w:pPr>
              <w:keepNext/>
              <w:keepLines/>
              <w:autoSpaceDE w:val="0"/>
              <w:autoSpaceDN w:val="0"/>
              <w:adjustRightInd w:val="0"/>
              <w:spacing w:before="60" w:after="60"/>
              <w:rPr>
                <w:sz w:val="16"/>
                <w:szCs w:val="16"/>
              </w:rPr>
            </w:pPr>
            <w:r w:rsidRPr="00515D00">
              <w:rPr>
                <w:color w:val="000000"/>
                <w:sz w:val="16"/>
                <w:szCs w:val="16"/>
              </w:rPr>
              <w:t xml:space="preserve">VI </w:t>
            </w:r>
            <w:r w:rsidRPr="00515D00">
              <w:rPr>
                <w:sz w:val="16"/>
                <w:szCs w:val="16"/>
              </w:rPr>
              <w:t xml:space="preserve">Seminario regional sobre gestión </w:t>
            </w:r>
            <w:r>
              <w:rPr>
                <w:sz w:val="16"/>
                <w:szCs w:val="16"/>
              </w:rPr>
              <w:t xml:space="preserve">de </w:t>
            </w:r>
            <w:r w:rsidRPr="00515D00">
              <w:rPr>
                <w:sz w:val="16"/>
                <w:szCs w:val="16"/>
              </w:rPr>
              <w:t>oficinas de propiedad industrial</w:t>
            </w:r>
            <w:r>
              <w:rPr>
                <w:sz w:val="16"/>
                <w:szCs w:val="16"/>
              </w:rPr>
              <w:t>: la importancia de los programas de división del trabajo</w:t>
            </w:r>
          </w:p>
        </w:tc>
        <w:tc>
          <w:tcPr>
            <w:tcW w:w="1260" w:type="dxa"/>
            <w:gridSpan w:val="4"/>
          </w:tcPr>
          <w:p w:rsidR="003E311F" w:rsidRPr="00515D00" w:rsidRDefault="003E311F" w:rsidP="007A358B">
            <w:pPr>
              <w:keepNext/>
              <w:keepLines/>
              <w:autoSpaceDE w:val="0"/>
              <w:autoSpaceDN w:val="0"/>
              <w:adjustRightInd w:val="0"/>
              <w:spacing w:before="60" w:after="60"/>
              <w:rPr>
                <w:color w:val="000000"/>
                <w:sz w:val="16"/>
                <w:szCs w:val="16"/>
                <w:lang w:eastAsia="ja-JP"/>
              </w:rPr>
            </w:pPr>
            <w:r w:rsidRPr="00515D00">
              <w:rPr>
                <w:color w:val="000000"/>
                <w:sz w:val="16"/>
                <w:szCs w:val="16"/>
                <w:lang w:eastAsia="ja-JP"/>
              </w:rPr>
              <w:t>16 a 19 de marzo de 2015</w:t>
            </w:r>
          </w:p>
        </w:tc>
        <w:tc>
          <w:tcPr>
            <w:tcW w:w="1862" w:type="dxa"/>
            <w:gridSpan w:val="2"/>
          </w:tcPr>
          <w:p w:rsidR="003E311F" w:rsidRPr="00515D00" w:rsidRDefault="003E311F" w:rsidP="007A358B">
            <w:pPr>
              <w:keepNext/>
              <w:keepLines/>
              <w:autoSpaceDE w:val="0"/>
              <w:autoSpaceDN w:val="0"/>
              <w:adjustRightInd w:val="0"/>
              <w:spacing w:before="60" w:after="60"/>
              <w:rPr>
                <w:color w:val="000000"/>
                <w:sz w:val="16"/>
                <w:szCs w:val="16"/>
                <w:lang w:eastAsia="ja-JP"/>
              </w:rPr>
            </w:pPr>
            <w:r w:rsidRPr="00515D00">
              <w:rPr>
                <w:color w:val="000000"/>
                <w:sz w:val="16"/>
                <w:szCs w:val="16"/>
                <w:lang w:eastAsia="ja-JP"/>
              </w:rPr>
              <w:t xml:space="preserve">Colombia / </w:t>
            </w:r>
            <w:r w:rsidRPr="00515D00">
              <w:rPr>
                <w:color w:val="000000"/>
                <w:sz w:val="16"/>
                <w:szCs w:val="16"/>
              </w:rPr>
              <w:t>Todos los países de América Latina</w:t>
            </w:r>
          </w:p>
        </w:tc>
        <w:tc>
          <w:tcPr>
            <w:tcW w:w="4680" w:type="dxa"/>
            <w:gridSpan w:val="3"/>
          </w:tcPr>
          <w:p w:rsidR="003E311F" w:rsidRPr="00515D00" w:rsidRDefault="003E311F" w:rsidP="007A358B">
            <w:pPr>
              <w:keepNext/>
              <w:keepLines/>
              <w:autoSpaceDE w:val="0"/>
              <w:autoSpaceDN w:val="0"/>
              <w:adjustRightInd w:val="0"/>
              <w:spacing w:before="60" w:after="60"/>
              <w:rPr>
                <w:color w:val="000000"/>
                <w:sz w:val="16"/>
                <w:szCs w:val="16"/>
                <w:lang w:eastAsia="ja-JP"/>
              </w:rPr>
            </w:pPr>
            <w:r w:rsidRPr="00515D00">
              <w:rPr>
                <w:sz w:val="16"/>
                <w:szCs w:val="16"/>
              </w:rPr>
              <w:t>i) Ofrecer a los participantes información actualizada, formación práctica e instrumentos útiles para la gestión de las oficinas nacionales;  ii) brindar un foro para compartir prácticas óptimas;  y iii) desarrollar entre los administradores de las oficinas de P.I. de los países de América Latina el concepto de gestión orientada a la prestación de servicios.</w:t>
            </w:r>
          </w:p>
        </w:tc>
      </w:tr>
      <w:tr w:rsidR="003E311F" w:rsidRPr="00092F2E" w:rsidTr="007A358B">
        <w:trPr>
          <w:cantSplit/>
          <w:trHeight w:val="1656"/>
        </w:trPr>
        <w:tc>
          <w:tcPr>
            <w:tcW w:w="1980" w:type="dxa"/>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PROYECTO LATIPAT</w:t>
            </w:r>
            <w:r w:rsidRPr="00515D00">
              <w:rPr>
                <w:sz w:val="16"/>
                <w:szCs w:val="16"/>
              </w:rPr>
              <w:br/>
              <w:t>XI Reunión regional OMPI / OEPM / OEP de especialistas en TI y gestión de la información contenida en patentes de las oficinas de propiedad industrial de América Latina</w:t>
            </w:r>
          </w:p>
        </w:tc>
        <w:tc>
          <w:tcPr>
            <w:tcW w:w="1260" w:type="dxa"/>
            <w:gridSpan w:val="4"/>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4 a 6 de noviembre de 2016</w:t>
            </w:r>
          </w:p>
        </w:tc>
        <w:tc>
          <w:tcPr>
            <w:tcW w:w="1862" w:type="dxa"/>
            <w:gridSpan w:val="2"/>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México/ Todos los países de América Latina</w:t>
            </w:r>
          </w:p>
        </w:tc>
        <w:tc>
          <w:tcPr>
            <w:tcW w:w="4680" w:type="dxa"/>
            <w:gridSpan w:val="3"/>
          </w:tcPr>
          <w:p w:rsidR="003E311F" w:rsidRPr="00515D00" w:rsidRDefault="003E311F" w:rsidP="007A358B">
            <w:pPr>
              <w:autoSpaceDE w:val="0"/>
              <w:autoSpaceDN w:val="0"/>
              <w:adjustRightInd w:val="0"/>
              <w:spacing w:before="60" w:after="60"/>
              <w:rPr>
                <w:color w:val="000000"/>
                <w:sz w:val="16"/>
                <w:szCs w:val="16"/>
              </w:rPr>
            </w:pPr>
            <w:r w:rsidRPr="00515D00">
              <w:rPr>
                <w:sz w:val="16"/>
                <w:szCs w:val="16"/>
                <w:lang w:eastAsia="ja-JP"/>
              </w:rPr>
              <w:t>El proyecto LATIPAT se concibió para crear y ofrecer una base de datos con información de patentes de todos los países de América Latina.  En la actualidad, tanto en los países de América Latina como en distintos foros internacionales relacionados con la información contenida en las patentes, el proyecto LATIPAT constituye un ejemplo de dedicación, perseverancia y trabajo en equipo.  Gracias a una labor de 15 años, la base de datos contiene más de 2 millones de documentos y recibe una media de 14.000 visitas al mes</w:t>
            </w:r>
            <w:r w:rsidRPr="00515D00">
              <w:rPr>
                <w:color w:val="000000"/>
                <w:sz w:val="16"/>
                <w:szCs w:val="16"/>
              </w:rPr>
              <w:t>.</w:t>
            </w:r>
          </w:p>
        </w:tc>
      </w:tr>
    </w:tbl>
    <w:p w:rsidR="003E311F" w:rsidRPr="007329AC" w:rsidRDefault="003E311F" w:rsidP="003E311F">
      <w:pPr>
        <w:keepNext/>
        <w:keepLines/>
        <w:rPr>
          <w:b/>
          <w:sz w:val="20"/>
        </w:rPr>
      </w:pPr>
    </w:p>
    <w:p w:rsidR="003E311F" w:rsidRPr="007329AC" w:rsidRDefault="003E311F" w:rsidP="003E311F">
      <w:pPr>
        <w:keepNext/>
        <w:keepLines/>
        <w:rPr>
          <w:b/>
          <w:sz w:val="20"/>
        </w:rPr>
      </w:pPr>
    </w:p>
    <w:p w:rsidR="003E311F" w:rsidRPr="007329AC" w:rsidRDefault="003E311F" w:rsidP="003E311F">
      <w:pPr>
        <w:rPr>
          <w:b/>
          <w:bCs/>
          <w:color w:val="000000"/>
          <w:sz w:val="20"/>
        </w:rPr>
      </w:pPr>
      <w:r w:rsidRPr="007329AC">
        <w:rPr>
          <w:b/>
          <w:sz w:val="20"/>
        </w:rPr>
        <w:t xml:space="preserve">ESPAÑA </w:t>
      </w:r>
      <w:r w:rsidRPr="007329AC">
        <w:rPr>
          <w:b/>
          <w:bCs/>
          <w:sz w:val="20"/>
        </w:rPr>
        <w:t xml:space="preserve">– Contribuciones de donantes y gastos en </w:t>
      </w:r>
      <w:r w:rsidRPr="007329AC">
        <w:rPr>
          <w:b/>
          <w:bCs/>
          <w:color w:val="000000"/>
          <w:sz w:val="20"/>
        </w:rPr>
        <w:t>2015</w:t>
      </w:r>
    </w:p>
    <w:p w:rsidR="003E311F" w:rsidRPr="007329AC" w:rsidRDefault="003E311F" w:rsidP="003E311F">
      <w:pPr>
        <w:keepNext/>
        <w:keepLines/>
        <w:rPr>
          <w:b/>
          <w:sz w:val="20"/>
        </w:rPr>
      </w:pPr>
    </w:p>
    <w:tbl>
      <w:tblPr>
        <w:tblW w:w="9792" w:type="dxa"/>
        <w:tblInd w:w="98" w:type="dxa"/>
        <w:tblLook w:val="04A0" w:firstRow="1" w:lastRow="0" w:firstColumn="1" w:lastColumn="0" w:noHBand="0" w:noVBand="1"/>
      </w:tblPr>
      <w:tblGrid>
        <w:gridCol w:w="2040"/>
        <w:gridCol w:w="1640"/>
        <w:gridCol w:w="1860"/>
        <w:gridCol w:w="1780"/>
        <w:gridCol w:w="2472"/>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000000" w:fill="C5D9F1"/>
            <w:vAlign w:val="center"/>
            <w:hideMark/>
          </w:tcPr>
          <w:p w:rsidR="003E311F" w:rsidRPr="00515D00" w:rsidRDefault="003E311F" w:rsidP="007A358B">
            <w:pPr>
              <w:jc w:val="center"/>
              <w:rPr>
                <w:b/>
                <w:bCs/>
                <w:color w:val="000000"/>
                <w:sz w:val="16"/>
                <w:szCs w:val="16"/>
              </w:rPr>
            </w:pPr>
            <w:r w:rsidRPr="00515D00">
              <w:rPr>
                <w:b/>
                <w:bCs/>
                <w:sz w:val="16"/>
                <w:szCs w:val="16"/>
              </w:rPr>
              <w:t>Reembolsos</w:t>
            </w:r>
          </w:p>
        </w:tc>
        <w:tc>
          <w:tcPr>
            <w:tcW w:w="2472" w:type="dxa"/>
            <w:tcBorders>
              <w:top w:val="single" w:sz="8" w:space="0" w:color="auto"/>
              <w:left w:val="nil"/>
              <w:bottom w:val="nil"/>
              <w:right w:val="single" w:sz="8" w:space="0" w:color="auto"/>
            </w:tcBorders>
            <w:shd w:val="clear" w:color="000000" w:fill="C5D9F1"/>
            <w:vAlign w:val="center"/>
            <w:hideMark/>
          </w:tcPr>
          <w:p w:rsidR="003E311F" w:rsidRPr="00515D00" w:rsidRDefault="005C708A" w:rsidP="007A358B">
            <w:pPr>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463"/>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120.153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169.146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182.078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jc w:val="center"/>
              <w:rPr>
                <w:color w:val="000000"/>
                <w:sz w:val="16"/>
                <w:szCs w:val="16"/>
              </w:rPr>
            </w:pPr>
            <w:r w:rsidRPr="00515D00">
              <w:rPr>
                <w:color w:val="000000"/>
                <w:sz w:val="16"/>
                <w:szCs w:val="16"/>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jc w:val="center"/>
              <w:rPr>
                <w:color w:val="000000"/>
                <w:sz w:val="16"/>
                <w:szCs w:val="16"/>
              </w:rPr>
            </w:pPr>
            <w:r w:rsidRPr="00515D00">
              <w:rPr>
                <w:color w:val="000000"/>
                <w:sz w:val="16"/>
                <w:szCs w:val="16"/>
              </w:rPr>
              <w:t>107.221</w:t>
            </w:r>
          </w:p>
        </w:tc>
      </w:tr>
    </w:tbl>
    <w:p w:rsidR="003E311F" w:rsidRPr="007329AC" w:rsidRDefault="003E311F" w:rsidP="003E311F">
      <w:pPr>
        <w:rPr>
          <w:sz w:val="20"/>
        </w:rPr>
      </w:pPr>
    </w:p>
    <w:p w:rsidR="003E311F" w:rsidRPr="007329AC" w:rsidRDefault="003E311F" w:rsidP="003E311F">
      <w:pPr>
        <w:rPr>
          <w:sz w:val="20"/>
        </w:rPr>
      </w:pPr>
    </w:p>
    <w:p w:rsidR="003E311F" w:rsidRPr="007329AC" w:rsidRDefault="003E311F" w:rsidP="00E26DA7">
      <w:pPr>
        <w:rPr>
          <w:b/>
          <w:sz w:val="20"/>
        </w:rPr>
      </w:pPr>
      <w:r w:rsidRPr="007329AC">
        <w:rPr>
          <w:b/>
          <w:sz w:val="20"/>
        </w:rPr>
        <w:t>URUGUAY</w:t>
      </w:r>
    </w:p>
    <w:p w:rsidR="003E311F" w:rsidRPr="007329AC" w:rsidRDefault="003E311F" w:rsidP="00E26DA7">
      <w:pPr>
        <w:keepLines/>
        <w:rPr>
          <w:b/>
          <w:sz w:val="20"/>
        </w:rPr>
      </w:pP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679"/>
      </w:tblGrid>
      <w:tr w:rsidR="003E311F" w:rsidRPr="00092F2E" w:rsidTr="007A358B">
        <w:trPr>
          <w:cantSplit/>
        </w:trPr>
        <w:tc>
          <w:tcPr>
            <w:tcW w:w="9782" w:type="dxa"/>
            <w:gridSpan w:val="4"/>
            <w:tcBorders>
              <w:top w:val="single" w:sz="4" w:space="0" w:color="auto"/>
              <w:bottom w:val="single" w:sz="4" w:space="0" w:color="auto"/>
            </w:tcBorders>
            <w:shd w:val="clear" w:color="auto" w:fill="C6D9F1"/>
            <w:vAlign w:val="center"/>
          </w:tcPr>
          <w:p w:rsidR="003E311F" w:rsidRPr="00515D00" w:rsidRDefault="003E311F" w:rsidP="00E26DA7">
            <w:pPr>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3E311F" w:rsidRPr="00515D00" w:rsidTr="007A358B">
        <w:trPr>
          <w:cantSplit/>
          <w:trHeight w:val="440"/>
        </w:trPr>
        <w:tc>
          <w:tcPr>
            <w:tcW w:w="1981" w:type="dxa"/>
            <w:tcBorders>
              <w:top w:val="single" w:sz="4" w:space="0" w:color="auto"/>
            </w:tcBorders>
            <w:vAlign w:val="center"/>
          </w:tcPr>
          <w:p w:rsidR="003E311F" w:rsidRPr="00515D00" w:rsidRDefault="003E311F" w:rsidP="00E26DA7">
            <w:pPr>
              <w:spacing w:before="60" w:after="60"/>
              <w:rPr>
                <w:b/>
                <w:bCs/>
                <w:sz w:val="16"/>
                <w:szCs w:val="16"/>
              </w:rPr>
            </w:pPr>
            <w:r w:rsidRPr="00515D00">
              <w:rPr>
                <w:b/>
                <w:bCs/>
                <w:sz w:val="16"/>
                <w:szCs w:val="16"/>
              </w:rPr>
              <w:t>Actividad</w:t>
            </w:r>
          </w:p>
        </w:tc>
        <w:tc>
          <w:tcPr>
            <w:tcW w:w="1260" w:type="dxa"/>
            <w:tcBorders>
              <w:top w:val="single" w:sz="4" w:space="0" w:color="auto"/>
            </w:tcBorders>
            <w:shd w:val="clear" w:color="auto" w:fill="auto"/>
            <w:tcMar>
              <w:top w:w="110" w:type="dxa"/>
            </w:tcMar>
            <w:vAlign w:val="center"/>
          </w:tcPr>
          <w:p w:rsidR="003E311F" w:rsidRPr="00515D00" w:rsidRDefault="003E311F" w:rsidP="00E26DA7">
            <w:pPr>
              <w:spacing w:before="60" w:after="60"/>
              <w:rPr>
                <w:sz w:val="16"/>
                <w:szCs w:val="16"/>
              </w:rPr>
            </w:pPr>
            <w:r w:rsidRPr="00515D00">
              <w:rPr>
                <w:b/>
                <w:bCs/>
                <w:sz w:val="16"/>
                <w:szCs w:val="16"/>
              </w:rPr>
              <w:t>Fecha</w:t>
            </w:r>
          </w:p>
        </w:tc>
        <w:tc>
          <w:tcPr>
            <w:tcW w:w="1862" w:type="dxa"/>
            <w:tcBorders>
              <w:top w:val="single" w:sz="4" w:space="0" w:color="auto"/>
            </w:tcBorders>
            <w:shd w:val="clear" w:color="auto" w:fill="auto"/>
            <w:tcMar>
              <w:top w:w="110" w:type="dxa"/>
            </w:tcMar>
            <w:vAlign w:val="center"/>
          </w:tcPr>
          <w:p w:rsidR="003E311F" w:rsidRPr="00515D00" w:rsidRDefault="003E311F" w:rsidP="00E26DA7">
            <w:pPr>
              <w:rPr>
                <w:sz w:val="16"/>
                <w:szCs w:val="16"/>
              </w:rPr>
            </w:pPr>
            <w:r w:rsidRPr="00515D00">
              <w:rPr>
                <w:b/>
                <w:sz w:val="16"/>
                <w:szCs w:val="16"/>
              </w:rPr>
              <w:t>País anfitrión / Beneficiarios</w:t>
            </w:r>
          </w:p>
        </w:tc>
        <w:tc>
          <w:tcPr>
            <w:tcW w:w="4679" w:type="dxa"/>
            <w:tcBorders>
              <w:top w:val="single" w:sz="4" w:space="0" w:color="auto"/>
            </w:tcBorders>
            <w:shd w:val="clear" w:color="auto" w:fill="FFFFFF"/>
            <w:tcMar>
              <w:top w:w="110" w:type="dxa"/>
            </w:tcMar>
            <w:vAlign w:val="center"/>
          </w:tcPr>
          <w:p w:rsidR="003E311F" w:rsidRPr="00515D00" w:rsidRDefault="003E311F" w:rsidP="00E26DA7">
            <w:pPr>
              <w:rPr>
                <w:sz w:val="16"/>
                <w:szCs w:val="16"/>
              </w:rPr>
            </w:pPr>
            <w:r w:rsidRPr="00515D00">
              <w:rPr>
                <w:b/>
                <w:sz w:val="16"/>
                <w:szCs w:val="16"/>
              </w:rPr>
              <w:t>Propósito(s)/Descripción</w:t>
            </w:r>
          </w:p>
        </w:tc>
      </w:tr>
      <w:tr w:rsidR="003E311F" w:rsidRPr="00092F2E" w:rsidTr="007A358B">
        <w:trPr>
          <w:cantSplit/>
        </w:trPr>
        <w:tc>
          <w:tcPr>
            <w:tcW w:w="1981" w:type="dxa"/>
          </w:tcPr>
          <w:p w:rsidR="003E311F" w:rsidRPr="00515D00" w:rsidRDefault="003E311F" w:rsidP="00E26DA7">
            <w:pPr>
              <w:autoSpaceDE w:val="0"/>
              <w:autoSpaceDN w:val="0"/>
              <w:adjustRightInd w:val="0"/>
              <w:spacing w:before="60" w:after="60"/>
              <w:rPr>
                <w:color w:val="000000"/>
                <w:sz w:val="16"/>
                <w:szCs w:val="16"/>
              </w:rPr>
            </w:pPr>
            <w:r w:rsidRPr="00515D00">
              <w:rPr>
                <w:sz w:val="16"/>
                <w:szCs w:val="16"/>
              </w:rPr>
              <w:t xml:space="preserve">Suministro de financiación a un profesional de la P.I. para un Programa de Maestría en Dirección Estratégica en Tecnologías de la Información, en el marco de la Fundación Universitaria </w:t>
            </w:r>
            <w:r w:rsidR="00E26DA7">
              <w:rPr>
                <w:sz w:val="16"/>
                <w:szCs w:val="16"/>
              </w:rPr>
              <w:t>Ibero</w:t>
            </w:r>
            <w:r w:rsidRPr="00515D00">
              <w:rPr>
                <w:sz w:val="16"/>
                <w:szCs w:val="16"/>
              </w:rPr>
              <w:t>americana (FUNIBER)</w:t>
            </w:r>
          </w:p>
        </w:tc>
        <w:tc>
          <w:tcPr>
            <w:tcW w:w="1260"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Enero a diciembre de 2015</w:t>
            </w: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w:t>
            </w:r>
            <w:r>
              <w:rPr>
                <w:color w:val="000000"/>
                <w:sz w:val="16"/>
                <w:szCs w:val="16"/>
              </w:rPr>
              <w:t>E</w:t>
            </w:r>
            <w:r w:rsidRPr="00515D00">
              <w:rPr>
                <w:color w:val="000000"/>
                <w:sz w:val="16"/>
                <w:szCs w:val="16"/>
              </w:rPr>
              <w:t>n curso)</w:t>
            </w:r>
            <w:r w:rsidRPr="00515D00">
              <w:rPr>
                <w:rStyle w:val="FootnoteReference"/>
                <w:color w:val="000000"/>
                <w:sz w:val="16"/>
                <w:szCs w:val="16"/>
              </w:rPr>
              <w:footnoteReference w:id="169"/>
            </w:r>
          </w:p>
        </w:tc>
        <w:tc>
          <w:tcPr>
            <w:tcW w:w="1862" w:type="dxa"/>
            <w:shd w:val="clear" w:color="auto" w:fill="auto"/>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Uruguay</w:t>
            </w:r>
            <w:r w:rsidRPr="00515D00" w:rsidDel="00D70E5A">
              <w:rPr>
                <w:color w:val="000000"/>
                <w:sz w:val="16"/>
                <w:szCs w:val="16"/>
              </w:rPr>
              <w:t xml:space="preserve"> </w:t>
            </w:r>
          </w:p>
        </w:tc>
        <w:tc>
          <w:tcPr>
            <w:tcW w:w="4679" w:type="dxa"/>
            <w:shd w:val="clear" w:color="auto" w:fill="FFFFFF"/>
            <w:tcMar>
              <w:top w:w="110" w:type="dxa"/>
            </w:tcMar>
          </w:tcPr>
          <w:p w:rsidR="003E311F" w:rsidRPr="00515D00" w:rsidRDefault="003E311F" w:rsidP="007A358B">
            <w:pPr>
              <w:autoSpaceDE w:val="0"/>
              <w:autoSpaceDN w:val="0"/>
              <w:adjustRightInd w:val="0"/>
              <w:spacing w:before="60" w:after="60"/>
              <w:rPr>
                <w:color w:val="000000"/>
                <w:sz w:val="16"/>
                <w:szCs w:val="16"/>
              </w:rPr>
            </w:pPr>
            <w:r w:rsidRPr="00515D00">
              <w:rPr>
                <w:sz w:val="16"/>
                <w:szCs w:val="16"/>
              </w:rPr>
              <w:t xml:space="preserve">Mejorar la capacidad de un profesional de la P.I., haciendo hincapié en el papel de las tecnologías de la información y la gestión estratégica de los procesos de trabajo.  </w:t>
            </w:r>
          </w:p>
        </w:tc>
      </w:tr>
      <w:tr w:rsidR="003E311F" w:rsidRPr="00092F2E" w:rsidTr="007A358B">
        <w:trPr>
          <w:cantSplit/>
        </w:trPr>
        <w:tc>
          <w:tcPr>
            <w:tcW w:w="9782" w:type="dxa"/>
            <w:gridSpan w:val="4"/>
            <w:tcBorders>
              <w:top w:val="single" w:sz="4" w:space="0" w:color="auto"/>
              <w:bottom w:val="single" w:sz="4" w:space="0" w:color="auto"/>
            </w:tcBorders>
            <w:shd w:val="clear" w:color="auto" w:fill="C6D9F1"/>
            <w:vAlign w:val="center"/>
          </w:tcPr>
          <w:p w:rsidR="003E311F" w:rsidRPr="00515D00" w:rsidRDefault="003E311F" w:rsidP="00E26DA7">
            <w:pPr>
              <w:keepNext/>
              <w:keepLines/>
              <w:tabs>
                <w:tab w:val="left" w:pos="1740"/>
              </w:tabs>
              <w:spacing w:before="120" w:after="120"/>
              <w:ind w:left="1740" w:hanging="1740"/>
              <w:rPr>
                <w:b/>
                <w:bCs/>
                <w:sz w:val="16"/>
                <w:szCs w:val="16"/>
              </w:rPr>
            </w:pPr>
            <w:r w:rsidRPr="00515D00">
              <w:rPr>
                <w:b/>
                <w:bCs/>
                <w:color w:val="000000"/>
                <w:sz w:val="16"/>
                <w:szCs w:val="16"/>
              </w:rPr>
              <w:lastRenderedPageBreak/>
              <w:t>RESULTADO:</w:t>
            </w:r>
            <w:r w:rsidRPr="00515D00">
              <w:rPr>
                <w:b/>
                <w:bCs/>
                <w:sz w:val="16"/>
                <w:szCs w:val="16"/>
              </w:rPr>
              <w:tab/>
            </w:r>
            <w:r w:rsidRPr="00515D00">
              <w:rPr>
                <w:bCs/>
                <w:color w:val="000000"/>
                <w:sz w:val="16"/>
                <w:szCs w:val="16"/>
              </w:rPr>
              <w:t>III.4  Fortalecimiento de los mecanismos y de los programas de cooperación conforme a las necesidades de los países en desarrollo y los PMA</w:t>
            </w:r>
          </w:p>
        </w:tc>
      </w:tr>
      <w:tr w:rsidR="003E311F" w:rsidRPr="00515D00" w:rsidTr="007A358B">
        <w:trPr>
          <w:cantSplit/>
          <w:trHeight w:val="330"/>
        </w:trPr>
        <w:tc>
          <w:tcPr>
            <w:tcW w:w="1981" w:type="dxa"/>
            <w:tcBorders>
              <w:top w:val="single" w:sz="4" w:space="0" w:color="auto"/>
            </w:tcBorders>
            <w:vAlign w:val="center"/>
          </w:tcPr>
          <w:p w:rsidR="003E311F" w:rsidRPr="00515D00" w:rsidRDefault="003E311F" w:rsidP="00E26DA7">
            <w:pPr>
              <w:keepNext/>
              <w:keepLines/>
              <w:spacing w:before="60" w:after="60"/>
              <w:rPr>
                <w:b/>
                <w:bCs/>
                <w:sz w:val="16"/>
                <w:szCs w:val="16"/>
              </w:rPr>
            </w:pPr>
            <w:r w:rsidRPr="00515D00">
              <w:rPr>
                <w:b/>
                <w:bCs/>
                <w:sz w:val="16"/>
                <w:szCs w:val="16"/>
              </w:rPr>
              <w:t>Actividad</w:t>
            </w:r>
          </w:p>
        </w:tc>
        <w:tc>
          <w:tcPr>
            <w:tcW w:w="1260" w:type="dxa"/>
            <w:tcBorders>
              <w:top w:val="single" w:sz="4" w:space="0" w:color="auto"/>
            </w:tcBorders>
            <w:shd w:val="clear" w:color="auto" w:fill="auto"/>
            <w:tcMar>
              <w:top w:w="110" w:type="dxa"/>
            </w:tcMar>
            <w:vAlign w:val="center"/>
          </w:tcPr>
          <w:p w:rsidR="003E311F" w:rsidRPr="00515D00" w:rsidRDefault="003E311F" w:rsidP="00E26DA7">
            <w:pPr>
              <w:keepNext/>
              <w:keepLines/>
              <w:spacing w:before="60" w:after="60"/>
              <w:rPr>
                <w:sz w:val="16"/>
                <w:szCs w:val="16"/>
              </w:rPr>
            </w:pPr>
            <w:r w:rsidRPr="00515D00">
              <w:rPr>
                <w:b/>
                <w:bCs/>
                <w:sz w:val="16"/>
                <w:szCs w:val="16"/>
              </w:rPr>
              <w:t>Fecha</w:t>
            </w:r>
          </w:p>
        </w:tc>
        <w:tc>
          <w:tcPr>
            <w:tcW w:w="1862" w:type="dxa"/>
            <w:tcBorders>
              <w:top w:val="single" w:sz="4" w:space="0" w:color="auto"/>
            </w:tcBorders>
            <w:shd w:val="clear" w:color="auto" w:fill="auto"/>
            <w:tcMar>
              <w:top w:w="110" w:type="dxa"/>
            </w:tcMar>
            <w:vAlign w:val="center"/>
          </w:tcPr>
          <w:p w:rsidR="003E311F" w:rsidRPr="00515D00" w:rsidRDefault="003E311F" w:rsidP="00E26DA7">
            <w:pPr>
              <w:keepNext/>
              <w:keepLines/>
              <w:rPr>
                <w:sz w:val="16"/>
                <w:szCs w:val="16"/>
              </w:rPr>
            </w:pPr>
            <w:r w:rsidRPr="00515D00">
              <w:rPr>
                <w:b/>
                <w:sz w:val="16"/>
                <w:szCs w:val="16"/>
              </w:rPr>
              <w:t>País anfitrión / Beneficiarios</w:t>
            </w:r>
          </w:p>
        </w:tc>
        <w:tc>
          <w:tcPr>
            <w:tcW w:w="4679" w:type="dxa"/>
            <w:tcBorders>
              <w:top w:val="single" w:sz="4" w:space="0" w:color="auto"/>
            </w:tcBorders>
            <w:shd w:val="clear" w:color="auto" w:fill="FFFFFF"/>
            <w:tcMar>
              <w:top w:w="110" w:type="dxa"/>
            </w:tcMar>
            <w:vAlign w:val="center"/>
          </w:tcPr>
          <w:p w:rsidR="003E311F" w:rsidRPr="00515D00" w:rsidRDefault="003E311F" w:rsidP="00E26DA7">
            <w:pPr>
              <w:keepNext/>
              <w:keepLines/>
              <w:rPr>
                <w:sz w:val="16"/>
                <w:szCs w:val="16"/>
              </w:rPr>
            </w:pPr>
            <w:r w:rsidRPr="00515D00">
              <w:rPr>
                <w:b/>
                <w:sz w:val="16"/>
                <w:szCs w:val="16"/>
              </w:rPr>
              <w:t>Propósito(s)/Descripción</w:t>
            </w:r>
          </w:p>
        </w:tc>
      </w:tr>
      <w:tr w:rsidR="003E311F" w:rsidRPr="00092F2E" w:rsidTr="007A358B">
        <w:trPr>
          <w:cantSplit/>
        </w:trPr>
        <w:tc>
          <w:tcPr>
            <w:tcW w:w="1981" w:type="dxa"/>
          </w:tcPr>
          <w:p w:rsidR="003E311F" w:rsidRPr="00515D00" w:rsidRDefault="003E311F" w:rsidP="00E26DA7">
            <w:pPr>
              <w:keepNext/>
              <w:keepLines/>
              <w:autoSpaceDE w:val="0"/>
              <w:autoSpaceDN w:val="0"/>
              <w:adjustRightInd w:val="0"/>
              <w:spacing w:before="60" w:after="60"/>
              <w:rPr>
                <w:color w:val="000000"/>
                <w:sz w:val="16"/>
                <w:szCs w:val="16"/>
              </w:rPr>
            </w:pPr>
            <w:r w:rsidRPr="00515D00">
              <w:rPr>
                <w:sz w:val="16"/>
                <w:szCs w:val="16"/>
              </w:rPr>
              <w:t>Participación de funcionarios gubernamentales en las Asambleas de la OMPI</w:t>
            </w:r>
          </w:p>
        </w:tc>
        <w:tc>
          <w:tcPr>
            <w:tcW w:w="1260" w:type="dxa"/>
          </w:tcPr>
          <w:p w:rsidR="003E311F" w:rsidRPr="00515D00" w:rsidRDefault="003E311F" w:rsidP="00E26DA7">
            <w:pPr>
              <w:keepNext/>
              <w:keepLines/>
              <w:autoSpaceDE w:val="0"/>
              <w:autoSpaceDN w:val="0"/>
              <w:adjustRightInd w:val="0"/>
              <w:spacing w:before="60" w:after="60"/>
              <w:rPr>
                <w:color w:val="000000"/>
                <w:sz w:val="16"/>
                <w:szCs w:val="16"/>
              </w:rPr>
            </w:pPr>
            <w:r w:rsidRPr="00515D00">
              <w:rPr>
                <w:color w:val="000000"/>
                <w:sz w:val="16"/>
                <w:szCs w:val="16"/>
              </w:rPr>
              <w:t>Enero a diciembre de 2015</w:t>
            </w:r>
          </w:p>
        </w:tc>
        <w:tc>
          <w:tcPr>
            <w:tcW w:w="1862" w:type="dxa"/>
          </w:tcPr>
          <w:p w:rsidR="003E311F" w:rsidRPr="00515D00" w:rsidRDefault="003E311F" w:rsidP="00E26DA7">
            <w:pPr>
              <w:keepNext/>
              <w:keepLines/>
              <w:autoSpaceDE w:val="0"/>
              <w:autoSpaceDN w:val="0"/>
              <w:adjustRightInd w:val="0"/>
              <w:spacing w:before="60" w:after="60"/>
              <w:rPr>
                <w:color w:val="000000"/>
                <w:sz w:val="16"/>
                <w:szCs w:val="16"/>
              </w:rPr>
            </w:pPr>
            <w:r w:rsidRPr="00515D00">
              <w:rPr>
                <w:color w:val="000000"/>
                <w:sz w:val="16"/>
                <w:szCs w:val="16"/>
              </w:rPr>
              <w:t>Suiza/ Uruguay</w:t>
            </w:r>
          </w:p>
        </w:tc>
        <w:tc>
          <w:tcPr>
            <w:tcW w:w="4679" w:type="dxa"/>
          </w:tcPr>
          <w:p w:rsidR="003E311F" w:rsidRPr="00515D00" w:rsidRDefault="003E311F" w:rsidP="00E26DA7">
            <w:pPr>
              <w:keepNext/>
              <w:keepLines/>
              <w:autoSpaceDE w:val="0"/>
              <w:autoSpaceDN w:val="0"/>
              <w:adjustRightInd w:val="0"/>
              <w:spacing w:before="60" w:after="60"/>
              <w:rPr>
                <w:color w:val="000000"/>
                <w:sz w:val="16"/>
                <w:szCs w:val="16"/>
              </w:rPr>
            </w:pPr>
            <w:r w:rsidRPr="00515D00">
              <w:rPr>
                <w:sz w:val="16"/>
                <w:szCs w:val="16"/>
              </w:rPr>
              <w:t>Representar al Gobierno en distintos foros en los que se analizan diferentes cuestiones y programas sobre P.I.</w:t>
            </w:r>
          </w:p>
        </w:tc>
      </w:tr>
      <w:tr w:rsidR="003E311F" w:rsidRPr="009E37FC" w:rsidTr="007A358B">
        <w:trPr>
          <w:cantSplit/>
        </w:trPr>
        <w:tc>
          <w:tcPr>
            <w:tcW w:w="9782" w:type="dxa"/>
            <w:gridSpan w:val="4"/>
            <w:tcBorders>
              <w:top w:val="single" w:sz="4" w:space="0" w:color="auto"/>
              <w:bottom w:val="single" w:sz="4" w:space="0" w:color="auto"/>
            </w:tcBorders>
            <w:shd w:val="clear" w:color="auto" w:fill="C6D9F1"/>
            <w:vAlign w:val="center"/>
          </w:tcPr>
          <w:p w:rsidR="003E311F" w:rsidRPr="00515D00" w:rsidRDefault="003E311F" w:rsidP="007A358B">
            <w:pPr>
              <w:tabs>
                <w:tab w:val="left" w:pos="1740"/>
              </w:tabs>
              <w:spacing w:before="120" w:after="120"/>
              <w:ind w:left="1740" w:hanging="1740"/>
              <w:rPr>
                <w:b/>
                <w:bCs/>
                <w:sz w:val="16"/>
                <w:szCs w:val="16"/>
              </w:rPr>
            </w:pPr>
            <w:r w:rsidRPr="00515D00">
              <w:rPr>
                <w:b/>
                <w:bCs/>
                <w:color w:val="000000"/>
                <w:sz w:val="16"/>
                <w:szCs w:val="16"/>
              </w:rPr>
              <w:t>RESULTADO:</w:t>
            </w:r>
            <w:r w:rsidRPr="00515D00">
              <w:rPr>
                <w:b/>
                <w:bCs/>
                <w:sz w:val="16"/>
                <w:szCs w:val="16"/>
              </w:rPr>
              <w:tab/>
            </w:r>
            <w:r w:rsidRPr="00515D00">
              <w:rPr>
                <w:bCs/>
                <w:color w:val="000000"/>
                <w:sz w:val="16"/>
                <w:szCs w:val="16"/>
              </w:rPr>
              <w:t>IV.4  Mejora en la infraestructura técnica y de conocimientos de las Oficinas y demás instituciones de P.I. que les permita prestar mejores servicios (más económicos, más rápidos y de mejor calidad) a sus partes interesadas</w:t>
            </w:r>
          </w:p>
        </w:tc>
      </w:tr>
      <w:tr w:rsidR="003E311F" w:rsidRPr="00515D00" w:rsidTr="007A358B">
        <w:trPr>
          <w:cantSplit/>
          <w:trHeight w:val="440"/>
        </w:trPr>
        <w:tc>
          <w:tcPr>
            <w:tcW w:w="1981" w:type="dxa"/>
            <w:tcBorders>
              <w:top w:val="single" w:sz="4" w:space="0" w:color="auto"/>
            </w:tcBorders>
            <w:vAlign w:val="center"/>
          </w:tcPr>
          <w:p w:rsidR="003E311F" w:rsidRPr="00515D00" w:rsidRDefault="003E311F" w:rsidP="007A358B">
            <w:pPr>
              <w:spacing w:before="60" w:after="60"/>
              <w:rPr>
                <w:b/>
                <w:bCs/>
                <w:sz w:val="16"/>
                <w:szCs w:val="16"/>
              </w:rPr>
            </w:pPr>
            <w:r w:rsidRPr="00515D00">
              <w:rPr>
                <w:b/>
                <w:bCs/>
                <w:sz w:val="16"/>
                <w:szCs w:val="16"/>
              </w:rPr>
              <w:t>Actividad</w:t>
            </w:r>
          </w:p>
        </w:tc>
        <w:tc>
          <w:tcPr>
            <w:tcW w:w="1260" w:type="dxa"/>
            <w:tcBorders>
              <w:top w:val="single" w:sz="4" w:space="0" w:color="auto"/>
            </w:tcBorders>
            <w:shd w:val="clear" w:color="auto" w:fill="auto"/>
            <w:tcMar>
              <w:top w:w="110" w:type="dxa"/>
            </w:tcMar>
            <w:vAlign w:val="center"/>
          </w:tcPr>
          <w:p w:rsidR="003E311F" w:rsidRPr="00515D00" w:rsidRDefault="003E311F" w:rsidP="007A358B">
            <w:pPr>
              <w:spacing w:before="60" w:after="60"/>
              <w:rPr>
                <w:sz w:val="16"/>
                <w:szCs w:val="16"/>
              </w:rPr>
            </w:pPr>
            <w:r w:rsidRPr="00515D00">
              <w:rPr>
                <w:b/>
                <w:bCs/>
                <w:sz w:val="16"/>
                <w:szCs w:val="16"/>
              </w:rPr>
              <w:t>Fecha</w:t>
            </w:r>
          </w:p>
        </w:tc>
        <w:tc>
          <w:tcPr>
            <w:tcW w:w="1862" w:type="dxa"/>
            <w:tcBorders>
              <w:top w:val="single" w:sz="4" w:space="0" w:color="auto"/>
            </w:tcBorders>
            <w:shd w:val="clear" w:color="auto" w:fill="auto"/>
            <w:tcMar>
              <w:top w:w="110" w:type="dxa"/>
            </w:tcMar>
            <w:vAlign w:val="center"/>
          </w:tcPr>
          <w:p w:rsidR="003E311F" w:rsidRPr="00515D00" w:rsidRDefault="003E311F" w:rsidP="007A358B">
            <w:pPr>
              <w:rPr>
                <w:sz w:val="16"/>
                <w:szCs w:val="16"/>
              </w:rPr>
            </w:pPr>
            <w:r w:rsidRPr="00515D00">
              <w:rPr>
                <w:b/>
                <w:sz w:val="16"/>
                <w:szCs w:val="16"/>
              </w:rPr>
              <w:t>País anfitrión / Beneficiarios</w:t>
            </w:r>
          </w:p>
        </w:tc>
        <w:tc>
          <w:tcPr>
            <w:tcW w:w="4679" w:type="dxa"/>
            <w:tcBorders>
              <w:top w:val="single" w:sz="4" w:space="0" w:color="auto"/>
            </w:tcBorders>
            <w:shd w:val="clear" w:color="auto" w:fill="FFFFFF"/>
            <w:tcMar>
              <w:top w:w="110" w:type="dxa"/>
            </w:tcMar>
            <w:vAlign w:val="center"/>
          </w:tcPr>
          <w:p w:rsidR="003E311F" w:rsidRPr="00515D00" w:rsidRDefault="003E311F" w:rsidP="007A358B">
            <w:pPr>
              <w:rPr>
                <w:sz w:val="16"/>
                <w:szCs w:val="16"/>
              </w:rPr>
            </w:pPr>
            <w:r w:rsidRPr="00515D00">
              <w:rPr>
                <w:b/>
                <w:sz w:val="16"/>
                <w:szCs w:val="16"/>
              </w:rPr>
              <w:t>Propósito(s)/Descripción</w:t>
            </w:r>
          </w:p>
        </w:tc>
      </w:tr>
      <w:tr w:rsidR="003E311F" w:rsidRPr="009E37FC" w:rsidTr="007A358B">
        <w:trPr>
          <w:cantSplit/>
        </w:trPr>
        <w:tc>
          <w:tcPr>
            <w:tcW w:w="1981" w:type="dxa"/>
          </w:tcPr>
          <w:p w:rsidR="003E311F" w:rsidRPr="00515D00" w:rsidRDefault="003E311F" w:rsidP="007A358B">
            <w:pPr>
              <w:spacing w:before="60" w:after="60"/>
              <w:rPr>
                <w:sz w:val="16"/>
                <w:szCs w:val="16"/>
              </w:rPr>
            </w:pPr>
            <w:r w:rsidRPr="00515D00">
              <w:rPr>
                <w:sz w:val="16"/>
                <w:szCs w:val="16"/>
              </w:rPr>
              <w:t>Renovación de la suscripción a la base de datos Thomson-Reuters sobre P.I.</w:t>
            </w:r>
          </w:p>
        </w:tc>
        <w:tc>
          <w:tcPr>
            <w:tcW w:w="1260" w:type="dxa"/>
          </w:tcPr>
          <w:p w:rsidR="003E311F" w:rsidRPr="00515D00" w:rsidRDefault="003E311F" w:rsidP="00E26DA7">
            <w:pPr>
              <w:spacing w:before="60" w:after="60"/>
              <w:ind w:right="-128"/>
              <w:rPr>
                <w:sz w:val="16"/>
                <w:szCs w:val="16"/>
              </w:rPr>
            </w:pPr>
            <w:r w:rsidRPr="00515D00">
              <w:rPr>
                <w:color w:val="000000"/>
                <w:sz w:val="16"/>
                <w:szCs w:val="16"/>
              </w:rPr>
              <w:t xml:space="preserve">Enero a octubre de 2015 </w:t>
            </w:r>
            <w:r w:rsidRPr="00515D00">
              <w:rPr>
                <w:sz w:val="16"/>
                <w:szCs w:val="16"/>
              </w:rPr>
              <w:t>(en curso desde 2013)</w:t>
            </w:r>
          </w:p>
        </w:tc>
        <w:tc>
          <w:tcPr>
            <w:tcW w:w="1862" w:type="dxa"/>
          </w:tcPr>
          <w:p w:rsidR="003E311F" w:rsidRPr="00515D00" w:rsidDel="00E54910" w:rsidRDefault="003E311F" w:rsidP="007A358B">
            <w:pPr>
              <w:autoSpaceDE w:val="0"/>
              <w:autoSpaceDN w:val="0"/>
              <w:adjustRightInd w:val="0"/>
              <w:spacing w:before="60" w:after="60"/>
              <w:rPr>
                <w:color w:val="000000"/>
                <w:sz w:val="16"/>
                <w:szCs w:val="16"/>
              </w:rPr>
            </w:pPr>
            <w:r w:rsidRPr="00515D00">
              <w:rPr>
                <w:color w:val="000000"/>
                <w:sz w:val="16"/>
                <w:szCs w:val="16"/>
              </w:rPr>
              <w:t>Todos los países de América Latina</w:t>
            </w:r>
          </w:p>
        </w:tc>
        <w:tc>
          <w:tcPr>
            <w:tcW w:w="4679" w:type="dxa"/>
          </w:tcPr>
          <w:p w:rsidR="003E311F" w:rsidRPr="00515D00" w:rsidRDefault="003E311F" w:rsidP="007A358B">
            <w:pPr>
              <w:autoSpaceDE w:val="0"/>
              <w:autoSpaceDN w:val="0"/>
              <w:adjustRightInd w:val="0"/>
              <w:spacing w:before="60" w:after="60"/>
              <w:rPr>
                <w:sz w:val="16"/>
                <w:szCs w:val="16"/>
              </w:rPr>
            </w:pPr>
            <w:r w:rsidRPr="00515D00">
              <w:rPr>
                <w:sz w:val="16"/>
                <w:szCs w:val="16"/>
              </w:rPr>
              <w:t>Ampliar la cobertura y la calidad de la información contenida en la base de datos de la Dirección Nacional de la Propiedad Industrial</w:t>
            </w:r>
            <w:r w:rsidRPr="00515D00">
              <w:rPr>
                <w:color w:val="000000"/>
                <w:sz w:val="16"/>
                <w:szCs w:val="16"/>
              </w:rPr>
              <w:t xml:space="preserve"> (DNPI).</w:t>
            </w:r>
          </w:p>
        </w:tc>
      </w:tr>
      <w:tr w:rsidR="003E311F" w:rsidRPr="009E37FC" w:rsidTr="007A358B">
        <w:trPr>
          <w:cantSplit/>
        </w:trPr>
        <w:tc>
          <w:tcPr>
            <w:tcW w:w="1981"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Visita de estudio del Sistema de Automatización de la Propiedad Industrial (IPAS)</w:t>
            </w:r>
          </w:p>
          <w:p w:rsidR="003E311F" w:rsidRPr="00515D00" w:rsidRDefault="003E311F" w:rsidP="007A358B">
            <w:pPr>
              <w:spacing w:before="60" w:after="60"/>
              <w:rPr>
                <w:sz w:val="16"/>
                <w:szCs w:val="16"/>
              </w:rPr>
            </w:pPr>
          </w:p>
          <w:p w:rsidR="003E311F" w:rsidRPr="00515D00" w:rsidRDefault="003E311F" w:rsidP="007A358B">
            <w:pPr>
              <w:spacing w:before="60" w:after="60"/>
              <w:rPr>
                <w:sz w:val="16"/>
                <w:szCs w:val="16"/>
              </w:rPr>
            </w:pPr>
            <w:r w:rsidRPr="00515D00">
              <w:rPr>
                <w:sz w:val="16"/>
                <w:szCs w:val="16"/>
              </w:rPr>
              <w:t xml:space="preserve">Renovación de la suscripción a la Base de Datos </w:t>
            </w:r>
            <w:r w:rsidRPr="006D762E">
              <w:rPr>
                <w:sz w:val="16"/>
                <w:szCs w:val="16"/>
              </w:rPr>
              <w:t>Mundial</w:t>
            </w:r>
            <w:r w:rsidRPr="00515D00">
              <w:rPr>
                <w:sz w:val="16"/>
                <w:szCs w:val="16"/>
              </w:rPr>
              <w:t xml:space="preserve"> de la OEP </w:t>
            </w:r>
          </w:p>
        </w:tc>
        <w:tc>
          <w:tcPr>
            <w:tcW w:w="1260" w:type="dxa"/>
          </w:tcPr>
          <w:p w:rsidR="003E311F" w:rsidRPr="00515D00" w:rsidRDefault="003E311F" w:rsidP="00E26DA7">
            <w:pPr>
              <w:autoSpaceDE w:val="0"/>
              <w:autoSpaceDN w:val="0"/>
              <w:adjustRightInd w:val="0"/>
              <w:spacing w:before="60" w:after="60"/>
              <w:ind w:right="-128"/>
              <w:rPr>
                <w:color w:val="000000"/>
                <w:sz w:val="16"/>
                <w:szCs w:val="16"/>
              </w:rPr>
            </w:pPr>
            <w:r w:rsidRPr="00515D00">
              <w:rPr>
                <w:color w:val="000000"/>
                <w:sz w:val="16"/>
                <w:szCs w:val="16"/>
              </w:rPr>
              <w:t>16 a 20 de febrero de 2015</w:t>
            </w:r>
          </w:p>
          <w:p w:rsidR="003E311F" w:rsidRPr="00515D00" w:rsidRDefault="003E311F" w:rsidP="007A358B">
            <w:pPr>
              <w:spacing w:before="60" w:after="60"/>
              <w:rPr>
                <w:sz w:val="16"/>
                <w:szCs w:val="16"/>
              </w:rPr>
            </w:pPr>
          </w:p>
          <w:p w:rsidR="003E311F" w:rsidRDefault="003E311F" w:rsidP="007A358B">
            <w:pPr>
              <w:spacing w:before="60" w:after="60"/>
              <w:rPr>
                <w:sz w:val="16"/>
                <w:szCs w:val="16"/>
              </w:rPr>
            </w:pPr>
          </w:p>
          <w:p w:rsidR="00E26DA7" w:rsidRPr="00515D00" w:rsidRDefault="00E26DA7" w:rsidP="007A358B">
            <w:pPr>
              <w:spacing w:before="60" w:after="60"/>
              <w:rPr>
                <w:sz w:val="16"/>
                <w:szCs w:val="16"/>
              </w:rPr>
            </w:pPr>
          </w:p>
          <w:p w:rsidR="003E311F" w:rsidRPr="00515D00" w:rsidRDefault="003E311F" w:rsidP="007A358B">
            <w:pPr>
              <w:spacing w:before="60" w:after="60"/>
              <w:rPr>
                <w:sz w:val="16"/>
                <w:szCs w:val="16"/>
              </w:rPr>
            </w:pPr>
            <w:r w:rsidRPr="00515D00">
              <w:rPr>
                <w:sz w:val="16"/>
                <w:szCs w:val="16"/>
              </w:rPr>
              <w:t>Enero a diciembre de 2015</w:t>
            </w:r>
          </w:p>
          <w:p w:rsidR="003E311F" w:rsidRPr="00515D00" w:rsidRDefault="003E311F" w:rsidP="007A358B">
            <w:pPr>
              <w:spacing w:before="60" w:after="60"/>
              <w:rPr>
                <w:sz w:val="16"/>
                <w:szCs w:val="16"/>
              </w:rPr>
            </w:pPr>
            <w:r w:rsidRPr="00515D00">
              <w:rPr>
                <w:sz w:val="16"/>
                <w:szCs w:val="16"/>
              </w:rPr>
              <w:t>(en curso)</w:t>
            </w:r>
          </w:p>
        </w:tc>
        <w:tc>
          <w:tcPr>
            <w:tcW w:w="1862"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Perú/ </w:t>
            </w:r>
            <w:r w:rsidRPr="006D762E">
              <w:rPr>
                <w:color w:val="000000"/>
                <w:sz w:val="16"/>
                <w:szCs w:val="16"/>
              </w:rPr>
              <w:t>DNPI</w:t>
            </w:r>
          </w:p>
          <w:p w:rsidR="003E311F" w:rsidRPr="00515D00" w:rsidRDefault="003E311F" w:rsidP="007A358B">
            <w:pPr>
              <w:autoSpaceDE w:val="0"/>
              <w:autoSpaceDN w:val="0"/>
              <w:adjustRightInd w:val="0"/>
              <w:spacing w:before="60" w:after="60"/>
              <w:rPr>
                <w:color w:val="000000"/>
                <w:sz w:val="16"/>
                <w:szCs w:val="16"/>
              </w:rPr>
            </w:pPr>
          </w:p>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 xml:space="preserve">Todos los países de América Latina </w:t>
            </w:r>
          </w:p>
        </w:tc>
        <w:tc>
          <w:tcPr>
            <w:tcW w:w="4679" w:type="dxa"/>
          </w:tcPr>
          <w:p w:rsidR="003E311F" w:rsidRPr="00515D00" w:rsidRDefault="003E311F" w:rsidP="007A358B">
            <w:pPr>
              <w:autoSpaceDE w:val="0"/>
              <w:autoSpaceDN w:val="0"/>
              <w:adjustRightInd w:val="0"/>
              <w:spacing w:before="60" w:after="60"/>
              <w:rPr>
                <w:color w:val="000000"/>
                <w:sz w:val="16"/>
                <w:szCs w:val="16"/>
              </w:rPr>
            </w:pPr>
            <w:r w:rsidRPr="00515D00">
              <w:rPr>
                <w:color w:val="000000"/>
                <w:sz w:val="16"/>
                <w:szCs w:val="16"/>
              </w:rPr>
              <w:t>Mejorar la eficiencia de los procesos internos de la DNPI.</w:t>
            </w:r>
          </w:p>
          <w:p w:rsidR="003E311F" w:rsidRPr="00515D00" w:rsidRDefault="003E311F" w:rsidP="007A358B">
            <w:pPr>
              <w:autoSpaceDE w:val="0"/>
              <w:autoSpaceDN w:val="0"/>
              <w:adjustRightInd w:val="0"/>
              <w:spacing w:before="60" w:after="60"/>
              <w:rPr>
                <w:color w:val="000000"/>
                <w:sz w:val="16"/>
                <w:szCs w:val="16"/>
              </w:rPr>
            </w:pPr>
          </w:p>
          <w:p w:rsidR="003E311F" w:rsidRPr="00515D00" w:rsidRDefault="003E311F" w:rsidP="007A358B">
            <w:pPr>
              <w:autoSpaceDE w:val="0"/>
              <w:autoSpaceDN w:val="0"/>
              <w:adjustRightInd w:val="0"/>
              <w:spacing w:before="60" w:after="60"/>
              <w:rPr>
                <w:color w:val="000000"/>
                <w:sz w:val="16"/>
                <w:szCs w:val="16"/>
              </w:rPr>
            </w:pPr>
            <w:r w:rsidRPr="00515D00">
              <w:rPr>
                <w:sz w:val="16"/>
                <w:szCs w:val="16"/>
              </w:rPr>
              <w:t>Ampliar la cobertura y la calidad de la información contenida en la base de datos de la DNPI.</w:t>
            </w:r>
          </w:p>
          <w:p w:rsidR="003E311F" w:rsidRPr="00515D00" w:rsidRDefault="003E311F" w:rsidP="007A358B">
            <w:pPr>
              <w:autoSpaceDE w:val="0"/>
              <w:autoSpaceDN w:val="0"/>
              <w:adjustRightInd w:val="0"/>
              <w:spacing w:before="60" w:after="60"/>
              <w:rPr>
                <w:color w:val="000000"/>
                <w:sz w:val="16"/>
                <w:szCs w:val="16"/>
              </w:rPr>
            </w:pPr>
          </w:p>
        </w:tc>
      </w:tr>
    </w:tbl>
    <w:p w:rsidR="003E311F" w:rsidRPr="007329AC" w:rsidRDefault="003E311F" w:rsidP="003E311F">
      <w:pPr>
        <w:rPr>
          <w:b/>
          <w:sz w:val="20"/>
        </w:rPr>
      </w:pPr>
    </w:p>
    <w:p w:rsidR="003E311F" w:rsidRPr="007329AC" w:rsidRDefault="003E311F" w:rsidP="003E311F">
      <w:pPr>
        <w:rPr>
          <w:sz w:val="20"/>
        </w:rPr>
      </w:pPr>
    </w:p>
    <w:p w:rsidR="003E311F" w:rsidRPr="007329AC" w:rsidRDefault="003E311F" w:rsidP="003E311F">
      <w:pPr>
        <w:keepNext/>
        <w:rPr>
          <w:b/>
          <w:bCs/>
          <w:color w:val="000000"/>
          <w:sz w:val="20"/>
        </w:rPr>
      </w:pPr>
      <w:r w:rsidRPr="007329AC">
        <w:rPr>
          <w:b/>
          <w:sz w:val="20"/>
        </w:rPr>
        <w:t xml:space="preserve">URUGUAY </w:t>
      </w:r>
      <w:r w:rsidRPr="007329AC">
        <w:rPr>
          <w:b/>
          <w:bCs/>
          <w:sz w:val="20"/>
        </w:rPr>
        <w:t xml:space="preserve">– Contribuciones de donantes y gastos en </w:t>
      </w:r>
      <w:r w:rsidRPr="007329AC">
        <w:rPr>
          <w:b/>
          <w:bCs/>
          <w:color w:val="000000"/>
          <w:sz w:val="20"/>
        </w:rPr>
        <w:t>2015</w:t>
      </w:r>
    </w:p>
    <w:p w:rsidR="003E311F" w:rsidRPr="007329AC" w:rsidRDefault="003E311F" w:rsidP="003E311F">
      <w:pPr>
        <w:keepNext/>
        <w:rPr>
          <w:sz w:val="20"/>
        </w:rPr>
      </w:pPr>
    </w:p>
    <w:tbl>
      <w:tblPr>
        <w:tblW w:w="9791" w:type="dxa"/>
        <w:tblInd w:w="98" w:type="dxa"/>
        <w:tblLook w:val="04A0" w:firstRow="1" w:lastRow="0" w:firstColumn="1" w:lastColumn="0" w:noHBand="0" w:noVBand="1"/>
      </w:tblPr>
      <w:tblGrid>
        <w:gridCol w:w="2040"/>
        <w:gridCol w:w="1640"/>
        <w:gridCol w:w="1860"/>
        <w:gridCol w:w="1780"/>
        <w:gridCol w:w="2471"/>
      </w:tblGrid>
      <w:tr w:rsidR="003E311F" w:rsidRPr="00515D00" w:rsidTr="007A358B">
        <w:trPr>
          <w:trHeight w:val="450"/>
        </w:trPr>
        <w:tc>
          <w:tcPr>
            <w:tcW w:w="2040" w:type="dxa"/>
            <w:tcBorders>
              <w:top w:val="single" w:sz="8" w:space="0" w:color="auto"/>
              <w:left w:val="single" w:sz="8" w:space="0" w:color="auto"/>
              <w:bottom w:val="nil"/>
              <w:right w:val="single" w:sz="8" w:space="0" w:color="auto"/>
            </w:tcBorders>
            <w:shd w:val="clear" w:color="auto" w:fill="C6D9F1"/>
            <w:vAlign w:val="center"/>
            <w:hideMark/>
          </w:tcPr>
          <w:p w:rsidR="003E311F" w:rsidRPr="00515D00" w:rsidRDefault="005C708A" w:rsidP="007A358B">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2014</w:t>
            </w:r>
          </w:p>
        </w:tc>
        <w:tc>
          <w:tcPr>
            <w:tcW w:w="164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Ingresos en </w:t>
            </w:r>
            <w:r w:rsidRPr="00515D00">
              <w:rPr>
                <w:b/>
                <w:bCs/>
                <w:color w:val="000000"/>
                <w:sz w:val="16"/>
                <w:szCs w:val="16"/>
              </w:rPr>
              <w:t>2015</w:t>
            </w:r>
          </w:p>
        </w:tc>
        <w:tc>
          <w:tcPr>
            <w:tcW w:w="186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keepNext/>
              <w:jc w:val="center"/>
              <w:rPr>
                <w:b/>
                <w:bCs/>
                <w:color w:val="000000"/>
                <w:sz w:val="16"/>
                <w:szCs w:val="16"/>
              </w:rPr>
            </w:pPr>
            <w:r w:rsidRPr="00515D00">
              <w:rPr>
                <w:b/>
                <w:bCs/>
                <w:sz w:val="16"/>
                <w:szCs w:val="16"/>
              </w:rPr>
              <w:t xml:space="preserve">Gastos en </w:t>
            </w:r>
            <w:r w:rsidRPr="00515D00">
              <w:rPr>
                <w:b/>
                <w:bCs/>
                <w:color w:val="000000"/>
                <w:sz w:val="16"/>
                <w:szCs w:val="16"/>
              </w:rPr>
              <w:t>2015</w:t>
            </w:r>
          </w:p>
        </w:tc>
        <w:tc>
          <w:tcPr>
            <w:tcW w:w="1780" w:type="dxa"/>
            <w:tcBorders>
              <w:top w:val="single" w:sz="8" w:space="0" w:color="auto"/>
              <w:left w:val="nil"/>
              <w:bottom w:val="nil"/>
              <w:right w:val="single" w:sz="8" w:space="0" w:color="auto"/>
            </w:tcBorders>
            <w:shd w:val="clear" w:color="auto" w:fill="C6D9F1"/>
            <w:vAlign w:val="center"/>
            <w:hideMark/>
          </w:tcPr>
          <w:p w:rsidR="003E311F" w:rsidRPr="00515D00" w:rsidRDefault="003E311F" w:rsidP="007A358B">
            <w:pPr>
              <w:keepNext/>
              <w:jc w:val="center"/>
              <w:rPr>
                <w:b/>
                <w:bCs/>
                <w:color w:val="000000"/>
                <w:sz w:val="16"/>
                <w:szCs w:val="16"/>
              </w:rPr>
            </w:pPr>
            <w:r w:rsidRPr="00515D00">
              <w:rPr>
                <w:b/>
                <w:bCs/>
                <w:sz w:val="16"/>
                <w:szCs w:val="16"/>
              </w:rPr>
              <w:t>Reembolsos</w:t>
            </w:r>
          </w:p>
        </w:tc>
        <w:tc>
          <w:tcPr>
            <w:tcW w:w="2471" w:type="dxa"/>
            <w:tcBorders>
              <w:top w:val="single" w:sz="8" w:space="0" w:color="auto"/>
              <w:left w:val="nil"/>
              <w:bottom w:val="nil"/>
              <w:right w:val="single" w:sz="8" w:space="0" w:color="auto"/>
            </w:tcBorders>
            <w:shd w:val="clear" w:color="auto" w:fill="C6D9F1"/>
            <w:vAlign w:val="center"/>
            <w:hideMark/>
          </w:tcPr>
          <w:p w:rsidR="003E311F" w:rsidRPr="00515D00" w:rsidRDefault="005C708A" w:rsidP="007A358B">
            <w:pPr>
              <w:keepNext/>
              <w:jc w:val="center"/>
              <w:rPr>
                <w:b/>
                <w:bCs/>
                <w:color w:val="000000"/>
                <w:sz w:val="16"/>
                <w:szCs w:val="16"/>
              </w:rPr>
            </w:pPr>
            <w:r>
              <w:rPr>
                <w:b/>
                <w:bCs/>
                <w:sz w:val="16"/>
                <w:szCs w:val="16"/>
              </w:rPr>
              <w:t>Saldo el</w:t>
            </w:r>
            <w:r w:rsidR="003E311F" w:rsidRPr="00515D00">
              <w:rPr>
                <w:b/>
                <w:bCs/>
                <w:sz w:val="16"/>
                <w:szCs w:val="16"/>
              </w:rPr>
              <w:t xml:space="preserve"> 31 de diciembre de </w:t>
            </w:r>
            <w:r w:rsidR="003E311F" w:rsidRPr="00515D00">
              <w:rPr>
                <w:b/>
                <w:bCs/>
                <w:color w:val="000000"/>
                <w:sz w:val="16"/>
                <w:szCs w:val="16"/>
              </w:rPr>
              <w:t>2015</w:t>
            </w:r>
          </w:p>
        </w:tc>
      </w:tr>
      <w:tr w:rsidR="003E311F" w:rsidRPr="00515D00" w:rsidTr="007A358B">
        <w:trPr>
          <w:trHeight w:val="255"/>
        </w:trPr>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157.932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(144)</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9.164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E311F" w:rsidRPr="00515D00" w:rsidRDefault="003E311F" w:rsidP="007A358B">
            <w:pPr>
              <w:keepNext/>
              <w:jc w:val="center"/>
              <w:rPr>
                <w:color w:val="000000"/>
                <w:sz w:val="16"/>
                <w:szCs w:val="16"/>
              </w:rPr>
            </w:pPr>
            <w:r w:rsidRPr="00515D00">
              <w:rPr>
                <w:color w:val="000000"/>
                <w:sz w:val="16"/>
                <w:szCs w:val="16"/>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3E311F" w:rsidRPr="00515D00" w:rsidRDefault="003E311F" w:rsidP="007A358B">
            <w:pPr>
              <w:keepNext/>
              <w:jc w:val="center"/>
              <w:rPr>
                <w:color w:val="000000"/>
                <w:sz w:val="16"/>
                <w:szCs w:val="16"/>
              </w:rPr>
            </w:pPr>
            <w:r w:rsidRPr="00515D00">
              <w:rPr>
                <w:color w:val="000000"/>
                <w:sz w:val="16"/>
                <w:szCs w:val="16"/>
              </w:rPr>
              <w:t>148.624</w:t>
            </w:r>
          </w:p>
        </w:tc>
      </w:tr>
    </w:tbl>
    <w:p w:rsidR="003E311F" w:rsidRPr="007329AC" w:rsidRDefault="003E311F" w:rsidP="003E311F">
      <w:pPr>
        <w:rPr>
          <w:sz w:val="20"/>
        </w:rPr>
      </w:pPr>
    </w:p>
    <w:p w:rsidR="003E311F" w:rsidRPr="007329AC" w:rsidRDefault="003E311F" w:rsidP="003E311F">
      <w:pPr>
        <w:rPr>
          <w:b/>
          <w:sz w:val="20"/>
        </w:rPr>
      </w:pPr>
    </w:p>
    <w:p w:rsidR="003E311F" w:rsidRPr="007329AC" w:rsidRDefault="003E311F" w:rsidP="003E311F">
      <w:pPr>
        <w:rPr>
          <w:b/>
          <w:sz w:val="20"/>
        </w:rPr>
      </w:pPr>
    </w:p>
    <w:p w:rsidR="003E311F" w:rsidRPr="007329AC" w:rsidRDefault="003E311F" w:rsidP="003E311F">
      <w:pPr>
        <w:pStyle w:val="Endofdocument-Annex"/>
        <w:rPr>
          <w:sz w:val="20"/>
          <w:lang w:val="es-ES"/>
        </w:rPr>
      </w:pPr>
      <w:r w:rsidRPr="007329AC">
        <w:rPr>
          <w:sz w:val="20"/>
          <w:lang w:val="es-ES"/>
        </w:rPr>
        <w:t>[Sigue el A</w:t>
      </w:r>
      <w:r w:rsidR="00E26DA7">
        <w:rPr>
          <w:sz w:val="20"/>
          <w:lang w:val="es-ES"/>
        </w:rPr>
        <w:t>péndice</w:t>
      </w:r>
      <w:r w:rsidRPr="007329AC">
        <w:rPr>
          <w:sz w:val="20"/>
          <w:lang w:val="es-ES"/>
        </w:rPr>
        <w:t xml:space="preserve"> III]</w:t>
      </w:r>
    </w:p>
    <w:p w:rsidR="00221F0B" w:rsidRPr="007329AC" w:rsidRDefault="00221F0B">
      <w:pPr>
        <w:rPr>
          <w:sz w:val="20"/>
        </w:rPr>
      </w:pPr>
    </w:p>
    <w:p w:rsidR="00BC2324" w:rsidRDefault="00BC2324">
      <w:pPr>
        <w:rPr>
          <w:sz w:val="20"/>
        </w:rPr>
      </w:pPr>
      <w:r>
        <w:rPr>
          <w:sz w:val="20"/>
        </w:rPr>
        <w:br w:type="page"/>
      </w:r>
    </w:p>
    <w:p w:rsidR="00CA682E" w:rsidRPr="00CA682E" w:rsidRDefault="00CA682E" w:rsidP="00CA682E">
      <w:pPr>
        <w:keepNext/>
        <w:tabs>
          <w:tab w:val="right" w:pos="9072"/>
        </w:tabs>
        <w:outlineLvl w:val="1"/>
        <w:rPr>
          <w:rFonts w:eastAsia="Times New Roman"/>
          <w:b/>
          <w:bCs/>
          <w:iCs/>
          <w:szCs w:val="28"/>
          <w:lang w:eastAsia="en-US"/>
        </w:rPr>
      </w:pPr>
      <w:bookmarkStart w:id="219" w:name="_Toc455159115"/>
      <w:r w:rsidRPr="00CA682E">
        <w:rPr>
          <w:b/>
          <w:bCs/>
          <w:iCs/>
          <w:szCs w:val="28"/>
          <w:lang w:eastAsia="en-US"/>
        </w:rPr>
        <w:lastRenderedPageBreak/>
        <w:t>APÉNDICE III</w:t>
      </w:r>
      <w:r w:rsidRPr="00CA682E">
        <w:rPr>
          <w:b/>
          <w:bCs/>
          <w:iCs/>
          <w:szCs w:val="28"/>
          <w:lang w:eastAsia="en-US"/>
        </w:rPr>
        <w:br/>
      </w:r>
      <w:r w:rsidRPr="00CA682E">
        <w:rPr>
          <w:b/>
          <w:bCs/>
          <w:iCs/>
          <w:szCs w:val="28"/>
          <w:lang w:eastAsia="en-US"/>
        </w:rPr>
        <w:br/>
      </w:r>
      <w:r w:rsidRPr="00CA682E">
        <w:rPr>
          <w:rFonts w:eastAsia="Times New Roman"/>
          <w:b/>
          <w:bCs/>
          <w:iCs/>
          <w:szCs w:val="28"/>
          <w:lang w:eastAsia="en-US"/>
        </w:rPr>
        <w:t>INFORME SOBRE LA MARCHA DEL PLAN MAESTRO DE MEJORAS DE INFRAESTRUCTURA EN</w:t>
      </w:r>
      <w:r w:rsidR="00E26DA7">
        <w:rPr>
          <w:b/>
          <w:bCs/>
          <w:iCs/>
          <w:szCs w:val="28"/>
          <w:lang w:eastAsia="en-US"/>
        </w:rPr>
        <w:t xml:space="preserve"> </w:t>
      </w:r>
      <w:r w:rsidRPr="00CA682E">
        <w:rPr>
          <w:b/>
          <w:bCs/>
          <w:iCs/>
          <w:szCs w:val="28"/>
          <w:lang w:eastAsia="en-US"/>
        </w:rPr>
        <w:t>201</w:t>
      </w:r>
      <w:r w:rsidR="00E26DA7">
        <w:rPr>
          <w:b/>
          <w:bCs/>
          <w:iCs/>
          <w:szCs w:val="28"/>
          <w:lang w:eastAsia="en-US"/>
        </w:rPr>
        <w:t>4/1</w:t>
      </w:r>
      <w:r w:rsidRPr="00CA682E">
        <w:rPr>
          <w:b/>
          <w:bCs/>
          <w:iCs/>
          <w:szCs w:val="28"/>
          <w:lang w:eastAsia="en-US"/>
        </w:rPr>
        <w:t>5</w:t>
      </w:r>
      <w:bookmarkEnd w:id="219"/>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b/>
          <w:bCs/>
          <w:color w:val="000000" w:themeColor="text1"/>
          <w:sz w:val="20"/>
          <w:szCs w:val="24"/>
          <w:lang w:eastAsia="en-US"/>
        </w:rPr>
      </w:pPr>
      <w:r w:rsidRPr="00CA682E">
        <w:rPr>
          <w:rFonts w:eastAsia="Times New Roman" w:cs="Times New Roman"/>
          <w:b/>
          <w:bCs/>
          <w:color w:val="000000" w:themeColor="text1"/>
          <w:sz w:val="20"/>
          <w:szCs w:val="24"/>
          <w:lang w:eastAsia="en-US"/>
        </w:rPr>
        <w:t>I.</w:t>
      </w:r>
      <w:r w:rsidRPr="00CA682E">
        <w:rPr>
          <w:rFonts w:eastAsia="Times New Roman" w:cs="Times New Roman"/>
          <w:b/>
          <w:bCs/>
          <w:color w:val="000000" w:themeColor="text1"/>
          <w:sz w:val="20"/>
          <w:szCs w:val="24"/>
          <w:lang w:eastAsia="en-US"/>
        </w:rPr>
        <w:tab/>
        <w:t>INTRODUCCIÓN</w:t>
      </w:r>
    </w:p>
    <w:p w:rsidR="00CA682E" w:rsidRPr="00CA682E" w:rsidRDefault="00CA682E" w:rsidP="00CA682E">
      <w:pPr>
        <w:tabs>
          <w:tab w:val="left" w:pos="720"/>
        </w:tabs>
        <w:rPr>
          <w:color w:val="000000" w:themeColor="text1"/>
          <w:sz w:val="20"/>
        </w:rPr>
      </w:pPr>
    </w:p>
    <w:p w:rsidR="00CA682E" w:rsidRPr="00CA682E" w:rsidRDefault="00CA682E" w:rsidP="00CA682E">
      <w:pPr>
        <w:tabs>
          <w:tab w:val="left" w:pos="720"/>
        </w:tabs>
        <w:jc w:val="both"/>
        <w:rPr>
          <w:color w:val="000000" w:themeColor="text1"/>
          <w:sz w:val="20"/>
        </w:rPr>
      </w:pPr>
      <w:r w:rsidRPr="00CA682E">
        <w:rPr>
          <w:color w:val="000000" w:themeColor="text1"/>
          <w:sz w:val="20"/>
        </w:rPr>
        <w:t>En su 51ª serie de reuniones, celebrada en septiembre de 2013, las Asambleas de la OMPI suscribieron los principios que rigen la inclusión de proyectos en el Plan maestro de mejoras de infraestructura, y aprobaron la financiación de un importe total estimado de 11,2 millones de francos suizos, con cargo a las reservas disponibles, para siete proyectos (documento A/51/16</w:t>
      </w:r>
      <w:r w:rsidRPr="00CA682E">
        <w:rPr>
          <w:color w:val="000000" w:themeColor="text1"/>
          <w:sz w:val="20"/>
          <w:vertAlign w:val="superscript"/>
        </w:rPr>
        <w:footnoteReference w:id="170"/>
      </w:r>
      <w:r w:rsidRPr="00CA682E">
        <w:rPr>
          <w:color w:val="000000" w:themeColor="text1"/>
          <w:sz w:val="20"/>
        </w:rPr>
        <w:t>).</w:t>
      </w:r>
    </w:p>
    <w:p w:rsidR="00CA682E" w:rsidRPr="00CA682E" w:rsidRDefault="00CA682E" w:rsidP="00CA682E">
      <w:pPr>
        <w:tabs>
          <w:tab w:val="left" w:pos="720"/>
        </w:tabs>
        <w:jc w:val="both"/>
        <w:rPr>
          <w:color w:val="000000" w:themeColor="text1"/>
          <w:sz w:val="20"/>
        </w:rPr>
      </w:pPr>
    </w:p>
    <w:p w:rsidR="00CA682E" w:rsidRPr="00CA682E" w:rsidRDefault="00CA682E" w:rsidP="00CA682E">
      <w:pPr>
        <w:tabs>
          <w:tab w:val="left" w:pos="720"/>
        </w:tabs>
        <w:spacing w:after="220"/>
        <w:jc w:val="both"/>
        <w:rPr>
          <w:color w:val="000000" w:themeColor="text1"/>
          <w:sz w:val="20"/>
        </w:rPr>
      </w:pPr>
      <w:r w:rsidRPr="00CA682E">
        <w:rPr>
          <w:color w:val="000000" w:themeColor="text1"/>
          <w:sz w:val="20"/>
        </w:rPr>
        <w:t>En el marco de las iniciativas encaminadas a agilizar la presentación de informes en la Organización, el Informe sobre la marcha del Plan maestro de mejoras de infraestructura en 2015 se anexa al documento PPR 2014/2015.  Se trata del tercer informe sobre la marcha de dicho Plan presentado al PBC y ofrece a los Estados miembros un panorama de los progresos realizados, las etapas alcanzadas y la utilización de los recursos durante el período de enero a diciembre de 2015, en el marco de los proyectos siguientes:</w:t>
      </w:r>
    </w:p>
    <w:p w:rsidR="00CA682E" w:rsidRPr="00CA682E" w:rsidRDefault="00CA682E" w:rsidP="00CA682E">
      <w:pPr>
        <w:numPr>
          <w:ilvl w:val="1"/>
          <w:numId w:val="122"/>
        </w:numPr>
        <w:spacing w:after="220"/>
        <w:rPr>
          <w:color w:val="000000" w:themeColor="text1"/>
          <w:sz w:val="20"/>
          <w:u w:val="single"/>
        </w:rPr>
      </w:pPr>
      <w:r w:rsidRPr="00CA682E">
        <w:rPr>
          <w:color w:val="000000" w:themeColor="text1"/>
          <w:sz w:val="20"/>
          <w:u w:val="single"/>
        </w:rPr>
        <w:t>Proyectos relacionados con las TIC</w:t>
      </w:r>
    </w:p>
    <w:p w:rsidR="00CA682E" w:rsidRPr="00CA682E" w:rsidRDefault="00CA682E" w:rsidP="00CA682E">
      <w:pPr>
        <w:numPr>
          <w:ilvl w:val="2"/>
          <w:numId w:val="122"/>
        </w:numPr>
        <w:spacing w:after="220"/>
        <w:rPr>
          <w:color w:val="000000" w:themeColor="text1"/>
          <w:sz w:val="20"/>
        </w:rPr>
      </w:pPr>
      <w:r w:rsidRPr="00CA682E">
        <w:rPr>
          <w:color w:val="000000" w:themeColor="text1"/>
          <w:sz w:val="20"/>
        </w:rPr>
        <w:t>Mejora de la seguridad:  cifrado de datos y gestión de usuarios (PMM 1)</w:t>
      </w:r>
    </w:p>
    <w:p w:rsidR="00CA682E" w:rsidRPr="00CA682E" w:rsidRDefault="00CA682E" w:rsidP="00CA682E">
      <w:pPr>
        <w:numPr>
          <w:ilvl w:val="2"/>
          <w:numId w:val="122"/>
        </w:numPr>
        <w:spacing w:after="220"/>
        <w:rPr>
          <w:color w:val="000000" w:themeColor="text1"/>
          <w:sz w:val="20"/>
        </w:rPr>
      </w:pPr>
      <w:r w:rsidRPr="00CA682E">
        <w:rPr>
          <w:color w:val="000000" w:themeColor="text1"/>
          <w:sz w:val="20"/>
        </w:rPr>
        <w:t>Aplicación de la gestión de contenidos institucionales (PMM 2)</w:t>
      </w:r>
    </w:p>
    <w:p w:rsidR="00CA682E" w:rsidRPr="00CA682E" w:rsidRDefault="00CA682E" w:rsidP="00CA682E">
      <w:pPr>
        <w:numPr>
          <w:ilvl w:val="1"/>
          <w:numId w:val="122"/>
        </w:numPr>
        <w:spacing w:after="220"/>
        <w:rPr>
          <w:color w:val="000000" w:themeColor="text1"/>
          <w:sz w:val="20"/>
          <w:u w:val="single"/>
        </w:rPr>
      </w:pPr>
      <w:r w:rsidRPr="00CA682E">
        <w:rPr>
          <w:color w:val="000000" w:themeColor="text1"/>
          <w:sz w:val="20"/>
          <w:u w:val="single"/>
        </w:rPr>
        <w:t>Proyectos relacionados con los edificios</w:t>
      </w:r>
    </w:p>
    <w:p w:rsidR="00CA682E" w:rsidRPr="00CA682E" w:rsidRDefault="00CA682E" w:rsidP="00CA682E">
      <w:pPr>
        <w:numPr>
          <w:ilvl w:val="2"/>
          <w:numId w:val="134"/>
        </w:numPr>
        <w:spacing w:after="220"/>
        <w:ind w:left="1710" w:hanging="576"/>
        <w:rPr>
          <w:color w:val="000000" w:themeColor="text1"/>
          <w:sz w:val="20"/>
        </w:rPr>
      </w:pPr>
      <w:r w:rsidRPr="00CA682E">
        <w:rPr>
          <w:color w:val="000000" w:themeColor="text1"/>
          <w:sz w:val="20"/>
        </w:rPr>
        <w:t>Renovación de las fachadas e instalación de refrigeración/calefacción en el edificio PCT (PMM 3)</w:t>
      </w:r>
    </w:p>
    <w:p w:rsidR="00CA682E" w:rsidRPr="00CA682E" w:rsidRDefault="00CA682E" w:rsidP="00CA682E">
      <w:pPr>
        <w:numPr>
          <w:ilvl w:val="2"/>
          <w:numId w:val="122"/>
        </w:numPr>
        <w:spacing w:after="220"/>
        <w:ind w:left="1710" w:hanging="576"/>
        <w:rPr>
          <w:color w:val="000000" w:themeColor="text1"/>
          <w:sz w:val="20"/>
        </w:rPr>
      </w:pPr>
      <w:r w:rsidRPr="00CA682E">
        <w:rPr>
          <w:color w:val="000000" w:themeColor="text1"/>
          <w:sz w:val="20"/>
        </w:rPr>
        <w:t>Instalación en los edificios AB y PCT de un sistema de refrigeración que utiliza el agua del lago de Ginebra (“GLN”) (PMM 4)</w:t>
      </w:r>
    </w:p>
    <w:p w:rsidR="00CA682E" w:rsidRPr="00CA682E" w:rsidRDefault="00CA682E" w:rsidP="00CA682E">
      <w:pPr>
        <w:numPr>
          <w:ilvl w:val="2"/>
          <w:numId w:val="122"/>
        </w:numPr>
        <w:spacing w:after="220"/>
        <w:rPr>
          <w:color w:val="000000" w:themeColor="text1"/>
          <w:sz w:val="20"/>
        </w:rPr>
      </w:pPr>
      <w:r w:rsidRPr="00CA682E">
        <w:rPr>
          <w:color w:val="000000" w:themeColor="text1"/>
          <w:sz w:val="20"/>
        </w:rPr>
        <w:t>Edificio Arpad Bogsch – fase 1 de la renovación del subsuelo (adaptación de las dimensiones del centro de datos y renovación de la imprenta) (PMM 5)</w:t>
      </w:r>
    </w:p>
    <w:p w:rsidR="00CA682E" w:rsidRPr="00CA682E" w:rsidRDefault="00CA682E" w:rsidP="00CA682E">
      <w:pPr>
        <w:numPr>
          <w:ilvl w:val="2"/>
          <w:numId w:val="122"/>
        </w:numPr>
        <w:spacing w:after="220"/>
        <w:rPr>
          <w:color w:val="000000" w:themeColor="text1"/>
          <w:sz w:val="20"/>
        </w:rPr>
      </w:pPr>
      <w:r w:rsidRPr="00CA682E">
        <w:rPr>
          <w:color w:val="000000" w:themeColor="text1"/>
          <w:sz w:val="20"/>
        </w:rPr>
        <w:t>Edificio Arpad Bogsch – sustitución de determinadas ventanas (PMM 6)</w:t>
      </w:r>
    </w:p>
    <w:p w:rsidR="00CA682E" w:rsidRPr="00CA682E" w:rsidRDefault="00CA682E" w:rsidP="00CA682E">
      <w:pPr>
        <w:numPr>
          <w:ilvl w:val="1"/>
          <w:numId w:val="122"/>
        </w:numPr>
        <w:spacing w:after="220"/>
        <w:rPr>
          <w:color w:val="000000" w:themeColor="text1"/>
          <w:sz w:val="20"/>
          <w:u w:val="single"/>
        </w:rPr>
      </w:pPr>
      <w:r w:rsidRPr="00CA682E">
        <w:rPr>
          <w:color w:val="000000" w:themeColor="text1"/>
          <w:sz w:val="20"/>
          <w:u w:val="single"/>
        </w:rPr>
        <w:t>Proyectos relacionados con la seguridad y la vigilancia</w:t>
      </w:r>
    </w:p>
    <w:p w:rsidR="00CA682E" w:rsidRPr="00CA682E" w:rsidRDefault="00CA682E" w:rsidP="00CA682E">
      <w:pPr>
        <w:numPr>
          <w:ilvl w:val="2"/>
          <w:numId w:val="135"/>
        </w:numPr>
        <w:spacing w:after="220"/>
        <w:rPr>
          <w:color w:val="000000" w:themeColor="text1"/>
          <w:sz w:val="20"/>
        </w:rPr>
      </w:pPr>
      <w:r w:rsidRPr="00CA682E">
        <w:rPr>
          <w:color w:val="000000" w:themeColor="text1"/>
          <w:sz w:val="20"/>
        </w:rPr>
        <w:t>Medidas de seguridad y protección contra incendios (PMM 7)</w:t>
      </w:r>
    </w:p>
    <w:p w:rsidR="00CA682E" w:rsidRPr="00CA682E" w:rsidRDefault="00CA682E" w:rsidP="00CA682E">
      <w:pPr>
        <w:rPr>
          <w:rFonts w:eastAsia="Times New Roman" w:cs="Times New Roman"/>
          <w:b/>
          <w:bCs/>
          <w:color w:val="000000" w:themeColor="text1"/>
          <w:sz w:val="20"/>
          <w:szCs w:val="24"/>
          <w:lang w:eastAsia="en-US"/>
        </w:rPr>
      </w:pPr>
    </w:p>
    <w:p w:rsidR="00CA682E" w:rsidRPr="00CA682E" w:rsidRDefault="00CA682E" w:rsidP="00CA682E">
      <w:pPr>
        <w:rPr>
          <w:rFonts w:eastAsia="Times New Roman" w:cs="Times New Roman"/>
          <w:b/>
          <w:bCs/>
          <w:color w:val="000000" w:themeColor="text1"/>
          <w:szCs w:val="22"/>
          <w:lang w:eastAsia="en-US"/>
        </w:rPr>
      </w:pPr>
      <w:r w:rsidRPr="00CA682E">
        <w:rPr>
          <w:rFonts w:eastAsia="Times New Roman" w:cs="Times New Roman"/>
          <w:b/>
          <w:bCs/>
          <w:color w:val="000000" w:themeColor="text1"/>
          <w:szCs w:val="22"/>
          <w:lang w:eastAsia="en-US"/>
        </w:rPr>
        <w:t>II.</w:t>
      </w:r>
      <w:r w:rsidRPr="00CA682E">
        <w:rPr>
          <w:rFonts w:eastAsia="Times New Roman" w:cs="Times New Roman"/>
          <w:b/>
          <w:bCs/>
          <w:color w:val="000000" w:themeColor="text1"/>
          <w:szCs w:val="22"/>
          <w:lang w:eastAsia="en-US"/>
        </w:rPr>
        <w:tab/>
      </w:r>
      <w:r w:rsidRPr="00CA682E">
        <w:rPr>
          <w:rFonts w:eastAsia="Times New Roman" w:cs="Times New Roman"/>
          <w:b/>
          <w:bCs/>
          <w:color w:val="000000" w:themeColor="text1"/>
          <w:sz w:val="20"/>
          <w:szCs w:val="24"/>
          <w:lang w:eastAsia="en-US"/>
        </w:rPr>
        <w:t>ESTRUCTURA DE GOBERNANZA APROBADA</w:t>
      </w: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tabs>
          <w:tab w:val="left" w:pos="720"/>
        </w:tabs>
        <w:spacing w:after="220"/>
        <w:jc w:val="both"/>
        <w:rPr>
          <w:color w:val="000000" w:themeColor="text1"/>
          <w:sz w:val="20"/>
        </w:rPr>
      </w:pPr>
      <w:r w:rsidRPr="00CA682E">
        <w:rPr>
          <w:color w:val="000000" w:themeColor="text1"/>
          <w:sz w:val="20"/>
        </w:rPr>
        <w:t>En sintonía con las mejores prácticas en materia de gestión de proyectos, se aplicó en 2014 un marco de gobernanza para el Plan maestro de mejoras de infraestructura con el fin de</w:t>
      </w:r>
      <w:proofErr w:type="gramStart"/>
      <w:r w:rsidRPr="00CA682E">
        <w:rPr>
          <w:color w:val="000000" w:themeColor="text1"/>
          <w:sz w:val="20"/>
        </w:rPr>
        <w:t>:  i</w:t>
      </w:r>
      <w:proofErr w:type="gramEnd"/>
      <w:r w:rsidRPr="00CA682E">
        <w:rPr>
          <w:color w:val="000000" w:themeColor="text1"/>
          <w:sz w:val="20"/>
        </w:rPr>
        <w:t>) definir las estructuras y procesos de gestión y supervisión de las actividades de los proyectos encaminadas al logro de sus objetivos, y ii) velar por que se establezcan y se comuniquen claramente las responsabilidades y la rendición de cuentas.</w:t>
      </w:r>
    </w:p>
    <w:p w:rsidR="00CA682E" w:rsidRPr="00CA682E" w:rsidRDefault="00CA682E" w:rsidP="00CA682E">
      <w:pPr>
        <w:tabs>
          <w:tab w:val="left" w:pos="720"/>
        </w:tabs>
        <w:spacing w:after="220"/>
        <w:jc w:val="both"/>
        <w:rPr>
          <w:color w:val="000000" w:themeColor="text1"/>
          <w:sz w:val="20"/>
        </w:rPr>
      </w:pPr>
      <w:r w:rsidRPr="00CA682E">
        <w:rPr>
          <w:color w:val="000000" w:themeColor="text1"/>
          <w:sz w:val="20"/>
        </w:rPr>
        <w:t>El PBC, en su vigesimosegunda sesión, celebrada en septiembre de 2014, tomó nota de la estructura de gobernanza establecida para gestionar, supervisar y presentar informes sobre la ejecución de la cartera de proyectos del Plan maestro de mejoras de infraestructura, que se expone en el documento WO/PBC/22/21</w:t>
      </w:r>
      <w:r w:rsidRPr="00CA682E">
        <w:rPr>
          <w:color w:val="000000" w:themeColor="text1"/>
          <w:sz w:val="20"/>
          <w:vertAlign w:val="superscript"/>
        </w:rPr>
        <w:footnoteReference w:id="171"/>
      </w:r>
      <w:r w:rsidRPr="00CA682E">
        <w:rPr>
          <w:color w:val="000000" w:themeColor="text1"/>
          <w:sz w:val="20"/>
        </w:rPr>
        <w:t>.</w:t>
      </w:r>
    </w:p>
    <w:p w:rsidR="00CA682E" w:rsidRPr="00CA682E" w:rsidRDefault="00CA682E" w:rsidP="00CA682E">
      <w:pPr>
        <w:rPr>
          <w:rFonts w:eastAsia="Times New Roman" w:cs="Times New Roman"/>
          <w:b/>
          <w:color w:val="000000" w:themeColor="text1"/>
          <w:szCs w:val="22"/>
          <w:lang w:eastAsia="en-US"/>
        </w:rPr>
      </w:pPr>
      <w:r w:rsidRPr="00CA682E">
        <w:rPr>
          <w:rFonts w:eastAsia="Times New Roman" w:cs="Times New Roman"/>
          <w:b/>
          <w:color w:val="000000" w:themeColor="text1"/>
          <w:szCs w:val="22"/>
          <w:lang w:eastAsia="en-US"/>
        </w:rPr>
        <w:lastRenderedPageBreak/>
        <w:t>PROYECTOS RELACIONADOS CON LAS TIC</w:t>
      </w:r>
    </w:p>
    <w:p w:rsidR="00CA682E" w:rsidRPr="00CA682E" w:rsidRDefault="00CA682E" w:rsidP="00CA682E">
      <w:pPr>
        <w:rPr>
          <w:rFonts w:eastAsia="Times New Roman" w:cs="Times New Roman"/>
          <w:sz w:val="20"/>
          <w:szCs w:val="24"/>
          <w:lang w:eastAsia="en-US"/>
        </w:rPr>
      </w:pPr>
      <w:bookmarkStart w:id="220" w:name="_Toc422927448"/>
    </w:p>
    <w:p w:rsidR="00CA682E" w:rsidRPr="00CA682E" w:rsidRDefault="00CA682E" w:rsidP="00A013AC">
      <w:pPr>
        <w:keepNext/>
        <w:ind w:left="1701" w:hanging="1701"/>
        <w:outlineLvl w:val="2"/>
        <w:rPr>
          <w:b/>
          <w:bCs/>
          <w:i/>
          <w:color w:val="000000" w:themeColor="text1"/>
          <w:sz w:val="20"/>
          <w:lang w:eastAsia="en-US"/>
        </w:rPr>
      </w:pPr>
      <w:bookmarkStart w:id="221" w:name="_Toc455159116"/>
      <w:r w:rsidRPr="00CA682E">
        <w:rPr>
          <w:b/>
          <w:bCs/>
          <w:i/>
          <w:color w:val="000000" w:themeColor="text1"/>
          <w:sz w:val="20"/>
          <w:lang w:eastAsia="en-US"/>
        </w:rPr>
        <w:t>PROYECTO 1:</w:t>
      </w:r>
      <w:r w:rsidR="00A013AC">
        <w:rPr>
          <w:b/>
          <w:bCs/>
          <w:i/>
          <w:color w:val="000000" w:themeColor="text1"/>
          <w:sz w:val="20"/>
          <w:lang w:eastAsia="en-US"/>
        </w:rPr>
        <w:tab/>
      </w:r>
      <w:r w:rsidRPr="00CA682E">
        <w:rPr>
          <w:b/>
          <w:bCs/>
          <w:i/>
          <w:color w:val="000000" w:themeColor="text1"/>
          <w:sz w:val="20"/>
          <w:lang w:eastAsia="en-US"/>
        </w:rPr>
        <w:t>MEJORA DE LA SEGURIDAD</w:t>
      </w:r>
      <w:proofErr w:type="gramStart"/>
      <w:r w:rsidRPr="00CA682E">
        <w:rPr>
          <w:b/>
          <w:bCs/>
          <w:i/>
          <w:color w:val="000000" w:themeColor="text1"/>
          <w:sz w:val="20"/>
          <w:lang w:eastAsia="en-US"/>
        </w:rPr>
        <w:t>:  CIFRADO</w:t>
      </w:r>
      <w:proofErr w:type="gramEnd"/>
      <w:r w:rsidRPr="00CA682E">
        <w:rPr>
          <w:b/>
          <w:bCs/>
          <w:i/>
          <w:color w:val="000000" w:themeColor="text1"/>
          <w:sz w:val="20"/>
          <w:lang w:eastAsia="en-US"/>
        </w:rPr>
        <w:t xml:space="preserve"> DE DATOS Y GESTIÓN DE USUARIOS (PMM 1)</w:t>
      </w:r>
      <w:bookmarkEnd w:id="220"/>
      <w:bookmarkEnd w:id="221"/>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b/>
          <w:color w:val="000000" w:themeColor="text1"/>
          <w:sz w:val="20"/>
          <w:lang w:eastAsia="en-US"/>
        </w:rPr>
      </w:pPr>
      <w:r w:rsidRPr="00CA682E">
        <w:rPr>
          <w:rFonts w:eastAsia="Times New Roman" w:cs="Times New Roman"/>
          <w:b/>
          <w:color w:val="000000" w:themeColor="text1"/>
          <w:sz w:val="20"/>
          <w:lang w:eastAsia="en-US"/>
        </w:rPr>
        <w:t>Director de proyecto</w:t>
      </w:r>
      <w:r w:rsidRPr="00CA682E">
        <w:rPr>
          <w:rFonts w:eastAsia="Times New Roman" w:cs="Times New Roman"/>
          <w:b/>
          <w:color w:val="000000" w:themeColor="text1"/>
          <w:sz w:val="20"/>
          <w:lang w:eastAsia="en-US"/>
        </w:rPr>
        <w:tab/>
        <w:t>Sr. R. LANE</w:t>
      </w: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RESULTADO PREVISTO</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jc w:val="both"/>
        <w:rPr>
          <w:rFonts w:eastAsia="Times New Roman" w:cs="Times New Roman"/>
          <w:i/>
          <w:iCs/>
          <w:color w:val="000000" w:themeColor="text1"/>
          <w:sz w:val="20"/>
          <w:lang w:eastAsia="en-US"/>
        </w:rPr>
      </w:pPr>
      <w:r w:rsidRPr="00CA682E">
        <w:rPr>
          <w:rFonts w:eastAsia="Times New Roman" w:cs="Times New Roman"/>
          <w:i/>
          <w:iCs/>
          <w:color w:val="000000" w:themeColor="text1"/>
          <w:sz w:val="20"/>
          <w:lang w:eastAsia="en-US"/>
        </w:rPr>
        <w:t xml:space="preserve">IX.1  </w:t>
      </w:r>
      <w:r w:rsidRPr="00CA682E">
        <w:rPr>
          <w:rFonts w:eastAsia="Times New Roman" w:cs="Times New Roman"/>
          <w:i/>
          <w:iCs/>
          <w:color w:val="000000" w:themeColor="text1"/>
          <w:sz w:val="20"/>
          <w:szCs w:val="24"/>
          <w:lang w:eastAsia="en-US"/>
        </w:rPr>
        <w:t xml:space="preserve">Servicios de </w:t>
      </w:r>
      <w:proofErr w:type="gramStart"/>
      <w:r w:rsidRPr="00CA682E">
        <w:rPr>
          <w:rFonts w:eastAsia="Times New Roman" w:cs="Times New Roman"/>
          <w:i/>
          <w:iCs/>
          <w:color w:val="000000" w:themeColor="text1"/>
          <w:sz w:val="20"/>
          <w:szCs w:val="24"/>
          <w:lang w:eastAsia="en-US"/>
        </w:rPr>
        <w:t>apoyo eficaces, eficientes, de calidad y orientados</w:t>
      </w:r>
      <w:proofErr w:type="gramEnd"/>
      <w:r w:rsidRPr="00CA682E">
        <w:rPr>
          <w:rFonts w:eastAsia="Times New Roman" w:cs="Times New Roman"/>
          <w:i/>
          <w:iCs/>
          <w:color w:val="000000" w:themeColor="text1"/>
          <w:sz w:val="20"/>
          <w:szCs w:val="24"/>
          <w:lang w:eastAsia="en-US"/>
        </w:rPr>
        <w:t xml:space="preserve"> al cliente, tanto a los clientes internos como a las partes interesadas externas</w:t>
      </w:r>
    </w:p>
    <w:p w:rsidR="00CA682E" w:rsidRPr="00CA682E" w:rsidRDefault="00CA682E" w:rsidP="00CA682E">
      <w:pPr>
        <w:jc w:val="both"/>
        <w:rPr>
          <w:rFonts w:eastAsia="Times New Roman" w:cs="Times New Roman"/>
          <w:i/>
          <w:iCs/>
          <w:color w:val="000000" w:themeColor="text1"/>
          <w:sz w:val="20"/>
          <w:lang w:eastAsia="en-US"/>
        </w:rPr>
      </w:pPr>
    </w:p>
    <w:p w:rsidR="00CA682E" w:rsidRPr="00CA682E" w:rsidRDefault="00CA682E" w:rsidP="00CA682E">
      <w:pPr>
        <w:numPr>
          <w:ilvl w:val="0"/>
          <w:numId w:val="125"/>
        </w:numPr>
        <w:tabs>
          <w:tab w:val="left" w:pos="567"/>
        </w:tabs>
        <w:ind w:left="0" w:firstLine="0"/>
        <w:jc w:val="both"/>
        <w:rPr>
          <w:iCs/>
          <w:color w:val="000000" w:themeColor="text1"/>
          <w:sz w:val="20"/>
        </w:rPr>
      </w:pPr>
      <w:r w:rsidRPr="00CA682E">
        <w:rPr>
          <w:iCs/>
          <w:color w:val="000000" w:themeColor="text1"/>
          <w:sz w:val="20"/>
        </w:rPr>
        <w:t>Aplicar el cifrado de datos y la gestión de usuarios mejorará la capacidad de la OMPI de hacer frente al creciente número de amenazas en materia de seguridad de la información, permitiendo al mismo tiempo, por una parte, tomar en consideración más opciones costoeficaces de selección de proveedores y, por otra, administrar de forma integrada un número cada vez mayor de derechos de acceso de los usuarios.</w:t>
      </w:r>
    </w:p>
    <w:p w:rsidR="00CA682E" w:rsidRPr="00CA682E" w:rsidRDefault="00CA682E" w:rsidP="00CA682E">
      <w:pPr>
        <w:tabs>
          <w:tab w:val="left" w:pos="567"/>
        </w:tabs>
        <w:jc w:val="both"/>
        <w:rPr>
          <w:iCs/>
          <w:color w:val="000000" w:themeColor="text1"/>
          <w:sz w:val="20"/>
        </w:rPr>
      </w:pPr>
    </w:p>
    <w:p w:rsidR="00CA682E" w:rsidRPr="00CA682E" w:rsidRDefault="00CA682E" w:rsidP="00CA682E">
      <w:pPr>
        <w:tabs>
          <w:tab w:val="left" w:pos="567"/>
        </w:tabs>
        <w:jc w:val="both"/>
        <w:rPr>
          <w:iCs/>
          <w:color w:val="000000" w:themeColor="text1"/>
          <w:sz w:val="20"/>
        </w:rPr>
      </w:pPr>
    </w:p>
    <w:p w:rsidR="00CA682E" w:rsidRPr="00CA682E" w:rsidRDefault="00CA682E" w:rsidP="00CA682E">
      <w:pPr>
        <w:rPr>
          <w:rFonts w:eastAsia="Times New Roman" w:cs="Times New Roman"/>
          <w:bCs/>
          <w:color w:val="000000" w:themeColor="text1"/>
          <w:sz w:val="20"/>
          <w:szCs w:val="22"/>
          <w:lang w:eastAsia="en-US"/>
        </w:rPr>
      </w:pPr>
      <w:r w:rsidRPr="00CA682E">
        <w:rPr>
          <w:rFonts w:eastAsia="Times New Roman" w:cs="Times New Roman"/>
          <w:bCs/>
          <w:color w:val="000000" w:themeColor="text1"/>
          <w:sz w:val="20"/>
          <w:szCs w:val="24"/>
          <w:lang w:eastAsia="en-US"/>
        </w:rPr>
        <w:t>OBJETIVOS, ALCANCE Y ENFOQUE</w:t>
      </w:r>
      <w:proofErr w:type="gramStart"/>
      <w:r w:rsidRPr="00CA682E">
        <w:rPr>
          <w:rFonts w:eastAsia="Times New Roman" w:cs="Times New Roman"/>
          <w:bCs/>
          <w:color w:val="000000" w:themeColor="text1"/>
          <w:sz w:val="20"/>
          <w:szCs w:val="24"/>
          <w:lang w:eastAsia="en-US"/>
        </w:rPr>
        <w:t>:  ANTECEDENTES</w:t>
      </w:r>
      <w:proofErr w:type="gramEnd"/>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numPr>
          <w:ilvl w:val="0"/>
          <w:numId w:val="125"/>
        </w:numPr>
        <w:tabs>
          <w:tab w:val="left" w:pos="567"/>
        </w:tabs>
        <w:spacing w:after="220"/>
        <w:ind w:left="0" w:firstLine="0"/>
        <w:jc w:val="both"/>
        <w:rPr>
          <w:color w:val="000000" w:themeColor="text1"/>
          <w:sz w:val="20"/>
        </w:rPr>
      </w:pPr>
      <w:r w:rsidRPr="00CA682E">
        <w:rPr>
          <w:color w:val="000000" w:themeColor="text1"/>
          <w:sz w:val="20"/>
        </w:rPr>
        <w:t>Este proyecto tiene tres objetivos principales</w:t>
      </w:r>
      <w:proofErr w:type="gramStart"/>
      <w:r w:rsidRPr="00CA682E">
        <w:rPr>
          <w:color w:val="000000" w:themeColor="text1"/>
          <w:sz w:val="20"/>
        </w:rPr>
        <w:t>:  proteger</w:t>
      </w:r>
      <w:proofErr w:type="gramEnd"/>
      <w:r w:rsidRPr="00CA682E">
        <w:rPr>
          <w:color w:val="000000" w:themeColor="text1"/>
          <w:sz w:val="20"/>
        </w:rPr>
        <w:t xml:space="preserve"> los datos fundamentales, presentar opciones más costoeficaces de selección de proveedores y administrar de forma global los derechos de acceso de los usuarios</w:t>
      </w:r>
      <w:r w:rsidRPr="00CA682E">
        <w:rPr>
          <w:bCs/>
          <w:color w:val="000000" w:themeColor="text1"/>
          <w:sz w:val="20"/>
        </w:rPr>
        <w:t>.</w:t>
      </w:r>
    </w:p>
    <w:p w:rsidR="00CA682E" w:rsidRPr="00CA682E" w:rsidRDefault="00CA682E" w:rsidP="00CA682E">
      <w:pPr>
        <w:numPr>
          <w:ilvl w:val="0"/>
          <w:numId w:val="125"/>
        </w:numPr>
        <w:tabs>
          <w:tab w:val="left" w:pos="567"/>
        </w:tabs>
        <w:spacing w:after="220"/>
        <w:ind w:left="0" w:firstLine="0"/>
        <w:jc w:val="both"/>
        <w:rPr>
          <w:color w:val="000000" w:themeColor="text1"/>
          <w:sz w:val="20"/>
        </w:rPr>
      </w:pPr>
      <w:r w:rsidRPr="00CA682E">
        <w:rPr>
          <w:bCs/>
          <w:color w:val="000000" w:themeColor="text1"/>
          <w:sz w:val="20"/>
        </w:rPr>
        <w:t>La OMPI ya ha adoptado variados enfoques para proteger la información confidencial;  entre ellos cabe señalar mecanismos tradicionales de protección perimetral, sistemas de gestión de la información y los sucesos en materia de seguridad, y detección y prevención de intrusiones.  Sin embargo, en respuesta a amenazas cada vez más complejas a la seguridad, las mejores prácticas en materia de seguridad de la información también hacen hincapié actualmente en la protección directa de las fuentes.</w:t>
      </w:r>
    </w:p>
    <w:p w:rsidR="00CA682E" w:rsidRPr="00CA682E" w:rsidRDefault="00CA682E" w:rsidP="00CA682E">
      <w:pPr>
        <w:numPr>
          <w:ilvl w:val="0"/>
          <w:numId w:val="125"/>
        </w:numPr>
        <w:tabs>
          <w:tab w:val="left" w:pos="567"/>
        </w:tabs>
        <w:spacing w:after="220"/>
        <w:ind w:left="0" w:firstLine="0"/>
        <w:jc w:val="both"/>
        <w:rPr>
          <w:color w:val="000000" w:themeColor="text1"/>
          <w:sz w:val="20"/>
        </w:rPr>
      </w:pPr>
      <w:r w:rsidRPr="00CA682E">
        <w:rPr>
          <w:bCs/>
          <w:color w:val="000000" w:themeColor="text1"/>
          <w:sz w:val="20"/>
        </w:rPr>
        <w:t>Además, hoy en día, disponer de opciones costoeficaces de selección de proveedores es una necesidad en el ámbito de la gestión de las tecnologías de la información, en el que se espera poder, por una parte, contar con competencias diversificadas y ágiles y, por otra, con la posibilidad de movilizar rápidamente al personal para responder a las cambiantes prioridades de trabajo. Sin embargo, el aumento de las opciones de selección de proveedores también expone a un mayor riesgo la seguridad de la información.</w:t>
      </w:r>
    </w:p>
    <w:p w:rsidR="00CA682E" w:rsidRPr="00CA682E" w:rsidRDefault="00CA682E" w:rsidP="00CA682E">
      <w:pPr>
        <w:numPr>
          <w:ilvl w:val="0"/>
          <w:numId w:val="125"/>
        </w:numPr>
        <w:tabs>
          <w:tab w:val="left" w:pos="567"/>
        </w:tabs>
        <w:spacing w:after="220"/>
        <w:ind w:left="0" w:firstLine="0"/>
        <w:jc w:val="both"/>
        <w:rPr>
          <w:bCs/>
          <w:color w:val="000000" w:themeColor="text1"/>
          <w:sz w:val="20"/>
        </w:rPr>
      </w:pPr>
      <w:r w:rsidRPr="00CA682E">
        <w:rPr>
          <w:bCs/>
          <w:color w:val="000000" w:themeColor="text1"/>
          <w:sz w:val="20"/>
        </w:rPr>
        <w:t>Las tecnologías de cifrado de datos institucionales pueden brindar soluciones eficaces a esos dos desafíos. Esas soluciones complementan otras medidas de seguridad de la información mediante el cifrado de la fuente de los datos.  También permiten mayor flexibilidad para elegir proveedores de servicios costoeficaces, por mantener el cifrado bajo estricto control, permitiendo al mismo tiempo a los proveedores de servicios realizar sus funciones de apoyo.</w:t>
      </w:r>
    </w:p>
    <w:p w:rsidR="00CA682E" w:rsidRPr="00CA682E" w:rsidRDefault="00CA682E" w:rsidP="00CA682E">
      <w:pPr>
        <w:numPr>
          <w:ilvl w:val="0"/>
          <w:numId w:val="125"/>
        </w:numPr>
        <w:tabs>
          <w:tab w:val="left" w:pos="567"/>
        </w:tabs>
        <w:spacing w:after="220"/>
        <w:ind w:left="0" w:firstLine="0"/>
        <w:jc w:val="both"/>
        <w:rPr>
          <w:bCs/>
          <w:color w:val="000000" w:themeColor="text1"/>
          <w:sz w:val="20"/>
        </w:rPr>
      </w:pPr>
      <w:r w:rsidRPr="00CA682E">
        <w:rPr>
          <w:bCs/>
          <w:color w:val="000000" w:themeColor="text1"/>
          <w:sz w:val="20"/>
        </w:rPr>
        <w:t xml:space="preserve">La eficacia en la gestión de los derechos de acceso es otro complemento de las inversiones en mecanismos de cifrado de datos institucionales.  Tradicionalmente, la gestión de los derechos de acceso ha girado en torno a los sistemas;  es decir que, en un determinado sistema, debe resultar claro quién tiene acceso a qué.  Ese mecanismo puede ser eficaz cuando el número de usuarios y de aplicaciones informáticas es relativamente pequeño. </w:t>
      </w:r>
    </w:p>
    <w:p w:rsidR="00CA682E" w:rsidRPr="00CA682E" w:rsidRDefault="00CA682E" w:rsidP="00CA682E">
      <w:pPr>
        <w:numPr>
          <w:ilvl w:val="0"/>
          <w:numId w:val="125"/>
        </w:numPr>
        <w:tabs>
          <w:tab w:val="left" w:pos="567"/>
        </w:tabs>
        <w:spacing w:after="220"/>
        <w:ind w:left="0" w:firstLine="0"/>
        <w:jc w:val="both"/>
        <w:rPr>
          <w:iCs/>
          <w:color w:val="000000" w:themeColor="text1"/>
          <w:sz w:val="20"/>
        </w:rPr>
      </w:pPr>
      <w:r w:rsidRPr="00CA682E">
        <w:rPr>
          <w:iCs/>
          <w:color w:val="000000" w:themeColor="text1"/>
          <w:sz w:val="20"/>
        </w:rPr>
        <w:t>Sin embargo, en la medida en que la OMPI siga ampliando sus servicios en línea, se prevé que el número de usuarios aumentará constantemente en los próximos años.  Es necesario invertir en mecanismos que centren los derechos de acceso en los usuarios.  Es decir, debe ser claro qué derechos de acceso tiene un determinado usuario en todo el espectro de sistemas.</w:t>
      </w:r>
    </w:p>
    <w:p w:rsidR="00CA682E" w:rsidRPr="00CA682E" w:rsidRDefault="00CA682E" w:rsidP="00CA682E">
      <w:pPr>
        <w:numPr>
          <w:ilvl w:val="0"/>
          <w:numId w:val="125"/>
        </w:numPr>
        <w:tabs>
          <w:tab w:val="left" w:pos="567"/>
        </w:tabs>
        <w:ind w:left="0" w:firstLine="0"/>
        <w:jc w:val="both"/>
        <w:rPr>
          <w:iCs/>
          <w:color w:val="000000" w:themeColor="text1"/>
          <w:sz w:val="20"/>
        </w:rPr>
      </w:pPr>
      <w:r w:rsidRPr="00CA682E">
        <w:rPr>
          <w:iCs/>
          <w:color w:val="000000" w:themeColor="text1"/>
          <w:sz w:val="20"/>
        </w:rPr>
        <w:t>En el futuro, es posible que las tecnologías estén en mejores condiciones de administrar los derechos de acceso según las funciones de los usuarios en sistemas complejos, por ejemplo, el de PRI, y entre esos sistemas.  Actualmente, es difícil pronosticar cómo y hacía dónde evolucionarán esas tecnologías.  Por lo tanto, ello no forma parte del alcance de este proyecto.</w:t>
      </w:r>
    </w:p>
    <w:p w:rsidR="00CA682E" w:rsidRPr="00CA682E" w:rsidRDefault="00CA682E" w:rsidP="00CA682E">
      <w:pPr>
        <w:tabs>
          <w:tab w:val="left" w:pos="567"/>
        </w:tabs>
        <w:jc w:val="both"/>
        <w:rPr>
          <w:iCs/>
          <w:color w:val="000000" w:themeColor="text1"/>
          <w:sz w:val="20"/>
        </w:rPr>
      </w:pPr>
    </w:p>
    <w:p w:rsidR="00CA682E" w:rsidRPr="00CA682E" w:rsidRDefault="00CA682E" w:rsidP="00CA682E">
      <w:pPr>
        <w:tabs>
          <w:tab w:val="left" w:pos="567"/>
        </w:tabs>
        <w:jc w:val="both"/>
        <w:rPr>
          <w:iCs/>
          <w:color w:val="000000" w:themeColor="text1"/>
          <w:sz w:val="20"/>
        </w:rPr>
      </w:pPr>
    </w:p>
    <w:p w:rsidR="00CA682E" w:rsidRPr="00CA682E" w:rsidRDefault="00CA682E" w:rsidP="00CA682E">
      <w:pPr>
        <w:keepNext/>
        <w:keepLines/>
        <w:rPr>
          <w:rFonts w:eastAsia="Times New Roman" w:cs="Times New Roman"/>
          <w:bCs/>
          <w:color w:val="000000" w:themeColor="text1"/>
          <w:sz w:val="20"/>
          <w:lang w:eastAsia="en-US"/>
        </w:rPr>
      </w:pPr>
      <w:r w:rsidRPr="00CA682E">
        <w:rPr>
          <w:rFonts w:eastAsia="Times New Roman" w:cs="Times New Roman"/>
          <w:bCs/>
          <w:color w:val="000000" w:themeColor="text1"/>
          <w:sz w:val="20"/>
          <w:szCs w:val="24"/>
          <w:lang w:eastAsia="en-US"/>
        </w:rPr>
        <w:t>RESEÑA DE LOS AVANCES LOGRADOS EN 2015 (ETAPAS FUNDAMENTALES</w:t>
      </w:r>
    </w:p>
    <w:p w:rsidR="00CA682E" w:rsidRPr="00CA682E" w:rsidRDefault="00CA682E" w:rsidP="00CA682E">
      <w:pPr>
        <w:keepNext/>
        <w:keepLines/>
        <w:rPr>
          <w:rFonts w:eastAsia="Times New Roman" w:cs="Times New Roman"/>
          <w:bCs/>
          <w:color w:val="000000" w:themeColor="text1"/>
          <w:sz w:val="20"/>
          <w:lang w:eastAsia="en-US"/>
        </w:rPr>
      </w:pPr>
    </w:p>
    <w:p w:rsidR="00CA682E" w:rsidRPr="00CA682E" w:rsidRDefault="00CA682E" w:rsidP="00CA682E">
      <w:pPr>
        <w:numPr>
          <w:ilvl w:val="0"/>
          <w:numId w:val="125"/>
        </w:numPr>
        <w:tabs>
          <w:tab w:val="left" w:pos="567"/>
        </w:tabs>
        <w:ind w:left="0" w:firstLine="0"/>
        <w:jc w:val="both"/>
        <w:rPr>
          <w:bCs/>
          <w:color w:val="000000" w:themeColor="text1"/>
          <w:sz w:val="20"/>
        </w:rPr>
      </w:pPr>
      <w:r w:rsidRPr="00CA682E">
        <w:rPr>
          <w:bCs/>
          <w:color w:val="000000" w:themeColor="text1"/>
          <w:sz w:val="20"/>
        </w:rPr>
        <w:t>En 2015, los progresos en este proyecto fueron limitados debido a determinados requisitos operativos en materia de seguridad de la información y al establecimiento, en febrero de 2015, de una División de Seguridad y Aseguramiento de la Información.  Bajo la dirección del nuevo Oficial Principal de Seguridad, a mediados de 2015 se emprendió un proceso de selección de un experto independiente para efectuar una evaluación de la situación en materia de cifrado de datos y gestión de usuarios (gestión de la identidad y del acceso), a los fines de adoptar una arquitectura de referencia y una hoja de ruta para la aplicación de soluciones técnicas y de procedimiento. La evaluación se inició en noviembre de 2015.  Se espera finalizar la primera etapa a mediados de 2016, lo que será un punto de partida para definir con mayor detalle la ejecución del proyecto.</w:t>
      </w:r>
    </w:p>
    <w:p w:rsidR="00CA682E" w:rsidRPr="00CA682E" w:rsidRDefault="00CA682E" w:rsidP="00CA682E">
      <w:pPr>
        <w:jc w:val="both"/>
        <w:rPr>
          <w:rFonts w:eastAsia="Times New Roman" w:cs="Times New Roman"/>
          <w:bCs/>
          <w:color w:val="000000" w:themeColor="text1"/>
          <w:sz w:val="20"/>
          <w:lang w:eastAsia="en-US"/>
        </w:rPr>
      </w:pPr>
    </w:p>
    <w:p w:rsidR="00CA682E" w:rsidRPr="00CA682E" w:rsidRDefault="00CA682E" w:rsidP="00CA682E">
      <w:pPr>
        <w:numPr>
          <w:ilvl w:val="0"/>
          <w:numId w:val="125"/>
        </w:numPr>
        <w:tabs>
          <w:tab w:val="left" w:pos="567"/>
        </w:tabs>
        <w:ind w:left="0" w:firstLine="0"/>
        <w:jc w:val="both"/>
        <w:rPr>
          <w:bCs/>
          <w:color w:val="000000" w:themeColor="text1"/>
          <w:sz w:val="20"/>
        </w:rPr>
      </w:pPr>
      <w:r w:rsidRPr="00CA682E">
        <w:rPr>
          <w:bCs/>
          <w:color w:val="000000" w:themeColor="text1"/>
          <w:sz w:val="20"/>
        </w:rPr>
        <w:t xml:space="preserve">Dadas las medidas adicionales de diligencia debida, incluido un procedimiento más riguroso de aprobación a nivel interno, el proceso de selección del experto independiente llevó más tiempo de lo previsto, con el consiguiente retraso en el calendario del proyecto, que ha sido actualizado en consecuencia. </w:t>
      </w:r>
    </w:p>
    <w:p w:rsidR="00CA682E" w:rsidRPr="00CA682E" w:rsidRDefault="00CA682E" w:rsidP="00CA682E">
      <w:pPr>
        <w:keepNext/>
        <w:keepLines/>
        <w:rPr>
          <w:rFonts w:eastAsia="Times New Roman" w:cs="Times New Roman"/>
          <w:bCs/>
          <w:color w:val="000000" w:themeColor="text1"/>
          <w:sz w:val="20"/>
          <w:szCs w:val="22"/>
          <w:lang w:eastAsia="en-US"/>
        </w:rPr>
      </w:pPr>
    </w:p>
    <w:p w:rsidR="00CA682E" w:rsidRPr="00CA682E" w:rsidRDefault="00CA682E" w:rsidP="00CA682E">
      <w:pPr>
        <w:keepNext/>
        <w:keepLines/>
        <w:rPr>
          <w:rFonts w:eastAsia="Times New Roman" w:cs="Times New Roman"/>
          <w:bCs/>
          <w:color w:val="000000" w:themeColor="text1"/>
          <w:sz w:val="20"/>
          <w:szCs w:val="22"/>
          <w:lang w:eastAsia="en-US"/>
        </w:rPr>
      </w:pPr>
    </w:p>
    <w:p w:rsidR="00CA682E" w:rsidRPr="00CA682E" w:rsidRDefault="00CA682E" w:rsidP="00CA682E">
      <w:pPr>
        <w:keepNext/>
        <w:keepLines/>
        <w:rPr>
          <w:rFonts w:eastAsia="Times New Roman"/>
          <w:color w:val="000000" w:themeColor="text1"/>
          <w:sz w:val="20"/>
          <w:szCs w:val="22"/>
          <w:lang w:eastAsia="en-US"/>
        </w:rPr>
      </w:pPr>
      <w:r w:rsidRPr="00CA682E">
        <w:rPr>
          <w:rFonts w:eastAsia="Times New Roman" w:cs="Times New Roman"/>
          <w:bCs/>
          <w:color w:val="000000" w:themeColor="text1"/>
          <w:sz w:val="20"/>
          <w:szCs w:val="22"/>
          <w:lang w:eastAsia="en-US"/>
        </w:rPr>
        <w:t>OBTENCIÓN DE BENEFICIOS</w:t>
      </w:r>
    </w:p>
    <w:p w:rsidR="00CA682E" w:rsidRPr="00CA682E" w:rsidRDefault="00CA682E" w:rsidP="00CA682E">
      <w:pPr>
        <w:keepNext/>
        <w:keepLines/>
        <w:rPr>
          <w:rFonts w:eastAsia="Times New Roman"/>
          <w:color w:val="000000" w:themeColor="text1"/>
          <w:szCs w:val="22"/>
          <w:lang w:eastAsia="en-US"/>
        </w:rPr>
      </w:pPr>
    </w:p>
    <w:tbl>
      <w:tblPr>
        <w:tblW w:w="3693" w:type="pct"/>
        <w:jc w:val="center"/>
        <w:tblInd w:w="-2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CA682E" w:rsidRPr="00CA682E" w:rsidTr="007B1DE4">
        <w:trPr>
          <w:trHeight w:val="535"/>
          <w:tblHeader/>
          <w:jc w:val="center"/>
        </w:trPr>
        <w:tc>
          <w:tcPr>
            <w:tcW w:w="5000" w:type="pct"/>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2017</w:t>
            </w:r>
          </w:p>
        </w:tc>
      </w:tr>
      <w:tr w:rsidR="00CA682E" w:rsidRPr="00CA682E" w:rsidTr="007B1DE4">
        <w:trPr>
          <w:trHeight w:val="564"/>
          <w:jc w:val="center"/>
        </w:trPr>
        <w:tc>
          <w:tcPr>
            <w:tcW w:w="5000" w:type="pct"/>
            <w:shd w:val="clear" w:color="auto" w:fill="auto"/>
          </w:tcPr>
          <w:p w:rsidR="00CA682E" w:rsidRPr="00CA682E" w:rsidRDefault="00CA682E" w:rsidP="00CA682E">
            <w:pPr>
              <w:rPr>
                <w:rFonts w:eastAsia="Times New Roman" w:cs="Times New Roman"/>
                <w:bCs/>
                <w:iCs/>
                <w:color w:val="000000" w:themeColor="text1"/>
                <w:sz w:val="16"/>
                <w:szCs w:val="16"/>
                <w:lang w:eastAsia="en-US"/>
              </w:rPr>
            </w:pPr>
          </w:p>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La puesta en práctica de soluciones técnicas, y de arquitectura y procedimiento para mejorar la gestión de la identidad y el acceso y el cifrado tendrá las siguientes consecuencias:</w:t>
            </w:r>
          </w:p>
          <w:p w:rsidR="00CA682E" w:rsidRPr="00CA682E" w:rsidRDefault="00CA682E" w:rsidP="00CA682E">
            <w:pPr>
              <w:rPr>
                <w:rFonts w:eastAsia="Times New Roman" w:cs="Times New Roman"/>
                <w:bCs/>
                <w:iCs/>
                <w:color w:val="000000" w:themeColor="text1"/>
                <w:sz w:val="16"/>
                <w:szCs w:val="16"/>
                <w:lang w:eastAsia="en-US"/>
              </w:rPr>
            </w:pPr>
          </w:p>
          <w:p w:rsidR="00CA682E" w:rsidRPr="00CA682E" w:rsidRDefault="00CA682E" w:rsidP="00CA682E">
            <w:pPr>
              <w:numPr>
                <w:ilvl w:val="0"/>
                <w:numId w:val="132"/>
              </w:num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la normalización y reutilización de la arquitectura de seguridad de referencia en los principales sistemas y aplicaciones de la OMPI;  y</w:t>
            </w:r>
          </w:p>
          <w:p w:rsidR="00CA682E" w:rsidRPr="00CA682E" w:rsidRDefault="00CA682E" w:rsidP="00CA682E">
            <w:pPr>
              <w:numPr>
                <w:ilvl w:val="0"/>
                <w:numId w:val="132"/>
              </w:num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 xml:space="preserve">el aumento de la protección de los activos de información confidencial contra el acceso y/o la divulgación no autorizados. </w:t>
            </w:r>
          </w:p>
        </w:tc>
      </w:tr>
    </w:tbl>
    <w:p w:rsidR="00CA682E" w:rsidRPr="00CA682E" w:rsidRDefault="00CA682E" w:rsidP="00CA682E">
      <w:pPr>
        <w:keepNext/>
        <w:keepLines/>
        <w:rPr>
          <w:rFonts w:eastAsia="Times New Roman"/>
          <w:color w:val="000000" w:themeColor="text1"/>
          <w:sz w:val="20"/>
          <w:szCs w:val="22"/>
          <w:lang w:eastAsia="en-US"/>
        </w:rPr>
      </w:pPr>
    </w:p>
    <w:p w:rsidR="00CA682E" w:rsidRPr="00CA682E" w:rsidRDefault="00CA682E" w:rsidP="00CA682E">
      <w:pPr>
        <w:keepNext/>
        <w:keepLines/>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s="Times New Roman"/>
          <w:color w:val="000000" w:themeColor="text1"/>
          <w:sz w:val="20"/>
          <w:szCs w:val="24"/>
          <w:lang w:eastAsia="en-US"/>
        </w:rPr>
        <w:t>UTILIZACIÓN DE LOS RECURSOS</w:t>
      </w:r>
      <w:r w:rsidRPr="00CA682E">
        <w:rPr>
          <w:rFonts w:eastAsia="Times New Roman" w:cs="Times New Roman"/>
          <w:color w:val="000000" w:themeColor="text1"/>
          <w:sz w:val="20"/>
          <w:vertAlign w:val="superscript"/>
          <w:lang w:eastAsia="en-US"/>
        </w:rPr>
        <w:footnoteReference w:id="172"/>
      </w:r>
    </w:p>
    <w:p w:rsidR="00CA682E" w:rsidRPr="00CA682E" w:rsidRDefault="00CA682E" w:rsidP="00CA682E">
      <w:pPr>
        <w:keepNext/>
        <w:keepLines/>
        <w:rPr>
          <w:rFonts w:eastAsia="Times New Roman"/>
          <w:color w:val="000000" w:themeColor="text1"/>
          <w:sz w:val="20"/>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w:t>
      </w:r>
    </w:p>
    <w:p w:rsidR="00CA682E" w:rsidRPr="00CA682E" w:rsidRDefault="00CA682E" w:rsidP="00CA682E">
      <w:pPr>
        <w:keepNext/>
        <w:keepLines/>
        <w:tabs>
          <w:tab w:val="left" w:pos="3261"/>
        </w:tabs>
        <w:autoSpaceDE w:val="0"/>
        <w:autoSpaceDN w:val="0"/>
        <w:adjustRightInd w:val="0"/>
        <w:spacing w:after="120"/>
        <w:jc w:val="center"/>
        <w:rPr>
          <w:rFonts w:eastAsia="Times New Roman"/>
          <w:color w:val="000000" w:themeColor="text1"/>
          <w:szCs w:val="22"/>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6"/>
        <w:gridCol w:w="1418"/>
        <w:gridCol w:w="1565"/>
        <w:gridCol w:w="1565"/>
        <w:gridCol w:w="1564"/>
      </w:tblGrid>
      <w:tr w:rsidR="00CA682E" w:rsidRPr="00CA682E" w:rsidTr="007B1DE4">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7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Mejora de la seguridad:  cifrado de datos y gestión de usuarios</w:t>
            </w:r>
          </w:p>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p>
        </w:tc>
        <w:tc>
          <w:tcPr>
            <w:tcW w:w="7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15%</w:t>
            </w: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4"/>
          <w:lang w:eastAsia="en-US"/>
        </w:rPr>
      </w:pPr>
      <w:r w:rsidRPr="00CA682E">
        <w:rPr>
          <w:rFonts w:eastAsia="Times New Roman" w:cs="Times New Roman"/>
          <w:b/>
          <w:color w:val="000000" w:themeColor="text1"/>
          <w:sz w:val="20"/>
          <w:szCs w:val="24"/>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1389"/>
        <w:gridCol w:w="1575"/>
        <w:gridCol w:w="1575"/>
        <w:gridCol w:w="1575"/>
      </w:tblGrid>
      <w:tr w:rsidR="00CA682E" w:rsidRPr="00CA682E" w:rsidTr="007B1DE4">
        <w:trPr>
          <w:trHeight w:val="410"/>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 fundamental</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por etapa</w:t>
            </w:r>
          </w:p>
        </w:tc>
      </w:tr>
      <w:tr w:rsidR="00CA682E" w:rsidRPr="00CA682E" w:rsidTr="007B1DE4">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Evaluación de la situación, concepción de una solución de arquitectura de referencia y elaboración de una hora de ruta para la aplicación</w:t>
            </w:r>
          </w:p>
        </w:tc>
        <w:tc>
          <w:tcPr>
            <w:tcW w:w="75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130.000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w:t>
            </w:r>
          </w:p>
        </w:tc>
      </w:tr>
      <w:tr w:rsidR="00CA682E" w:rsidRPr="00CA682E" w:rsidTr="007B1DE4">
        <w:trPr>
          <w:trHeight w:val="389"/>
        </w:trPr>
        <w:tc>
          <w:tcPr>
            <w:tcW w:w="167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Aplicación prioritaria de una hoja de ruta relativa a las capacidades y situaciones de uso respecto de la gestión de la identidad y el acceso, y el cifrado</w:t>
            </w:r>
          </w:p>
        </w:tc>
        <w:tc>
          <w:tcPr>
            <w:tcW w:w="75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570.000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6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p>
        </w:tc>
      </w:tr>
    </w:tbl>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4"/>
          <w:lang w:eastAsia="en-US"/>
        </w:rPr>
      </w:pPr>
      <w:r w:rsidRPr="00CA682E">
        <w:rPr>
          <w:rFonts w:eastAsia="Times New Roman" w:cs="Times New Roman"/>
          <w:b/>
          <w:color w:val="000000" w:themeColor="text1"/>
          <w:sz w:val="20"/>
          <w:szCs w:val="24"/>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6"/>
        <w:gridCol w:w="1839"/>
        <w:gridCol w:w="1839"/>
        <w:gridCol w:w="2056"/>
      </w:tblGrid>
      <w:tr w:rsidR="00CA682E" w:rsidRPr="00CA682E" w:rsidTr="007B1DE4">
        <w:trPr>
          <w:trHeight w:val="569"/>
        </w:trPr>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Servicios contractuales</w:t>
            </w:r>
          </w:p>
        </w:tc>
        <w:tc>
          <w:tcPr>
            <w:tcW w:w="9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130.000</w:t>
            </w:r>
          </w:p>
        </w:tc>
        <w:tc>
          <w:tcPr>
            <w:tcW w:w="9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0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Por determinar</w:t>
            </w:r>
            <w:r w:rsidRPr="00CA682E">
              <w:rPr>
                <w:rFonts w:eastAsia="Times New Roman" w:cs="Times New Roman"/>
                <w:color w:val="000000" w:themeColor="text1"/>
                <w:sz w:val="16"/>
                <w:szCs w:val="16"/>
                <w:vertAlign w:val="superscript"/>
                <w:lang w:eastAsia="en-US"/>
              </w:rPr>
              <w:footnoteReference w:id="173"/>
            </w:r>
          </w:p>
        </w:tc>
        <w:tc>
          <w:tcPr>
            <w:tcW w:w="9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570.000</w:t>
            </w:r>
          </w:p>
        </w:tc>
        <w:tc>
          <w:tcPr>
            <w:tcW w:w="9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0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700.000</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RIESGOS Y ESTRATEGIAS DE MITIGACIÓN</w:t>
      </w:r>
    </w:p>
    <w:p w:rsidR="00CA682E" w:rsidRPr="00CA682E" w:rsidRDefault="00CA682E" w:rsidP="00CA682E">
      <w:pPr>
        <w:rPr>
          <w:rFonts w:eastAsia="Times New Roman"/>
          <w:color w:val="000000" w:themeColor="text1"/>
          <w:sz w:val="20"/>
          <w:lang w:eastAsia="en-US"/>
        </w:rPr>
      </w:pPr>
    </w:p>
    <w:tbl>
      <w:tblPr>
        <w:tblW w:w="4814"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CA682E" w:rsidRPr="00CA682E" w:rsidTr="007B1DE4">
        <w:trPr>
          <w:trHeight w:val="507"/>
          <w:tblHeader/>
          <w:jc w:val="center"/>
        </w:trPr>
        <w:tc>
          <w:tcPr>
            <w:tcW w:w="1666"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Riesgo/Descripción del riesgo</w:t>
            </w:r>
          </w:p>
        </w:tc>
        <w:tc>
          <w:tcPr>
            <w:tcW w:w="166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Mitigación del riesgo</w:t>
            </w:r>
          </w:p>
        </w:tc>
        <w:tc>
          <w:tcPr>
            <w:tcW w:w="1667" w:type="pct"/>
            <w:shd w:val="clear" w:color="auto" w:fill="C6D9F1" w:themeFill="text2" w:themeFillTint="33"/>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Comentario</w:t>
            </w:r>
          </w:p>
        </w:tc>
      </w:tr>
      <w:tr w:rsidR="00CA682E" w:rsidRPr="00CA682E" w:rsidTr="007B1DE4">
        <w:trPr>
          <w:trHeight w:val="776"/>
          <w:jc w:val="center"/>
        </w:trPr>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Falta de presupuesto adecuado para poner en práctica la hoja de ruta relativa a la gestión de la identidad y el acceso y el cifrado</w:t>
            </w:r>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Dar prioridad a la hoja de ruta, en particular, tomar medidas en donde se planteen riesgos elevados</w:t>
            </w:r>
          </w:p>
        </w:tc>
        <w:tc>
          <w:tcPr>
            <w:tcW w:w="1667" w:type="pct"/>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La evaluación sobre la situación permitirá determinar qué lagunas hay en la actualidad en la OMPI en materia de gestión de la identidad y del acceso, y de cifrado, y recomendar una hoja de ruta prioritaria para subsanar esas lagunas.  Dado que todavía están por determinarse esas lagunas y medidas para subsanarlas, puede que el actual presupuesto del proyecto no sea suficiente</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s="Times New Roman"/>
          <w:color w:val="000000" w:themeColor="text1"/>
          <w:sz w:val="20"/>
          <w:szCs w:val="24"/>
          <w:lang w:eastAsia="en-US"/>
        </w:rPr>
        <w:t>CALENDARIO DEL PROYECTO, POR ETAPA</w:t>
      </w:r>
    </w:p>
    <w:p w:rsidR="00CA682E" w:rsidRPr="00CA682E" w:rsidRDefault="00CA682E" w:rsidP="00CA682E">
      <w:pPr>
        <w:rPr>
          <w:rFonts w:eastAsia="Times New Roman" w:cs="Times New Roman"/>
          <w:color w:val="000000" w:themeColor="text1"/>
          <w:sz w:val="20"/>
          <w:szCs w:val="24"/>
          <w:lang w:eastAsia="en-US"/>
        </w:rPr>
      </w:pPr>
    </w:p>
    <w:tbl>
      <w:tblPr>
        <w:tblW w:w="8424" w:type="dxa"/>
        <w:jc w:val="center"/>
        <w:tblInd w:w="93" w:type="dxa"/>
        <w:tblLayout w:type="fixed"/>
        <w:tblLook w:val="04A0" w:firstRow="1" w:lastRow="0" w:firstColumn="1" w:lastColumn="0" w:noHBand="0" w:noVBand="1"/>
      </w:tblPr>
      <w:tblGrid>
        <w:gridCol w:w="1985"/>
        <w:gridCol w:w="517"/>
        <w:gridCol w:w="517"/>
        <w:gridCol w:w="518"/>
        <w:gridCol w:w="520"/>
        <w:gridCol w:w="571"/>
        <w:gridCol w:w="572"/>
        <w:gridCol w:w="572"/>
        <w:gridCol w:w="574"/>
        <w:gridCol w:w="518"/>
        <w:gridCol w:w="518"/>
        <w:gridCol w:w="518"/>
        <w:gridCol w:w="518"/>
        <w:gridCol w:w="6"/>
      </w:tblGrid>
      <w:tr w:rsidR="00CA682E" w:rsidRPr="00CA682E" w:rsidTr="007B1DE4">
        <w:trPr>
          <w:trHeight w:val="290"/>
          <w:tblHeader/>
          <w:jc w:val="center"/>
        </w:trPr>
        <w:tc>
          <w:tcPr>
            <w:tcW w:w="1985"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p>
        </w:tc>
        <w:tc>
          <w:tcPr>
            <w:tcW w:w="2072"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2289"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2016</w:t>
            </w:r>
          </w:p>
        </w:tc>
        <w:tc>
          <w:tcPr>
            <w:tcW w:w="2078" w:type="dxa"/>
            <w:gridSpan w:val="5"/>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2017</w:t>
            </w:r>
          </w:p>
        </w:tc>
      </w:tr>
      <w:tr w:rsidR="00CA682E" w:rsidRPr="00CA682E" w:rsidTr="007B1DE4">
        <w:trPr>
          <w:gridAfter w:val="1"/>
          <w:wAfter w:w="6" w:type="dxa"/>
          <w:trHeight w:val="403"/>
          <w:tblHeader/>
          <w:jc w:val="center"/>
        </w:trPr>
        <w:tc>
          <w:tcPr>
            <w:tcW w:w="1985"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 fundamental</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517"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52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571"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572"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574"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518"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r>
      <w:tr w:rsidR="00CA682E" w:rsidRPr="00CA682E" w:rsidTr="007B1DE4">
        <w:trPr>
          <w:gridAfter w:val="1"/>
          <w:wAfter w:w="6" w:type="dxa"/>
          <w:trHeight w:val="661"/>
          <w:jc w:val="center"/>
        </w:trPr>
        <w:tc>
          <w:tcPr>
            <w:tcW w:w="1985" w:type="dxa"/>
            <w:tcBorders>
              <w:top w:val="nil"/>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Evaluación de la situación y hoja de ruta relativa a una arquitectura de referencia y a la aplicación</w:t>
            </w:r>
          </w:p>
        </w:tc>
        <w:tc>
          <w:tcPr>
            <w:tcW w:w="517"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17"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2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71"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72"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72"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74"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18"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gridAfter w:val="1"/>
          <w:wAfter w:w="6" w:type="dxa"/>
          <w:trHeight w:val="661"/>
          <w:jc w:val="center"/>
        </w:trPr>
        <w:tc>
          <w:tcPr>
            <w:tcW w:w="1985"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cs="Times New Roman"/>
                <w:color w:val="000000" w:themeColor="text1"/>
                <w:sz w:val="20"/>
                <w:szCs w:val="24"/>
                <w:lang w:eastAsia="en-US"/>
              </w:rPr>
            </w:pPr>
            <w:r w:rsidRPr="00CA682E">
              <w:rPr>
                <w:rFonts w:eastAsia="Times New Roman"/>
                <w:color w:val="000000" w:themeColor="text1"/>
                <w:sz w:val="16"/>
                <w:szCs w:val="16"/>
                <w:lang w:eastAsia="en-US"/>
              </w:rPr>
              <w:t>Aplicación prioritaria de una hoja de ruta relativa a las capacidades y situaciones de uso respecto de la gestión de la identidad y el acceso, y el cifrado</w:t>
            </w:r>
          </w:p>
        </w:tc>
        <w:tc>
          <w:tcPr>
            <w:tcW w:w="517"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17"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18"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52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71"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72"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74"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18"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18"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spacing w:after="200" w:line="276" w:lineRule="auto"/>
        <w:rPr>
          <w:rFonts w:eastAsia="Times New Roman" w:cs="Times New Roman"/>
          <w:color w:val="000000" w:themeColor="text1"/>
          <w:sz w:val="20"/>
          <w:szCs w:val="24"/>
          <w:lang w:eastAsia="en-US"/>
        </w:rPr>
      </w:pPr>
      <w:r w:rsidRPr="00CA682E">
        <w:rPr>
          <w:rFonts w:eastAsia="Times New Roman" w:cs="Times New Roman"/>
          <w:color w:val="000000" w:themeColor="text1"/>
          <w:sz w:val="20"/>
          <w:szCs w:val="24"/>
          <w:lang w:eastAsia="en-US"/>
        </w:rPr>
        <w:br w:type="page"/>
      </w:r>
    </w:p>
    <w:p w:rsidR="00CA682E" w:rsidRPr="00CA682E" w:rsidRDefault="00CA682E" w:rsidP="00CA682E">
      <w:pPr>
        <w:rPr>
          <w:rFonts w:eastAsia="Times New Roman" w:cs="Times New Roman"/>
          <w:b/>
          <w:color w:val="000000" w:themeColor="text1"/>
          <w:szCs w:val="22"/>
          <w:lang w:eastAsia="en-US"/>
        </w:rPr>
      </w:pPr>
      <w:r w:rsidRPr="00CA682E">
        <w:rPr>
          <w:rFonts w:eastAsia="Times New Roman" w:cs="Times New Roman"/>
          <w:b/>
          <w:color w:val="000000" w:themeColor="text1"/>
          <w:szCs w:val="22"/>
          <w:lang w:eastAsia="en-US"/>
        </w:rPr>
        <w:lastRenderedPageBreak/>
        <w:t>PROYECTOS RELACIONADOS CON LAS TIC</w:t>
      </w:r>
    </w:p>
    <w:p w:rsidR="00CA682E" w:rsidRPr="00CA682E" w:rsidRDefault="00CA682E" w:rsidP="00CA682E">
      <w:pPr>
        <w:rPr>
          <w:rFonts w:eastAsia="Times New Roman" w:cs="Times New Roman"/>
          <w:color w:val="000000" w:themeColor="text1"/>
          <w:sz w:val="20"/>
          <w:lang w:eastAsia="en-US"/>
        </w:rPr>
      </w:pPr>
    </w:p>
    <w:p w:rsidR="00CA682E" w:rsidRPr="00CA682E" w:rsidRDefault="00DD172C" w:rsidP="00DD172C">
      <w:pPr>
        <w:keepNext/>
        <w:ind w:left="567" w:hanging="567"/>
        <w:outlineLvl w:val="2"/>
        <w:rPr>
          <w:b/>
          <w:bCs/>
          <w:i/>
          <w:color w:val="000000" w:themeColor="text1"/>
          <w:sz w:val="20"/>
          <w:lang w:eastAsia="en-US"/>
        </w:rPr>
      </w:pPr>
      <w:bookmarkStart w:id="222" w:name="_Toc422210524"/>
      <w:bookmarkStart w:id="223" w:name="_Toc422927449"/>
      <w:bookmarkStart w:id="224" w:name="_Toc455159117"/>
      <w:r>
        <w:rPr>
          <w:b/>
          <w:bCs/>
          <w:i/>
          <w:color w:val="000000" w:themeColor="text1"/>
          <w:sz w:val="20"/>
          <w:lang w:eastAsia="en-US"/>
        </w:rPr>
        <w:t>PROYECTO 2:</w:t>
      </w:r>
      <w:r>
        <w:rPr>
          <w:b/>
          <w:bCs/>
          <w:i/>
          <w:color w:val="000000" w:themeColor="text1"/>
          <w:sz w:val="20"/>
          <w:lang w:eastAsia="en-US"/>
        </w:rPr>
        <w:tab/>
      </w:r>
      <w:r w:rsidR="00CA682E" w:rsidRPr="00CA682E">
        <w:rPr>
          <w:b/>
          <w:bCs/>
          <w:i/>
          <w:color w:val="000000" w:themeColor="text1"/>
          <w:sz w:val="20"/>
          <w:lang w:eastAsia="en-US"/>
        </w:rPr>
        <w:t>APLICACIÓN DE LA GESTIÓN DE CONTENIDOS INSTITUCIONALES</w:t>
      </w:r>
      <w:bookmarkEnd w:id="222"/>
      <w:r w:rsidR="00CA682E" w:rsidRPr="00CA682E">
        <w:rPr>
          <w:b/>
          <w:bCs/>
          <w:i/>
          <w:color w:val="000000" w:themeColor="text1"/>
          <w:sz w:val="20"/>
          <w:lang w:eastAsia="en-US"/>
        </w:rPr>
        <w:t xml:space="preserve"> (PMM 2)</w:t>
      </w:r>
      <w:bookmarkEnd w:id="223"/>
      <w:bookmarkEnd w:id="224"/>
    </w:p>
    <w:p w:rsidR="00CA682E" w:rsidRPr="00CA682E" w:rsidRDefault="00CA682E" w:rsidP="00CA682E">
      <w:pPr>
        <w:rPr>
          <w:rFonts w:eastAsia="Times New Roman"/>
          <w:b/>
          <w:color w:val="000000" w:themeColor="text1"/>
          <w:sz w:val="20"/>
          <w:lang w:eastAsia="en-US"/>
        </w:rPr>
      </w:pPr>
    </w:p>
    <w:p w:rsidR="00CA682E" w:rsidRPr="00CA682E" w:rsidRDefault="00CA682E" w:rsidP="00CA682E">
      <w:pPr>
        <w:rPr>
          <w:rFonts w:eastAsia="Times New Roman"/>
          <w:b/>
          <w:color w:val="000000" w:themeColor="text1"/>
          <w:sz w:val="20"/>
          <w:lang w:eastAsia="en-US"/>
        </w:rPr>
      </w:pPr>
      <w:r w:rsidRPr="00CA682E">
        <w:rPr>
          <w:rFonts w:eastAsia="Times New Roman" w:cs="Times New Roman"/>
          <w:b/>
          <w:color w:val="000000" w:themeColor="text1"/>
          <w:sz w:val="20"/>
          <w:szCs w:val="24"/>
          <w:lang w:eastAsia="en-US"/>
        </w:rPr>
        <w:t>Director de proyecto</w:t>
      </w:r>
      <w:r w:rsidRPr="00CA682E">
        <w:rPr>
          <w:rFonts w:eastAsia="Times New Roman"/>
          <w:b/>
          <w:color w:val="000000" w:themeColor="text1"/>
          <w:sz w:val="20"/>
          <w:lang w:eastAsia="en-US"/>
        </w:rPr>
        <w:tab/>
        <w:t>Sr. G. BEAVER</w:t>
      </w:r>
    </w:p>
    <w:p w:rsidR="00CA682E" w:rsidRPr="00CA682E" w:rsidRDefault="00CA682E" w:rsidP="00CA682E">
      <w:pPr>
        <w:rPr>
          <w:rFonts w:eastAsia="Times New Roman"/>
          <w:b/>
          <w:color w:val="000000" w:themeColor="text1"/>
          <w:sz w:val="20"/>
          <w:lang w:eastAsia="en-US"/>
        </w:rPr>
      </w:pPr>
    </w:p>
    <w:p w:rsidR="00CA682E" w:rsidRPr="00CA682E" w:rsidRDefault="00CA682E" w:rsidP="00CA682E">
      <w:pPr>
        <w:rPr>
          <w:rFonts w:eastAsia="Times New Roman"/>
          <w:b/>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RESULTADO PREVISTO</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cs="Times New Roman"/>
          <w:bCs/>
          <w:i/>
          <w:color w:val="000000" w:themeColor="text1"/>
          <w:sz w:val="20"/>
          <w:szCs w:val="24"/>
          <w:lang w:eastAsia="en-US"/>
        </w:rPr>
        <w:t xml:space="preserve">IX.2  Funcionamiento sin contratiempos de la Secretaría, provista de un personal bien dirigido, dotado de </w:t>
      </w:r>
      <w:proofErr w:type="gramStart"/>
      <w:r w:rsidRPr="00CA682E">
        <w:rPr>
          <w:rFonts w:eastAsia="Times New Roman" w:cs="Times New Roman"/>
          <w:bCs/>
          <w:i/>
          <w:color w:val="000000" w:themeColor="text1"/>
          <w:sz w:val="20"/>
          <w:szCs w:val="24"/>
          <w:lang w:eastAsia="en-US"/>
        </w:rPr>
        <w:t>las competencias adecuadas y capaz</w:t>
      </w:r>
      <w:proofErr w:type="gramEnd"/>
      <w:r w:rsidRPr="00CA682E">
        <w:rPr>
          <w:rFonts w:eastAsia="Times New Roman" w:cs="Times New Roman"/>
          <w:bCs/>
          <w:i/>
          <w:color w:val="000000" w:themeColor="text1"/>
          <w:sz w:val="20"/>
          <w:szCs w:val="24"/>
          <w:lang w:eastAsia="en-US"/>
        </w:rPr>
        <w:t xml:space="preserve"> de conseguir resultados</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szCs w:val="24"/>
          <w:lang w:eastAsia="en-US"/>
        </w:rPr>
      </w:pPr>
      <w:r w:rsidRPr="00CA682E">
        <w:rPr>
          <w:rFonts w:eastAsia="Times New Roman" w:cs="Times New Roman"/>
          <w:bCs/>
          <w:color w:val="000000" w:themeColor="text1"/>
          <w:sz w:val="20"/>
          <w:szCs w:val="24"/>
          <w:lang w:eastAsia="en-US"/>
        </w:rPr>
        <w:t>OBJETIVOS, ALCANCE Y ENFOQUE</w:t>
      </w:r>
      <w:proofErr w:type="gramStart"/>
      <w:r w:rsidRPr="00CA682E">
        <w:rPr>
          <w:rFonts w:eastAsia="Times New Roman" w:cs="Times New Roman"/>
          <w:bCs/>
          <w:color w:val="000000" w:themeColor="text1"/>
          <w:sz w:val="20"/>
          <w:szCs w:val="24"/>
          <w:lang w:eastAsia="en-US"/>
        </w:rPr>
        <w:t>:  ANTECEDENTES</w:t>
      </w:r>
      <w:proofErr w:type="gramEnd"/>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197920">
      <w:pPr>
        <w:numPr>
          <w:ilvl w:val="0"/>
          <w:numId w:val="126"/>
        </w:numPr>
        <w:tabs>
          <w:tab w:val="left" w:pos="567"/>
        </w:tabs>
        <w:spacing w:after="220"/>
        <w:ind w:left="0" w:firstLine="0"/>
        <w:jc w:val="both"/>
        <w:rPr>
          <w:iCs/>
          <w:color w:val="000000" w:themeColor="text1"/>
          <w:sz w:val="20"/>
        </w:rPr>
      </w:pPr>
      <w:r w:rsidRPr="00CA682E">
        <w:rPr>
          <w:iCs/>
          <w:color w:val="000000" w:themeColor="text1"/>
          <w:sz w:val="20"/>
        </w:rPr>
        <w:t>El proyecto consiste en establecer un depósito institucional central para almacenar documentos.  Ello permitirá a los usuarios trabajar juntos (colaborar) en la creación de documentos, buscar información y acceder a ella con mayor facilidad, y permitirá vincular los documentos a las distintas transacciones que se realizan en el sistema de PRI.</w:t>
      </w:r>
    </w:p>
    <w:p w:rsidR="00CA682E" w:rsidRPr="00CA682E" w:rsidRDefault="00CA682E" w:rsidP="00197920">
      <w:pPr>
        <w:numPr>
          <w:ilvl w:val="0"/>
          <w:numId w:val="126"/>
        </w:numPr>
        <w:tabs>
          <w:tab w:val="left" w:pos="567"/>
        </w:tabs>
        <w:spacing w:after="220"/>
        <w:ind w:left="0" w:firstLine="0"/>
        <w:jc w:val="both"/>
        <w:rPr>
          <w:iCs/>
          <w:color w:val="000000" w:themeColor="text1"/>
          <w:sz w:val="20"/>
        </w:rPr>
      </w:pPr>
      <w:r w:rsidRPr="00CA682E">
        <w:rPr>
          <w:iCs/>
          <w:color w:val="000000" w:themeColor="text1"/>
          <w:sz w:val="20"/>
        </w:rPr>
        <w:t xml:space="preserve">Durante la fase de planificación de la ejecución del proyecto de gestión de contenidos institucionales (ECM, por sus siglas en inglés), se propuso introducir modificaciones en el enfoque y el alcance del proyecto, aunque manteniendo los objetivos originales.  Dichas modificaciones sirven para seguir incrementando la probabilidad de éxito en lo relativo tanto a los cambios que conciernen a la Organización, como a los elementos técnicos necesarios para implantar la ECM.  El enfoque revisado se basa en una aplicación gradual, con una serie de “logros iniciales” (detallados </w:t>
      </w:r>
      <w:r w:rsidRPr="00CA682E">
        <w:rPr>
          <w:i/>
          <w:iCs/>
          <w:color w:val="000000" w:themeColor="text1"/>
          <w:sz w:val="20"/>
        </w:rPr>
        <w:t>infra</w:t>
      </w:r>
      <w:r w:rsidRPr="00CA682E">
        <w:rPr>
          <w:iCs/>
          <w:color w:val="000000" w:themeColor="text1"/>
          <w:sz w:val="20"/>
        </w:rPr>
        <w:t>), en la que el trabajo de distintos sectores se verá beneficiado por la automatización de varios de los procesos centrados en documentos, aun antes de la puesta en funcionamiento de la ECM a escala institucional.</w:t>
      </w:r>
    </w:p>
    <w:p w:rsidR="00CA682E" w:rsidRPr="00CA682E" w:rsidRDefault="00CA682E" w:rsidP="00197920">
      <w:pPr>
        <w:numPr>
          <w:ilvl w:val="0"/>
          <w:numId w:val="126"/>
        </w:numPr>
        <w:tabs>
          <w:tab w:val="left" w:pos="567"/>
        </w:tabs>
        <w:spacing w:after="220"/>
        <w:ind w:left="0" w:firstLine="0"/>
        <w:jc w:val="both"/>
        <w:rPr>
          <w:iCs/>
          <w:color w:val="000000" w:themeColor="text1"/>
          <w:sz w:val="20"/>
        </w:rPr>
      </w:pPr>
      <w:r w:rsidRPr="00CA682E">
        <w:rPr>
          <w:iCs/>
          <w:color w:val="000000" w:themeColor="text1"/>
          <w:sz w:val="20"/>
        </w:rPr>
        <w:t>Los objetivos del proyecto de ECM son los siguientes:</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implantación en toda la Organización de un sistema de almacenamiento, recuperación y gestión de los documentos, expedientes y archivos de la OMPI (la aplicación ECM);</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implantación en la aplicación ECM de las configuraciones, específicas para cada proceso, correspondientes a los procesos de la ECM, para respaldar los procesos de trabajo que son ricos en contenidos;  podrá tratarse de procesos específicos de determinados sectores o generales de la Organización;</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cuando sea necesario, la integración con los subcomponentes de la PRI, para permitir la creación de vínculos entre el contenido de que se trate (que esté incluido en la ECM) y los registros de transacciones (que estén incluidos en la PRI), cuando así lo exija el funcionamiento de la PRI;</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aplicación ECM y la infraestructura de apoyo se alojarán y administrarán de manera que cumplan con los criterios de disponibilidad del servicio y los objetivos de seguridad de un sistema de esa índole, en función de su carácter vital para el trabajo;</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implantación de los componentes de expedientes y archivos de la aplicación ECM y los procesos correspondientes cumplirán con la Política de la OMPI de gestión de los expedientes y archivos (Orden de servicio 15/2013);</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se impartirá formación a los usuarios finales sobre el uso del sistema, así como sobre los procesos y procedimientos, para velar por que no deje de cumplirse lo dispuesto en la Orden de servicio de la OMPI 15/2013 (procesos de la ECM);</w:t>
      </w:r>
    </w:p>
    <w:p w:rsidR="00CA682E" w:rsidRPr="00CA682E" w:rsidRDefault="00CA682E" w:rsidP="00CA682E">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en el marco del sistema, se aplicarán controles de seguridad suficientes para mantener el cumplimiento con las políticas de seguridad de la OMPI;  y</w:t>
      </w:r>
    </w:p>
    <w:p w:rsidR="00CA682E" w:rsidRPr="00CA682E" w:rsidRDefault="00CA682E" w:rsidP="00CA682E">
      <w:pPr>
        <w:numPr>
          <w:ilvl w:val="0"/>
          <w:numId w:val="124"/>
        </w:numPr>
        <w:ind w:left="1134" w:hanging="567"/>
        <w:contextualSpacing/>
        <w:jc w:val="both"/>
        <w:rPr>
          <w:rFonts w:eastAsia="Times New Roman"/>
          <w:color w:val="000000" w:themeColor="text1"/>
          <w:sz w:val="20"/>
          <w:lang w:eastAsia="en-US"/>
        </w:rPr>
      </w:pPr>
      <w:r w:rsidRPr="00CA682E">
        <w:rPr>
          <w:rFonts w:eastAsia="Times New Roman"/>
          <w:color w:val="000000" w:themeColor="text1"/>
          <w:sz w:val="20"/>
          <w:lang w:eastAsia="en-US"/>
        </w:rPr>
        <w:t xml:space="preserve">en relación con la aplicación ECM, el diseño, la adquisición de licencias, la implantación, la configuración de base, cada una de las configuraciones específicas del proyecto relativas a los “logros iniciales”, la capacidad básica de utilización de la ECM en toda la Organización, la formación que se imparta a los usuarios y la transición hacia el pleno funcionamiento se </w:t>
      </w:r>
      <w:r w:rsidRPr="00CA682E">
        <w:rPr>
          <w:rFonts w:eastAsia="Times New Roman"/>
          <w:color w:val="000000" w:themeColor="text1"/>
          <w:sz w:val="20"/>
          <w:lang w:eastAsia="en-US"/>
        </w:rPr>
        <w:lastRenderedPageBreak/>
        <w:t>llevarán a cabo con arreglo al presupuesto asignado al proyecto en el marco del Plan maestro de mejoras de infraestructura (véase WO/PBC/21/18, 31 de julio de 2013).</w:t>
      </w:r>
    </w:p>
    <w:p w:rsidR="00CA682E" w:rsidRPr="00CA682E" w:rsidRDefault="00CA682E" w:rsidP="00A53BE5">
      <w:pPr>
        <w:contextualSpacing/>
        <w:jc w:val="both"/>
        <w:rPr>
          <w:rFonts w:eastAsia="Times New Roman"/>
          <w:color w:val="000000" w:themeColor="text1"/>
          <w:sz w:val="20"/>
          <w:lang w:eastAsia="en-US"/>
        </w:rPr>
      </w:pPr>
    </w:p>
    <w:p w:rsidR="00CA682E" w:rsidRPr="00CA682E" w:rsidRDefault="00CA682E" w:rsidP="00A53BE5">
      <w:pPr>
        <w:numPr>
          <w:ilvl w:val="0"/>
          <w:numId w:val="126"/>
        </w:numPr>
        <w:tabs>
          <w:tab w:val="left" w:pos="567"/>
        </w:tabs>
        <w:spacing w:after="220"/>
        <w:ind w:left="0" w:firstLine="0"/>
        <w:jc w:val="both"/>
        <w:rPr>
          <w:color w:val="000000" w:themeColor="text1"/>
          <w:sz w:val="20"/>
        </w:rPr>
      </w:pPr>
      <w:r w:rsidRPr="00CA682E">
        <w:rPr>
          <w:color w:val="000000" w:themeColor="text1"/>
          <w:sz w:val="20"/>
        </w:rPr>
        <w:t>El proyecto se repartirá en varias fases/subproyectos, cada uno de los cuales redundará en una serie de beneficios para una o más esferas de trabajo.  Cada uno de los subproyectos incluirá lo siguiente:</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el análisis de las tareas necesario para especificar el proceso de trabajo que será respaldado por la solución de ECM;</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el reconocimiento y la catalogación de la interrelación con los sistemas existentes, entre otros, el sistema de PRI, cuando sea necesario;</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el diseño de la configuración de la ECM, sobre la base del proceso de trabajo;</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implantación de la configuración del sistema de ECM para respaldar el proceso de trabajo;</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prueba del sistema y de la aceptación de la configuración del sistema ECM por los usuarios para respaldar el proceso de trabajo;  y</w:t>
      </w:r>
    </w:p>
    <w:p w:rsidR="00CA682E" w:rsidRPr="00CA682E" w:rsidRDefault="00CA682E" w:rsidP="00622B91">
      <w:pPr>
        <w:numPr>
          <w:ilvl w:val="0"/>
          <w:numId w:val="124"/>
        </w:numPr>
        <w:spacing w:after="120"/>
        <w:ind w:left="1134" w:hanging="567"/>
        <w:jc w:val="both"/>
        <w:rPr>
          <w:rFonts w:eastAsia="Times New Roman"/>
          <w:color w:val="000000" w:themeColor="text1"/>
          <w:sz w:val="20"/>
          <w:lang w:eastAsia="en-US"/>
        </w:rPr>
      </w:pPr>
      <w:r w:rsidRPr="00CA682E">
        <w:rPr>
          <w:rFonts w:eastAsia="Times New Roman"/>
          <w:color w:val="000000" w:themeColor="text1"/>
          <w:sz w:val="20"/>
          <w:lang w:eastAsia="en-US"/>
        </w:rPr>
        <w:t>la formación de los usuarios finales en la configuración de la ECM específica para el proceso de trabajo.</w:t>
      </w:r>
    </w:p>
    <w:p w:rsidR="00CA682E" w:rsidRPr="00CA682E" w:rsidRDefault="00CA682E" w:rsidP="00A53BE5">
      <w:pPr>
        <w:contextualSpacing/>
        <w:jc w:val="both"/>
        <w:rPr>
          <w:rFonts w:eastAsia="Times New Roman"/>
          <w:color w:val="000000" w:themeColor="text1"/>
          <w:sz w:val="20"/>
          <w:lang w:eastAsia="en-US"/>
        </w:rPr>
      </w:pPr>
    </w:p>
    <w:p w:rsidR="00CA682E" w:rsidRPr="00CA682E" w:rsidRDefault="00CA682E" w:rsidP="00A53BE5">
      <w:pPr>
        <w:numPr>
          <w:ilvl w:val="0"/>
          <w:numId w:val="126"/>
        </w:numPr>
        <w:tabs>
          <w:tab w:val="left" w:pos="567"/>
        </w:tabs>
        <w:ind w:left="0" w:firstLine="0"/>
        <w:jc w:val="both"/>
        <w:rPr>
          <w:color w:val="000000" w:themeColor="text1"/>
          <w:sz w:val="20"/>
        </w:rPr>
      </w:pPr>
      <w:r w:rsidRPr="00CA682E">
        <w:rPr>
          <w:color w:val="000000" w:themeColor="text1"/>
          <w:sz w:val="20"/>
        </w:rPr>
        <w:t>Los subproyectos que se han identificado de momento son, por orden de ejecución:</w:t>
      </w:r>
    </w:p>
    <w:p w:rsidR="00CA682E" w:rsidRPr="00CA682E" w:rsidRDefault="00CA682E" w:rsidP="00A53BE5">
      <w:pPr>
        <w:tabs>
          <w:tab w:val="left" w:pos="567"/>
        </w:tabs>
        <w:jc w:val="both"/>
        <w:rPr>
          <w:color w:val="000000" w:themeColor="text1"/>
          <w:sz w:val="20"/>
        </w:rPr>
      </w:pPr>
    </w:p>
    <w:p w:rsidR="00CA682E" w:rsidRPr="00CA682E" w:rsidRDefault="00CA682E" w:rsidP="00CA682E">
      <w:pPr>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t>Expedientes y archivos institucionales</w:t>
      </w:r>
      <w:r w:rsidRPr="00CA682E">
        <w:rPr>
          <w:rFonts w:eastAsia="Times New Roman" w:cs="Times New Roman"/>
          <w:color w:val="000000" w:themeColor="text1"/>
          <w:sz w:val="20"/>
          <w:szCs w:val="24"/>
          <w:lang w:eastAsia="en-US"/>
        </w:rPr>
        <w:t xml:space="preserve"> – subproyecto destinado a incrementar la funcionalidad del servicio de expedientes y archivos, que incluye el mejoramiento/la sustitución de los procesos de escaneo de documentos, así como la implantación de un proceso de escaneo y seguimiento del correo entrante y saliente (escaneo y flujo de trabajo), y la implantación de un mecanismo de archivo en las distintas secciones, sobre la base de la política de la OMPI de gestión de expedientes (gestión de expedientes y archivos).</w:t>
      </w:r>
      <w:r w:rsidRPr="00CA682E">
        <w:rPr>
          <w:rFonts w:eastAsia="Times New Roman"/>
          <w:color w:val="000000" w:themeColor="text1"/>
          <w:sz w:val="20"/>
          <w:lang w:eastAsia="en-US"/>
        </w:rPr>
        <w:t xml:space="preserve"> </w:t>
      </w:r>
    </w:p>
    <w:p w:rsidR="00CA682E" w:rsidRPr="00CA682E" w:rsidRDefault="00CA682E" w:rsidP="00CA682E">
      <w:pPr>
        <w:ind w:left="567"/>
        <w:contextualSpacing/>
        <w:jc w:val="both"/>
        <w:rPr>
          <w:rFonts w:eastAsia="Times New Roman" w:cs="Times New Roman"/>
          <w:b/>
          <w:color w:val="000000" w:themeColor="text1"/>
          <w:sz w:val="20"/>
          <w:szCs w:val="24"/>
          <w:lang w:eastAsia="en-US"/>
        </w:rPr>
      </w:pPr>
    </w:p>
    <w:p w:rsidR="00CA682E" w:rsidRPr="00CA682E" w:rsidRDefault="00CA682E" w:rsidP="00CA682E">
      <w:pPr>
        <w:ind w:left="567"/>
        <w:contextualSpacing/>
        <w:jc w:val="both"/>
        <w:rPr>
          <w:rFonts w:eastAsia="Times New Roman" w:cs="Times New Roman"/>
          <w:color w:val="000000" w:themeColor="text1"/>
          <w:sz w:val="20"/>
          <w:szCs w:val="24"/>
          <w:lang w:eastAsia="en-US"/>
        </w:rPr>
      </w:pPr>
      <w:r w:rsidRPr="00CA682E">
        <w:rPr>
          <w:rFonts w:eastAsia="Times New Roman" w:cs="Times New Roman"/>
          <w:b/>
          <w:color w:val="000000" w:themeColor="text1"/>
          <w:sz w:val="20"/>
          <w:szCs w:val="24"/>
          <w:lang w:eastAsia="en-US"/>
        </w:rPr>
        <w:t xml:space="preserve">Peticiones de traducción </w:t>
      </w:r>
      <w:r w:rsidRPr="00CA682E">
        <w:rPr>
          <w:rFonts w:eastAsia="Times New Roman" w:cs="Times New Roman"/>
          <w:color w:val="000000" w:themeColor="text1"/>
          <w:sz w:val="20"/>
          <w:szCs w:val="24"/>
          <w:lang w:eastAsia="en-US"/>
        </w:rPr>
        <w:t>– automatización del flujo de trabajo relativo a documentos, con rastreo y presentación de informes, para la asignación de los documentos que ha de traducir la División Lingüística.</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CA682E">
      <w:pPr>
        <w:ind w:left="567"/>
        <w:contextualSpacing/>
        <w:jc w:val="both"/>
        <w:rPr>
          <w:rFonts w:eastAsia="Times New Roman" w:cs="Times New Roman"/>
          <w:color w:val="000000" w:themeColor="text1"/>
          <w:sz w:val="20"/>
          <w:szCs w:val="24"/>
          <w:lang w:eastAsia="en-US"/>
        </w:rPr>
      </w:pPr>
      <w:r w:rsidRPr="00CA682E">
        <w:rPr>
          <w:rFonts w:eastAsia="Times New Roman" w:cs="Times New Roman"/>
          <w:b/>
          <w:color w:val="000000" w:themeColor="text1"/>
          <w:sz w:val="20"/>
          <w:szCs w:val="24"/>
          <w:lang w:eastAsia="en-US"/>
        </w:rPr>
        <w:t>Correo entrante en la Oficina del Director General</w:t>
      </w:r>
      <w:r w:rsidRPr="00CA682E">
        <w:rPr>
          <w:rFonts w:eastAsia="Times New Roman" w:cs="Times New Roman"/>
          <w:color w:val="000000" w:themeColor="text1"/>
          <w:sz w:val="20"/>
          <w:szCs w:val="24"/>
          <w:lang w:eastAsia="en-US"/>
        </w:rPr>
        <w:t xml:space="preserve"> – escaneo y flujo de documentos del correo entrante en la Oficina del Director General, con enlaces a las correspondientes respuestas, y seguimiento de la evolución para asegurarse de que la respuesta se redacta y envía dentro de los plazos adecuados.</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CA682E">
      <w:pPr>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t xml:space="preserve">Sistema de gestión de proveedores y contratos </w:t>
      </w:r>
      <w:r w:rsidRPr="00CA682E">
        <w:rPr>
          <w:rFonts w:eastAsia="Times New Roman" w:cs="Times New Roman"/>
          <w:color w:val="000000" w:themeColor="text1"/>
          <w:sz w:val="20"/>
          <w:szCs w:val="24"/>
          <w:lang w:eastAsia="en-US"/>
        </w:rPr>
        <w:t>– subproyecto que dará “logros iniciales”, encaminado a implantar una solución o procesos para gestionar la información sobre contratos, permitiendo crear documentos contractuales (gestión de documentos), almacenar documentos relacionados con un contrato (gestión de carpetas), disponer de informes y alertas sobre los distintos acontecimientos que se producen durante el ciclo de un contrato (flujo de trabajo y gestión de carpetas), así como realizar búsquedas en relación con los contratos (búsqueda).</w:t>
      </w:r>
      <w:r w:rsidRPr="00CA682E">
        <w:rPr>
          <w:rFonts w:eastAsia="Times New Roman"/>
          <w:color w:val="000000" w:themeColor="text1"/>
          <w:sz w:val="20"/>
          <w:lang w:eastAsia="en-US"/>
        </w:rPr>
        <w:t xml:space="preserve"> </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CA682E">
      <w:pPr>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t xml:space="preserve">Informes de misión </w:t>
      </w:r>
      <w:r w:rsidRPr="00CA682E">
        <w:rPr>
          <w:rFonts w:eastAsia="Times New Roman" w:cs="Times New Roman"/>
          <w:color w:val="000000" w:themeColor="text1"/>
          <w:sz w:val="20"/>
          <w:szCs w:val="24"/>
          <w:lang w:eastAsia="en-US"/>
        </w:rPr>
        <w:t>– gestión de la creación de informes de misión (gestión de documentos), procesos de revisión y publicación del informe de misión (flujo de trabajo), y búsqueda de informes de misión anteriores (búsqueda) sobre la base de la categorización (lugar, miembros del personal, tema y organizaciones visitadas).</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CA682E">
      <w:pPr>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t xml:space="preserve">Recursos humanos (archivo electrónico del personal) </w:t>
      </w:r>
      <w:r w:rsidRPr="00CA682E">
        <w:rPr>
          <w:rFonts w:eastAsia="Times New Roman" w:cs="Times New Roman"/>
          <w:color w:val="000000" w:themeColor="text1"/>
          <w:sz w:val="20"/>
          <w:szCs w:val="24"/>
          <w:lang w:eastAsia="en-US"/>
        </w:rPr>
        <w:t>– creación de ficheros seguros (carpetas) de RRHH para cada empleado, con los documentos electrónicos y los registros correspondientes al empleado, previéndose la digitalización de los registros existentes en papel (creación de imágenes y escaneo).  El personal del Departamento de Gestión de los Recursos Humanos estará en condiciones de realizar búsquedas entre los archivos electrónicos para localizar y recuperar cualquier archivo que se necesite (búsqueda).</w:t>
      </w:r>
    </w:p>
    <w:p w:rsidR="00CA682E" w:rsidRPr="00CA682E" w:rsidRDefault="00CA682E" w:rsidP="00CA682E">
      <w:pPr>
        <w:ind w:left="567"/>
        <w:contextualSpacing/>
        <w:jc w:val="both"/>
        <w:rPr>
          <w:rFonts w:eastAsia="Times New Roman"/>
          <w:color w:val="000000" w:themeColor="text1"/>
          <w:sz w:val="20"/>
          <w:lang w:eastAsia="en-US"/>
        </w:rPr>
      </w:pPr>
    </w:p>
    <w:p w:rsidR="00CA682E" w:rsidRPr="00CA682E" w:rsidRDefault="00CA682E" w:rsidP="00BA6940">
      <w:pPr>
        <w:keepNext/>
        <w:keepLines/>
        <w:ind w:left="567"/>
        <w:contextualSpacing/>
        <w:jc w:val="both"/>
        <w:rPr>
          <w:rFonts w:eastAsia="Times New Roman"/>
          <w:color w:val="000000" w:themeColor="text1"/>
          <w:sz w:val="20"/>
          <w:lang w:eastAsia="en-US"/>
        </w:rPr>
      </w:pPr>
      <w:r w:rsidRPr="00CA682E">
        <w:rPr>
          <w:rFonts w:eastAsia="Times New Roman" w:cs="Times New Roman"/>
          <w:b/>
          <w:color w:val="000000" w:themeColor="text1"/>
          <w:sz w:val="20"/>
          <w:szCs w:val="24"/>
          <w:lang w:eastAsia="en-US"/>
        </w:rPr>
        <w:lastRenderedPageBreak/>
        <w:t xml:space="preserve">Capacidad de ECM en toda la Organización </w:t>
      </w:r>
      <w:r w:rsidRPr="00CA682E">
        <w:rPr>
          <w:rFonts w:eastAsia="Times New Roman" w:cs="Times New Roman"/>
          <w:color w:val="000000" w:themeColor="text1"/>
          <w:sz w:val="20"/>
          <w:szCs w:val="24"/>
          <w:lang w:eastAsia="en-US"/>
        </w:rPr>
        <w:t>– la integración de la ECM en la interfaz estándar de escritorio de la OMPI, para que los usuarios de la OMPI puedan realizar tareas de gestión de documentos (almacenamiento, categorización, búsqueda y recuperación, y control de las versiones) respecto del contenido creado en distintos niveles</w:t>
      </w:r>
      <w:proofErr w:type="gramStart"/>
      <w:r w:rsidRPr="00CA682E">
        <w:rPr>
          <w:rFonts w:eastAsia="Times New Roman" w:cs="Times New Roman"/>
          <w:color w:val="000000" w:themeColor="text1"/>
          <w:sz w:val="20"/>
          <w:szCs w:val="24"/>
          <w:lang w:eastAsia="en-US"/>
        </w:rPr>
        <w:t>:  usuarios</w:t>
      </w:r>
      <w:proofErr w:type="gramEnd"/>
      <w:r w:rsidRPr="00CA682E">
        <w:rPr>
          <w:rFonts w:eastAsia="Times New Roman" w:cs="Times New Roman"/>
          <w:color w:val="000000" w:themeColor="text1"/>
          <w:sz w:val="20"/>
          <w:szCs w:val="24"/>
          <w:lang w:eastAsia="en-US"/>
        </w:rPr>
        <w:t>, unidades y Organización.  Entre esos tipos de contenido figurará el que se cree en las computadoras de escritorio, como los archivos de tratamiento de texto (por ejemplo, documentos Microsoft Word y PDF), las hojas de cálculo (por ejemplo, Microsoft Excel), las presentaciones (por ejemplo, Microsoft PowerPoint), los diagramas (por ejemplo, Microsoft Visio), los mensajes de correo–e sobre planes de proyecto (por ejemplo Microsoft Project).</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cs="Times New Roman"/>
          <w:bCs/>
          <w:color w:val="000000" w:themeColor="text1"/>
          <w:sz w:val="20"/>
          <w:szCs w:val="24"/>
          <w:lang w:eastAsia="en-US"/>
        </w:rPr>
        <w:t>RESEÑA DE LOS AVANCES LOGRADOS EN 2015 (ETAPAS FUNDAMENTALES)</w:t>
      </w:r>
    </w:p>
    <w:p w:rsidR="00CA682E" w:rsidRPr="00CA682E" w:rsidRDefault="00CA682E" w:rsidP="00CA682E">
      <w:pPr>
        <w:rPr>
          <w:rFonts w:eastAsia="Times New Roman"/>
          <w:bCs/>
          <w:color w:val="000000" w:themeColor="text1"/>
          <w:sz w:val="20"/>
          <w:lang w:eastAsia="en-US"/>
        </w:rPr>
      </w:pPr>
    </w:p>
    <w:p w:rsidR="00CA682E" w:rsidRPr="00CA682E" w:rsidRDefault="00CA682E" w:rsidP="000F09B8">
      <w:pPr>
        <w:numPr>
          <w:ilvl w:val="0"/>
          <w:numId w:val="126"/>
        </w:numPr>
        <w:tabs>
          <w:tab w:val="left" w:pos="567"/>
        </w:tabs>
        <w:ind w:left="0" w:firstLine="0"/>
        <w:jc w:val="both"/>
        <w:rPr>
          <w:bCs/>
          <w:color w:val="000000" w:themeColor="text1"/>
          <w:sz w:val="20"/>
        </w:rPr>
      </w:pPr>
      <w:r w:rsidRPr="00CA682E">
        <w:rPr>
          <w:bCs/>
          <w:color w:val="000000" w:themeColor="text1"/>
          <w:sz w:val="20"/>
        </w:rPr>
        <w:t>El enfoque revisado del proyecto de ECM fue aprobado por la Junta de TIC de la OMPI en abril de 2015, incluida una redefinición de las prioridades respecto de los “proyectos de logros iniciales”.</w:t>
      </w:r>
    </w:p>
    <w:p w:rsidR="00CA682E" w:rsidRPr="00CA682E" w:rsidRDefault="00CA682E" w:rsidP="000F09B8">
      <w:pPr>
        <w:rPr>
          <w:rFonts w:eastAsia="Times New Roman"/>
          <w:bCs/>
          <w:color w:val="000000" w:themeColor="text1"/>
          <w:sz w:val="20"/>
          <w:lang w:eastAsia="en-US"/>
        </w:rPr>
      </w:pPr>
    </w:p>
    <w:p w:rsidR="00CA682E" w:rsidRPr="00CA682E" w:rsidRDefault="00CA682E" w:rsidP="000F09B8">
      <w:pPr>
        <w:numPr>
          <w:ilvl w:val="0"/>
          <w:numId w:val="126"/>
        </w:numPr>
        <w:tabs>
          <w:tab w:val="left" w:pos="567"/>
        </w:tabs>
        <w:ind w:left="0" w:firstLine="0"/>
        <w:jc w:val="both"/>
        <w:rPr>
          <w:bCs/>
          <w:color w:val="000000" w:themeColor="text1"/>
          <w:sz w:val="20"/>
        </w:rPr>
      </w:pPr>
      <w:r w:rsidRPr="00CA682E">
        <w:rPr>
          <w:color w:val="000000" w:themeColor="text1"/>
          <w:sz w:val="20"/>
        </w:rPr>
        <w:t>En</w:t>
      </w:r>
      <w:r w:rsidRPr="00CA682E">
        <w:rPr>
          <w:bCs/>
          <w:color w:val="000000" w:themeColor="text1"/>
          <w:sz w:val="20"/>
        </w:rPr>
        <w:t xml:space="preserve"> 2015 se realizaron los siguientes progresos:</w:t>
      </w:r>
    </w:p>
    <w:p w:rsidR="00CA682E" w:rsidRPr="00CA682E" w:rsidRDefault="00CA682E" w:rsidP="00CA682E">
      <w:pPr>
        <w:tabs>
          <w:tab w:val="left" w:pos="993"/>
        </w:tabs>
        <w:ind w:left="993" w:hanging="426"/>
        <w:rPr>
          <w:rFonts w:eastAsia="Times New Roman"/>
          <w:bCs/>
          <w:color w:val="000000" w:themeColor="text1"/>
          <w:sz w:val="20"/>
          <w:lang w:eastAsia="en-US"/>
        </w:rPr>
      </w:pPr>
    </w:p>
    <w:p w:rsidR="00CA682E" w:rsidRPr="00CA682E" w:rsidRDefault="00CA682E" w:rsidP="00CA682E">
      <w:pPr>
        <w:numPr>
          <w:ilvl w:val="0"/>
          <w:numId w:val="133"/>
        </w:numPr>
        <w:tabs>
          <w:tab w:val="left" w:pos="993"/>
        </w:tabs>
        <w:spacing w:after="120"/>
        <w:ind w:left="992" w:hanging="425"/>
        <w:rPr>
          <w:rFonts w:eastAsia="Times New Roman"/>
          <w:bCs/>
          <w:color w:val="000000" w:themeColor="text1"/>
          <w:sz w:val="20"/>
          <w:lang w:eastAsia="en-US"/>
        </w:rPr>
      </w:pPr>
      <w:r w:rsidRPr="00CA682E">
        <w:rPr>
          <w:rFonts w:eastAsia="Times New Roman"/>
          <w:bCs/>
          <w:color w:val="000000" w:themeColor="text1"/>
          <w:sz w:val="20"/>
          <w:lang w:eastAsia="en-US"/>
        </w:rPr>
        <w:t xml:space="preserve">Durante el tercer trimestre, tras las recomendaciones de un consultor independiente y de un nuevo análisis del mercado, finalizó el proceso para seleccionar la opción tecnológica, </w:t>
      </w:r>
      <w:r w:rsidRPr="00CA682E">
        <w:rPr>
          <w:rFonts w:eastAsia="Times New Roman"/>
          <w:bCs/>
          <w:i/>
          <w:color w:val="000000" w:themeColor="text1"/>
          <w:sz w:val="20"/>
          <w:lang w:eastAsia="en-US"/>
        </w:rPr>
        <w:t xml:space="preserve">OpenText, </w:t>
      </w:r>
      <w:r w:rsidRPr="00CA682E">
        <w:rPr>
          <w:rFonts w:eastAsia="Times New Roman"/>
          <w:bCs/>
          <w:color w:val="000000" w:themeColor="text1"/>
          <w:sz w:val="20"/>
          <w:lang w:eastAsia="en-US"/>
        </w:rPr>
        <w:t>para implantar  la ECM;</w:t>
      </w:r>
    </w:p>
    <w:p w:rsidR="00CA682E" w:rsidRPr="00CA682E" w:rsidRDefault="00CA682E" w:rsidP="00CA682E">
      <w:pPr>
        <w:numPr>
          <w:ilvl w:val="0"/>
          <w:numId w:val="133"/>
        </w:numPr>
        <w:tabs>
          <w:tab w:val="left" w:pos="993"/>
        </w:tabs>
        <w:spacing w:after="120"/>
        <w:ind w:left="992" w:hanging="425"/>
        <w:rPr>
          <w:rFonts w:eastAsia="Times New Roman"/>
          <w:color w:val="000000" w:themeColor="text1"/>
          <w:sz w:val="20"/>
          <w:lang w:eastAsia="en-US"/>
        </w:rPr>
      </w:pPr>
      <w:r w:rsidRPr="00CA682E">
        <w:rPr>
          <w:rFonts w:eastAsia="Times New Roman"/>
          <w:color w:val="000000" w:themeColor="text1"/>
          <w:sz w:val="20"/>
          <w:lang w:eastAsia="en-US"/>
        </w:rPr>
        <w:t xml:space="preserve">El sistema existente de expedientes y archivos institucionales fue adaptado a la nueva plataforma de </w:t>
      </w:r>
      <w:r w:rsidRPr="00CA682E">
        <w:rPr>
          <w:rFonts w:eastAsia="Times New Roman"/>
          <w:i/>
          <w:color w:val="000000" w:themeColor="text1"/>
          <w:sz w:val="20"/>
          <w:lang w:eastAsia="en-US"/>
        </w:rPr>
        <w:t>OpenText</w:t>
      </w:r>
      <w:r w:rsidRPr="00CA682E">
        <w:rPr>
          <w:rFonts w:eastAsia="Times New Roman"/>
          <w:color w:val="000000" w:themeColor="text1"/>
          <w:sz w:val="20"/>
          <w:lang w:eastAsia="en-US"/>
        </w:rPr>
        <w:t xml:space="preserve"> durante el cuarto trimestre, dos trimestres antes que lo que se había previsto originalmente, debido a que a mediados de septiembre de 2015 se dejó de contar con Microsoft para apoyar la plataforma existente;  </w:t>
      </w:r>
    </w:p>
    <w:p w:rsidR="00CA682E" w:rsidRPr="00CA682E" w:rsidRDefault="00CA682E" w:rsidP="00CA682E">
      <w:pPr>
        <w:numPr>
          <w:ilvl w:val="0"/>
          <w:numId w:val="133"/>
        </w:numPr>
        <w:tabs>
          <w:tab w:val="left" w:pos="993"/>
        </w:tabs>
        <w:spacing w:after="120"/>
        <w:ind w:left="992" w:hanging="425"/>
        <w:rPr>
          <w:rFonts w:eastAsia="Times New Roman"/>
          <w:color w:val="000000" w:themeColor="text1"/>
          <w:sz w:val="20"/>
          <w:lang w:eastAsia="en-US"/>
        </w:rPr>
      </w:pPr>
      <w:r w:rsidRPr="00CA682E">
        <w:rPr>
          <w:rFonts w:eastAsia="Times New Roman"/>
          <w:bCs/>
          <w:color w:val="000000" w:themeColor="text1"/>
          <w:sz w:val="20"/>
          <w:lang w:eastAsia="en-US"/>
        </w:rPr>
        <w:t xml:space="preserve">En noviembre de 2015, tras lanzar una solicitud de información, se iniciaron las actividades encaminadas a designar un proveedor que preste servicios de diseño, configuración, ejecución y apoyo en relación con el proyecto de ECM.  Las compañías preseleccionadas tras el proceso de solicitud de información serán invitadas a participar en el proceso de solicitud de propuestas de marzo de 2016.  </w:t>
      </w:r>
    </w:p>
    <w:p w:rsidR="00CA682E" w:rsidRPr="00CA682E" w:rsidRDefault="00CA682E" w:rsidP="00CA682E">
      <w:pPr>
        <w:rPr>
          <w:rFonts w:eastAsia="Times New Roman"/>
          <w:bCs/>
          <w:color w:val="000000" w:themeColor="text1"/>
          <w:sz w:val="20"/>
          <w:szCs w:val="24"/>
          <w:lang w:eastAsia="en-US"/>
        </w:rPr>
      </w:pPr>
    </w:p>
    <w:p w:rsidR="00CA682E" w:rsidRPr="00CA682E" w:rsidRDefault="00CA682E" w:rsidP="000F09B8">
      <w:pPr>
        <w:numPr>
          <w:ilvl w:val="0"/>
          <w:numId w:val="126"/>
        </w:numPr>
        <w:tabs>
          <w:tab w:val="left" w:pos="567"/>
        </w:tabs>
        <w:ind w:left="0" w:firstLine="0"/>
        <w:jc w:val="both"/>
        <w:rPr>
          <w:bCs/>
          <w:color w:val="000000" w:themeColor="text1"/>
          <w:sz w:val="20"/>
        </w:rPr>
      </w:pPr>
      <w:r w:rsidRPr="00CA682E">
        <w:rPr>
          <w:bCs/>
          <w:color w:val="000000" w:themeColor="text1"/>
          <w:sz w:val="20"/>
        </w:rPr>
        <w:t>Dadas las medidas adicionales de diligencia debida, incluido un procedimiento más riguroso de aprobación a nivel interno, el proceso de selección de la solución técnica llevó más tiempo de lo previsto, con el consiguiente retraso en el calendario del proyecto, que ha sido actualizado en consecuencia.</w:t>
      </w:r>
    </w:p>
    <w:p w:rsidR="00CA682E" w:rsidRPr="00CA682E" w:rsidRDefault="00CA682E" w:rsidP="00CA682E">
      <w:pPr>
        <w:rPr>
          <w:rFonts w:eastAsia="Times New Roman"/>
          <w:color w:val="000000" w:themeColor="text1"/>
          <w:sz w:val="20"/>
          <w:szCs w:val="24"/>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OBTENCIÓN DE BENEFICIOS</w:t>
      </w:r>
    </w:p>
    <w:p w:rsidR="00CA682E" w:rsidRPr="00CA682E" w:rsidRDefault="00CA682E" w:rsidP="00CA682E">
      <w:pPr>
        <w:tabs>
          <w:tab w:val="left" w:pos="567"/>
        </w:tabs>
        <w:jc w:val="both"/>
        <w:rPr>
          <w:color w:val="000000" w:themeColor="text1"/>
          <w:sz w:val="20"/>
        </w:rPr>
      </w:pPr>
    </w:p>
    <w:tbl>
      <w:tblPr>
        <w:tblW w:w="4990" w:type="pct"/>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3"/>
        <w:gridCol w:w="3473"/>
        <w:gridCol w:w="2606"/>
      </w:tblGrid>
      <w:tr w:rsidR="00CA682E" w:rsidRPr="00CA682E" w:rsidTr="007B1DE4">
        <w:trPr>
          <w:trHeight w:val="535"/>
          <w:tblHeader/>
          <w:jc w:val="center"/>
        </w:trPr>
        <w:tc>
          <w:tcPr>
            <w:tcW w:w="1818" w:type="pct"/>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2016</w:t>
            </w:r>
          </w:p>
        </w:tc>
        <w:tc>
          <w:tcPr>
            <w:tcW w:w="1818" w:type="pct"/>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2017</w:t>
            </w:r>
          </w:p>
        </w:tc>
        <w:tc>
          <w:tcPr>
            <w:tcW w:w="1364" w:type="pct"/>
            <w:shd w:val="clear" w:color="auto" w:fill="C6D9F1" w:themeFill="text2" w:themeFillTint="33"/>
          </w:tcPr>
          <w:p w:rsidR="00CA682E" w:rsidRPr="00CA682E" w:rsidRDefault="00CA682E" w:rsidP="00CA682E">
            <w:pPr>
              <w:jc w:val="center"/>
              <w:rPr>
                <w:rFonts w:eastAsia="Times New Roman" w:cs="Times New Roman"/>
                <w:b/>
                <w:bCs/>
                <w:color w:val="000000" w:themeColor="text1"/>
                <w:sz w:val="16"/>
                <w:szCs w:val="16"/>
                <w:lang w:eastAsia="en-US"/>
              </w:rPr>
            </w:pPr>
          </w:p>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2018</w:t>
            </w:r>
          </w:p>
        </w:tc>
      </w:tr>
      <w:tr w:rsidR="00CA682E" w:rsidRPr="00CA682E" w:rsidTr="007B1DE4">
        <w:trPr>
          <w:trHeight w:val="564"/>
          <w:jc w:val="center"/>
        </w:trPr>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las mejoras introducidas en los expedientes y archivos institucionales:</w:t>
            </w:r>
          </w:p>
          <w:p w:rsidR="00CA682E" w:rsidRPr="00CA682E" w:rsidRDefault="00CA682E" w:rsidP="00CA682E">
            <w:pPr>
              <w:contextualSpacing/>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Uno de los beneficios de los “logros iniciales” será el aumento de la eficacia en el escaneo de documentos, también en el escaneo de la correspondencia entrante, con la consiguiente reducción del tiempo que debe invertir el personal en esa tarea.</w:t>
            </w:r>
          </w:p>
          <w:p w:rsidR="00CA682E" w:rsidRPr="00CA682E" w:rsidRDefault="00CA682E" w:rsidP="00CA682E">
            <w:pPr>
              <w:contextualSpacing/>
              <w:jc w:val="both"/>
              <w:rPr>
                <w:rFonts w:eastAsia="Times New Roman" w:cs="Times New Roman"/>
                <w:color w:val="000000" w:themeColor="text1"/>
                <w:sz w:val="16"/>
                <w:szCs w:val="24"/>
                <w:lang w:eastAsia="en-US"/>
              </w:rPr>
            </w:pPr>
          </w:p>
          <w:p w:rsidR="00CA682E" w:rsidRPr="00CA682E" w:rsidRDefault="00CA682E" w:rsidP="00CA682E">
            <w:pPr>
              <w:contextualSpacing/>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Se obtendrán beneficios a largo plazo en 2018, con la puesta en funcionamiento en toda la Organización de la configuración del sistema de ECM.</w:t>
            </w:r>
          </w:p>
          <w:p w:rsidR="00CA682E" w:rsidRPr="00CA682E" w:rsidRDefault="00CA682E" w:rsidP="00CA682E">
            <w:pPr>
              <w:rPr>
                <w:rFonts w:eastAsia="Times New Roman" w:cs="Times New Roman"/>
                <w:color w:val="000000" w:themeColor="text1"/>
                <w:sz w:val="20"/>
                <w:szCs w:val="24"/>
                <w:lang w:eastAsia="en-US"/>
              </w:rPr>
            </w:pPr>
          </w:p>
        </w:tc>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el correo entrante (eCourier)</w:t>
            </w:r>
          </w:p>
          <w:p w:rsidR="00CA682E" w:rsidRPr="00CA682E" w:rsidRDefault="00CA682E" w:rsidP="00CA682E">
            <w:pPr>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La Oficina del Director General y el Equipo Directivo Superior dispondrán de un único sistema para la distribución y el seguimiento de la creación de respuestas a los mensajes externos de correo;  en consecuencia:</w:t>
            </w:r>
          </w:p>
          <w:p w:rsidR="00CA682E" w:rsidRPr="00CA682E" w:rsidRDefault="00CA682E" w:rsidP="00CA682E">
            <w:pPr>
              <w:numPr>
                <w:ilvl w:val="0"/>
                <w:numId w:val="123"/>
              </w:numPr>
              <w:ind w:left="318" w:hanging="318"/>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se reducirá el tiempo necesario para redactar las respuestas a los mensajes externos de correo, pues no será necesario distribuir materialmente los mensajes y las respuestas entre los edificios de la OMPI, lo que contribuirá al logro de los objetivos relativos a los tiempos de respuesta;</w:t>
            </w:r>
          </w:p>
          <w:p w:rsidR="00CA682E" w:rsidRPr="00CA682E" w:rsidRDefault="00CA682E" w:rsidP="00CA682E">
            <w:pPr>
              <w:rPr>
                <w:rFonts w:eastAsia="Times New Roman" w:cs="Times New Roman"/>
                <w:b/>
                <w:bCs/>
                <w:i/>
                <w:iCs/>
                <w:color w:val="000000" w:themeColor="text1"/>
                <w:sz w:val="16"/>
                <w:szCs w:val="16"/>
                <w:lang w:eastAsia="en-US"/>
              </w:rPr>
            </w:pPr>
            <w:proofErr w:type="gramStart"/>
            <w:r w:rsidRPr="00CA682E">
              <w:rPr>
                <w:rFonts w:eastAsia="Times New Roman" w:cs="Times New Roman"/>
                <w:color w:val="000000" w:themeColor="text1"/>
                <w:sz w:val="16"/>
                <w:szCs w:val="24"/>
                <w:lang w:eastAsia="en-US"/>
              </w:rPr>
              <w:t>será</w:t>
            </w:r>
            <w:proofErr w:type="gramEnd"/>
            <w:r w:rsidRPr="00CA682E">
              <w:rPr>
                <w:rFonts w:eastAsia="Times New Roman" w:cs="Times New Roman"/>
                <w:color w:val="000000" w:themeColor="text1"/>
                <w:sz w:val="16"/>
                <w:szCs w:val="24"/>
                <w:lang w:eastAsia="en-US"/>
              </w:rPr>
              <w:t xml:space="preserve"> posible utilizar un tablero único de gestión para conocer la situación y el progreso de cada respuesta a un mensaje externo, lo que reducirá el esfuerzo necesario para que el personal realice el seguimiento de las respuestas con miras al cumplimiento de los objetivos, permitiendo al personal administrativo centrarse en otras actividades.</w:t>
            </w:r>
          </w:p>
        </w:tc>
        <w:tc>
          <w:tcPr>
            <w:tcW w:w="1364" w:type="pct"/>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toda la Organización:</w:t>
            </w:r>
          </w:p>
          <w:p w:rsidR="00CA682E" w:rsidRPr="00CA682E" w:rsidRDefault="00CA682E" w:rsidP="00CA682E">
            <w:pPr>
              <w:contextualSpacing/>
              <w:jc w:val="both"/>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La implantación de la gestión de contenidos institucionales en la OMPI en su conjunto, al respaldar los cambios culturales relativos al intercambio de conocimientos y la gestión de la información en la Organización, además del subproyecto que dará “logros iniciales”, tendrá como consecuencia:</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la capacidad de realizar búsquedas en la totalidad de la base de conocimientos de la OMPI, reduciendo el volumen de creación y el registro por duplicado de conocimientos, gracias al intercambio de información;</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la capacidad de extender la </w:t>
            </w:r>
            <w:r w:rsidRPr="00CA682E">
              <w:rPr>
                <w:rFonts w:eastAsia="Times New Roman" w:cs="Times New Roman"/>
                <w:color w:val="000000" w:themeColor="text1"/>
                <w:sz w:val="16"/>
                <w:szCs w:val="16"/>
                <w:lang w:eastAsia="en-US"/>
              </w:rPr>
              <w:lastRenderedPageBreak/>
              <w:t>aplicación efectiva de la Política de gestión de los expedientes y archivos (orden de servicio 15/2013) a un número mayor de unidades operativas;</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la capacidad de reducir los costos actuales de archivo físico de documentos, a medida que esos documentos pasan al formato electrónico;</w:t>
            </w:r>
          </w:p>
          <w:p w:rsidR="00CA682E" w:rsidRPr="00CA682E" w:rsidRDefault="00CA682E" w:rsidP="00CA682E">
            <w:pPr>
              <w:numPr>
                <w:ilvl w:val="0"/>
                <w:numId w:val="123"/>
              </w:numPr>
              <w:ind w:left="335" w:hanging="283"/>
              <w:contextualSpacing/>
              <w:jc w:val="both"/>
              <w:rPr>
                <w:rFonts w:eastAsia="Times New Roman" w:cs="Times New Roman"/>
                <w:b/>
                <w:bCs/>
                <w:i/>
                <w:iCs/>
                <w:color w:val="000000" w:themeColor="text1"/>
                <w:sz w:val="16"/>
                <w:szCs w:val="16"/>
                <w:lang w:eastAsia="en-US"/>
              </w:rPr>
            </w:pPr>
            <w:r w:rsidRPr="00CA682E">
              <w:rPr>
                <w:rFonts w:eastAsia="Times New Roman" w:cs="Times New Roman"/>
                <w:color w:val="000000" w:themeColor="text1"/>
                <w:sz w:val="16"/>
                <w:szCs w:val="16"/>
                <w:lang w:eastAsia="en-US"/>
              </w:rPr>
              <w:t>la capacidad de reducir los costos de almacenamiento electrónico de documentos, pues la capacidad de realizar búsquedas en la totalidad del acervo de conocimientos de la Organización debería reducir el nivel de modificaciones introducidas y de registro por duplicado de conocimientos.</w:t>
            </w:r>
          </w:p>
        </w:tc>
      </w:tr>
      <w:tr w:rsidR="00CA682E" w:rsidRPr="00CA682E" w:rsidTr="007B1DE4">
        <w:trPr>
          <w:trHeight w:val="564"/>
          <w:jc w:val="center"/>
        </w:trPr>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lastRenderedPageBreak/>
              <w:t>Tras la puesta en funcionamiento de la configuración del sistema de ECM para el flujo de trabajo y la situación de las peticiones de traducción:</w:t>
            </w:r>
          </w:p>
          <w:p w:rsidR="00CA682E" w:rsidRPr="00CA682E" w:rsidRDefault="00CA682E" w:rsidP="00CA682E">
            <w:pPr>
              <w:contextualSpacing/>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La creación del sistema de flujo de trabajo y seguimiento de la situación de los documentos por traducir, para la División Lingüística, tendrá como consecuencia:</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la disminución de los esfuerzos necesarios para que el personal informe sobre la situación de las peticiones de traducción, puesto que el sistema producirá informes automatizados;</w:t>
            </w:r>
          </w:p>
          <w:p w:rsidR="00CA682E" w:rsidRPr="00CA682E" w:rsidRDefault="00CA682E" w:rsidP="00CA682E">
            <w:pPr>
              <w:numPr>
                <w:ilvl w:val="0"/>
                <w:numId w:val="123"/>
              </w:numPr>
              <w:ind w:left="335" w:hanging="283"/>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la capacidad de velar por que se alcancen los niveles de traducción previstos, gracias a la supervisión activa y la presentación de informes sobre la situación de cada petición de traducción.</w:t>
            </w:r>
          </w:p>
        </w:tc>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la gestión de proveedores y contratos:</w:t>
            </w:r>
          </w:p>
          <w:p w:rsidR="00CA682E" w:rsidRPr="00CA682E" w:rsidRDefault="00CA682E" w:rsidP="00CA682E">
            <w:pPr>
              <w:rPr>
                <w:rFonts w:eastAsia="Times New Roman" w:cs="Times New Roman"/>
                <w:b/>
                <w:bCs/>
                <w:i/>
                <w:iCs/>
                <w:color w:val="000000" w:themeColor="text1"/>
                <w:sz w:val="16"/>
                <w:szCs w:val="16"/>
                <w:lang w:eastAsia="en-US"/>
              </w:rPr>
            </w:pPr>
          </w:p>
          <w:p w:rsidR="00CA682E" w:rsidRPr="00CA682E" w:rsidRDefault="00CA682E" w:rsidP="00CA682E">
            <w:pPr>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La Sección de Adquisiciones dispondrá de una única fuente para la búsqueda de información relativa a las licitaciones en curso y finalizadas;  en consecuencia:</w:t>
            </w:r>
          </w:p>
          <w:p w:rsidR="00CA682E" w:rsidRPr="00CA682E" w:rsidRDefault="00CA682E" w:rsidP="00CA682E">
            <w:pPr>
              <w:numPr>
                <w:ilvl w:val="0"/>
                <w:numId w:val="123"/>
              </w:numPr>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disminuirá el tiempo necesario para encontrar y recuperar información de actualidad;</w:t>
            </w:r>
          </w:p>
          <w:p w:rsidR="00CA682E" w:rsidRPr="00CA682E" w:rsidRDefault="00CA682E" w:rsidP="00CA682E">
            <w:pPr>
              <w:numPr>
                <w:ilvl w:val="0"/>
                <w:numId w:val="123"/>
              </w:numPr>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 xml:space="preserve">disminuirán tanto el número de errores como la necesidad de modificación, debido a que la última versión de cada documento podrá reconocerse claramente. </w:t>
            </w:r>
          </w:p>
          <w:p w:rsidR="00CA682E" w:rsidRPr="00CA682E" w:rsidRDefault="00CA682E" w:rsidP="00CA682E">
            <w:pPr>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La Sección de Adquisiciones dispondrá de un tablero único en el que se indicará el avance de las licitaciones activas y la información acerca de los plazos para volver a licitar los contratos existentes;  en consecuencia:</w:t>
            </w:r>
          </w:p>
          <w:p w:rsidR="00CA682E" w:rsidRPr="00CA682E" w:rsidRDefault="00CA682E" w:rsidP="00CA682E">
            <w:pPr>
              <w:numPr>
                <w:ilvl w:val="0"/>
                <w:numId w:val="123"/>
              </w:numPr>
              <w:contextualSpacing/>
              <w:jc w:val="both"/>
              <w:rPr>
                <w:rFonts w:eastAsia="Times New Roman" w:cs="Times New Roman"/>
                <w:b/>
                <w:bCs/>
                <w:i/>
                <w:iCs/>
                <w:color w:val="000000" w:themeColor="text1"/>
                <w:sz w:val="16"/>
                <w:szCs w:val="16"/>
                <w:lang w:eastAsia="en-US"/>
              </w:rPr>
            </w:pPr>
            <w:r w:rsidRPr="00CA682E">
              <w:rPr>
                <w:rFonts w:eastAsia="Times New Roman" w:cs="Times New Roman"/>
                <w:color w:val="000000" w:themeColor="text1"/>
                <w:sz w:val="16"/>
                <w:lang w:eastAsia="en-US"/>
              </w:rPr>
              <w:t>el personal podrá realizar un número mayor de tareas productivas gracias a una mejor planificación de las actividades de adquisición.</w:t>
            </w:r>
          </w:p>
        </w:tc>
        <w:tc>
          <w:tcPr>
            <w:tcW w:w="1364" w:type="pct"/>
          </w:tcPr>
          <w:p w:rsidR="00CA682E" w:rsidRPr="00CA682E" w:rsidRDefault="00CA682E" w:rsidP="00CA682E">
            <w:pPr>
              <w:rPr>
                <w:rFonts w:eastAsia="Times New Roman" w:cs="Times New Roman"/>
                <w:b/>
                <w:bCs/>
                <w:i/>
                <w:iCs/>
                <w:color w:val="000000" w:themeColor="text1"/>
                <w:sz w:val="16"/>
                <w:szCs w:val="16"/>
                <w:lang w:eastAsia="en-US"/>
              </w:rPr>
            </w:pPr>
          </w:p>
        </w:tc>
      </w:tr>
      <w:tr w:rsidR="00CA682E" w:rsidRPr="00CA682E" w:rsidTr="007B1DE4">
        <w:trPr>
          <w:trHeight w:val="564"/>
          <w:jc w:val="center"/>
        </w:trPr>
        <w:tc>
          <w:tcPr>
            <w:tcW w:w="1818" w:type="pct"/>
            <w:shd w:val="clear" w:color="auto" w:fill="auto"/>
          </w:tcPr>
          <w:p w:rsidR="00CA682E" w:rsidRPr="00CA682E" w:rsidRDefault="00CA682E" w:rsidP="00CA682E">
            <w:pPr>
              <w:ind w:left="318"/>
              <w:contextualSpacing/>
              <w:jc w:val="both"/>
              <w:rPr>
                <w:rFonts w:eastAsia="Times New Roman" w:cs="Times New Roman"/>
                <w:b/>
                <w:bCs/>
                <w:i/>
                <w:iCs/>
                <w:color w:val="000000" w:themeColor="text1"/>
                <w:sz w:val="16"/>
                <w:szCs w:val="16"/>
                <w:lang w:eastAsia="en-US"/>
              </w:rPr>
            </w:pPr>
          </w:p>
        </w:tc>
        <w:tc>
          <w:tcPr>
            <w:tcW w:w="1818" w:type="pct"/>
            <w:shd w:val="clear" w:color="auto" w:fill="auto"/>
          </w:tcPr>
          <w:p w:rsidR="00CA682E" w:rsidRPr="00CA682E" w:rsidRDefault="00CA682E" w:rsidP="00CA682E">
            <w:pPr>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los informes de misión</w:t>
            </w:r>
          </w:p>
          <w:p w:rsidR="00CA682E" w:rsidRPr="00CA682E" w:rsidRDefault="00CA682E" w:rsidP="00CA682E">
            <w:pPr>
              <w:jc w:val="both"/>
              <w:rPr>
                <w:rFonts w:eastAsia="Times New Roman" w:cs="Times New Roman"/>
                <w:color w:val="000000" w:themeColor="text1"/>
                <w:sz w:val="16"/>
                <w:szCs w:val="24"/>
                <w:lang w:eastAsia="en-US"/>
              </w:rPr>
            </w:pPr>
            <w:r w:rsidRPr="00CA682E">
              <w:rPr>
                <w:rFonts w:eastAsia="Times New Roman" w:cs="Times New Roman"/>
                <w:color w:val="000000" w:themeColor="text1"/>
                <w:sz w:val="16"/>
                <w:szCs w:val="24"/>
                <w:lang w:eastAsia="en-US"/>
              </w:rPr>
              <w:t>El contenido de los informes de misión, así como la información relativa a las misiones previstas, será susceptible de búsqueda en toda la Organización;  en consecuencia;</w:t>
            </w:r>
          </w:p>
          <w:p w:rsidR="00CA682E" w:rsidRPr="00CA682E" w:rsidRDefault="00CA682E" w:rsidP="00CA682E">
            <w:pPr>
              <w:numPr>
                <w:ilvl w:val="0"/>
                <w:numId w:val="123"/>
              </w:numPr>
              <w:ind w:left="318" w:hanging="318"/>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podría reducirse el número de misiones, en el caso de que se superpongan los viajes o los puntos a tratar que figuran en las agendas de misión, lo que permitiría reducir los costos;</w:t>
            </w:r>
          </w:p>
          <w:p w:rsidR="00CA682E" w:rsidRPr="00CA682E" w:rsidRDefault="00CA682E" w:rsidP="00CA682E">
            <w:pPr>
              <w:numPr>
                <w:ilvl w:val="0"/>
                <w:numId w:val="123"/>
              </w:numPr>
              <w:ind w:left="318" w:hanging="318"/>
              <w:contextualSpacing/>
              <w:jc w:val="both"/>
              <w:rPr>
                <w:rFonts w:eastAsia="Times New Roman" w:cs="Times New Roman"/>
                <w:b/>
                <w:bCs/>
                <w:i/>
                <w:iCs/>
                <w:color w:val="000000" w:themeColor="text1"/>
                <w:sz w:val="16"/>
                <w:szCs w:val="16"/>
                <w:lang w:eastAsia="en-US"/>
              </w:rPr>
            </w:pPr>
            <w:r w:rsidRPr="00CA682E">
              <w:rPr>
                <w:rFonts w:eastAsia="Times New Roman" w:cs="Times New Roman"/>
                <w:color w:val="000000" w:themeColor="text1"/>
                <w:sz w:val="16"/>
                <w:lang w:eastAsia="en-US"/>
              </w:rPr>
              <w:t>las misiones resultarán más productivas porque el personal de la OMPI tendrá acceso a mayor cantidad de información relativa a misiones anteriores a un país u organización determinados, y estará preparado para responder a las preguntas pendientes que puedan haber sido formuladas en una misión anterior.</w:t>
            </w:r>
            <w:r w:rsidRPr="00CA682E">
              <w:rPr>
                <w:rFonts w:eastAsia="Times New Roman" w:cs="Times New Roman"/>
                <w:b/>
                <w:bCs/>
                <w:i/>
                <w:iCs/>
                <w:color w:val="000000" w:themeColor="text1"/>
                <w:sz w:val="16"/>
                <w:szCs w:val="16"/>
                <w:lang w:eastAsia="en-US"/>
              </w:rPr>
              <w:t xml:space="preserve">  </w:t>
            </w:r>
          </w:p>
        </w:tc>
        <w:tc>
          <w:tcPr>
            <w:tcW w:w="1364" w:type="pct"/>
          </w:tcPr>
          <w:p w:rsidR="00CA682E" w:rsidRPr="00CA682E" w:rsidRDefault="00CA682E" w:rsidP="00CA682E">
            <w:pPr>
              <w:rPr>
                <w:rFonts w:eastAsia="Times New Roman" w:cs="Times New Roman"/>
                <w:b/>
                <w:bCs/>
                <w:i/>
                <w:iCs/>
                <w:color w:val="000000" w:themeColor="text1"/>
                <w:sz w:val="16"/>
                <w:szCs w:val="16"/>
                <w:lang w:eastAsia="en-US"/>
              </w:rPr>
            </w:pPr>
          </w:p>
        </w:tc>
      </w:tr>
      <w:tr w:rsidR="00CA682E" w:rsidRPr="00CA682E" w:rsidTr="007B1DE4">
        <w:trPr>
          <w:trHeight w:val="564"/>
          <w:jc w:val="center"/>
        </w:trPr>
        <w:tc>
          <w:tcPr>
            <w:tcW w:w="1818" w:type="pct"/>
            <w:shd w:val="clear" w:color="auto" w:fill="auto"/>
          </w:tcPr>
          <w:p w:rsidR="00CA682E" w:rsidRPr="00CA682E" w:rsidRDefault="00CA682E" w:rsidP="000F09B8">
            <w:pPr>
              <w:keepNext/>
              <w:contextualSpacing/>
              <w:jc w:val="both"/>
              <w:rPr>
                <w:rFonts w:eastAsia="Times New Roman" w:cs="Times New Roman"/>
                <w:b/>
                <w:bCs/>
                <w:i/>
                <w:iCs/>
                <w:color w:val="000000" w:themeColor="text1"/>
                <w:sz w:val="16"/>
                <w:szCs w:val="16"/>
                <w:lang w:eastAsia="en-US"/>
              </w:rPr>
            </w:pPr>
          </w:p>
        </w:tc>
        <w:tc>
          <w:tcPr>
            <w:tcW w:w="1818" w:type="pct"/>
            <w:shd w:val="clear" w:color="auto" w:fill="auto"/>
          </w:tcPr>
          <w:p w:rsidR="00CA682E" w:rsidRPr="00CA682E" w:rsidRDefault="00CA682E" w:rsidP="000F09B8">
            <w:pPr>
              <w:keepNext/>
              <w:rPr>
                <w:rFonts w:eastAsia="Times New Roman" w:cs="Times New Roman"/>
                <w:b/>
                <w:bCs/>
                <w:i/>
                <w:iCs/>
                <w:color w:val="000000" w:themeColor="text1"/>
                <w:sz w:val="16"/>
                <w:szCs w:val="16"/>
                <w:lang w:eastAsia="en-US"/>
              </w:rPr>
            </w:pPr>
            <w:r w:rsidRPr="00CA682E">
              <w:rPr>
                <w:rFonts w:eastAsia="Times New Roman" w:cs="Times New Roman"/>
                <w:b/>
                <w:bCs/>
                <w:i/>
                <w:iCs/>
                <w:color w:val="000000" w:themeColor="text1"/>
                <w:sz w:val="16"/>
                <w:szCs w:val="16"/>
                <w:lang w:eastAsia="en-US"/>
              </w:rPr>
              <w:t>Tras la puesta en funcionamiento de la configuración del sistema de ECM para los registros electrónicos de RRHH del personal</w:t>
            </w:r>
          </w:p>
          <w:p w:rsidR="00CA682E" w:rsidRPr="00CA682E" w:rsidRDefault="00CA682E" w:rsidP="000F09B8">
            <w:pPr>
              <w:keepNext/>
              <w:ind w:left="35"/>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El Departamento de Gestión de los Recursos Humanos dispondrá de un depósito único para almacenar los documentos relativos al personal, tanto para los documentos antiguos, que serán escaneados, como para la captura de documentos recientemente creados;  en consecuencia:</w:t>
            </w:r>
          </w:p>
          <w:p w:rsidR="00CA682E" w:rsidRPr="00CA682E" w:rsidRDefault="00CA682E" w:rsidP="000F09B8">
            <w:pPr>
              <w:keepNext/>
              <w:numPr>
                <w:ilvl w:val="0"/>
                <w:numId w:val="123"/>
              </w:numPr>
              <w:ind w:left="318" w:hanging="283"/>
              <w:contextualSpacing/>
              <w:jc w:val="both"/>
              <w:rPr>
                <w:rFonts w:eastAsia="Times New Roman" w:cs="Times New Roman"/>
                <w:color w:val="000000" w:themeColor="text1"/>
                <w:sz w:val="16"/>
                <w:lang w:eastAsia="en-US"/>
              </w:rPr>
            </w:pPr>
            <w:r w:rsidRPr="00CA682E">
              <w:rPr>
                <w:rFonts w:eastAsia="Times New Roman" w:cs="Times New Roman"/>
                <w:color w:val="000000" w:themeColor="text1"/>
                <w:sz w:val="16"/>
                <w:lang w:eastAsia="en-US"/>
              </w:rPr>
              <w:t>habrá continuidad en la captura, gestión y preservación de archivos clave de RRHH y documentos conexos.  El depósito único de información permitirá reducir el tiempo y los esfuerzos necesarios para que el personal de RRHH reconozca y recupere los documentos pertinentes necesarios para procesos esenciales en la Organización;</w:t>
            </w:r>
          </w:p>
          <w:p w:rsidR="00CA682E" w:rsidRPr="00CA682E" w:rsidRDefault="00CA682E" w:rsidP="000F09B8">
            <w:pPr>
              <w:keepNext/>
              <w:numPr>
                <w:ilvl w:val="0"/>
                <w:numId w:val="123"/>
              </w:numPr>
              <w:ind w:left="335" w:hanging="283"/>
              <w:contextualSpacing/>
              <w:jc w:val="both"/>
              <w:rPr>
                <w:rFonts w:eastAsia="Times New Roman" w:cs="Times New Roman"/>
                <w:b/>
                <w:bCs/>
                <w:i/>
                <w:iCs/>
                <w:color w:val="000000" w:themeColor="text1"/>
                <w:sz w:val="16"/>
                <w:szCs w:val="16"/>
                <w:lang w:eastAsia="en-US"/>
              </w:rPr>
            </w:pPr>
            <w:r w:rsidRPr="00CA682E">
              <w:rPr>
                <w:rFonts w:eastAsia="Times New Roman" w:cs="Times New Roman"/>
                <w:color w:val="000000" w:themeColor="text1"/>
                <w:sz w:val="16"/>
                <w:lang w:eastAsia="en-US"/>
              </w:rPr>
              <w:t>será posible reconocer claramente la versión más reciente de cada documento de RRHH relacionado con el personal de la OMPI, lo que reducirá el tiempo y el esfuerzo necesarios para reconocer la versión más reciente de cada documento, al igual que la necesidad de introducir modificaciones.</w:t>
            </w:r>
          </w:p>
        </w:tc>
        <w:tc>
          <w:tcPr>
            <w:tcW w:w="1364" w:type="pct"/>
          </w:tcPr>
          <w:p w:rsidR="00CA682E" w:rsidRPr="00CA682E" w:rsidRDefault="00CA682E" w:rsidP="000F09B8">
            <w:pPr>
              <w:keepNext/>
              <w:rPr>
                <w:rFonts w:eastAsia="Times New Roman" w:cs="Times New Roman"/>
                <w:b/>
                <w:bCs/>
                <w:i/>
                <w:iCs/>
                <w:color w:val="000000" w:themeColor="text1"/>
                <w:sz w:val="16"/>
                <w:szCs w:val="16"/>
                <w:lang w:eastAsia="en-US"/>
              </w:rPr>
            </w:pPr>
          </w:p>
        </w:tc>
      </w:tr>
    </w:tbl>
    <w:p w:rsidR="00CA682E" w:rsidRPr="00CA682E" w:rsidRDefault="00CA682E" w:rsidP="000F09B8">
      <w:pPr>
        <w:keepNext/>
        <w:rPr>
          <w:rFonts w:eastAsia="Times New Roman"/>
          <w:color w:val="000000" w:themeColor="text1"/>
          <w:szCs w:val="22"/>
          <w:lang w:eastAsia="en-US"/>
        </w:rPr>
      </w:pPr>
    </w:p>
    <w:p w:rsidR="00CA682E" w:rsidRPr="00CA682E" w:rsidRDefault="00CA682E" w:rsidP="00CA682E">
      <w:pPr>
        <w:rPr>
          <w:rFonts w:eastAsia="Times New Roman"/>
          <w:color w:val="000000" w:themeColor="text1"/>
          <w:szCs w:val="22"/>
          <w:lang w:eastAsia="en-US"/>
        </w:rPr>
      </w:pPr>
    </w:p>
    <w:p w:rsidR="00CA682E" w:rsidRPr="00CA682E" w:rsidRDefault="00CA682E" w:rsidP="00CA682E">
      <w:pPr>
        <w:rPr>
          <w:rFonts w:eastAsia="Times New Roman" w:cs="Times New Roman"/>
          <w:color w:val="000000" w:themeColor="text1"/>
          <w:sz w:val="20"/>
          <w:szCs w:val="24"/>
          <w:lang w:eastAsia="en-US"/>
        </w:rPr>
      </w:pPr>
      <w:r w:rsidRPr="00CA682E">
        <w:rPr>
          <w:rFonts w:eastAsia="Times New Roman" w:cs="Times New Roman"/>
          <w:color w:val="000000" w:themeColor="text1"/>
          <w:sz w:val="20"/>
          <w:szCs w:val="24"/>
          <w:lang w:eastAsia="en-US"/>
        </w:rPr>
        <w:t>UTILIZACIÓN DE LOS RECURSOS</w:t>
      </w:r>
      <w:r w:rsidRPr="00CA682E">
        <w:rPr>
          <w:rFonts w:eastAsia="Times New Roman" w:cs="Times New Roman"/>
          <w:color w:val="000000" w:themeColor="text1"/>
          <w:sz w:val="20"/>
          <w:szCs w:val="24"/>
          <w:vertAlign w:val="superscript"/>
          <w:lang w:eastAsia="en-US"/>
        </w:rPr>
        <w:footnoteReference w:id="174"/>
      </w: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4"/>
          <w:lang w:eastAsia="en-US"/>
        </w:rPr>
        <w:t>Utilización del presupuesto del proyecto</w:t>
      </w:r>
      <w:r w:rsidRPr="00CA682E">
        <w:rPr>
          <w:rFonts w:eastAsia="Times New Roman" w:cs="Times New Roman"/>
          <w:b/>
          <w:color w:val="000000" w:themeColor="text1"/>
          <w:sz w:val="20"/>
          <w:szCs w:val="22"/>
          <w:lang w:eastAsia="en-US"/>
        </w:rPr>
        <w:t xml:space="preserve"> </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1562"/>
        <w:gridCol w:w="1564"/>
        <w:gridCol w:w="1564"/>
        <w:gridCol w:w="1714"/>
      </w:tblGrid>
      <w:tr w:rsidR="00CA682E" w:rsidRPr="00CA682E" w:rsidTr="007B1DE4">
        <w:trPr>
          <w:trHeight w:val="431"/>
        </w:trPr>
        <w:tc>
          <w:tcPr>
            <w:tcW w:w="15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8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1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409"/>
        </w:trPr>
        <w:tc>
          <w:tcPr>
            <w:tcW w:w="157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de aplicación de la ECM</w:t>
            </w:r>
          </w:p>
        </w:tc>
        <w:tc>
          <w:tcPr>
            <w:tcW w:w="83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2.068.000</w:t>
            </w:r>
          </w:p>
        </w:tc>
        <w:tc>
          <w:tcPr>
            <w:tcW w:w="83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75.170</w:t>
            </w:r>
          </w:p>
        </w:tc>
        <w:tc>
          <w:tcPr>
            <w:tcW w:w="83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w:t>
            </w:r>
          </w:p>
        </w:tc>
        <w:tc>
          <w:tcPr>
            <w:tcW w:w="91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w:t>
            </w:r>
          </w:p>
        </w:tc>
      </w:tr>
    </w:tbl>
    <w:p w:rsidR="00CA682E" w:rsidRPr="00CA682E" w:rsidRDefault="00CA682E" w:rsidP="00CA682E">
      <w:pPr>
        <w:rPr>
          <w:rFonts w:eastAsia="Times New Roman"/>
          <w:color w:val="000000" w:themeColor="text1"/>
          <w:szCs w:val="22"/>
          <w:lang w:eastAsia="en-US"/>
        </w:rPr>
      </w:pPr>
    </w:p>
    <w:p w:rsidR="00CA682E" w:rsidRPr="00CA682E" w:rsidRDefault="00CA682E" w:rsidP="00CA682E">
      <w:pPr>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4"/>
          <w:lang w:eastAsia="en-US"/>
        </w:rPr>
        <w:t>Utilización del presupuesto del proyecto (por etapa)</w:t>
      </w:r>
    </w:p>
    <w:p w:rsidR="00CA682E" w:rsidRPr="00CA682E" w:rsidRDefault="00CA682E" w:rsidP="00CA682E">
      <w:pPr>
        <w:keepNext/>
        <w:keepLine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7"/>
        <w:gridCol w:w="1575"/>
        <w:gridCol w:w="1575"/>
        <w:gridCol w:w="1838"/>
      </w:tblGrid>
      <w:tr w:rsidR="00CA682E" w:rsidRPr="00CA682E" w:rsidTr="007B1DE4">
        <w:trPr>
          <w:trHeight w:val="410"/>
        </w:trPr>
        <w:tc>
          <w:tcPr>
            <w:tcW w:w="15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 fundamental</w:t>
            </w:r>
          </w:p>
        </w:tc>
        <w:tc>
          <w:tcPr>
            <w:tcW w:w="8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7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por etapa</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Estudio y desarrollo del enfoque, incluida la selección de la tecnología para el sistema de ECM</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olor w:val="000000" w:themeColor="text1"/>
                <w:sz w:val="16"/>
                <w:szCs w:val="16"/>
                <w:lang w:eastAsia="en-US"/>
              </w:rPr>
              <w:t>Creación de una nueva plataforma y actualización de la versión relativa a los expedientes y archivos existentes</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42.000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39.170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93%</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respecto del jefe del proyecto en el lado cliente y especialista en ECM</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400.000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Gastos de alojamiento y mantenimiento del sistema a de ECM</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1.298.000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Instalación &amp; configuración de base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205.000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1:  Gestión de peticiones de traducción</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58.000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Proyecto 2:  Correspondencia </w:t>
            </w:r>
            <w:r w:rsidRPr="00CA682E">
              <w:rPr>
                <w:rFonts w:eastAsia="Times New Roman" w:cs="Times New Roman"/>
                <w:color w:val="000000" w:themeColor="text1"/>
                <w:sz w:val="16"/>
                <w:szCs w:val="16"/>
                <w:lang w:eastAsia="en-US"/>
              </w:rPr>
              <w:lastRenderedPageBreak/>
              <w:t xml:space="preserve">entrante de la Oficina del Director General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lastRenderedPageBreak/>
              <w:t>80.000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lastRenderedPageBreak/>
              <w:t xml:space="preserve">Proyecto 3:  Gestión de proveedores y contratos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46.000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Proyecto 4:  Informes de misión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37.000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5:   expedientes de RRHH del personal</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140.000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Proyecto 6:  Capacidades de ECM en toda la Organización </w:t>
            </w:r>
          </w:p>
        </w:tc>
        <w:tc>
          <w:tcPr>
            <w:tcW w:w="83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46.000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7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8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2.068.000</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75.170</w:t>
            </w:r>
          </w:p>
        </w:tc>
        <w:tc>
          <w:tcPr>
            <w:tcW w:w="83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after="40"/>
              <w:jc w:val="center"/>
              <w:rPr>
                <w:rFonts w:eastAsia="Times New Roman" w:cs="Times New Roman"/>
                <w:b/>
                <w:color w:val="000000" w:themeColor="text1"/>
                <w:sz w:val="16"/>
                <w:szCs w:val="16"/>
                <w:lang w:eastAsia="en-US"/>
              </w:rPr>
            </w:pPr>
          </w:p>
        </w:tc>
        <w:tc>
          <w:tcPr>
            <w:tcW w:w="97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after="40"/>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4"/>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 al 31 de diciembre de 2015)</w:t>
      </w: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CA682E" w:rsidRPr="00CA682E" w:rsidTr="007B1DE4">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Servicios contractuales individuales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400.000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36.000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Servicios contractuales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690.000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39.170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Apoyo del programa informático OpenText (gastos de mantenimiento) </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514.000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Alojamiento (CICE)</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144.000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Diversos e imprevistos</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320.000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1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2.068.000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75.170</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spacing w:after="200" w:line="276" w:lineRule="auto"/>
        <w:rPr>
          <w:rFonts w:eastAsia="Times New Roman"/>
          <w:color w:val="000000" w:themeColor="text1"/>
          <w:szCs w:val="22"/>
          <w:lang w:eastAsia="en-US"/>
        </w:rPr>
      </w:pPr>
      <w:r w:rsidRPr="00CA682E">
        <w:rPr>
          <w:rFonts w:eastAsia="Times New Roman"/>
          <w:color w:val="000000" w:themeColor="text1"/>
          <w:szCs w:val="22"/>
          <w:lang w:eastAsia="en-US"/>
        </w:rPr>
        <w:br w:type="page"/>
      </w: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CALENDARIO DEL PROYECTO, POR ETAPA</w:t>
      </w:r>
    </w:p>
    <w:p w:rsidR="00CA682E" w:rsidRPr="00CA682E" w:rsidRDefault="00CA682E" w:rsidP="00CA682E">
      <w:pPr>
        <w:autoSpaceDE w:val="0"/>
        <w:autoSpaceDN w:val="0"/>
        <w:jc w:val="both"/>
        <w:rPr>
          <w:rFonts w:eastAsia="Times New Roman" w:cs="Times New Roman"/>
          <w:color w:val="000000" w:themeColor="text1"/>
          <w:sz w:val="20"/>
          <w:szCs w:val="24"/>
          <w:lang w:eastAsia="en-US"/>
        </w:rPr>
      </w:pPr>
    </w:p>
    <w:tbl>
      <w:tblPr>
        <w:tblW w:w="9520" w:type="dxa"/>
        <w:jc w:val="center"/>
        <w:tblInd w:w="93" w:type="dxa"/>
        <w:tblLook w:val="04A0" w:firstRow="1" w:lastRow="0" w:firstColumn="1" w:lastColumn="0" w:noHBand="0" w:noVBand="1"/>
      </w:tblPr>
      <w:tblGrid>
        <w:gridCol w:w="2060"/>
        <w:gridCol w:w="403"/>
        <w:gridCol w:w="480"/>
        <w:gridCol w:w="480"/>
        <w:gridCol w:w="480"/>
        <w:gridCol w:w="480"/>
        <w:gridCol w:w="480"/>
        <w:gridCol w:w="480"/>
        <w:gridCol w:w="480"/>
        <w:gridCol w:w="480"/>
        <w:gridCol w:w="480"/>
        <w:gridCol w:w="480"/>
        <w:gridCol w:w="480"/>
        <w:gridCol w:w="480"/>
        <w:gridCol w:w="480"/>
        <w:gridCol w:w="480"/>
        <w:gridCol w:w="480"/>
      </w:tblGrid>
      <w:tr w:rsidR="00CA682E" w:rsidRPr="00CA682E" w:rsidTr="007B1DE4">
        <w:trPr>
          <w:trHeight w:val="270"/>
          <w:tblHeader/>
          <w:jc w:val="center"/>
        </w:trPr>
        <w:tc>
          <w:tcPr>
            <w:tcW w:w="2060"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p>
        </w:tc>
        <w:tc>
          <w:tcPr>
            <w:tcW w:w="170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2017</w:t>
            </w:r>
          </w:p>
        </w:tc>
      </w:tr>
      <w:tr w:rsidR="00CA682E" w:rsidRPr="00CA682E" w:rsidTr="007B1DE4">
        <w:trPr>
          <w:trHeight w:val="375"/>
          <w:tblHeader/>
          <w:jc w:val="center"/>
        </w:trPr>
        <w:tc>
          <w:tcPr>
            <w:tcW w:w="206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 fundamental</w:t>
            </w:r>
          </w:p>
        </w:tc>
        <w:tc>
          <w:tcPr>
            <w:tcW w:w="26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r>
      <w:tr w:rsidR="00CA682E" w:rsidRPr="00CA682E" w:rsidTr="007B1DE4">
        <w:trPr>
          <w:trHeight w:val="539"/>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Estudio y desarrollo de enfoque</w:t>
            </w:r>
          </w:p>
        </w:tc>
        <w:tc>
          <w:tcPr>
            <w:tcW w:w="26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40"/>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Selección de tecnología de ECM</w:t>
            </w:r>
          </w:p>
        </w:tc>
        <w:tc>
          <w:tcPr>
            <w:tcW w:w="26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Creación de una nueva plataforma y actualización de la versión relativa a los expedientes y archivos institucionales existentes </w:t>
            </w:r>
          </w:p>
        </w:tc>
        <w:tc>
          <w:tcPr>
            <w:tcW w:w="26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04"/>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Finalización de la licitación relativa al socio externo encargado de la ejecución</w:t>
            </w:r>
          </w:p>
        </w:tc>
        <w:tc>
          <w:tcPr>
            <w:tcW w:w="26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49"/>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Aceptación de la configuración de base de la ECM</w:t>
            </w:r>
          </w:p>
        </w:tc>
        <w:tc>
          <w:tcPr>
            <w:tcW w:w="26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Aceptación de la configuración perfeccionada para expedientes y archivos</w:t>
            </w:r>
          </w:p>
        </w:tc>
        <w:tc>
          <w:tcPr>
            <w:tcW w:w="26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Puesta en funcionamiento de la configuración de ECM </w:t>
            </w:r>
          </w:p>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para el flujo de trabajo y la situación de las peticiones de traducción</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4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funcionamiento de la configuración de ECM para correo entrante en la Oficina del Director General</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Puesta en funcionamiento de la configuración de ECM para la gestión de proveedores y contratos</w:t>
            </w:r>
          </w:p>
        </w:tc>
        <w:tc>
          <w:tcPr>
            <w:tcW w:w="260" w:type="dxa"/>
            <w:tcBorders>
              <w:top w:val="single" w:sz="4" w:space="0" w:color="auto"/>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49"/>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funcionamiento de la configuración de ECM para informes de misión</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53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Puesta en funcionamiento de la configuración de ECM para los expedientes electrónicos de RRHH del personal </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89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funcionamiento de la configuración del sistema de ECM para toda la Organización</w:t>
            </w:r>
          </w:p>
        </w:tc>
        <w:tc>
          <w:tcPr>
            <w:tcW w:w="26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CA682E" w:rsidRPr="00CA682E" w:rsidRDefault="00CA682E" w:rsidP="00CA682E">
            <w:pP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spacing w:after="200" w:line="276" w:lineRule="auto"/>
        <w:rPr>
          <w:rFonts w:eastAsia="Times New Roman" w:cs="Times New Roman"/>
          <w:b/>
          <w:color w:val="000000" w:themeColor="text1"/>
          <w:sz w:val="20"/>
          <w:lang w:eastAsia="en-US"/>
        </w:rPr>
      </w:pPr>
      <w:r w:rsidRPr="00CA682E">
        <w:rPr>
          <w:rFonts w:eastAsia="Times New Roman" w:cs="Times New Roman"/>
          <w:b/>
          <w:color w:val="000000" w:themeColor="text1"/>
          <w:sz w:val="20"/>
          <w:lang w:eastAsia="en-US"/>
        </w:rPr>
        <w:br w:type="page"/>
      </w:r>
    </w:p>
    <w:p w:rsidR="00CA682E" w:rsidRPr="00CA682E" w:rsidRDefault="00CA682E" w:rsidP="00CA682E">
      <w:pPr>
        <w:rPr>
          <w:rFonts w:eastAsia="Times New Roman" w:cs="Times New Roman"/>
          <w:b/>
          <w:color w:val="000000" w:themeColor="text1"/>
          <w:szCs w:val="22"/>
          <w:lang w:eastAsia="en-US"/>
        </w:rPr>
      </w:pPr>
      <w:r w:rsidRPr="00CA682E">
        <w:rPr>
          <w:rFonts w:eastAsia="Times New Roman" w:cs="Times New Roman"/>
          <w:b/>
          <w:color w:val="000000" w:themeColor="text1"/>
          <w:szCs w:val="22"/>
          <w:lang w:eastAsia="en-US"/>
        </w:rPr>
        <w:lastRenderedPageBreak/>
        <w:t>PROYECTOS RELACIONADOS CON LOS EDIFICIOS</w:t>
      </w:r>
    </w:p>
    <w:p w:rsidR="00CA682E" w:rsidRPr="00CA682E" w:rsidRDefault="00CA682E" w:rsidP="00CA682E">
      <w:pPr>
        <w:rPr>
          <w:rFonts w:eastAsia="Times New Roman" w:cs="Times New Roman"/>
          <w:b/>
          <w:color w:val="000000" w:themeColor="text1"/>
          <w:sz w:val="20"/>
          <w:lang w:eastAsia="en-US"/>
        </w:rPr>
      </w:pPr>
    </w:p>
    <w:p w:rsidR="00CA682E" w:rsidRPr="00CA682E" w:rsidRDefault="00CA682E" w:rsidP="00DD172C">
      <w:pPr>
        <w:keepNext/>
        <w:ind w:left="1701" w:hanging="1701"/>
        <w:outlineLvl w:val="2"/>
        <w:rPr>
          <w:b/>
          <w:bCs/>
          <w:i/>
          <w:color w:val="000000" w:themeColor="text1"/>
          <w:sz w:val="20"/>
          <w:lang w:eastAsia="en-US"/>
        </w:rPr>
      </w:pPr>
      <w:bookmarkStart w:id="225" w:name="_Toc422210525"/>
      <w:bookmarkStart w:id="226" w:name="_Toc422927450"/>
      <w:bookmarkStart w:id="227" w:name="_Toc455159118"/>
      <w:r w:rsidRPr="00CA682E">
        <w:rPr>
          <w:b/>
          <w:bCs/>
          <w:i/>
          <w:color w:val="000000" w:themeColor="text1"/>
          <w:sz w:val="20"/>
          <w:lang w:eastAsia="en-US"/>
        </w:rPr>
        <w:t>PROYECTO 3:</w:t>
      </w:r>
      <w:bookmarkEnd w:id="225"/>
      <w:r w:rsidR="00DD172C">
        <w:rPr>
          <w:b/>
          <w:bCs/>
          <w:i/>
          <w:color w:val="000000" w:themeColor="text1"/>
          <w:sz w:val="20"/>
          <w:lang w:eastAsia="en-US"/>
        </w:rPr>
        <w:tab/>
      </w:r>
      <w:r w:rsidRPr="00CA682E">
        <w:rPr>
          <w:b/>
          <w:bCs/>
          <w:i/>
          <w:color w:val="000000" w:themeColor="text1"/>
          <w:sz w:val="20"/>
          <w:lang w:eastAsia="en-US"/>
        </w:rPr>
        <w:t>RENOVACIÓN DE LAS FACHADAS E INSTALACIÓN DE REFRIGERACIÓN/CALEFACCIÓN EN EL EDIFICIO PCT (PMM 3)</w:t>
      </w:r>
      <w:bookmarkEnd w:id="226"/>
      <w:bookmarkEnd w:id="227"/>
    </w:p>
    <w:p w:rsidR="00CA682E" w:rsidRPr="00CA682E" w:rsidRDefault="00CA682E" w:rsidP="00CA682E">
      <w:pPr>
        <w:rPr>
          <w:rFonts w:eastAsia="Times New Roman" w:cs="Times New Roman"/>
          <w:b/>
          <w:color w:val="000000" w:themeColor="text1"/>
          <w:sz w:val="20"/>
          <w:szCs w:val="24"/>
          <w:lang w:eastAsia="en-US"/>
        </w:rPr>
      </w:pPr>
    </w:p>
    <w:p w:rsidR="00CA682E" w:rsidRPr="00CA682E" w:rsidRDefault="00CA682E" w:rsidP="00CA682E">
      <w:pPr>
        <w:rPr>
          <w:rFonts w:eastAsia="Times New Roman" w:cs="Times New Roman"/>
          <w:b/>
          <w:color w:val="000000" w:themeColor="text1"/>
          <w:sz w:val="20"/>
          <w:szCs w:val="24"/>
          <w:lang w:eastAsia="en-US"/>
        </w:rPr>
      </w:pPr>
      <w:r w:rsidRPr="00CA682E">
        <w:rPr>
          <w:rFonts w:eastAsia="Times New Roman" w:cs="Times New Roman"/>
          <w:b/>
          <w:color w:val="000000" w:themeColor="text1"/>
          <w:sz w:val="20"/>
          <w:szCs w:val="24"/>
          <w:lang w:eastAsia="en-US"/>
        </w:rPr>
        <w:t xml:space="preserve">Director de proyecto </w:t>
      </w:r>
      <w:r w:rsidRPr="00CA682E">
        <w:rPr>
          <w:rFonts w:eastAsia="Times New Roman" w:cs="Times New Roman"/>
          <w:b/>
          <w:color w:val="000000" w:themeColor="text1"/>
          <w:sz w:val="20"/>
          <w:szCs w:val="24"/>
          <w:lang w:eastAsia="en-US"/>
        </w:rPr>
        <w:tab/>
        <w:t>Sr. A. FAVERO</w:t>
      </w:r>
    </w:p>
    <w:p w:rsidR="00CA682E" w:rsidRPr="00CA682E" w:rsidRDefault="00CA682E" w:rsidP="00CA682E">
      <w:pPr>
        <w:rPr>
          <w:rFonts w:eastAsia="Times New Roman" w:cs="Times New Roman"/>
          <w:b/>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r w:rsidRPr="00CA682E">
        <w:rPr>
          <w:rFonts w:eastAsia="Times New Roman" w:cs="Times New Roman"/>
          <w:bCs/>
          <w:color w:val="000000" w:themeColor="text1"/>
          <w:sz w:val="20"/>
          <w:szCs w:val="24"/>
          <w:lang w:eastAsia="en-US"/>
        </w:rPr>
        <w:t>RESULTADO PREVISTO</w:t>
      </w: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i/>
          <w:iCs/>
          <w:color w:val="000000" w:themeColor="text1"/>
          <w:sz w:val="20"/>
          <w:szCs w:val="24"/>
          <w:lang w:eastAsia="en-US"/>
        </w:rPr>
      </w:pPr>
      <w:r w:rsidRPr="00CA682E">
        <w:rPr>
          <w:rFonts w:eastAsia="Times New Roman" w:cs="Times New Roman"/>
          <w:i/>
          <w:iCs/>
          <w:color w:val="000000" w:themeColor="text1"/>
          <w:sz w:val="20"/>
          <w:szCs w:val="24"/>
          <w:lang w:eastAsia="en-US"/>
        </w:rPr>
        <w:t xml:space="preserve">IX.1  Servicios de </w:t>
      </w:r>
      <w:proofErr w:type="gramStart"/>
      <w:r w:rsidRPr="00CA682E">
        <w:rPr>
          <w:rFonts w:eastAsia="Times New Roman" w:cs="Times New Roman"/>
          <w:i/>
          <w:iCs/>
          <w:color w:val="000000" w:themeColor="text1"/>
          <w:sz w:val="20"/>
          <w:szCs w:val="24"/>
          <w:lang w:eastAsia="en-US"/>
        </w:rPr>
        <w:t>apoyo eficaces, eficientes, de calidad y orientados</w:t>
      </w:r>
      <w:proofErr w:type="gramEnd"/>
      <w:r w:rsidRPr="00CA682E">
        <w:rPr>
          <w:rFonts w:eastAsia="Times New Roman" w:cs="Times New Roman"/>
          <w:i/>
          <w:iCs/>
          <w:color w:val="000000" w:themeColor="text1"/>
          <w:sz w:val="20"/>
          <w:szCs w:val="24"/>
          <w:lang w:eastAsia="en-US"/>
        </w:rPr>
        <w:t xml:space="preserve"> al cliente, tanto a los clientes internos como a las partes interesadas externas.</w:t>
      </w: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r w:rsidRPr="00CA682E">
        <w:rPr>
          <w:rFonts w:eastAsia="Times New Roman" w:cs="Times New Roman"/>
          <w:bCs/>
          <w:color w:val="000000" w:themeColor="text1"/>
          <w:sz w:val="20"/>
          <w:szCs w:val="24"/>
          <w:lang w:eastAsia="en-US"/>
        </w:rPr>
        <w:t>OBJETIVOS, ALCANCE Y ENFOQUE</w:t>
      </w:r>
      <w:proofErr w:type="gramStart"/>
      <w:r w:rsidRPr="00CA682E">
        <w:rPr>
          <w:rFonts w:eastAsia="Times New Roman" w:cs="Times New Roman"/>
          <w:bCs/>
          <w:color w:val="000000" w:themeColor="text1"/>
          <w:sz w:val="20"/>
          <w:szCs w:val="24"/>
          <w:lang w:eastAsia="en-US"/>
        </w:rPr>
        <w:t>:  ANTECEDENTES</w:t>
      </w:r>
      <w:proofErr w:type="gramEnd"/>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numPr>
          <w:ilvl w:val="0"/>
          <w:numId w:val="127"/>
        </w:numPr>
        <w:tabs>
          <w:tab w:val="left" w:pos="567"/>
        </w:tabs>
        <w:spacing w:after="220"/>
        <w:ind w:left="0" w:firstLine="0"/>
        <w:jc w:val="both"/>
        <w:rPr>
          <w:color w:val="000000" w:themeColor="text1"/>
          <w:sz w:val="20"/>
        </w:rPr>
      </w:pPr>
      <w:r w:rsidRPr="00CA682E">
        <w:rPr>
          <w:color w:val="000000" w:themeColor="text1"/>
          <w:sz w:val="20"/>
        </w:rPr>
        <w:t>Este proyecto tiene dos objetivos</w:t>
      </w:r>
      <w:proofErr w:type="gramStart"/>
      <w:r w:rsidRPr="00CA682E">
        <w:rPr>
          <w:color w:val="000000" w:themeColor="text1"/>
          <w:sz w:val="20"/>
        </w:rPr>
        <w:t>:  i</w:t>
      </w:r>
      <w:proofErr w:type="gramEnd"/>
      <w:r w:rsidRPr="00CA682E">
        <w:rPr>
          <w:color w:val="000000" w:themeColor="text1"/>
          <w:sz w:val="20"/>
        </w:rPr>
        <w:t xml:space="preserve">) sustituir totalmente la instalación del sistema de refrigeración y calefacción en el falso techo de los pisos superiores del edificio PCT, y ii) realizar una importante renovación de los elementos estructurales de todas las fachadas de ese edificio (es decir, dejando de lado, por lo general, las ventanas).  En los últimos años, se ha determinado que ya no eran sostenibles las pequeñas reparaciones menores </w:t>
      </w:r>
      <w:r w:rsidRPr="00CA682E">
        <w:rPr>
          <w:i/>
          <w:color w:val="000000" w:themeColor="text1"/>
          <w:sz w:val="20"/>
        </w:rPr>
        <w:t>ad hoc</w:t>
      </w:r>
      <w:r w:rsidRPr="00CA682E">
        <w:rPr>
          <w:color w:val="000000" w:themeColor="text1"/>
          <w:sz w:val="20"/>
        </w:rPr>
        <w:t xml:space="preserve"> que se han hecho durante unos 10 años, para eventualidades como averías e imposibilidad de controlar la temperatura, demasiado alta o baja, en las oficinas.  Además, varios componentes de la instalación actual de refrigeración y calefacción ya no están disponibles en el comercio, al igual que los repuestos, lo que pondría en riesgo, a corto plazo, la viabilidad de toda la instalación de refrigeración y calefacción del edificio.  El desperdicio de energía causado por los sistemas e instalaciones defectuosos y por los elementos estructurales defectuosos de las fachadas es significativo y no hará más que aumentar año tras año.  En 2011, se realizó una auditoría técnica de la instalación de refrigeración y calefacción;  en el primer semestre de 2013 se realizó una auditoría técnica de las fachadas.</w:t>
      </w:r>
    </w:p>
    <w:p w:rsidR="00CA682E" w:rsidRPr="00CA682E" w:rsidRDefault="00CA682E" w:rsidP="00CA682E">
      <w:pPr>
        <w:numPr>
          <w:ilvl w:val="0"/>
          <w:numId w:val="127"/>
        </w:numPr>
        <w:tabs>
          <w:tab w:val="left" w:pos="567"/>
        </w:tabs>
        <w:spacing w:after="220"/>
        <w:ind w:left="0" w:firstLine="0"/>
        <w:jc w:val="both"/>
        <w:rPr>
          <w:color w:val="000000" w:themeColor="text1"/>
          <w:sz w:val="20"/>
        </w:rPr>
      </w:pPr>
      <w:r w:rsidRPr="00CA682E">
        <w:rPr>
          <w:color w:val="000000" w:themeColor="text1"/>
          <w:sz w:val="20"/>
        </w:rPr>
        <w:t xml:space="preserve">Los resultados previstos de la renovación son el pleno funcionamiento y la fiabilidad de la instalación de refrigeración y calefacción y de las fachadas, así como una significativa reducción del consumo de energía, poniendo fin al desperdicio actual.  </w:t>
      </w:r>
    </w:p>
    <w:p w:rsidR="00CA682E" w:rsidRPr="00CA682E" w:rsidRDefault="00CA682E" w:rsidP="00CA682E">
      <w:pPr>
        <w:numPr>
          <w:ilvl w:val="0"/>
          <w:numId w:val="127"/>
        </w:numPr>
        <w:tabs>
          <w:tab w:val="left" w:pos="567"/>
        </w:tabs>
        <w:ind w:left="0" w:firstLine="0"/>
        <w:jc w:val="both"/>
        <w:rPr>
          <w:bCs/>
          <w:color w:val="000000" w:themeColor="text1"/>
          <w:sz w:val="20"/>
        </w:rPr>
      </w:pPr>
      <w:r w:rsidRPr="00CA682E">
        <w:rPr>
          <w:color w:val="000000" w:themeColor="text1"/>
          <w:sz w:val="20"/>
        </w:rPr>
        <w:t>Los objetivos del proyecto son</w:t>
      </w:r>
      <w:proofErr w:type="gramStart"/>
      <w:r w:rsidRPr="00CA682E">
        <w:rPr>
          <w:color w:val="000000" w:themeColor="text1"/>
          <w:sz w:val="20"/>
        </w:rPr>
        <w:t>:  i</w:t>
      </w:r>
      <w:proofErr w:type="gramEnd"/>
      <w:r w:rsidRPr="00CA682E">
        <w:rPr>
          <w:color w:val="000000" w:themeColor="text1"/>
          <w:sz w:val="20"/>
        </w:rPr>
        <w:t xml:space="preserve">) reducir el desperdicio de energía (fachadas);  ii) reducir el consumo de energía (falso techo térmico y fachadas);  iii) mejorar las instalaciones técnicas para reducir la necesidad de mantenimiento (falso techo térmico y fachadas);  iv) mejorar la comodidad de los ocupantes;  v) utilizar </w:t>
      </w:r>
      <w:r w:rsidRPr="00CA682E">
        <w:rPr>
          <w:bCs/>
          <w:color w:val="000000" w:themeColor="text1"/>
          <w:sz w:val="20"/>
        </w:rPr>
        <w:t>tecnologías modernas y respetuosas del medio amiente;  y vi) modernizar las instalaciones para alargar sus ciclos de vida útil (falso techo térmico).</w:t>
      </w: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rPr>
          <w:rFonts w:eastAsia="Times New Roman" w:cs="Times New Roman"/>
          <w:bCs/>
          <w:color w:val="000000" w:themeColor="text1"/>
          <w:sz w:val="20"/>
          <w:szCs w:val="24"/>
          <w:lang w:eastAsia="en-US"/>
        </w:rPr>
      </w:pPr>
      <w:r w:rsidRPr="00CA682E">
        <w:rPr>
          <w:rFonts w:eastAsia="Times New Roman" w:cs="Times New Roman"/>
          <w:bCs/>
          <w:color w:val="000000" w:themeColor="text1"/>
          <w:sz w:val="20"/>
          <w:szCs w:val="24"/>
          <w:lang w:eastAsia="en-US"/>
        </w:rPr>
        <w:t>RESEÑA DE LOS AVANCES LOGRADOS EN 2015 (ETAPAS FUNDAMENTALES)</w:t>
      </w:r>
    </w:p>
    <w:p w:rsidR="00CA682E" w:rsidRPr="00CA682E" w:rsidRDefault="00CA682E" w:rsidP="00CA682E">
      <w:pPr>
        <w:rPr>
          <w:rFonts w:eastAsia="Times New Roman" w:cs="Times New Roman"/>
          <w:bCs/>
          <w:color w:val="000000" w:themeColor="text1"/>
          <w:sz w:val="20"/>
          <w:szCs w:val="24"/>
          <w:lang w:eastAsia="en-US"/>
        </w:rPr>
      </w:pPr>
    </w:p>
    <w:p w:rsidR="00CA682E" w:rsidRPr="00CA682E" w:rsidRDefault="00CA682E" w:rsidP="00CA682E">
      <w:pPr>
        <w:numPr>
          <w:ilvl w:val="0"/>
          <w:numId w:val="127"/>
        </w:numPr>
        <w:tabs>
          <w:tab w:val="left" w:pos="567"/>
        </w:tabs>
        <w:spacing w:after="220"/>
        <w:ind w:left="0" w:firstLine="0"/>
        <w:jc w:val="both"/>
        <w:rPr>
          <w:bCs/>
          <w:color w:val="000000" w:themeColor="text1"/>
          <w:sz w:val="20"/>
        </w:rPr>
      </w:pPr>
      <w:r w:rsidRPr="00CA682E">
        <w:rPr>
          <w:bCs/>
          <w:color w:val="000000" w:themeColor="text1"/>
          <w:sz w:val="20"/>
        </w:rPr>
        <w:t>En 2014, se realizaron los avances siguientes:</w:t>
      </w: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redacción y publicación de la convocatoria a presentar expresiones de interés para el piloto/arquitecto;</w:t>
      </w: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finalización de la preselección de candidatos y evaluación de la convocatoria a presentar expresiones de interés para el mandato del piloto/arquitecto;  y</w:t>
      </w: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redacción de las especificaciones técnicas del llamado a licitación para el piloto/arquitecto.</w:t>
      </w:r>
    </w:p>
    <w:p w:rsidR="00CA682E" w:rsidRPr="00CA682E" w:rsidRDefault="00CA682E" w:rsidP="00CA682E">
      <w:pPr>
        <w:shd w:val="clear" w:color="auto" w:fill="FFFFFF" w:themeFill="background1"/>
        <w:ind w:left="720"/>
        <w:rPr>
          <w:rFonts w:eastAsia="Times New Roman" w:cs="Times New Roman"/>
          <w:bCs/>
          <w:color w:val="000000" w:themeColor="text1"/>
          <w:sz w:val="20"/>
          <w:lang w:eastAsia="en-US"/>
        </w:rPr>
      </w:pPr>
    </w:p>
    <w:p w:rsidR="00CA682E" w:rsidRPr="00CA682E" w:rsidRDefault="00CA682E" w:rsidP="00CA682E">
      <w:pPr>
        <w:numPr>
          <w:ilvl w:val="0"/>
          <w:numId w:val="127"/>
        </w:numPr>
        <w:tabs>
          <w:tab w:val="left" w:pos="567"/>
        </w:tabs>
        <w:spacing w:after="220"/>
        <w:ind w:left="0" w:firstLine="0"/>
        <w:jc w:val="both"/>
        <w:rPr>
          <w:rFonts w:eastAsiaTheme="minorHAnsi"/>
          <w:color w:val="000000" w:themeColor="text1"/>
          <w:sz w:val="20"/>
        </w:rPr>
      </w:pPr>
      <w:r w:rsidRPr="00CA682E">
        <w:rPr>
          <w:bCs/>
          <w:color w:val="000000" w:themeColor="text1"/>
          <w:sz w:val="20"/>
        </w:rPr>
        <w:t>Debido a la demora en la finalización (desde comienzos de 2014 hasta septiembre del mismo año) de la nueva sala de conferencias de la OMPI, el inicio del proyecto se pospuso de nueve meses en relación con el plan original.  El calendario del proyecto se extendió hasta 2018.</w:t>
      </w:r>
    </w:p>
    <w:p w:rsidR="00CA682E" w:rsidRPr="00CA682E" w:rsidRDefault="00CA682E" w:rsidP="00CA682E">
      <w:pPr>
        <w:numPr>
          <w:ilvl w:val="0"/>
          <w:numId w:val="127"/>
        </w:numPr>
        <w:tabs>
          <w:tab w:val="left" w:pos="567"/>
        </w:tabs>
        <w:spacing w:after="220"/>
        <w:ind w:left="0" w:firstLine="0"/>
        <w:jc w:val="both"/>
        <w:rPr>
          <w:rFonts w:eastAsiaTheme="minorHAnsi"/>
          <w:color w:val="000000" w:themeColor="text1"/>
          <w:sz w:val="20"/>
        </w:rPr>
      </w:pPr>
      <w:r w:rsidRPr="00CA682E">
        <w:rPr>
          <w:rFonts w:eastAsiaTheme="minorHAnsi"/>
          <w:color w:val="000000" w:themeColor="text1"/>
          <w:sz w:val="20"/>
        </w:rPr>
        <w:t>En 2015, se realizaron los avances siguientes:</w:t>
      </w:r>
    </w:p>
    <w:p w:rsidR="00CA682E" w:rsidRPr="00CA682E" w:rsidRDefault="00022991"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licitación </w:t>
      </w:r>
      <w:r w:rsidR="00CA682E" w:rsidRPr="00CA682E">
        <w:rPr>
          <w:rFonts w:eastAsia="Times New Roman" w:cs="Times New Roman"/>
          <w:bCs/>
          <w:color w:val="000000" w:themeColor="text1"/>
          <w:sz w:val="20"/>
          <w:lang w:eastAsia="en-US"/>
        </w:rPr>
        <w:t>relativa al piloto/arquitecto;</w:t>
      </w:r>
    </w:p>
    <w:p w:rsidR="00CA682E" w:rsidRPr="00CA682E" w:rsidRDefault="00022991"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lastRenderedPageBreak/>
        <w:t xml:space="preserve">adjudicación </w:t>
      </w:r>
      <w:r w:rsidR="00CA682E" w:rsidRPr="00CA682E">
        <w:rPr>
          <w:rFonts w:eastAsia="Times New Roman" w:cs="Times New Roman"/>
          <w:bCs/>
          <w:color w:val="000000" w:themeColor="text1"/>
          <w:sz w:val="20"/>
          <w:lang w:eastAsia="en-US"/>
        </w:rPr>
        <w:t>del contrato al piloto /arquitecto en diciembre de 2015, que sufrió un retraso respecto de la fecha prevista originalmente en el calendario, segundo trimestre de 2015, debido a la finalización del proyecto de construcción de la nueva sala de conferencias;</w:t>
      </w:r>
    </w:p>
    <w:p w:rsidR="00CA682E" w:rsidRPr="00CA682E" w:rsidRDefault="00022991"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preparación </w:t>
      </w:r>
      <w:r w:rsidR="00CA682E" w:rsidRPr="00CA682E">
        <w:rPr>
          <w:rFonts w:eastAsia="Times New Roman" w:cs="Times New Roman"/>
          <w:bCs/>
          <w:color w:val="000000" w:themeColor="text1"/>
          <w:sz w:val="20"/>
          <w:lang w:eastAsia="en-US"/>
        </w:rPr>
        <w:t>de las especificaciones preliminares para los ingenieros de calefacción, ventilación y aire acondicionado;  y</w:t>
      </w:r>
    </w:p>
    <w:p w:rsidR="00CA682E" w:rsidRPr="00CA682E" w:rsidRDefault="00022991" w:rsidP="00CA682E">
      <w:pPr>
        <w:numPr>
          <w:ilvl w:val="0"/>
          <w:numId w:val="136"/>
        </w:numPr>
        <w:autoSpaceDE w:val="0"/>
        <w:autoSpaceDN w:val="0"/>
        <w:adjustRightInd w:val="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inicio </w:t>
      </w:r>
      <w:r w:rsidR="00CA682E" w:rsidRPr="00CA682E">
        <w:rPr>
          <w:rFonts w:eastAsia="Times New Roman" w:cs="Times New Roman"/>
          <w:bCs/>
          <w:color w:val="000000" w:themeColor="text1"/>
          <w:sz w:val="20"/>
          <w:lang w:eastAsia="en-US"/>
        </w:rPr>
        <w:t>del proceso de licitación de los ingenieros en climatización y de fachadas.   Con el fin de que el piloto/arquitecto participen plenamente en este proceso</w:t>
      </w:r>
      <w:r w:rsidR="00CA682E" w:rsidRPr="00CA682E">
        <w:rPr>
          <w:rFonts w:eastAsia="Times New Roman" w:cs="Times New Roman"/>
          <w:bCs/>
          <w:color w:val="000000" w:themeColor="text1"/>
          <w:sz w:val="20"/>
          <w:lang w:eastAsia="en-US"/>
        </w:rPr>
        <w:footnoteReference w:id="175"/>
      </w:r>
      <w:r w:rsidR="00CA682E" w:rsidRPr="00CA682E">
        <w:rPr>
          <w:rFonts w:eastAsia="Times New Roman" w:cs="Times New Roman"/>
          <w:bCs/>
          <w:color w:val="000000" w:themeColor="text1"/>
          <w:sz w:val="20"/>
          <w:lang w:eastAsia="en-US"/>
        </w:rPr>
        <w:t>, se pospuso la finalización del plazo relativo a la licitación.</w:t>
      </w:r>
    </w:p>
    <w:p w:rsidR="00CA682E" w:rsidRPr="00CA682E" w:rsidRDefault="00CA682E" w:rsidP="00CA682E">
      <w:pPr>
        <w:autoSpaceDE w:val="0"/>
        <w:autoSpaceDN w:val="0"/>
        <w:adjustRightInd w:val="0"/>
        <w:ind w:left="1134"/>
        <w:rPr>
          <w:rFonts w:eastAsia="Times New Roman" w:cs="Times New Roman"/>
          <w:bCs/>
          <w:color w:val="000000" w:themeColor="text1"/>
          <w:sz w:val="20"/>
          <w:lang w:eastAsia="en-US"/>
        </w:rPr>
      </w:pPr>
    </w:p>
    <w:p w:rsidR="00CA682E" w:rsidRPr="00CA682E" w:rsidRDefault="00CA682E" w:rsidP="00CA682E">
      <w:pPr>
        <w:numPr>
          <w:ilvl w:val="0"/>
          <w:numId w:val="127"/>
        </w:numPr>
        <w:tabs>
          <w:tab w:val="left" w:pos="567"/>
        </w:tabs>
        <w:ind w:left="0" w:firstLine="0"/>
        <w:jc w:val="both"/>
        <w:rPr>
          <w:color w:val="000000" w:themeColor="text1"/>
          <w:sz w:val="20"/>
        </w:rPr>
      </w:pPr>
      <w:r w:rsidRPr="00CA682E">
        <w:rPr>
          <w:color w:val="000000" w:themeColor="text1"/>
          <w:sz w:val="20"/>
        </w:rPr>
        <w:t>Se ha vuelto a actualizar el calendario del proyecto para reflejar los cambios de planes anteriormente mencionados.</w:t>
      </w:r>
    </w:p>
    <w:p w:rsidR="00CA682E" w:rsidRPr="00CA682E" w:rsidRDefault="00CA682E" w:rsidP="00CA682E">
      <w:pPr>
        <w:keepNext/>
        <w:keepLines/>
        <w:rPr>
          <w:rFonts w:eastAsia="Times New Roman" w:cs="Times New Roman"/>
          <w:bCs/>
          <w:color w:val="000000" w:themeColor="text1"/>
          <w:sz w:val="18"/>
          <w:lang w:eastAsia="en-US"/>
        </w:rPr>
      </w:pPr>
    </w:p>
    <w:p w:rsidR="00CA682E" w:rsidRPr="00CA682E" w:rsidRDefault="00CA682E" w:rsidP="00CA682E">
      <w:pPr>
        <w:keepNext/>
        <w:keepLines/>
        <w:rPr>
          <w:rFonts w:eastAsia="Times New Roman" w:cs="Times New Roman"/>
          <w:bCs/>
          <w:color w:val="000000" w:themeColor="text1"/>
          <w:sz w:val="18"/>
          <w:lang w:eastAsia="en-US"/>
        </w:rPr>
      </w:pPr>
    </w:p>
    <w:p w:rsidR="00CA682E" w:rsidRPr="00CA682E" w:rsidRDefault="00CA682E" w:rsidP="00CA682E">
      <w:pPr>
        <w:keepNext/>
        <w:keepLines/>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OBTENCIÓN DE BENEFICIOS</w:t>
      </w:r>
    </w:p>
    <w:p w:rsidR="00CA682E" w:rsidRPr="00CA682E" w:rsidRDefault="00CA682E" w:rsidP="00CA682E">
      <w:pPr>
        <w:keepNext/>
        <w:keepLines/>
        <w:rPr>
          <w:rFonts w:eastAsia="Times New Roman" w:cs="Times New Roman"/>
          <w:color w:val="000000" w:themeColor="text1"/>
          <w:sz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5105"/>
      </w:tblGrid>
      <w:tr w:rsidR="00CA682E" w:rsidRPr="00CA682E" w:rsidTr="007B1DE4">
        <w:trPr>
          <w:trHeight w:val="552"/>
          <w:tblHeader/>
          <w:jc w:val="center"/>
        </w:trPr>
        <w:tc>
          <w:tcPr>
            <w:tcW w:w="3973" w:type="dxa"/>
            <w:shd w:val="clear" w:color="auto" w:fill="C6D9F1" w:themeFill="text2" w:themeFillTint="33"/>
            <w:vAlign w:val="center"/>
          </w:tcPr>
          <w:p w:rsidR="00CA682E" w:rsidRPr="00CA682E" w:rsidRDefault="00CA682E" w:rsidP="00CA682E">
            <w:pPr>
              <w:keepNext/>
              <w:keepLines/>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2017</w:t>
            </w:r>
          </w:p>
        </w:tc>
        <w:tc>
          <w:tcPr>
            <w:tcW w:w="5105" w:type="dxa"/>
            <w:shd w:val="clear" w:color="auto" w:fill="C6D9F1" w:themeFill="text2" w:themeFillTint="33"/>
            <w:vAlign w:val="center"/>
          </w:tcPr>
          <w:p w:rsidR="00CA682E" w:rsidRPr="00CA682E" w:rsidRDefault="00CA682E" w:rsidP="00CA682E">
            <w:pPr>
              <w:keepNext/>
              <w:keepLines/>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2018</w:t>
            </w:r>
          </w:p>
        </w:tc>
      </w:tr>
      <w:tr w:rsidR="00CA682E" w:rsidRPr="00CA682E" w:rsidTr="007B1DE4">
        <w:trPr>
          <w:trHeight w:val="417"/>
          <w:jc w:val="center"/>
        </w:trPr>
        <w:tc>
          <w:tcPr>
            <w:tcW w:w="3973" w:type="dxa"/>
            <w:shd w:val="clear" w:color="auto" w:fill="auto"/>
            <w:vAlign w:val="center"/>
          </w:tcPr>
          <w:p w:rsidR="00CA682E" w:rsidRPr="00CA682E" w:rsidRDefault="00CA682E" w:rsidP="00CA682E">
            <w:pPr>
              <w:keepNext/>
              <w:keepLines/>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Mejoras parciales en las instalaciones técnicas</w:t>
            </w:r>
          </w:p>
        </w:tc>
        <w:tc>
          <w:tcPr>
            <w:tcW w:w="5105" w:type="dxa"/>
            <w:shd w:val="clear" w:color="auto" w:fill="auto"/>
            <w:vAlign w:val="center"/>
          </w:tcPr>
          <w:p w:rsidR="00CA682E" w:rsidRPr="00CA682E" w:rsidRDefault="00CA682E" w:rsidP="00CA682E">
            <w:pPr>
              <w:keepNext/>
              <w:keepLines/>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 total de las instalaciones técnicas</w:t>
            </w:r>
          </w:p>
        </w:tc>
      </w:tr>
      <w:tr w:rsidR="00CA682E" w:rsidRPr="00CA682E" w:rsidTr="007B1DE4">
        <w:trPr>
          <w:trHeight w:val="423"/>
          <w:jc w:val="center"/>
        </w:trPr>
        <w:tc>
          <w:tcPr>
            <w:tcW w:w="3973" w:type="dxa"/>
            <w:shd w:val="clear" w:color="auto" w:fill="auto"/>
            <w:vAlign w:val="center"/>
          </w:tcPr>
          <w:p w:rsidR="00CA682E" w:rsidRPr="00CA682E" w:rsidRDefault="00CA682E" w:rsidP="00CA682E">
            <w:pPr>
              <w:keepNext/>
              <w:keepLines/>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 parcial de la comodidad de los ocupantes</w:t>
            </w:r>
          </w:p>
        </w:tc>
        <w:tc>
          <w:tcPr>
            <w:tcW w:w="5105" w:type="dxa"/>
            <w:shd w:val="clear" w:color="auto" w:fill="auto"/>
            <w:vAlign w:val="center"/>
          </w:tcPr>
          <w:p w:rsidR="00CA682E" w:rsidRPr="00CA682E" w:rsidRDefault="00CA682E" w:rsidP="00CA682E">
            <w:pPr>
              <w:keepNext/>
              <w:keepLines/>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 total de la comodidad de los ocupantes</w:t>
            </w:r>
          </w:p>
        </w:tc>
      </w:tr>
      <w:tr w:rsidR="00CA682E" w:rsidRPr="00CA682E" w:rsidTr="007B1DE4">
        <w:trPr>
          <w:trHeight w:val="416"/>
          <w:jc w:val="center"/>
        </w:trPr>
        <w:tc>
          <w:tcPr>
            <w:tcW w:w="3973"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p>
        </w:tc>
        <w:tc>
          <w:tcPr>
            <w:tcW w:w="5105"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parcial del desperdicio de energía gracias a la mejora de las fachadas</w:t>
            </w:r>
          </w:p>
        </w:tc>
      </w:tr>
      <w:tr w:rsidR="00CA682E" w:rsidRPr="00CA682E" w:rsidTr="007B1DE4">
        <w:trPr>
          <w:trHeight w:val="552"/>
          <w:jc w:val="center"/>
        </w:trPr>
        <w:tc>
          <w:tcPr>
            <w:tcW w:w="3973"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p>
        </w:tc>
        <w:tc>
          <w:tcPr>
            <w:tcW w:w="5105"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parcial del consumo de energía gracias al nuevo falso techo térmico</w:t>
            </w:r>
          </w:p>
        </w:tc>
      </w:tr>
      <w:tr w:rsidR="00CA682E" w:rsidRPr="00CA682E" w:rsidTr="007B1DE4">
        <w:trPr>
          <w:trHeight w:val="427"/>
          <w:jc w:val="center"/>
        </w:trPr>
        <w:tc>
          <w:tcPr>
            <w:tcW w:w="3973" w:type="dxa"/>
            <w:shd w:val="clear" w:color="auto" w:fill="auto"/>
            <w:vAlign w:val="center"/>
          </w:tcPr>
          <w:p w:rsidR="00CA682E" w:rsidRPr="00CA682E" w:rsidRDefault="00CA682E" w:rsidP="00CA682E">
            <w:pPr>
              <w:rPr>
                <w:rFonts w:eastAsia="Times New Roman" w:cs="Times New Roman"/>
                <w:b/>
                <w:bCs/>
                <w:i/>
                <w:iCs/>
                <w:color w:val="000000" w:themeColor="text1"/>
                <w:sz w:val="16"/>
                <w:szCs w:val="16"/>
                <w:lang w:eastAsia="en-US"/>
              </w:rPr>
            </w:pPr>
          </w:p>
        </w:tc>
        <w:tc>
          <w:tcPr>
            <w:tcW w:w="5105"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Aumento del ciclo de vida útil del nuevo falso techo térmico</w:t>
            </w:r>
          </w:p>
        </w:tc>
      </w:tr>
      <w:tr w:rsidR="00CA682E" w:rsidRPr="00CA682E" w:rsidTr="007B1DE4">
        <w:trPr>
          <w:trHeight w:val="552"/>
          <w:jc w:val="center"/>
        </w:trPr>
        <w:tc>
          <w:tcPr>
            <w:tcW w:w="3973" w:type="dxa"/>
            <w:shd w:val="clear" w:color="auto" w:fill="auto"/>
            <w:vAlign w:val="center"/>
          </w:tcPr>
          <w:p w:rsidR="00CA682E" w:rsidRPr="00CA682E" w:rsidRDefault="00CA682E" w:rsidP="00CA682E">
            <w:pPr>
              <w:rPr>
                <w:rFonts w:eastAsia="Times New Roman" w:cs="Times New Roman"/>
                <w:b/>
                <w:bCs/>
                <w:i/>
                <w:iCs/>
                <w:color w:val="000000" w:themeColor="text1"/>
                <w:sz w:val="16"/>
                <w:szCs w:val="16"/>
                <w:lang w:eastAsia="en-US"/>
              </w:rPr>
            </w:pPr>
          </w:p>
        </w:tc>
        <w:tc>
          <w:tcPr>
            <w:tcW w:w="5105" w:type="dxa"/>
            <w:shd w:val="clear" w:color="auto" w:fill="auto"/>
            <w:vAlign w:val="center"/>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de los costos de mantenimiento correctivo gracias al nuevo falso techo térmico</w:t>
            </w:r>
          </w:p>
        </w:tc>
      </w:tr>
    </w:tbl>
    <w:p w:rsidR="00CA682E" w:rsidRPr="00CA682E" w:rsidRDefault="00CA682E" w:rsidP="00CA682E">
      <w:pPr>
        <w:rPr>
          <w:rFonts w:eastAsia="Times New Roman" w:cs="Times New Roman"/>
          <w:b/>
          <w:color w:val="000000" w:themeColor="text1"/>
          <w:sz w:val="18"/>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UTILIZACIÓN DE LOS RECURSOS</w:t>
      </w:r>
      <w:r w:rsidRPr="00CA682E">
        <w:rPr>
          <w:rFonts w:eastAsia="Times New Roman"/>
          <w:color w:val="000000" w:themeColor="text1"/>
          <w:sz w:val="20"/>
          <w:vertAlign w:val="superscript"/>
          <w:lang w:eastAsia="en-US"/>
        </w:rPr>
        <w:footnoteReference w:id="176"/>
      </w:r>
    </w:p>
    <w:p w:rsidR="00CA682E" w:rsidRPr="00CA682E" w:rsidRDefault="00CA682E" w:rsidP="00CA682E">
      <w:pPr>
        <w:rPr>
          <w:rFonts w:eastAsia="Times New Roman"/>
          <w:color w:val="000000" w:themeColor="text1"/>
          <w:sz w:val="20"/>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 xml:space="preserve">Utilización del presupuesto del proyecto </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A682E" w:rsidRPr="00CA682E" w:rsidTr="007B1DE4">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b/>
                <w:bCs/>
                <w:color w:val="000000" w:themeColor="text1"/>
                <w:sz w:val="16"/>
                <w:szCs w:val="16"/>
                <w:lang w:eastAsia="en-US"/>
              </w:rPr>
              <w:t>Renovación de las fachadas e instalación de refrigeración/calefacción en el edificio PCT (PMM 3)</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6.000.000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83.651</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w:t>
            </w:r>
          </w:p>
        </w:tc>
      </w:tr>
    </w:tbl>
    <w:p w:rsidR="00CA682E" w:rsidRPr="00CA682E" w:rsidRDefault="00CA682E" w:rsidP="00CA682E">
      <w:pPr>
        <w:rPr>
          <w:rFonts w:eastAsia="Times New Roman" w:cs="Times New Roman"/>
          <w:b/>
          <w:color w:val="000000" w:themeColor="text1"/>
          <w:sz w:val="20"/>
          <w:szCs w:val="22"/>
          <w:lang w:eastAsia="en-US"/>
        </w:rPr>
      </w:pPr>
    </w:p>
    <w:p w:rsidR="00CA682E" w:rsidRPr="00CA682E" w:rsidRDefault="00CA682E" w:rsidP="00CA682E">
      <w:pPr>
        <w:spacing w:after="200" w:line="276" w:lineRule="auto"/>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br w:type="page"/>
      </w:r>
    </w:p>
    <w:p w:rsidR="00CA682E" w:rsidRPr="00CA682E" w:rsidRDefault="00CA682E" w:rsidP="00CA682E">
      <w:pP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1575"/>
        <w:gridCol w:w="1575"/>
        <w:gridCol w:w="1575"/>
        <w:gridCol w:w="1575"/>
      </w:tblGrid>
      <w:tr w:rsidR="00CA682E" w:rsidRPr="00CA682E" w:rsidTr="007B1DE4">
        <w:trPr>
          <w:trHeight w:val="410"/>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Etapas fundamentales</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al piloto/arquitecto</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124.000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 contratos a los agentes</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900.000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Compromiso de recursos, internos y externos</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867.000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83.651</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9,6%</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15%</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Obra y puesta en servicio</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4.109.000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5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6.000.000</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83.651</w:t>
            </w: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p>
        </w:tc>
        <w:tc>
          <w:tcPr>
            <w:tcW w:w="85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A682E" w:rsidRPr="00CA682E" w:rsidTr="007B1DE4">
        <w:trPr>
          <w:trHeight w:val="569"/>
        </w:trPr>
        <w:tc>
          <w:tcPr>
            <w:tcW w:w="17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Gasto real hasta la fecha </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Costos relacionados con las obras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3.569.000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Honorarios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1.024.000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Recursos internos/externos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867.000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83.651</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9,6%</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Tasas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120.000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Diversos e imprevistos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420.000</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6.000.000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83.651</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RIESGOS Y ESTRATEGIAS DE MITIGACIÓN</w:t>
      </w:r>
    </w:p>
    <w:p w:rsidR="00CA682E" w:rsidRPr="00CA682E" w:rsidRDefault="00CA682E" w:rsidP="00CA682E">
      <w:pPr>
        <w:rPr>
          <w:rFonts w:eastAsia="Times New Roman"/>
          <w:color w:val="000000" w:themeColor="text1"/>
          <w:sz w:val="20"/>
          <w:szCs w:val="22"/>
          <w:lang w:eastAsia="en-US"/>
        </w:rPr>
      </w:pPr>
    </w:p>
    <w:tbl>
      <w:tblPr>
        <w:tblW w:w="4858" w:type="pct"/>
        <w:jc w:val="center"/>
        <w:tblInd w:w="-1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59"/>
        <w:gridCol w:w="3145"/>
      </w:tblGrid>
      <w:tr w:rsidR="00CA682E" w:rsidRPr="00CA682E" w:rsidTr="007B1DE4">
        <w:trPr>
          <w:trHeight w:val="507"/>
          <w:tblHeader/>
          <w:jc w:val="center"/>
        </w:trPr>
        <w:tc>
          <w:tcPr>
            <w:tcW w:w="1664"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iCs/>
                <w:color w:val="000000" w:themeColor="text1"/>
                <w:sz w:val="18"/>
                <w:szCs w:val="18"/>
                <w:lang w:eastAsia="en-US"/>
              </w:rPr>
              <w:t>Riesgo /Descripción del riesgo</w:t>
            </w:r>
            <w:r w:rsidRPr="00CA682E" w:rsidDel="009F2067">
              <w:rPr>
                <w:rFonts w:eastAsia="Times New Roman" w:cs="Times New Roman"/>
                <w:b/>
                <w:bCs/>
                <w:color w:val="000000" w:themeColor="text1"/>
                <w:sz w:val="16"/>
                <w:szCs w:val="16"/>
                <w:lang w:eastAsia="en-US"/>
              </w:rPr>
              <w:t xml:space="preserve"> </w:t>
            </w:r>
          </w:p>
        </w:tc>
        <w:tc>
          <w:tcPr>
            <w:tcW w:w="1645"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iCs/>
                <w:color w:val="000000" w:themeColor="text1"/>
                <w:sz w:val="18"/>
                <w:szCs w:val="18"/>
                <w:lang w:eastAsia="en-US"/>
              </w:rPr>
              <w:t xml:space="preserve">Mitigación del riesgo </w:t>
            </w:r>
          </w:p>
        </w:tc>
        <w:tc>
          <w:tcPr>
            <w:tcW w:w="1691" w:type="pct"/>
            <w:shd w:val="clear" w:color="auto" w:fill="C6D9F1" w:themeFill="text2" w:themeFillTint="33"/>
          </w:tcPr>
          <w:p w:rsidR="00CA682E" w:rsidRPr="00CA682E" w:rsidDel="005B0FC6" w:rsidRDefault="00CA682E" w:rsidP="00CA682E">
            <w:pPr>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iCs/>
                <w:color w:val="000000" w:themeColor="text1"/>
                <w:sz w:val="18"/>
                <w:szCs w:val="18"/>
                <w:lang w:eastAsia="en-US"/>
              </w:rPr>
              <w:t xml:space="preserve">Comentario </w:t>
            </w:r>
          </w:p>
        </w:tc>
      </w:tr>
      <w:tr w:rsidR="00CA682E" w:rsidRPr="00CA682E" w:rsidTr="007B1DE4">
        <w:trPr>
          <w:trHeight w:val="776"/>
          <w:jc w:val="center"/>
        </w:trPr>
        <w:tc>
          <w:tcPr>
            <w:tcW w:w="1664"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de hasta un año en el comienzo del proyecto debido al retraso en la finalización de la nueva sala de conferencias de la OMPI</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45"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Modificar el calendario general del proyecto</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9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El riesgo se materializó en 2014.  El calendario general del proyecto fue alargado nueve meses en relación con el plan original.  Se alargó el plazo para el proyecto hasta 2018, conforme a la medida prevista para mitigar el riesgo.  No hubo incidencia tangible en los aportes concretos del proyecto.</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p w:rsidR="00CA682E" w:rsidRPr="00CA682E" w:rsidDel="005B0FC6" w:rsidRDefault="00CA682E" w:rsidP="00CA682E">
            <w:pPr>
              <w:keepNext/>
              <w:autoSpaceDE w:val="0"/>
              <w:autoSpaceDN w:val="0"/>
              <w:adjustRightInd w:val="0"/>
              <w:spacing w:before="40" w:after="40"/>
              <w:outlineLvl w:val="3"/>
              <w:rPr>
                <w:rFonts w:eastAsia="Times New Roman" w:cs="Times New Roman"/>
                <w:b/>
                <w:bCs/>
                <w:color w:val="000000" w:themeColor="text1"/>
                <w:sz w:val="16"/>
                <w:szCs w:val="16"/>
                <w:lang w:eastAsia="en-US"/>
              </w:rPr>
            </w:pPr>
            <w:r w:rsidRPr="00CA682E">
              <w:rPr>
                <w:rFonts w:eastAsia="Times New Roman" w:cs="Times New Roman"/>
                <w:i/>
                <w:color w:val="000000" w:themeColor="text1"/>
                <w:sz w:val="16"/>
                <w:szCs w:val="16"/>
                <w:lang w:eastAsia="en-US"/>
              </w:rPr>
              <w:t>Ese riesgo se ha dado por concluido.</w:t>
            </w:r>
          </w:p>
        </w:tc>
      </w:tr>
      <w:tr w:rsidR="00CA682E" w:rsidRPr="00CA682E" w:rsidTr="007B1DE4">
        <w:trPr>
          <w:trHeight w:val="776"/>
          <w:jc w:val="center"/>
        </w:trPr>
        <w:tc>
          <w:tcPr>
            <w:tcW w:w="1664"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en el inicio de las obras al depender del tiempo necesario para elegir la solución técnica</w:t>
            </w:r>
          </w:p>
        </w:tc>
        <w:tc>
          <w:tcPr>
            <w:tcW w:w="1645"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Modificar el calendario de las obras</w:t>
            </w:r>
            <w:r w:rsidRPr="00CA682E" w:rsidDel="005B0FC6">
              <w:rPr>
                <w:rFonts w:eastAsia="Times New Roman" w:cs="Times New Roman"/>
                <w:color w:val="000000" w:themeColor="text1"/>
                <w:sz w:val="16"/>
                <w:szCs w:val="16"/>
                <w:lang w:eastAsia="en-US"/>
              </w:rPr>
              <w:t xml:space="preserve"> </w:t>
            </w:r>
          </w:p>
        </w:tc>
        <w:tc>
          <w:tcPr>
            <w:tcW w:w="169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Dado que la finalización del proyecto relativo a la nueva sala de conferencias tardó más de lo previsto el plazo del proyecto sufrió todavía más demoras, estimándose el inicio de las obras en el tercer trimestre de 2017 y no en el primer trimestre de ese año, como se había informado anteriormente.  No hubo incidencia en los aportes concretos</w:t>
            </w:r>
          </w:p>
        </w:tc>
      </w:tr>
      <w:tr w:rsidR="00CA682E" w:rsidRPr="00CA682E" w:rsidTr="007B1DE4">
        <w:trPr>
          <w:trHeight w:val="639"/>
          <w:jc w:val="center"/>
        </w:trPr>
        <w:tc>
          <w:tcPr>
            <w:tcW w:w="1664" w:type="pct"/>
            <w:shd w:val="clear" w:color="auto" w:fill="auto"/>
          </w:tcPr>
          <w:p w:rsidR="00CA682E" w:rsidRPr="00CA682E" w:rsidRDefault="00CA682E" w:rsidP="00CA682E">
            <w:pPr>
              <w:autoSpaceDE w:val="0"/>
              <w:autoSpaceDN w:val="0"/>
              <w:adjustRightInd w:val="0"/>
              <w:spacing w:before="40" w:after="40"/>
              <w:rPr>
                <w:rFonts w:eastAsia="Times New Roman" w:cs="Times New Roman"/>
                <w:b/>
                <w:bCs/>
                <w:color w:val="000000" w:themeColor="text1"/>
                <w:sz w:val="16"/>
                <w:szCs w:val="16"/>
                <w:lang w:eastAsia="en-US"/>
              </w:rPr>
            </w:pPr>
            <w:r w:rsidRPr="00CA682E">
              <w:rPr>
                <w:rFonts w:eastAsia="Times New Roman" w:cs="Times New Roman"/>
                <w:color w:val="000000" w:themeColor="text1"/>
                <w:sz w:val="16"/>
                <w:szCs w:val="16"/>
                <w:lang w:eastAsia="en-US"/>
              </w:rPr>
              <w:t>Demora en la puesta en servicio de la renovación  debido a la solución técnica elegida y/o la logística interna de redistribución de oficinas</w:t>
            </w:r>
          </w:p>
        </w:tc>
        <w:tc>
          <w:tcPr>
            <w:tcW w:w="1645" w:type="pct"/>
            <w:shd w:val="clear" w:color="auto" w:fill="auto"/>
          </w:tcPr>
          <w:p w:rsidR="00CA682E" w:rsidRPr="00CA682E" w:rsidRDefault="00CA682E" w:rsidP="00CA682E">
            <w:pPr>
              <w:numPr>
                <w:ilvl w:val="0"/>
                <w:numId w:val="137"/>
              </w:num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Evaluar la elección de la solución técnica</w:t>
            </w:r>
          </w:p>
          <w:p w:rsidR="00CA682E" w:rsidRPr="00CA682E" w:rsidRDefault="00CA682E" w:rsidP="00CA682E">
            <w:pPr>
              <w:numPr>
                <w:ilvl w:val="0"/>
                <w:numId w:val="137"/>
              </w:num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Evaluar la posibilidad de acortar el calendario</w:t>
            </w:r>
          </w:p>
          <w:p w:rsidR="00CA682E" w:rsidRPr="00CA682E" w:rsidRDefault="00CA682E" w:rsidP="00CA682E">
            <w:pPr>
              <w:numPr>
                <w:ilvl w:val="0"/>
                <w:numId w:val="137"/>
              </w:num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Planificar con el PCT, el Departamento de Tecnologías de la Información y las </w:t>
            </w:r>
            <w:r w:rsidRPr="00CA682E">
              <w:rPr>
                <w:rFonts w:eastAsia="Times New Roman" w:cs="Times New Roman"/>
                <w:color w:val="000000" w:themeColor="text1"/>
                <w:sz w:val="16"/>
                <w:szCs w:val="16"/>
                <w:lang w:eastAsia="en-US"/>
              </w:rPr>
              <w:lastRenderedPageBreak/>
              <w:t>Comunicaciones (TIC) y el Servicio de Coordinación en materia de Seguridad y Vigilancia</w:t>
            </w:r>
          </w:p>
        </w:tc>
        <w:tc>
          <w:tcPr>
            <w:tcW w:w="169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664" w:type="pct"/>
            <w:shd w:val="clear" w:color="auto" w:fill="auto"/>
          </w:tcPr>
          <w:p w:rsidR="00CA682E" w:rsidRPr="00CA682E" w:rsidRDefault="00CA682E" w:rsidP="00CA682E">
            <w:pPr>
              <w:autoSpaceDE w:val="0"/>
              <w:autoSpaceDN w:val="0"/>
              <w:adjustRightInd w:val="0"/>
              <w:spacing w:before="40" w:after="40"/>
              <w:rPr>
                <w:rFonts w:eastAsia="Times New Roman" w:cs="Times New Roman"/>
                <w:b/>
                <w:bCs/>
                <w:color w:val="000000" w:themeColor="text1"/>
                <w:sz w:val="16"/>
                <w:szCs w:val="16"/>
                <w:lang w:eastAsia="en-US"/>
              </w:rPr>
            </w:pPr>
            <w:r w:rsidRPr="00CA682E">
              <w:rPr>
                <w:rFonts w:eastAsia="Times New Roman" w:cs="Times New Roman"/>
                <w:color w:val="000000" w:themeColor="text1"/>
                <w:sz w:val="16"/>
                <w:szCs w:val="16"/>
                <w:lang w:eastAsia="en-US"/>
              </w:rPr>
              <w:lastRenderedPageBreak/>
              <w:t>Riesgo financiero por no conocerse el costo de la solución técnica que será elegida.  El costo del proyecto puede ser superior que el presupuestado debido a la situación el mercado de la construcción durante el llamado a licitación de empresas en 2016</w:t>
            </w:r>
          </w:p>
        </w:tc>
        <w:tc>
          <w:tcPr>
            <w:tcW w:w="1645"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Revisar la elección de la solución técnica y supervisar la situación del mercado – según proceda, incluir cláusulas de mitigación en los contratos</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9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bl>
    <w:p w:rsidR="00CA682E" w:rsidRPr="00CA682E" w:rsidRDefault="00CA682E" w:rsidP="00CA682E">
      <w:pPr>
        <w:rPr>
          <w:rFonts w:eastAsia="Times New Roman"/>
          <w:color w:val="000000" w:themeColor="text1"/>
          <w:szCs w:val="22"/>
          <w:lang w:eastAsia="en-US"/>
        </w:rPr>
      </w:pPr>
    </w:p>
    <w:p w:rsidR="00CA682E" w:rsidRPr="00CA682E" w:rsidRDefault="00CA682E" w:rsidP="00CA682E">
      <w:pPr>
        <w:rPr>
          <w:rFonts w:eastAsia="Times New Roman"/>
          <w:color w:val="000000" w:themeColor="text1"/>
          <w:szCs w:val="22"/>
          <w:lang w:eastAsia="en-US"/>
        </w:rPr>
      </w:pPr>
    </w:p>
    <w:p w:rsidR="00CA682E" w:rsidRPr="00CA682E" w:rsidRDefault="00CA682E" w:rsidP="00CA682E">
      <w:pPr>
        <w:keepNext/>
        <w:keepLines/>
        <w:rPr>
          <w:rFonts w:eastAsia="Times New Roman"/>
          <w:color w:val="000000" w:themeColor="text1"/>
          <w:sz w:val="20"/>
          <w:szCs w:val="22"/>
          <w:lang w:eastAsia="en-US"/>
        </w:rPr>
      </w:pPr>
      <w:r w:rsidRPr="00CA682E">
        <w:rPr>
          <w:rFonts w:eastAsia="Times New Roman"/>
          <w:color w:val="000000" w:themeColor="text1"/>
          <w:sz w:val="20"/>
          <w:szCs w:val="22"/>
          <w:lang w:eastAsia="en-US"/>
        </w:rPr>
        <w:t>CALENDARIO DEL PROYECTO, POR ETAPA</w:t>
      </w:r>
    </w:p>
    <w:p w:rsidR="00CA682E" w:rsidRPr="00CA682E" w:rsidRDefault="00CA682E" w:rsidP="00CA682E">
      <w:pPr>
        <w:keepNext/>
        <w:keepLines/>
        <w:rPr>
          <w:rFonts w:eastAsia="Times New Roman"/>
          <w:color w:val="000000" w:themeColor="text1"/>
          <w:sz w:val="20"/>
          <w:szCs w:val="22"/>
          <w:lang w:eastAsia="en-US"/>
        </w:rPr>
      </w:pPr>
    </w:p>
    <w:tbl>
      <w:tblPr>
        <w:tblW w:w="9666" w:type="dxa"/>
        <w:jc w:val="center"/>
        <w:tblLook w:val="04A0" w:firstRow="1" w:lastRow="0" w:firstColumn="1" w:lastColumn="0" w:noHBand="0" w:noVBand="1"/>
      </w:tblPr>
      <w:tblGrid>
        <w:gridCol w:w="1999"/>
        <w:gridCol w:w="391"/>
        <w:gridCol w:w="384"/>
        <w:gridCol w:w="384"/>
        <w:gridCol w:w="374"/>
        <w:gridCol w:w="10"/>
        <w:gridCol w:w="384"/>
        <w:gridCol w:w="352"/>
        <w:gridCol w:w="384"/>
        <w:gridCol w:w="384"/>
        <w:gridCol w:w="19"/>
        <w:gridCol w:w="366"/>
        <w:gridCol w:w="385"/>
        <w:gridCol w:w="385"/>
        <w:gridCol w:w="385"/>
        <w:gridCol w:w="13"/>
        <w:gridCol w:w="372"/>
        <w:gridCol w:w="385"/>
        <w:gridCol w:w="385"/>
        <w:gridCol w:w="385"/>
        <w:gridCol w:w="6"/>
        <w:gridCol w:w="323"/>
        <w:gridCol w:w="383"/>
        <w:gridCol w:w="403"/>
        <w:gridCol w:w="425"/>
      </w:tblGrid>
      <w:tr w:rsidR="00CA682E" w:rsidRPr="00CA682E" w:rsidTr="007B1DE4">
        <w:trPr>
          <w:trHeight w:val="270"/>
          <w:tblHeader/>
          <w:jc w:val="center"/>
        </w:trPr>
        <w:tc>
          <w:tcPr>
            <w:tcW w:w="1999" w:type="dxa"/>
            <w:tcBorders>
              <w:top w:val="nil"/>
              <w:left w:val="nil"/>
              <w:bottom w:val="nil"/>
              <w:right w:val="nil"/>
            </w:tcBorders>
            <w:shd w:val="clear" w:color="auto" w:fill="auto"/>
            <w:noWrap/>
            <w:vAlign w:val="bottom"/>
            <w:hideMark/>
          </w:tcPr>
          <w:p w:rsidR="00CA682E" w:rsidRPr="00CA682E" w:rsidRDefault="00CA682E" w:rsidP="00CA682E">
            <w:pPr>
              <w:keepNext/>
              <w:keepLines/>
              <w:rPr>
                <w:rFonts w:eastAsia="Times New Roman"/>
                <w:color w:val="000000" w:themeColor="text1"/>
                <w:sz w:val="16"/>
                <w:szCs w:val="16"/>
                <w:lang w:eastAsia="en-US"/>
              </w:rPr>
            </w:pPr>
          </w:p>
        </w:tc>
        <w:tc>
          <w:tcPr>
            <w:tcW w:w="1533"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2014</w:t>
            </w:r>
          </w:p>
        </w:tc>
        <w:tc>
          <w:tcPr>
            <w:tcW w:w="1533" w:type="dxa"/>
            <w:gridSpan w:val="6"/>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1534"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2016</w:t>
            </w:r>
          </w:p>
        </w:tc>
        <w:tc>
          <w:tcPr>
            <w:tcW w:w="1533"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2018</w:t>
            </w:r>
          </w:p>
        </w:tc>
      </w:tr>
      <w:tr w:rsidR="00CA682E" w:rsidRPr="00CA682E" w:rsidTr="007B1DE4">
        <w:trPr>
          <w:trHeight w:val="375"/>
          <w:tblHeader/>
          <w:jc w:val="center"/>
        </w:trPr>
        <w:tc>
          <w:tcPr>
            <w:tcW w:w="1999" w:type="dxa"/>
            <w:tcBorders>
              <w:top w:val="single" w:sz="8" w:space="0" w:color="auto"/>
              <w:left w:val="single" w:sz="4"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keepNext/>
              <w:keepLines/>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Etapas fundamentales</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384" w:type="dxa"/>
            <w:gridSpan w:val="2"/>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384"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385" w:type="dxa"/>
            <w:gridSpan w:val="2"/>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347"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13"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350" w:type="dxa"/>
            <w:tcBorders>
              <w:top w:val="nil"/>
              <w:left w:val="nil"/>
              <w:bottom w:val="single" w:sz="4" w:space="0" w:color="auto"/>
              <w:right w:val="single" w:sz="8"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r>
      <w:tr w:rsidR="00CA682E" w:rsidRPr="00CA682E" w:rsidTr="007B1DE4">
        <w:trPr>
          <w:trHeight w:val="512"/>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Convocación a presentar expresiones de interés para el piloto/arquitecto</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licitación y selección del piloto/arquitecto y los ingenieros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94"/>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Estudio detallado de la ejecución</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Elección de la solución técnica</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431"/>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CA682E" w:rsidRPr="00CA682E" w:rsidRDefault="00CA682E" w:rsidP="00CA682E">
            <w:pPr>
              <w:autoSpaceDE w:val="0"/>
              <w:autoSpaceDN w:val="0"/>
              <w:adjustRightInd w:val="0"/>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licitación para empresas</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gridSpan w:val="2"/>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4"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85" w:type="dxa"/>
            <w:gridSpan w:val="2"/>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CA682E" w:rsidRPr="00CA682E" w:rsidRDefault="00CA682E" w:rsidP="00CA682E">
            <w:pPr>
              <w:jc w:val="center"/>
              <w:rPr>
                <w:rFonts w:eastAsia="Times New Roman"/>
                <w:color w:val="000000" w:themeColor="text1"/>
                <w:sz w:val="16"/>
                <w:szCs w:val="16"/>
                <w:lang w:eastAsia="en-US"/>
              </w:rPr>
            </w:pPr>
          </w:p>
        </w:tc>
        <w:tc>
          <w:tcPr>
            <w:tcW w:w="347" w:type="dxa"/>
            <w:gridSpan w:val="2"/>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413" w:type="dxa"/>
            <w:tcBorders>
              <w:top w:val="nil"/>
              <w:left w:val="nil"/>
              <w:bottom w:val="single" w:sz="4" w:space="0" w:color="auto"/>
              <w:right w:val="single" w:sz="8" w:space="0" w:color="auto"/>
            </w:tcBorders>
            <w:tcMar>
              <w:left w:w="0" w:type="dxa"/>
              <w:right w:w="0" w:type="dxa"/>
            </w:tcMar>
            <w:vAlign w:val="center"/>
          </w:tcPr>
          <w:p w:rsidR="00CA682E" w:rsidRPr="00CA682E" w:rsidRDefault="00CA682E" w:rsidP="00CA682E">
            <w:pPr>
              <w:jc w:val="center"/>
              <w:rPr>
                <w:rFonts w:eastAsia="Times New Roman"/>
                <w:color w:val="000000" w:themeColor="text1"/>
                <w:sz w:val="16"/>
                <w:szCs w:val="16"/>
                <w:lang w:eastAsia="en-US"/>
              </w:rPr>
            </w:pPr>
          </w:p>
        </w:tc>
        <w:tc>
          <w:tcPr>
            <w:tcW w:w="350" w:type="dxa"/>
            <w:tcBorders>
              <w:top w:val="nil"/>
              <w:left w:val="nil"/>
              <w:bottom w:val="single" w:sz="4" w:space="0" w:color="auto"/>
              <w:right w:val="single" w:sz="8"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c>
          <w:tcPr>
            <w:tcW w:w="430" w:type="dxa"/>
            <w:tcBorders>
              <w:top w:val="nil"/>
              <w:left w:val="nil"/>
              <w:bottom w:val="single" w:sz="4" w:space="0" w:color="auto"/>
              <w:right w:val="single" w:sz="4" w:space="0" w:color="auto"/>
            </w:tcBorders>
            <w:vAlign w:val="center"/>
          </w:tcPr>
          <w:p w:rsidR="00CA682E" w:rsidRPr="00CA682E" w:rsidRDefault="00CA682E" w:rsidP="00CA682E">
            <w:pPr>
              <w:jc w:val="center"/>
              <w:rPr>
                <w:rFonts w:eastAsia="Times New Roman"/>
                <w:color w:val="000000" w:themeColor="text1"/>
                <w:sz w:val="16"/>
                <w:szCs w:val="16"/>
                <w:lang w:eastAsia="en-US"/>
              </w:rPr>
            </w:pPr>
          </w:p>
        </w:tc>
      </w:tr>
      <w:tr w:rsidR="00CA682E" w:rsidRPr="00CA682E" w:rsidTr="007B1DE4">
        <w:trPr>
          <w:trHeight w:val="296"/>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A682E" w:rsidRPr="00CA682E" w:rsidRDefault="00CA682E" w:rsidP="00CA682E">
            <w:pPr>
              <w:autoSpaceDE w:val="0"/>
              <w:autoSpaceDN w:val="0"/>
              <w:adjustRightInd w:val="0"/>
              <w:spacing w:before="40" w:after="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Obras</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47" w:type="dxa"/>
            <w:gridSpan w:val="2"/>
            <w:tcBorders>
              <w:top w:val="single" w:sz="4" w:space="0" w:color="auto"/>
              <w:left w:val="nil"/>
              <w:bottom w:val="single" w:sz="4" w:space="0" w:color="auto"/>
              <w:right w:val="single" w:sz="8" w:space="0" w:color="auto"/>
            </w:tcBorders>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13" w:type="dxa"/>
            <w:tcBorders>
              <w:top w:val="single" w:sz="4" w:space="0" w:color="auto"/>
              <w:left w:val="nil"/>
              <w:bottom w:val="single" w:sz="4" w:space="0" w:color="auto"/>
              <w:right w:val="single" w:sz="8" w:space="0" w:color="auto"/>
            </w:tcBorders>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350" w:type="dxa"/>
            <w:tcBorders>
              <w:top w:val="single" w:sz="4" w:space="0" w:color="auto"/>
              <w:left w:val="nil"/>
              <w:bottom w:val="single" w:sz="4" w:space="0" w:color="auto"/>
              <w:right w:val="single" w:sz="8" w:space="0" w:color="auto"/>
            </w:tcBorders>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430" w:type="dxa"/>
            <w:tcBorders>
              <w:top w:val="single" w:sz="4" w:space="0" w:color="auto"/>
              <w:left w:val="nil"/>
              <w:bottom w:val="single" w:sz="4" w:space="0" w:color="auto"/>
              <w:right w:val="single" w:sz="4" w:space="0" w:color="auto"/>
            </w:tcBorders>
            <w:vAlign w:val="center"/>
          </w:tcPr>
          <w:p w:rsidR="00CA682E" w:rsidRPr="00CA682E" w:rsidRDefault="00CA682E" w:rsidP="00CA682E">
            <w:pPr>
              <w:spacing w:before="240"/>
              <w:jc w:val="center"/>
              <w:rPr>
                <w:rFonts w:eastAsia="Times New Roman"/>
                <w:color w:val="000000" w:themeColor="text1"/>
                <w:sz w:val="16"/>
                <w:szCs w:val="16"/>
                <w:lang w:eastAsia="en-US"/>
              </w:rPr>
            </w:pPr>
          </w:p>
        </w:tc>
      </w:tr>
      <w:tr w:rsidR="00CA682E" w:rsidRPr="00CA682E" w:rsidTr="007B1DE4">
        <w:trPr>
          <w:trHeight w:val="30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CA682E" w:rsidRPr="00CA682E" w:rsidRDefault="00CA682E" w:rsidP="00CA682E">
            <w:pPr>
              <w:autoSpaceDE w:val="0"/>
              <w:autoSpaceDN w:val="0"/>
              <w:adjustRightInd w:val="0"/>
              <w:spacing w:before="40" w:after="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Puesta en servicio</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gridSpan w:val="2"/>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4"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gridSpan w:val="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47"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413"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CA682E" w:rsidRPr="00CA682E" w:rsidRDefault="00CA682E" w:rsidP="00CA682E">
            <w:pPr>
              <w:spacing w:before="240"/>
              <w:jc w:val="center"/>
              <w:rPr>
                <w:rFonts w:eastAsia="Times New Roman"/>
                <w:color w:val="000000" w:themeColor="text1"/>
                <w:sz w:val="16"/>
                <w:szCs w:val="16"/>
                <w:lang w:eastAsia="en-US"/>
              </w:rPr>
            </w:pPr>
          </w:p>
        </w:tc>
        <w:tc>
          <w:tcPr>
            <w:tcW w:w="350" w:type="dxa"/>
            <w:tcBorders>
              <w:top w:val="single" w:sz="4" w:space="0" w:color="auto"/>
              <w:left w:val="nil"/>
              <w:bottom w:val="single" w:sz="4" w:space="0" w:color="auto"/>
              <w:right w:val="single" w:sz="8" w:space="0" w:color="auto"/>
            </w:tcBorders>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30" w:type="dxa"/>
            <w:tcBorders>
              <w:top w:val="single" w:sz="4" w:space="0" w:color="auto"/>
              <w:left w:val="nil"/>
              <w:bottom w:val="single" w:sz="4" w:space="0" w:color="auto"/>
              <w:right w:val="single" w:sz="4" w:space="0" w:color="auto"/>
            </w:tcBorders>
            <w:vAlign w:val="center"/>
          </w:tcPr>
          <w:p w:rsidR="00CA682E" w:rsidRPr="00CA682E" w:rsidRDefault="00CA682E" w:rsidP="00CA682E">
            <w:pPr>
              <w:spacing w:before="2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r>
    </w:tbl>
    <w:p w:rsidR="00CA682E" w:rsidRPr="00CA682E" w:rsidRDefault="00CA682E" w:rsidP="00CA682E">
      <w:pPr>
        <w:rPr>
          <w:rFonts w:eastAsia="Times New Roman" w:cs="Times New Roman"/>
          <w:b/>
          <w:color w:val="000000" w:themeColor="text1"/>
          <w:szCs w:val="24"/>
          <w:lang w:eastAsia="en-US"/>
        </w:rPr>
      </w:pPr>
    </w:p>
    <w:p w:rsidR="00CA682E" w:rsidRPr="00CA682E" w:rsidRDefault="00CA682E" w:rsidP="00CA682E">
      <w:pPr>
        <w:spacing w:after="200" w:line="276" w:lineRule="auto"/>
        <w:rPr>
          <w:rFonts w:eastAsia="Times New Roman" w:cs="Times New Roman"/>
          <w:b/>
          <w:color w:val="000000" w:themeColor="text1"/>
          <w:szCs w:val="24"/>
          <w:lang w:eastAsia="en-US"/>
        </w:rPr>
      </w:pPr>
      <w:r w:rsidRPr="00CA682E">
        <w:rPr>
          <w:rFonts w:eastAsia="Times New Roman" w:cs="Times New Roman"/>
          <w:b/>
          <w:color w:val="000000" w:themeColor="text1"/>
          <w:szCs w:val="24"/>
          <w:lang w:eastAsia="en-US"/>
        </w:rPr>
        <w:br w:type="page"/>
      </w:r>
    </w:p>
    <w:p w:rsidR="00CA682E" w:rsidRPr="00CA682E" w:rsidRDefault="00CA682E" w:rsidP="00CA682E">
      <w:pPr>
        <w:rPr>
          <w:rFonts w:eastAsia="Times New Roman" w:cs="Times New Roman"/>
          <w:b/>
          <w:color w:val="000000" w:themeColor="text1"/>
          <w:szCs w:val="24"/>
          <w:lang w:eastAsia="en-US"/>
        </w:rPr>
      </w:pPr>
      <w:r w:rsidRPr="00CA682E">
        <w:rPr>
          <w:rFonts w:eastAsia="Times New Roman" w:cs="Times New Roman"/>
          <w:b/>
          <w:color w:val="000000" w:themeColor="text1"/>
          <w:szCs w:val="24"/>
          <w:lang w:eastAsia="en-US"/>
        </w:rPr>
        <w:lastRenderedPageBreak/>
        <w:t>PROYECTOS RELACIONADOS CON LOS EDIFICIOS</w:t>
      </w:r>
    </w:p>
    <w:p w:rsidR="00CA682E" w:rsidRPr="00CA682E" w:rsidRDefault="00CA682E" w:rsidP="00DD172C">
      <w:pPr>
        <w:keepNext/>
        <w:spacing w:before="240" w:after="60"/>
        <w:ind w:left="1701" w:hanging="1701"/>
        <w:outlineLvl w:val="2"/>
        <w:rPr>
          <w:b/>
          <w:bCs/>
          <w:i/>
          <w:color w:val="000000" w:themeColor="text1"/>
          <w:sz w:val="20"/>
          <w:szCs w:val="26"/>
          <w:lang w:eastAsia="en-US"/>
        </w:rPr>
      </w:pPr>
      <w:bookmarkStart w:id="228" w:name="_Toc455159119"/>
      <w:r w:rsidRPr="00CA682E">
        <w:rPr>
          <w:b/>
          <w:bCs/>
          <w:i/>
          <w:color w:val="000000" w:themeColor="text1"/>
          <w:sz w:val="20"/>
          <w:szCs w:val="26"/>
          <w:lang w:eastAsia="en-US"/>
        </w:rPr>
        <w:t>PROYECTO 4</w:t>
      </w:r>
      <w:r w:rsidR="00DD172C">
        <w:rPr>
          <w:b/>
          <w:bCs/>
          <w:i/>
          <w:color w:val="000000" w:themeColor="text1"/>
          <w:sz w:val="20"/>
          <w:szCs w:val="26"/>
          <w:lang w:eastAsia="en-US"/>
        </w:rPr>
        <w:t>:</w:t>
      </w:r>
      <w:r w:rsidR="00DD172C">
        <w:rPr>
          <w:b/>
          <w:bCs/>
          <w:i/>
          <w:color w:val="000000" w:themeColor="text1"/>
          <w:sz w:val="20"/>
          <w:szCs w:val="26"/>
          <w:lang w:eastAsia="en-US"/>
        </w:rPr>
        <w:tab/>
      </w:r>
      <w:r w:rsidRPr="00CA682E">
        <w:rPr>
          <w:b/>
          <w:bCs/>
          <w:i/>
          <w:color w:val="000000" w:themeColor="text1"/>
          <w:sz w:val="20"/>
          <w:szCs w:val="26"/>
          <w:lang w:eastAsia="en-US"/>
        </w:rPr>
        <w:t>INSTALACIÓN EN LOS EDIFICIOS AB Y PCT DE UN SISTEMA DE REFRIGERACIÓN QUE UTILIZA EL AGUA DEL LAGO DE GINEBRA (“GLN”) (PMM 4)</w:t>
      </w:r>
      <w:bookmarkEnd w:id="228"/>
    </w:p>
    <w:p w:rsidR="00CA682E" w:rsidRPr="00CA682E" w:rsidRDefault="00CA682E" w:rsidP="00CA682E">
      <w:pPr>
        <w:rPr>
          <w:rFonts w:eastAsia="Times New Roman" w:cs="Times New Roman"/>
          <w:b/>
          <w:color w:val="000000" w:themeColor="text1"/>
          <w:sz w:val="20"/>
          <w:lang w:eastAsia="en-US"/>
        </w:rPr>
      </w:pPr>
    </w:p>
    <w:p w:rsidR="00CA682E" w:rsidRPr="00CA682E" w:rsidRDefault="00CA682E" w:rsidP="00CA682E">
      <w:pPr>
        <w:rPr>
          <w:rFonts w:eastAsia="Times New Roman" w:cs="Times New Roman"/>
          <w:b/>
          <w:color w:val="000000" w:themeColor="text1"/>
          <w:sz w:val="20"/>
          <w:lang w:eastAsia="en-US"/>
        </w:rPr>
      </w:pPr>
      <w:r w:rsidRPr="00CA682E">
        <w:rPr>
          <w:rFonts w:eastAsia="Times New Roman" w:cs="Times New Roman"/>
          <w:b/>
          <w:color w:val="000000" w:themeColor="text1"/>
          <w:sz w:val="20"/>
          <w:lang w:eastAsia="en-US"/>
        </w:rPr>
        <w:t>Director de proyecto:</w:t>
      </w:r>
      <w:r w:rsidRPr="00CA682E">
        <w:rPr>
          <w:rFonts w:eastAsia="Times New Roman" w:cs="Times New Roman"/>
          <w:b/>
          <w:color w:val="000000" w:themeColor="text1"/>
          <w:sz w:val="20"/>
          <w:lang w:eastAsia="en-US"/>
        </w:rPr>
        <w:tab/>
        <w:t>Sr. A. FAVERO</w:t>
      </w: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bCs/>
          <w:color w:val="000000" w:themeColor="text1"/>
          <w:sz w:val="20"/>
          <w:szCs w:val="22"/>
          <w:lang w:eastAsia="en-US"/>
        </w:rPr>
      </w:pPr>
      <w:r w:rsidRPr="00CA682E">
        <w:rPr>
          <w:rFonts w:eastAsia="Times New Roman" w:cs="Times New Roman"/>
          <w:bCs/>
          <w:color w:val="000000" w:themeColor="text1"/>
          <w:sz w:val="20"/>
          <w:szCs w:val="22"/>
          <w:lang w:eastAsia="en-US"/>
        </w:rPr>
        <w:t>RESULTADO PREVISTO</w:t>
      </w:r>
    </w:p>
    <w:p w:rsidR="00CA682E" w:rsidRPr="00CA682E" w:rsidRDefault="00CA682E" w:rsidP="00CA682E">
      <w:pPr>
        <w:rPr>
          <w:rFonts w:eastAsia="Times New Roman" w:cs="Times New Roman"/>
          <w:bCs/>
          <w:color w:val="000000" w:themeColor="text1"/>
          <w:sz w:val="18"/>
          <w:lang w:eastAsia="en-US"/>
        </w:rPr>
      </w:pPr>
    </w:p>
    <w:p w:rsidR="00CA682E" w:rsidRPr="00CA682E" w:rsidRDefault="00CA682E" w:rsidP="00CA682E">
      <w:pPr>
        <w:rPr>
          <w:rFonts w:eastAsia="Times New Roman" w:cs="Times New Roman"/>
          <w:i/>
          <w:iCs/>
          <w:color w:val="000000" w:themeColor="text1"/>
          <w:sz w:val="20"/>
          <w:lang w:eastAsia="en-US"/>
        </w:rPr>
      </w:pPr>
      <w:r w:rsidRPr="00CA682E">
        <w:rPr>
          <w:rFonts w:eastAsia="Times New Roman" w:cs="Times New Roman"/>
          <w:i/>
          <w:iCs/>
          <w:color w:val="000000" w:themeColor="text1"/>
          <w:sz w:val="20"/>
          <w:lang w:eastAsia="en-US"/>
        </w:rPr>
        <w:t xml:space="preserve">IX.1  Servicios de </w:t>
      </w:r>
      <w:proofErr w:type="gramStart"/>
      <w:r w:rsidRPr="00CA682E">
        <w:rPr>
          <w:rFonts w:eastAsia="Times New Roman" w:cs="Times New Roman"/>
          <w:i/>
          <w:iCs/>
          <w:color w:val="000000" w:themeColor="text1"/>
          <w:sz w:val="20"/>
          <w:lang w:eastAsia="en-US"/>
        </w:rPr>
        <w:t>apoyo eficaces, eficientes, de calidad y orientados</w:t>
      </w:r>
      <w:proofErr w:type="gramEnd"/>
      <w:r w:rsidRPr="00CA682E">
        <w:rPr>
          <w:rFonts w:eastAsia="Times New Roman" w:cs="Times New Roman"/>
          <w:i/>
          <w:iCs/>
          <w:color w:val="000000" w:themeColor="text1"/>
          <w:sz w:val="20"/>
          <w:lang w:eastAsia="en-US"/>
        </w:rPr>
        <w:t xml:space="preserve"> al cliente, tanto a los clientes internos como a las partes interesadas externas</w:t>
      </w:r>
    </w:p>
    <w:p w:rsidR="00CA682E" w:rsidRPr="00CA682E" w:rsidRDefault="00CA682E" w:rsidP="00CA682E">
      <w:pPr>
        <w:rPr>
          <w:rFonts w:eastAsia="Times New Roman" w:cs="Times New Roman"/>
          <w:bCs/>
          <w:color w:val="000000" w:themeColor="text1"/>
          <w:sz w:val="18"/>
          <w:lang w:eastAsia="en-US"/>
        </w:rPr>
      </w:pPr>
    </w:p>
    <w:p w:rsidR="00CA682E" w:rsidRPr="00CA682E" w:rsidRDefault="00CA682E" w:rsidP="00CA682E">
      <w:pPr>
        <w:rPr>
          <w:rFonts w:eastAsia="Times New Roman" w:cs="Times New Roman"/>
          <w:bCs/>
          <w:color w:val="000000" w:themeColor="text1"/>
          <w:sz w:val="18"/>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OBJETIVOS, ALCANCE Y ENFOQUE</w:t>
      </w:r>
      <w:proofErr w:type="gramStart"/>
      <w:r w:rsidRPr="00CA682E">
        <w:rPr>
          <w:rFonts w:eastAsia="Times New Roman" w:cs="Times New Roman"/>
          <w:bCs/>
          <w:color w:val="000000" w:themeColor="text1"/>
          <w:sz w:val="20"/>
          <w:lang w:eastAsia="en-US"/>
        </w:rPr>
        <w:t>:  ANTECEDENTES</w:t>
      </w:r>
      <w:proofErr w:type="gramEnd"/>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numPr>
          <w:ilvl w:val="0"/>
          <w:numId w:val="128"/>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color w:val="000000" w:themeColor="text1"/>
          <w:sz w:val="20"/>
          <w:lang w:eastAsia="en-US"/>
        </w:rPr>
        <w:t>El sistema de refrigeración que utiliza el agua del lago de Ginebra (“GLN”) -creado hace algunos años y administrado y puesto en funcionamiento por la empresa local de suministro de energía (</w:t>
      </w:r>
      <w:r w:rsidRPr="00CA682E">
        <w:rPr>
          <w:rFonts w:eastAsia="Times New Roman" w:cs="Times New Roman"/>
          <w:i/>
          <w:color w:val="000000" w:themeColor="text1"/>
          <w:sz w:val="20"/>
          <w:lang w:eastAsia="en-US"/>
        </w:rPr>
        <w:t>Services Industriels de Genève</w:t>
      </w:r>
      <w:r w:rsidRPr="00CA682E">
        <w:rPr>
          <w:rFonts w:eastAsia="Times New Roman" w:cs="Times New Roman"/>
          <w:color w:val="000000" w:themeColor="text1"/>
          <w:sz w:val="20"/>
          <w:lang w:eastAsia="en-US"/>
        </w:rPr>
        <w:t xml:space="preserve"> – SIG), por el cual se recolecta agua fría de las profundidades del lago de Ginebra que se transporta a la zona Norte de la ciudad para utilizarla en un sistema de refrigeración de varios edificios administrativos en la zona de la Plaza de las Naciones.  Hace algunos años, la OMPI fue uno de los primeros clientes, entre los organismos de las Naciones Unidas, en celebrar un acuerdo con la empresa SIG para reservar la capacidad necesaria para todos sus edificios (incluidos los que entonces eran proyectos de construcción).  A finales de 2013, estaban totalmente conectados al sistema GLN de refrigeración los edificios siguientes del recinto de la OMPI: el nuevo edificio (conectado desde 2011), los edificios GBI y GBII (conectados a mediados de 2013), la nueva sala de conferencias (el sistema se integró durante la fase de construcción y está conectado desde fines de 2013).  Los únicos dos edificios que queda conectar al sistema GLN son el edificio AB y el edificio PCT, que son objeto de esta parte del proyecto del Plan Maestro de mejoras de infraestructura.  También cabe observar que las demás máquinas de refrigeración existentes para los edificios AB y PCT ya han tenido una vida útil que oscila entre los 10 y los 33 años, aproximadamente, teniendo en cuenta que su vida útil prevista es de 30 años.</w:t>
      </w:r>
      <w:r w:rsidRPr="00CA682E">
        <w:rPr>
          <w:rFonts w:eastAsia="Times New Roman" w:cs="Times New Roman"/>
          <w:bCs/>
          <w:color w:val="000000" w:themeColor="text1"/>
          <w:sz w:val="20"/>
          <w:lang w:eastAsia="en-US"/>
        </w:rPr>
        <w:t xml:space="preserve">  </w:t>
      </w:r>
    </w:p>
    <w:p w:rsidR="00CA682E" w:rsidRPr="00CA682E" w:rsidRDefault="00CA682E" w:rsidP="00CA682E">
      <w:pPr>
        <w:tabs>
          <w:tab w:val="left" w:pos="567"/>
        </w:tabs>
        <w:jc w:val="both"/>
        <w:rPr>
          <w:rFonts w:eastAsia="Times New Roman" w:cs="Times New Roman"/>
          <w:bCs/>
          <w:color w:val="000000" w:themeColor="text1"/>
          <w:sz w:val="20"/>
          <w:lang w:eastAsia="en-US"/>
        </w:rPr>
      </w:pPr>
    </w:p>
    <w:p w:rsidR="00CA682E" w:rsidRPr="00CA682E" w:rsidRDefault="00CA682E" w:rsidP="00CA682E">
      <w:pPr>
        <w:numPr>
          <w:ilvl w:val="0"/>
          <w:numId w:val="128"/>
        </w:numPr>
        <w:tabs>
          <w:tab w:val="left" w:pos="567"/>
        </w:tabs>
        <w:ind w:left="0" w:firstLine="0"/>
        <w:jc w:val="both"/>
        <w:rPr>
          <w:rFonts w:eastAsia="Times New Roman" w:cs="Times New Roman"/>
          <w:color w:val="000000" w:themeColor="text1"/>
          <w:sz w:val="20"/>
          <w:lang w:eastAsia="en-US"/>
        </w:rPr>
      </w:pPr>
      <w:r w:rsidRPr="00CA682E">
        <w:rPr>
          <w:rFonts w:eastAsia="Times New Roman" w:cs="Times New Roman"/>
          <w:color w:val="000000" w:themeColor="text1"/>
          <w:sz w:val="20"/>
          <w:lang w:eastAsia="en-US"/>
        </w:rPr>
        <w:t>Los objetivos de este proyecto son i) completar la incorporación de un sistema tecnológico mejorado en el mantenimiento de los edificios, relacionado con las instalaciones de refrigeración que ya están en funcionamiento en más de la mitad de los volúmenes interesados del recinto de la OMPI;  ii) anticipar la necesidad de reemplazar los aparatos clásicos de refrigeración en los otros dos edificios, haciéndolo antes de que se averíen las instalaciones (lo cual ocurrió en 2011 en el edificio GBII);  iii) reducir los costos de mantenimiento de las instalaciones, en comparación con los costos de mantenimiento de las instalaciones clásicas de refrigeración;  y iv) modernizar este tipo de instalación técnica y equipo con sistemas más respetuosos del medio ambiente.</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RESEÑA DE LOS AVANCES LOGRADOS EN 2015 (ETAPAS FUNDAMENTALES)</w:t>
      </w:r>
    </w:p>
    <w:p w:rsidR="00CA682E" w:rsidRPr="00CA682E" w:rsidRDefault="00CA682E" w:rsidP="00CA682E">
      <w:pPr>
        <w:rPr>
          <w:rFonts w:eastAsia="Times New Roman" w:cs="Times New Roman"/>
          <w:bCs/>
          <w:color w:val="000000" w:themeColor="text1"/>
          <w:sz w:val="20"/>
          <w:u w:val="single"/>
          <w:lang w:eastAsia="en-US"/>
        </w:rPr>
      </w:pPr>
    </w:p>
    <w:p w:rsidR="00CA682E" w:rsidRPr="00CA682E" w:rsidRDefault="00CA682E" w:rsidP="00CA682E">
      <w:pPr>
        <w:numPr>
          <w:ilvl w:val="0"/>
          <w:numId w:val="128"/>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2014, se realizaron los siguientes progresos: </w:t>
      </w:r>
    </w:p>
    <w:p w:rsidR="00CA682E" w:rsidRPr="00CA682E" w:rsidRDefault="00CA682E" w:rsidP="00CA682E">
      <w:pPr>
        <w:autoSpaceDE w:val="0"/>
        <w:autoSpaceDN w:val="0"/>
        <w:adjustRightInd w:val="0"/>
        <w:rPr>
          <w:rFonts w:eastAsiaTheme="minorHAnsi"/>
          <w:color w:val="000000" w:themeColor="text1"/>
          <w:sz w:val="20"/>
          <w:u w:val="single"/>
          <w:lang w:eastAsia="en-US"/>
        </w:rPr>
      </w:pPr>
    </w:p>
    <w:p w:rsidR="00CA682E" w:rsidRPr="00CA682E" w:rsidRDefault="00CA682E" w:rsidP="00CA682E">
      <w:pPr>
        <w:tabs>
          <w:tab w:val="left" w:pos="1134"/>
        </w:tabs>
        <w:autoSpaceDE w:val="0"/>
        <w:autoSpaceDN w:val="0"/>
        <w:adjustRightInd w:val="0"/>
        <w:ind w:left="567"/>
        <w:rPr>
          <w:rFonts w:eastAsiaTheme="minorHAnsi"/>
          <w:color w:val="000000" w:themeColor="text1"/>
          <w:sz w:val="20"/>
          <w:u w:val="single"/>
          <w:lang w:eastAsia="en-US"/>
        </w:rPr>
      </w:pPr>
      <w:r w:rsidRPr="00CA682E">
        <w:rPr>
          <w:rFonts w:eastAsiaTheme="minorHAnsi"/>
          <w:color w:val="000000" w:themeColor="text1"/>
          <w:sz w:val="20"/>
          <w:u w:val="single"/>
          <w:lang w:eastAsia="en-US"/>
        </w:rPr>
        <w:t>Edificio AB</w:t>
      </w:r>
    </w:p>
    <w:p w:rsidR="00CA682E" w:rsidRPr="00CA682E" w:rsidRDefault="00CA682E" w:rsidP="00CA682E">
      <w:pPr>
        <w:tabs>
          <w:tab w:val="left" w:pos="1134"/>
        </w:tabs>
        <w:autoSpaceDE w:val="0"/>
        <w:autoSpaceDN w:val="0"/>
        <w:adjustRightInd w:val="0"/>
        <w:ind w:left="567"/>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Adjudicación de contrato al ingeniero en climatización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Llamado a presentar ofertas y selección de empresas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Trabajo realizado</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Proyecto finalizado.</w:t>
      </w:r>
    </w:p>
    <w:p w:rsidR="00CA682E" w:rsidRPr="00CA682E" w:rsidRDefault="00CA682E" w:rsidP="00CA682E">
      <w:pPr>
        <w:tabs>
          <w:tab w:val="left" w:pos="1134"/>
        </w:tabs>
        <w:autoSpaceDE w:val="0"/>
        <w:autoSpaceDN w:val="0"/>
        <w:adjustRightInd w:val="0"/>
        <w:ind w:left="567"/>
        <w:rPr>
          <w:rFonts w:eastAsiaTheme="minorHAnsi"/>
          <w:color w:val="000000" w:themeColor="text1"/>
          <w:sz w:val="20"/>
          <w:lang w:eastAsia="en-US"/>
        </w:rPr>
      </w:pPr>
    </w:p>
    <w:p w:rsidR="00CA682E" w:rsidRPr="00CA682E" w:rsidRDefault="00CA682E" w:rsidP="00CA682E">
      <w:pPr>
        <w:tabs>
          <w:tab w:val="left" w:pos="1134"/>
        </w:tabs>
        <w:autoSpaceDE w:val="0"/>
        <w:autoSpaceDN w:val="0"/>
        <w:adjustRightInd w:val="0"/>
        <w:ind w:left="567"/>
        <w:rPr>
          <w:rFonts w:eastAsiaTheme="minorHAnsi"/>
          <w:color w:val="000000" w:themeColor="text1"/>
          <w:sz w:val="20"/>
          <w:u w:val="single"/>
          <w:lang w:eastAsia="en-US"/>
        </w:rPr>
      </w:pPr>
      <w:r w:rsidRPr="00CA682E">
        <w:rPr>
          <w:rFonts w:eastAsiaTheme="minorHAnsi"/>
          <w:color w:val="000000" w:themeColor="text1"/>
          <w:sz w:val="20"/>
          <w:u w:val="single"/>
          <w:lang w:eastAsia="en-US"/>
        </w:rPr>
        <w:t>Edificio PCT</w:t>
      </w:r>
    </w:p>
    <w:p w:rsidR="00CA682E" w:rsidRPr="00CA682E" w:rsidRDefault="00CA682E" w:rsidP="00CA682E">
      <w:pPr>
        <w:tabs>
          <w:tab w:val="left" w:pos="1134"/>
        </w:tabs>
        <w:autoSpaceDE w:val="0"/>
        <w:autoSpaceDN w:val="0"/>
        <w:adjustRightInd w:val="0"/>
        <w:ind w:left="567"/>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Adjudicación de contrato al ingeniero en climatización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Validación del proyecto con el ingeniero en climatización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lastRenderedPageBreak/>
        <w:t xml:space="preserve">Tendido de conductos dentro del edificio, por la empresa SIG </w:t>
      </w:r>
    </w:p>
    <w:p w:rsidR="00CA682E" w:rsidRPr="00CA682E" w:rsidRDefault="00CA682E" w:rsidP="00CA682E">
      <w:pPr>
        <w:autoSpaceDE w:val="0"/>
        <w:autoSpaceDN w:val="0"/>
        <w:adjustRightInd w:val="0"/>
        <w:spacing w:after="120"/>
        <w:ind w:left="714"/>
        <w:rPr>
          <w:rFonts w:eastAsia="Times New Roman" w:cs="Times New Roman"/>
          <w:bCs/>
          <w:color w:val="000000" w:themeColor="text1"/>
          <w:sz w:val="20"/>
          <w:lang w:eastAsia="en-US"/>
        </w:rPr>
      </w:pPr>
    </w:p>
    <w:p w:rsidR="00CA682E" w:rsidRPr="00CA682E" w:rsidRDefault="00CA682E" w:rsidP="00CA682E">
      <w:pPr>
        <w:numPr>
          <w:ilvl w:val="0"/>
          <w:numId w:val="128"/>
        </w:numPr>
        <w:tabs>
          <w:tab w:val="left" w:pos="567"/>
        </w:tabs>
        <w:ind w:left="0" w:firstLine="0"/>
        <w:jc w:val="both"/>
        <w:rPr>
          <w:rFonts w:eastAsiaTheme="minorHAnsi"/>
          <w:color w:val="000000" w:themeColor="text1"/>
          <w:sz w:val="20"/>
          <w:lang w:eastAsia="en-US"/>
        </w:rPr>
      </w:pPr>
      <w:r w:rsidRPr="00CA682E">
        <w:rPr>
          <w:rFonts w:eastAsia="Times New Roman" w:cs="Times New Roman"/>
          <w:color w:val="000000" w:themeColor="text1"/>
          <w:sz w:val="20"/>
          <w:lang w:eastAsia="en-US"/>
        </w:rPr>
        <w:t>I</w:t>
      </w:r>
      <w:r w:rsidRPr="00CA682E">
        <w:rPr>
          <w:rFonts w:eastAsiaTheme="minorHAnsi"/>
          <w:color w:val="000000" w:themeColor="text1"/>
          <w:sz w:val="20"/>
          <w:lang w:eastAsia="en-US"/>
        </w:rPr>
        <w:t xml:space="preserve">n 2015, se realizaron los avances siguientes en el edificio PCT: </w:t>
      </w:r>
    </w:p>
    <w:p w:rsidR="00CA682E" w:rsidRPr="00CA682E" w:rsidRDefault="00CA682E" w:rsidP="00CA682E">
      <w:pPr>
        <w:autoSpaceDE w:val="0"/>
        <w:autoSpaceDN w:val="0"/>
        <w:adjustRightInd w:val="0"/>
        <w:rPr>
          <w:rFonts w:eastAsiaTheme="minorHAnsi"/>
          <w:color w:val="000000" w:themeColor="text1"/>
          <w:sz w:val="20"/>
          <w:szCs w:val="24"/>
          <w:lang w:eastAsia="en-US"/>
        </w:rPr>
      </w:pP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Llamado a presentar ofertas y selección de empresas</w:t>
      </w:r>
    </w:p>
    <w:p w:rsidR="00CA682E" w:rsidRPr="00CA682E" w:rsidRDefault="00CA682E" w:rsidP="00CA682E">
      <w:pPr>
        <w:numPr>
          <w:ilvl w:val="0"/>
          <w:numId w:val="136"/>
        </w:numPr>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Trabajo realizado</w:t>
      </w:r>
    </w:p>
    <w:p w:rsidR="00CA682E" w:rsidRPr="00CA682E" w:rsidRDefault="00CA682E" w:rsidP="00CA682E">
      <w:pPr>
        <w:rPr>
          <w:rFonts w:eastAsia="Times New Roman" w:cs="Times New Roman"/>
          <w:bCs/>
          <w:color w:val="000000" w:themeColor="text1"/>
          <w:sz w:val="18"/>
          <w:szCs w:val="24"/>
          <w:lang w:eastAsia="en-US"/>
        </w:rPr>
      </w:pPr>
    </w:p>
    <w:p w:rsidR="00CA682E" w:rsidRPr="00CA682E" w:rsidRDefault="00CA682E" w:rsidP="00CA682E">
      <w:pPr>
        <w:rPr>
          <w:rFonts w:eastAsia="Times New Roman" w:cs="Times New Roman"/>
          <w:bCs/>
          <w:color w:val="000000" w:themeColor="text1"/>
          <w:sz w:val="18"/>
          <w:szCs w:val="24"/>
          <w:lang w:eastAsia="en-US"/>
        </w:rPr>
      </w:pPr>
    </w:p>
    <w:p w:rsidR="00CA682E" w:rsidRPr="00CA682E" w:rsidRDefault="00CA682E" w:rsidP="00CA682E">
      <w:pPr>
        <w:rPr>
          <w:rFonts w:eastAsia="Times New Roman" w:cs="Times New Roman"/>
          <w:bCs/>
          <w:color w:val="000000" w:themeColor="text1"/>
          <w:sz w:val="20"/>
          <w:szCs w:val="22"/>
          <w:lang w:eastAsia="en-US"/>
        </w:rPr>
      </w:pPr>
      <w:r w:rsidRPr="00CA682E">
        <w:rPr>
          <w:rFonts w:eastAsia="Times New Roman" w:cs="Times New Roman"/>
          <w:bCs/>
          <w:color w:val="000000" w:themeColor="text1"/>
          <w:sz w:val="20"/>
          <w:szCs w:val="22"/>
          <w:lang w:eastAsia="en-US"/>
        </w:rPr>
        <w:t>OBTENCIÓN DE BENEFICIOS</w:t>
      </w:r>
    </w:p>
    <w:p w:rsidR="00CA682E" w:rsidRPr="00CA682E" w:rsidRDefault="00CA682E" w:rsidP="00CA682E">
      <w:pPr>
        <w:rPr>
          <w:rFonts w:eastAsia="Times New Roman" w:cs="Times New Roman"/>
          <w:color w:val="000000" w:themeColor="text1"/>
          <w:sz w:val="20"/>
          <w:lang w:eastAsia="en-US"/>
        </w:rPr>
      </w:pPr>
    </w:p>
    <w:tbl>
      <w:tblPr>
        <w:tblW w:w="474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022"/>
        <w:gridCol w:w="3499"/>
      </w:tblGrid>
      <w:tr w:rsidR="00CA682E" w:rsidRPr="00CA682E" w:rsidTr="007B1DE4">
        <w:trPr>
          <w:trHeight w:val="314"/>
          <w:tblHeader/>
        </w:trPr>
        <w:tc>
          <w:tcPr>
            <w:tcW w:w="1406" w:type="pct"/>
            <w:tcBorders>
              <w:bottom w:val="single" w:sz="4" w:space="0" w:color="auto"/>
            </w:tcBorders>
            <w:shd w:val="clear" w:color="auto" w:fill="C6D9F1" w:themeFill="text2" w:themeFillTint="33"/>
            <w:tcMar>
              <w:top w:w="113" w:type="dxa"/>
              <w:bottom w:w="113" w:type="dxa"/>
            </w:tcMar>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2014</w:t>
            </w:r>
          </w:p>
        </w:tc>
        <w:tc>
          <w:tcPr>
            <w:tcW w:w="1665" w:type="pct"/>
            <w:tcBorders>
              <w:bottom w:val="single" w:sz="4" w:space="0" w:color="auto"/>
            </w:tcBorders>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2015</w:t>
            </w:r>
          </w:p>
        </w:tc>
        <w:tc>
          <w:tcPr>
            <w:tcW w:w="1928" w:type="pct"/>
            <w:tcBorders>
              <w:bottom w:val="single" w:sz="4" w:space="0" w:color="auto"/>
            </w:tcBorders>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Beneficios previstos para 2016 </w:t>
            </w:r>
          </w:p>
        </w:tc>
      </w:tr>
      <w:tr w:rsidR="00CA682E" w:rsidRPr="00CA682E" w:rsidTr="007B1DE4">
        <w:trPr>
          <w:trHeight w:val="564"/>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Puesta en servicio del sistema de refrigeración del edificio AB el 13 de agosto de 2014;  reducción parcial del consumo de energía eléctrica</w:t>
            </w: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Reducción del uso de energía eléctrica y del impacto medioambiental del consumo de electricidad necesario para refrigerar el edificio AB</w:t>
            </w:r>
          </w:p>
        </w:tc>
        <w:tc>
          <w:tcPr>
            <w:tcW w:w="1928" w:type="pct"/>
            <w:tcBorders>
              <w:bottom w:val="single" w:sz="4" w:space="0" w:color="auto"/>
              <w:tr2bl w:val="nil"/>
            </w:tcBorders>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del consumo de electricidad y del impacto medioambiental del uso de electricidad para refrigerar el edificio PCT</w:t>
            </w:r>
          </w:p>
        </w:tc>
      </w:tr>
      <w:tr w:rsidR="00CA682E" w:rsidRPr="00CA682E" w:rsidTr="007B1DE4">
        <w:trPr>
          <w:trHeight w:val="516"/>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Cs/>
                <w:color w:val="000000" w:themeColor="text1"/>
                <w:sz w:val="16"/>
                <w:szCs w:val="16"/>
                <w:lang w:eastAsia="en-US"/>
              </w:rPr>
            </w:pP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Reducción de los costos de mantenimiento correctivo del sistema de refrigeración del edificio AB</w:t>
            </w:r>
          </w:p>
        </w:tc>
        <w:tc>
          <w:tcPr>
            <w:tcW w:w="1928" w:type="pct"/>
            <w:tcBorders>
              <w:tr2bl w:val="nil"/>
            </w:tcBorders>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Reducción de los costos de mantenimiento correctivo del sistema de refrigeración del edificio PCT</w:t>
            </w:r>
          </w:p>
        </w:tc>
      </w:tr>
      <w:tr w:rsidR="00CA682E" w:rsidRPr="00CA682E" w:rsidTr="007B1DE4">
        <w:trPr>
          <w:trHeight w:val="414"/>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
                <w:bCs/>
                <w:color w:val="000000" w:themeColor="text1"/>
                <w:sz w:val="16"/>
                <w:szCs w:val="16"/>
                <w:u w:val="single"/>
                <w:lang w:eastAsia="en-US"/>
              </w:rPr>
            </w:pP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Aumento del ciclo de vida útil del sistema de refrigeración del edificio AB</w:t>
            </w:r>
          </w:p>
        </w:tc>
        <w:tc>
          <w:tcPr>
            <w:tcW w:w="1928" w:type="pct"/>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Aumento del ciclo de vida útil del sistema de refrigeración del edificio PCT</w:t>
            </w:r>
          </w:p>
        </w:tc>
      </w:tr>
      <w:tr w:rsidR="00CA682E" w:rsidRPr="00CA682E" w:rsidTr="007B1DE4">
        <w:trPr>
          <w:trHeight w:val="564"/>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
                <w:bCs/>
                <w:color w:val="000000" w:themeColor="text1"/>
                <w:sz w:val="16"/>
                <w:szCs w:val="16"/>
                <w:u w:val="single"/>
                <w:lang w:eastAsia="en-US"/>
              </w:rPr>
            </w:pP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Instalación y mantenimiento de un sistema de refrigeración más respetuoso del medio ambiente en el edificio AB</w:t>
            </w:r>
          </w:p>
        </w:tc>
        <w:tc>
          <w:tcPr>
            <w:tcW w:w="1928" w:type="pct"/>
          </w:tcPr>
          <w:p w:rsidR="00CA682E" w:rsidRPr="00CA682E" w:rsidRDefault="00CA682E" w:rsidP="00CA682E">
            <w:pPr>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Instalación y mantenimiento de un sistema de refrigeración más respetuoso del medio ambiente en el edificio PCT</w:t>
            </w:r>
          </w:p>
        </w:tc>
      </w:tr>
      <w:tr w:rsidR="00CA682E" w:rsidRPr="00CA682E" w:rsidTr="007B1DE4">
        <w:trPr>
          <w:trHeight w:val="564"/>
        </w:trPr>
        <w:tc>
          <w:tcPr>
            <w:tcW w:w="1406"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rPr>
                <w:rFonts w:eastAsia="Times New Roman" w:cs="Times New Roman"/>
                <w:b/>
                <w:bCs/>
                <w:color w:val="000000" w:themeColor="text1"/>
                <w:sz w:val="16"/>
                <w:szCs w:val="16"/>
                <w:u w:val="single"/>
                <w:lang w:eastAsia="en-US"/>
              </w:rPr>
            </w:pPr>
          </w:p>
        </w:tc>
        <w:tc>
          <w:tcPr>
            <w:tcW w:w="1665" w:type="pct"/>
            <w:tcBorders>
              <w:top w:val="single" w:sz="4" w:space="0" w:color="auto"/>
              <w:bottom w:val="single" w:sz="4" w:space="0" w:color="auto"/>
            </w:tcBorders>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Puesta en servicio del sistema de refrigeración del edificio PCT en octubre de 2015 y reducción parcial del consumo de electricidad</w:t>
            </w:r>
          </w:p>
        </w:tc>
        <w:tc>
          <w:tcPr>
            <w:tcW w:w="1928" w:type="pct"/>
          </w:tcPr>
          <w:p w:rsidR="00CA682E" w:rsidRPr="00CA682E" w:rsidRDefault="00CA682E" w:rsidP="00CA682E">
            <w:pPr>
              <w:rPr>
                <w:rFonts w:eastAsia="Times New Roman" w:cs="Times New Roman"/>
                <w:bCs/>
                <w:iCs/>
                <w:color w:val="000000" w:themeColor="text1"/>
                <w:sz w:val="16"/>
                <w:szCs w:val="16"/>
                <w:lang w:eastAsia="en-US"/>
              </w:rPr>
            </w:pPr>
          </w:p>
        </w:tc>
      </w:tr>
    </w:tbl>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UTILIZACIÓN DE LOS RECURSOS</w:t>
      </w:r>
      <w:r w:rsidRPr="00CA682E">
        <w:rPr>
          <w:rFonts w:eastAsia="Times New Roman"/>
          <w:color w:val="000000" w:themeColor="text1"/>
          <w:sz w:val="20"/>
          <w:vertAlign w:val="superscript"/>
          <w:lang w:eastAsia="en-US"/>
        </w:rPr>
        <w:footnoteReference w:id="177"/>
      </w: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A682E" w:rsidRPr="00CA682E" w:rsidTr="007B1DE4">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Instalación en los edificios AB y PCT de un sistema de refrigeración que utiliza el agua del lago de Ginebra (“GLN”)</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750.000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262.727</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35%</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AB 100%</w:t>
            </w:r>
          </w:p>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PCT 90%</w:t>
            </w:r>
          </w:p>
        </w:tc>
      </w:tr>
    </w:tbl>
    <w:p w:rsidR="00CA682E" w:rsidRPr="00CA682E" w:rsidRDefault="00CA682E" w:rsidP="00CA682E">
      <w:pPr>
        <w:keepNext/>
        <w:autoSpaceDE w:val="0"/>
        <w:autoSpaceDN w:val="0"/>
        <w:rPr>
          <w:rFonts w:eastAsia="Times New Roman" w:cs="Times New Roman"/>
          <w:color w:val="000000" w:themeColor="text1"/>
          <w:sz w:val="16"/>
          <w:szCs w:val="16"/>
          <w:lang w:eastAsia="en-US"/>
        </w:rPr>
      </w:pPr>
    </w:p>
    <w:p w:rsidR="00CA682E" w:rsidRPr="00CA682E" w:rsidRDefault="00CA682E" w:rsidP="00CA682E">
      <w:pPr>
        <w:keepNext/>
        <w:autoSpaceDE w:val="0"/>
        <w:autoSpaceDN w:val="0"/>
        <w:rPr>
          <w:rFonts w:eastAsia="Times New Roman" w:cs="Times New Roman"/>
          <w:color w:val="000000" w:themeColor="text1"/>
          <w:sz w:val="16"/>
          <w:szCs w:val="16"/>
          <w:lang w:eastAsia="en-US"/>
        </w:rPr>
      </w:pPr>
    </w:p>
    <w:p w:rsidR="00AD72C1" w:rsidRDefault="00AD72C1">
      <w:pPr>
        <w:rPr>
          <w:rFonts w:eastAsia="Times New Roman" w:cs="Times New Roman"/>
          <w:color w:val="000000" w:themeColor="text1"/>
          <w:sz w:val="16"/>
          <w:szCs w:val="16"/>
          <w:lang w:eastAsia="en-US"/>
        </w:rPr>
      </w:pPr>
      <w:r>
        <w:rPr>
          <w:rFonts w:eastAsia="Times New Roman" w:cs="Times New Roman"/>
          <w:color w:val="000000" w:themeColor="text1"/>
          <w:sz w:val="16"/>
          <w:szCs w:val="16"/>
          <w:lang w:eastAsia="en-US"/>
        </w:rPr>
        <w:br w:type="page"/>
      </w:r>
    </w:p>
    <w:p w:rsidR="00CA682E" w:rsidRPr="00CA682E" w:rsidRDefault="00CA682E" w:rsidP="00CA682E">
      <w:pPr>
        <w:keepNext/>
        <w:autoSpaceDE w:val="0"/>
        <w:autoSpaceDN w:val="0"/>
        <w:rPr>
          <w:rFonts w:eastAsia="Times New Roman" w:cs="Times New Roman"/>
          <w:color w:val="000000" w:themeColor="text1"/>
          <w:sz w:val="16"/>
          <w:szCs w:val="16"/>
          <w:lang w:eastAsia="en-US"/>
        </w:rPr>
      </w:pPr>
    </w:p>
    <w:p w:rsidR="00CA682E" w:rsidRPr="00CA682E" w:rsidRDefault="00CA682E" w:rsidP="00AD72C1">
      <w:pPr>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etapa)</w:t>
      </w:r>
    </w:p>
    <w:p w:rsidR="00CA682E" w:rsidRPr="00CA682E" w:rsidRDefault="00CA682E" w:rsidP="00AD72C1">
      <w:pPr>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2"/>
        <w:gridCol w:w="1517"/>
        <w:gridCol w:w="1517"/>
        <w:gridCol w:w="1517"/>
        <w:gridCol w:w="1838"/>
      </w:tblGrid>
      <w:tr w:rsidR="00CA682E" w:rsidRPr="00CA682E" w:rsidTr="007B1DE4">
        <w:trPr>
          <w:trHeight w:val="389"/>
        </w:trPr>
        <w:tc>
          <w:tcPr>
            <w:tcW w:w="15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 fundamental</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10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al ingeniero en climatización para el edificio AB</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30.000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16.200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54%</w:t>
            </w:r>
          </w:p>
        </w:tc>
        <w:tc>
          <w:tcPr>
            <w:tcW w:w="10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al ingeniero en climatización para el edificio PCT</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83.000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43.440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52,3%</w:t>
            </w:r>
          </w:p>
        </w:tc>
        <w:tc>
          <w:tcPr>
            <w:tcW w:w="10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servicio de las instalaciones de GLN en el edificio AB</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170.000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61.791</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36,3%</w:t>
            </w:r>
          </w:p>
        </w:tc>
        <w:tc>
          <w:tcPr>
            <w:tcW w:w="10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Puesta en servicio de las instalaciones de GLN en el edificio PCT</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467.000</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141.296</w:t>
            </w:r>
          </w:p>
        </w:tc>
        <w:tc>
          <w:tcPr>
            <w:tcW w:w="826"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30,3%</w:t>
            </w:r>
          </w:p>
        </w:tc>
        <w:tc>
          <w:tcPr>
            <w:tcW w:w="10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AD72C1">
            <w:pPr>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90%</w:t>
            </w:r>
          </w:p>
        </w:tc>
      </w:tr>
      <w:tr w:rsidR="00CA682E" w:rsidRPr="00CA682E" w:rsidTr="007B1DE4">
        <w:trPr>
          <w:trHeight w:val="369"/>
        </w:trPr>
        <w:tc>
          <w:tcPr>
            <w:tcW w:w="15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750.000</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AD72C1">
            <w:pPr>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262.727</w:t>
            </w:r>
          </w:p>
        </w:tc>
        <w:tc>
          <w:tcPr>
            <w:tcW w:w="82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AD72C1">
            <w:pPr>
              <w:keepLines/>
              <w:autoSpaceDE w:val="0"/>
              <w:autoSpaceDN w:val="0"/>
              <w:adjustRightInd w:val="0"/>
              <w:spacing w:before="40" w:after="40"/>
              <w:jc w:val="center"/>
              <w:rPr>
                <w:rFonts w:eastAsia="Times New Roman" w:cs="Times New Roman"/>
                <w:b/>
                <w:color w:val="000000" w:themeColor="text1"/>
                <w:sz w:val="16"/>
                <w:szCs w:val="16"/>
                <w:lang w:eastAsia="en-US"/>
              </w:rPr>
            </w:pPr>
          </w:p>
        </w:tc>
        <w:tc>
          <w:tcPr>
            <w:tcW w:w="100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AD72C1">
            <w:pPr>
              <w:keepLines/>
              <w:autoSpaceDE w:val="0"/>
              <w:autoSpaceDN w:val="0"/>
              <w:adjustRightInd w:val="0"/>
              <w:spacing w:before="40" w:after="40"/>
              <w:jc w:val="center"/>
              <w:rPr>
                <w:rFonts w:eastAsia="Times New Roman" w:cs="Times New Roman"/>
                <w:b/>
                <w:color w:val="000000" w:themeColor="text1"/>
                <w:sz w:val="16"/>
                <w:szCs w:val="16"/>
                <w:lang w:eastAsia="en-US"/>
              </w:rPr>
            </w:pPr>
          </w:p>
        </w:tc>
      </w:tr>
    </w:tbl>
    <w:p w:rsidR="00CA682E" w:rsidRPr="00CA682E" w:rsidRDefault="00CA682E" w:rsidP="00AD72C1">
      <w:pPr>
        <w:tabs>
          <w:tab w:val="left" w:pos="3261"/>
        </w:tabs>
        <w:autoSpaceDE w:val="0"/>
        <w:autoSpaceDN w:val="0"/>
        <w:adjustRightInd w:val="0"/>
        <w:rPr>
          <w:rFonts w:eastAsia="Times New Roman" w:cs="Times New Roman"/>
          <w:color w:val="000000" w:themeColor="text1"/>
          <w:sz w:val="20"/>
          <w:szCs w:val="22"/>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8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840"/>
        <w:gridCol w:w="1839"/>
        <w:gridCol w:w="1999"/>
      </w:tblGrid>
      <w:tr w:rsidR="00CA682E" w:rsidRPr="00CA682E" w:rsidTr="007B1DE4">
        <w:trPr>
          <w:trHeight w:val="569"/>
        </w:trPr>
        <w:tc>
          <w:tcPr>
            <w:tcW w:w="191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9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9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Gasto real hasta la fecha </w:t>
            </w:r>
          </w:p>
        </w:tc>
        <w:tc>
          <w:tcPr>
            <w:tcW w:w="108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91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Costos relacionados con las obras </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585.000</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203.087</w:t>
            </w:r>
          </w:p>
        </w:tc>
        <w:tc>
          <w:tcPr>
            <w:tcW w:w="108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34,7%</w:t>
            </w:r>
          </w:p>
        </w:tc>
      </w:tr>
      <w:tr w:rsidR="00CA682E" w:rsidRPr="00CA682E" w:rsidTr="007B1DE4">
        <w:tc>
          <w:tcPr>
            <w:tcW w:w="191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Honorarios</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113.000</w:t>
            </w:r>
          </w:p>
        </w:tc>
        <w:tc>
          <w:tcPr>
            <w:tcW w:w="998"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59.640</w:t>
            </w:r>
          </w:p>
        </w:tc>
        <w:tc>
          <w:tcPr>
            <w:tcW w:w="1085"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52,8%</w:t>
            </w:r>
          </w:p>
        </w:tc>
      </w:tr>
      <w:tr w:rsidR="00CA682E" w:rsidRPr="00CA682E" w:rsidTr="007B1DE4">
        <w:tc>
          <w:tcPr>
            <w:tcW w:w="191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Diversos e imprevistos </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52.000</w:t>
            </w:r>
          </w:p>
        </w:tc>
        <w:tc>
          <w:tcPr>
            <w:tcW w:w="9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08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91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9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750.000</w:t>
            </w:r>
          </w:p>
        </w:tc>
        <w:tc>
          <w:tcPr>
            <w:tcW w:w="99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262.727</w:t>
            </w:r>
          </w:p>
        </w:tc>
        <w:tc>
          <w:tcPr>
            <w:tcW w:w="108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RIESGOS Y ESTRATEGIAS DE MITIGACIÓN</w:t>
      </w:r>
    </w:p>
    <w:p w:rsidR="00CA682E" w:rsidRPr="00CA682E" w:rsidRDefault="00CA682E" w:rsidP="00CA682E">
      <w:pPr>
        <w:rPr>
          <w:rFonts w:eastAsia="Times New Roman"/>
          <w:color w:val="000000" w:themeColor="text1"/>
          <w:sz w:val="20"/>
          <w:lang w:eastAsia="en-US"/>
        </w:rPr>
      </w:pP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2"/>
        <w:gridCol w:w="3000"/>
      </w:tblGrid>
      <w:tr w:rsidR="00CA682E" w:rsidRPr="00CA682E" w:rsidTr="007B1DE4">
        <w:trPr>
          <w:trHeight w:val="477"/>
          <w:tblHeader/>
          <w:jc w:val="center"/>
        </w:trPr>
        <w:tc>
          <w:tcPr>
            <w:tcW w:w="1679"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Riesgo/Descripción del riesgo</w:t>
            </w:r>
          </w:p>
        </w:tc>
        <w:tc>
          <w:tcPr>
            <w:tcW w:w="1680" w:type="pct"/>
            <w:tcBorders>
              <w:bottom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Mitigación del riesgo</w:t>
            </w:r>
            <w:r w:rsidRPr="00CA682E" w:rsidDel="003965B5">
              <w:rPr>
                <w:rFonts w:eastAsia="Times New Roman" w:cs="Times New Roman"/>
                <w:b/>
                <w:bCs/>
                <w:color w:val="000000" w:themeColor="text1"/>
                <w:sz w:val="16"/>
                <w:szCs w:val="16"/>
                <w:lang w:eastAsia="en-US"/>
              </w:rPr>
              <w:t xml:space="preserve"> </w:t>
            </w:r>
          </w:p>
        </w:tc>
        <w:tc>
          <w:tcPr>
            <w:tcW w:w="1641"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Comentario</w:t>
            </w:r>
          </w:p>
        </w:tc>
      </w:tr>
      <w:tr w:rsidR="00CA682E" w:rsidRPr="00CA682E" w:rsidTr="007B1DE4">
        <w:trPr>
          <w:trHeight w:val="881"/>
          <w:jc w:val="center"/>
        </w:trPr>
        <w:tc>
          <w:tcPr>
            <w:tcW w:w="1679" w:type="pct"/>
            <w:shd w:val="clear" w:color="auto" w:fill="auto"/>
          </w:tcPr>
          <w:tbl>
            <w:tblPr>
              <w:tblW w:w="0" w:type="auto"/>
              <w:tblBorders>
                <w:top w:val="nil"/>
                <w:left w:val="nil"/>
                <w:bottom w:val="nil"/>
                <w:right w:val="nil"/>
              </w:tblBorders>
              <w:tblLook w:val="0000" w:firstRow="0" w:lastRow="0" w:firstColumn="0" w:lastColumn="0" w:noHBand="0" w:noVBand="0"/>
            </w:tblPr>
            <w:tblGrid>
              <w:gridCol w:w="2854"/>
            </w:tblGrid>
            <w:tr w:rsidR="00CA682E" w:rsidRPr="00CA682E" w:rsidTr="007B1DE4">
              <w:trPr>
                <w:trHeight w:val="801"/>
              </w:trPr>
              <w:tc>
                <w:tcPr>
                  <w:tcW w:w="0" w:type="auto"/>
                </w:tcPr>
                <w:p w:rsidR="00CA682E" w:rsidRPr="00CA682E" w:rsidRDefault="00CA682E" w:rsidP="00CA682E">
                  <w:pPr>
                    <w:autoSpaceDE w:val="0"/>
                    <w:autoSpaceDN w:val="0"/>
                    <w:adjustRightInd w:val="0"/>
                    <w:rPr>
                      <w:rFonts w:eastAsiaTheme="minorHAnsi"/>
                      <w:b/>
                      <w:bCs/>
                      <w:color w:val="000000" w:themeColor="text1"/>
                      <w:sz w:val="16"/>
                      <w:szCs w:val="16"/>
                      <w:lang w:eastAsia="ja-JP"/>
                    </w:rPr>
                  </w:pPr>
                  <w:r w:rsidRPr="00CA682E">
                    <w:rPr>
                      <w:rFonts w:eastAsia="Batang"/>
                      <w:color w:val="000000" w:themeColor="text1"/>
                      <w:sz w:val="16"/>
                      <w:szCs w:val="16"/>
                      <w:lang w:eastAsia="ja-JP"/>
                    </w:rPr>
                    <w:t>Imposibilidad de realizar obras antes del verano de 2015 en el edificio PCT por no estar disponibles las empresas en la fecha solicitada por la OMPI</w:t>
                  </w:r>
                </w:p>
              </w:tc>
            </w:tr>
          </w:tbl>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80"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Aplazar las obras hasta octubre/noviembre de 2015</w:t>
            </w:r>
          </w:p>
        </w:tc>
        <w:tc>
          <w:tcPr>
            <w:tcW w:w="164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Se materializó el riesgo.  Se aplazó el calendario general del proyecto</w:t>
            </w:r>
          </w:p>
        </w:tc>
      </w:tr>
      <w:tr w:rsidR="00CA682E" w:rsidRPr="00CA682E" w:rsidTr="007B1DE4">
        <w:trPr>
          <w:trHeight w:val="776"/>
          <w:jc w:val="center"/>
        </w:trPr>
        <w:tc>
          <w:tcPr>
            <w:tcW w:w="1679"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Circunstancias imprevistas en las obras del PCT, como demoras en la instalación por la empresa SIG de equipos internos en el edificio PCT y/o problemas técnicos durante la desinstalación de los conductos existentes o debido a ella</w:t>
            </w:r>
          </w:p>
        </w:tc>
        <w:tc>
          <w:tcPr>
            <w:tcW w:w="1680"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Realizar reparaciones y actualizar el calendario de las obras, de ser necesario, incluso para 2016</w:t>
            </w:r>
          </w:p>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c>
          <w:tcPr>
            <w:tcW w:w="164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679"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Circunstancias imprevistas durante el período de garantía de las instalaciones, por ejemplo, avería debido al equipo defectuoso o a una instalación deficiente</w:t>
            </w:r>
          </w:p>
        </w:tc>
        <w:tc>
          <w:tcPr>
            <w:tcW w:w="1680"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Realizar las reparaciones que sean posibles durante el período de garantía</w:t>
            </w:r>
          </w:p>
        </w:tc>
        <w:tc>
          <w:tcPr>
            <w:tcW w:w="1641"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bl>
    <w:p w:rsidR="00CA682E" w:rsidRPr="00CA682E" w:rsidRDefault="00CA682E" w:rsidP="00CA682E">
      <w:pPr>
        <w:autoSpaceDE w:val="0"/>
        <w:autoSpaceDN w:val="0"/>
        <w:jc w:val="both"/>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olor w:val="000000" w:themeColor="text1"/>
          <w:szCs w:val="22"/>
          <w:lang w:eastAsia="en-US"/>
        </w:rPr>
      </w:pPr>
      <w:r w:rsidRPr="00CA682E">
        <w:rPr>
          <w:rFonts w:eastAsia="Times New Roman"/>
          <w:color w:val="000000" w:themeColor="text1"/>
          <w:szCs w:val="22"/>
          <w:lang w:eastAsia="en-US"/>
        </w:rPr>
        <w:br w:type="page"/>
      </w: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lastRenderedPageBreak/>
        <w:t>CALENDARIO DEL PROYECTO, POR ETAPA</w:t>
      </w:r>
    </w:p>
    <w:p w:rsidR="00CA682E" w:rsidRPr="00CA682E" w:rsidRDefault="00CA682E" w:rsidP="00CA682E">
      <w:pPr>
        <w:autoSpaceDE w:val="0"/>
        <w:autoSpaceDN w:val="0"/>
        <w:jc w:val="both"/>
        <w:rPr>
          <w:rFonts w:eastAsia="Times New Roman" w:cs="Times New Roman"/>
          <w:color w:val="000000" w:themeColor="text1"/>
          <w:sz w:val="18"/>
          <w:szCs w:val="24"/>
          <w:lang w:eastAsia="en-US"/>
        </w:rPr>
      </w:pPr>
    </w:p>
    <w:tbl>
      <w:tblPr>
        <w:tblW w:w="8968" w:type="dxa"/>
        <w:jc w:val="center"/>
        <w:tblLook w:val="04A0" w:firstRow="1" w:lastRow="0" w:firstColumn="1" w:lastColumn="0" w:noHBand="0" w:noVBand="1"/>
      </w:tblPr>
      <w:tblGrid>
        <w:gridCol w:w="4167"/>
        <w:gridCol w:w="480"/>
        <w:gridCol w:w="480"/>
        <w:gridCol w:w="480"/>
        <w:gridCol w:w="480"/>
        <w:gridCol w:w="480"/>
        <w:gridCol w:w="480"/>
        <w:gridCol w:w="480"/>
        <w:gridCol w:w="560"/>
        <w:gridCol w:w="448"/>
        <w:gridCol w:w="448"/>
      </w:tblGrid>
      <w:tr w:rsidR="00CA682E" w:rsidRPr="00CA682E" w:rsidTr="007B1DE4">
        <w:trPr>
          <w:trHeight w:val="299"/>
          <w:jc w:val="center"/>
        </w:trPr>
        <w:tc>
          <w:tcPr>
            <w:tcW w:w="1418" w:type="dxa"/>
            <w:tcBorders>
              <w:top w:val="nil"/>
              <w:left w:val="nil"/>
              <w:bottom w:val="nil"/>
              <w:right w:val="nil"/>
            </w:tcBorders>
            <w:shd w:val="clear" w:color="auto" w:fill="auto"/>
            <w:noWrap/>
            <w:vAlign w:val="center"/>
            <w:hideMark/>
          </w:tcPr>
          <w:p w:rsidR="00CA682E" w:rsidRPr="00CA682E" w:rsidRDefault="00CA682E" w:rsidP="00CA682E">
            <w:pPr>
              <w:jc w:val="center"/>
              <w:rPr>
                <w:rFonts w:eastAsia="Times New Roman"/>
                <w:b/>
                <w:bCs/>
                <w:color w:val="000000" w:themeColor="text1"/>
                <w:sz w:val="16"/>
                <w:szCs w:val="16"/>
                <w:lang w:eastAsia="en-US"/>
              </w:rPr>
            </w:pPr>
          </w:p>
        </w:tc>
        <w:tc>
          <w:tcPr>
            <w:tcW w:w="1531"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2014</w:t>
            </w:r>
          </w:p>
        </w:tc>
        <w:tc>
          <w:tcPr>
            <w:tcW w:w="1531"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1531" w:type="dxa"/>
            <w:gridSpan w:val="2"/>
            <w:tcBorders>
              <w:top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jc w:val="center"/>
              <w:rPr>
                <w:rFonts w:eastAsia="Times New Roman" w:cs="Times New Roman"/>
                <w:b/>
                <w:color w:val="000000" w:themeColor="text1"/>
                <w:sz w:val="20"/>
                <w:szCs w:val="24"/>
                <w:lang w:eastAsia="en-US"/>
              </w:rPr>
            </w:pPr>
            <w:r w:rsidRPr="00CA682E">
              <w:rPr>
                <w:rFonts w:eastAsia="Times New Roman" w:cs="Times New Roman"/>
                <w:b/>
                <w:color w:val="000000" w:themeColor="text1"/>
                <w:sz w:val="16"/>
                <w:szCs w:val="24"/>
                <w:lang w:eastAsia="en-US"/>
              </w:rPr>
              <w:t>2016</w:t>
            </w:r>
          </w:p>
        </w:tc>
      </w:tr>
      <w:tr w:rsidR="00CA682E" w:rsidRPr="00CA682E" w:rsidTr="007B1DE4">
        <w:trPr>
          <w:trHeight w:val="375"/>
          <w:jc w:val="center"/>
        </w:trPr>
        <w:tc>
          <w:tcPr>
            <w:tcW w:w="4167"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 fundamental</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56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after="2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50" w:type="dxa"/>
            <w:tcBorders>
              <w:top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spacing w:before="240" w:after="2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T1.</w:t>
            </w:r>
          </w:p>
        </w:tc>
        <w:tc>
          <w:tcPr>
            <w:tcW w:w="431" w:type="dxa"/>
            <w:tcBorders>
              <w:top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spacing w:before="240" w:after="2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T2.</w:t>
            </w:r>
          </w:p>
        </w:tc>
      </w:tr>
      <w:tr w:rsidR="00CA682E" w:rsidRPr="00CA682E" w:rsidTr="007B1DE4">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Adjudicación del contrato al ingeniero en climatización (AB y PCT)</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54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presentar ofertas para las empresas (AB)</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425"/>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Ejecución y puesta en servicio de las obras (AB)</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417"/>
          <w:jc w:val="center"/>
        </w:trPr>
        <w:tc>
          <w:tcPr>
            <w:tcW w:w="4167"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Validación del proyecto con el ingeniero en climatización (PCT)</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410"/>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licitación para las empresas (PCT)</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56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r w:rsidR="00CA682E" w:rsidRPr="00CA682E" w:rsidTr="007B1DE4">
        <w:trPr>
          <w:trHeight w:val="413"/>
          <w:jc w:val="center"/>
        </w:trPr>
        <w:tc>
          <w:tcPr>
            <w:tcW w:w="4167"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Ejecución y puesta en servicio de las obras (PCT)</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56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50"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X</w:t>
            </w:r>
          </w:p>
        </w:tc>
        <w:tc>
          <w:tcPr>
            <w:tcW w:w="431" w:type="dxa"/>
            <w:tcBorders>
              <w:top w:val="single" w:sz="4" w:space="0" w:color="auto"/>
              <w:bottom w:val="single" w:sz="4" w:space="0" w:color="auto"/>
              <w:right w:val="single" w:sz="4" w:space="0" w:color="auto"/>
            </w:tcBorders>
            <w:shd w:val="clear" w:color="auto" w:fill="auto"/>
            <w:vAlign w:val="center"/>
          </w:tcPr>
          <w:p w:rsidR="00CA682E" w:rsidRPr="00CA682E" w:rsidRDefault="00CA682E" w:rsidP="00CA682E">
            <w:pPr>
              <w:spacing w:before="40" w:after="40"/>
              <w:jc w:val="center"/>
              <w:rPr>
                <w:rFonts w:eastAsia="Times New Roman" w:cs="Times New Roman"/>
                <w:color w:val="000000" w:themeColor="text1"/>
                <w:sz w:val="20"/>
                <w:szCs w:val="24"/>
                <w:lang w:eastAsia="en-US"/>
              </w:rPr>
            </w:pPr>
          </w:p>
        </w:tc>
      </w:tr>
    </w:tbl>
    <w:p w:rsidR="00CA682E" w:rsidRPr="00CA682E" w:rsidRDefault="00CA682E" w:rsidP="00CA682E">
      <w:pPr>
        <w:autoSpaceDE w:val="0"/>
        <w:autoSpaceDN w:val="0"/>
        <w:jc w:val="both"/>
        <w:rPr>
          <w:rFonts w:eastAsia="Times New Roman" w:cs="Times New Roman"/>
          <w:color w:val="000000" w:themeColor="text1"/>
          <w:sz w:val="20"/>
          <w:szCs w:val="24"/>
          <w:lang w:eastAsia="en-US"/>
        </w:rPr>
      </w:pPr>
    </w:p>
    <w:p w:rsidR="00CA682E" w:rsidRPr="00CA682E" w:rsidRDefault="00CA682E" w:rsidP="00CA682E">
      <w:pPr>
        <w:spacing w:after="200" w:line="276" w:lineRule="auto"/>
        <w:rPr>
          <w:rFonts w:eastAsia="Times New Roman" w:cs="Times New Roman"/>
          <w:b/>
          <w:noProof/>
          <w:color w:val="000000" w:themeColor="text1"/>
          <w:szCs w:val="24"/>
          <w:lang w:eastAsia="en-US"/>
        </w:rPr>
      </w:pPr>
      <w:r w:rsidRPr="00CA682E">
        <w:rPr>
          <w:rFonts w:eastAsia="Times New Roman" w:cs="Times New Roman"/>
          <w:b/>
          <w:noProof/>
          <w:color w:val="000000" w:themeColor="text1"/>
          <w:szCs w:val="24"/>
          <w:lang w:eastAsia="en-US"/>
        </w:rPr>
        <w:br w:type="page"/>
      </w:r>
    </w:p>
    <w:p w:rsidR="00CA682E" w:rsidRPr="00CA682E" w:rsidRDefault="00CA682E" w:rsidP="00CA682E">
      <w:pPr>
        <w:rPr>
          <w:rFonts w:eastAsia="Times New Roman" w:cs="Times New Roman"/>
          <w:b/>
          <w:noProof/>
          <w:color w:val="000000" w:themeColor="text1"/>
          <w:szCs w:val="24"/>
          <w:lang w:eastAsia="en-US"/>
        </w:rPr>
      </w:pPr>
      <w:r w:rsidRPr="00CA682E">
        <w:rPr>
          <w:rFonts w:eastAsia="Times New Roman" w:cs="Times New Roman"/>
          <w:b/>
          <w:noProof/>
          <w:color w:val="000000" w:themeColor="text1"/>
          <w:szCs w:val="24"/>
          <w:lang w:eastAsia="en-US"/>
        </w:rPr>
        <w:lastRenderedPageBreak/>
        <w:t>PROYECTOS RELACIONADOS CON LOS EDIFICIOS</w:t>
      </w:r>
    </w:p>
    <w:p w:rsidR="00CA682E" w:rsidRPr="00CA682E" w:rsidRDefault="00CA682E" w:rsidP="00DD172C">
      <w:pPr>
        <w:keepNext/>
        <w:spacing w:before="240" w:after="60"/>
        <w:ind w:left="1701" w:hanging="1701"/>
        <w:outlineLvl w:val="2"/>
        <w:rPr>
          <w:b/>
          <w:bCs/>
          <w:i/>
          <w:color w:val="000000" w:themeColor="text1"/>
          <w:sz w:val="20"/>
          <w:szCs w:val="26"/>
          <w:lang w:eastAsia="en-US"/>
        </w:rPr>
      </w:pPr>
      <w:bookmarkStart w:id="229" w:name="_Toc455159120"/>
      <w:r w:rsidRPr="00CA682E">
        <w:rPr>
          <w:b/>
          <w:bCs/>
          <w:i/>
          <w:color w:val="000000" w:themeColor="text1"/>
          <w:sz w:val="20"/>
          <w:szCs w:val="26"/>
          <w:lang w:eastAsia="en-US"/>
        </w:rPr>
        <w:t>PROYECTO 5</w:t>
      </w:r>
      <w:r w:rsidR="00DD172C">
        <w:rPr>
          <w:b/>
          <w:bCs/>
          <w:i/>
          <w:color w:val="000000" w:themeColor="text1"/>
          <w:sz w:val="20"/>
          <w:szCs w:val="26"/>
          <w:lang w:eastAsia="en-US"/>
        </w:rPr>
        <w:t>:</w:t>
      </w:r>
      <w:r w:rsidR="00DD172C">
        <w:rPr>
          <w:b/>
          <w:bCs/>
          <w:i/>
          <w:color w:val="000000" w:themeColor="text1"/>
          <w:sz w:val="20"/>
          <w:szCs w:val="26"/>
          <w:lang w:eastAsia="en-US"/>
        </w:rPr>
        <w:tab/>
      </w:r>
      <w:r w:rsidRPr="00CA682E">
        <w:rPr>
          <w:b/>
          <w:bCs/>
          <w:i/>
          <w:color w:val="000000" w:themeColor="text1"/>
          <w:sz w:val="20"/>
          <w:szCs w:val="26"/>
          <w:lang w:eastAsia="en-US"/>
        </w:rPr>
        <w:t>EDIFICIO ARPAD BOGSCH – FASE 1 DE LA RENOVACIÓN DEL SUBSUELO (ADAPTACIÓN DE LAS DIMENSIONES DEL CENTRO DE DATOS Y RENOVACIÓN DE LA IMPRENTA) (PMM 5)</w:t>
      </w:r>
      <w:bookmarkEnd w:id="229"/>
    </w:p>
    <w:p w:rsidR="00CA682E" w:rsidRPr="00CA682E" w:rsidRDefault="00CA682E" w:rsidP="00CA682E">
      <w:pPr>
        <w:rPr>
          <w:rFonts w:eastAsia="Times New Roman" w:cs="Times New Roman"/>
          <w:b/>
          <w:noProof/>
          <w:color w:val="000000" w:themeColor="text1"/>
          <w:sz w:val="18"/>
          <w:szCs w:val="24"/>
          <w:lang w:eastAsia="en-US"/>
        </w:rPr>
      </w:pPr>
    </w:p>
    <w:p w:rsidR="00CA682E" w:rsidRPr="00CA682E" w:rsidRDefault="00CA682E" w:rsidP="00CA682E">
      <w:pPr>
        <w:rPr>
          <w:rFonts w:eastAsia="Times New Roman" w:cs="Times New Roman"/>
          <w:b/>
          <w:noProof/>
          <w:color w:val="000000" w:themeColor="text1"/>
          <w:sz w:val="20"/>
          <w:lang w:eastAsia="en-US"/>
        </w:rPr>
      </w:pPr>
      <w:r w:rsidRPr="00CA682E">
        <w:rPr>
          <w:rFonts w:eastAsia="Times New Roman" w:cs="Times New Roman"/>
          <w:b/>
          <w:noProof/>
          <w:color w:val="000000" w:themeColor="text1"/>
          <w:sz w:val="20"/>
          <w:lang w:eastAsia="en-US"/>
        </w:rPr>
        <w:t>Director de proyecto:</w:t>
      </w:r>
      <w:r w:rsidRPr="00CA682E">
        <w:rPr>
          <w:rFonts w:eastAsia="Times New Roman" w:cs="Times New Roman"/>
          <w:b/>
          <w:noProof/>
          <w:color w:val="000000" w:themeColor="text1"/>
          <w:sz w:val="20"/>
          <w:lang w:eastAsia="en-US"/>
        </w:rPr>
        <w:tab/>
        <w:t>Sr. A. FAVERO</w:t>
      </w:r>
    </w:p>
    <w:p w:rsidR="00CA682E" w:rsidRPr="00CA682E" w:rsidRDefault="00CA682E" w:rsidP="00CA682E">
      <w:pPr>
        <w:rPr>
          <w:rFonts w:eastAsia="Times New Roman" w:cs="Times New Roman"/>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18"/>
          <w:lang w:eastAsia="en-US"/>
        </w:rPr>
      </w:pPr>
    </w:p>
    <w:p w:rsidR="00CA682E" w:rsidRPr="00CA682E" w:rsidRDefault="00CA682E" w:rsidP="00CA682E">
      <w:pPr>
        <w:rPr>
          <w:rFonts w:eastAsia="Times New Roman" w:cs="Times New Roman"/>
          <w:bCs/>
          <w:color w:val="000000" w:themeColor="text1"/>
          <w:sz w:val="20"/>
          <w:szCs w:val="22"/>
          <w:lang w:eastAsia="en-US"/>
        </w:rPr>
      </w:pPr>
      <w:r w:rsidRPr="00CA682E">
        <w:rPr>
          <w:rFonts w:eastAsia="Times New Roman" w:cs="Times New Roman"/>
          <w:bCs/>
          <w:color w:val="000000" w:themeColor="text1"/>
          <w:sz w:val="20"/>
          <w:szCs w:val="22"/>
          <w:lang w:eastAsia="en-US"/>
        </w:rPr>
        <w:t>RESULTADO PREVISTO</w:t>
      </w:r>
    </w:p>
    <w:p w:rsidR="00CA682E" w:rsidRPr="00CA682E" w:rsidRDefault="00CA682E" w:rsidP="00CA682E">
      <w:pPr>
        <w:rPr>
          <w:rFonts w:eastAsia="Times New Roman" w:cs="Times New Roman"/>
          <w:bCs/>
          <w:color w:val="000000" w:themeColor="text1"/>
          <w:sz w:val="18"/>
          <w:lang w:eastAsia="en-US"/>
        </w:rPr>
      </w:pPr>
    </w:p>
    <w:p w:rsidR="00CA682E" w:rsidRPr="00CA682E" w:rsidRDefault="00CA682E" w:rsidP="00CA682E">
      <w:pPr>
        <w:rPr>
          <w:rFonts w:eastAsia="Times New Roman" w:cs="Times New Roman"/>
          <w:i/>
          <w:iCs/>
          <w:color w:val="000000" w:themeColor="text1"/>
          <w:sz w:val="20"/>
          <w:lang w:eastAsia="en-US"/>
        </w:rPr>
      </w:pPr>
      <w:r w:rsidRPr="00CA682E">
        <w:rPr>
          <w:rFonts w:eastAsia="Times New Roman" w:cs="Times New Roman"/>
          <w:i/>
          <w:iCs/>
          <w:color w:val="000000" w:themeColor="text1"/>
          <w:sz w:val="20"/>
          <w:lang w:eastAsia="en-US"/>
        </w:rPr>
        <w:t xml:space="preserve">IX.1  Servicios de </w:t>
      </w:r>
      <w:proofErr w:type="gramStart"/>
      <w:r w:rsidRPr="00CA682E">
        <w:rPr>
          <w:rFonts w:eastAsia="Times New Roman" w:cs="Times New Roman"/>
          <w:i/>
          <w:iCs/>
          <w:color w:val="000000" w:themeColor="text1"/>
          <w:sz w:val="20"/>
          <w:lang w:eastAsia="en-US"/>
        </w:rPr>
        <w:t>apoyo eficaces, eficientes, de calidad y orientados</w:t>
      </w:r>
      <w:proofErr w:type="gramEnd"/>
      <w:r w:rsidRPr="00CA682E">
        <w:rPr>
          <w:rFonts w:eastAsia="Times New Roman" w:cs="Times New Roman"/>
          <w:i/>
          <w:iCs/>
          <w:color w:val="000000" w:themeColor="text1"/>
          <w:sz w:val="20"/>
          <w:lang w:eastAsia="en-US"/>
        </w:rPr>
        <w:t xml:space="preserve"> al cliente, tanto a los clientes internos como a las partes interesadas externas</w:t>
      </w: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20"/>
          <w:szCs w:val="22"/>
          <w:lang w:eastAsia="en-US"/>
        </w:rPr>
      </w:pPr>
      <w:r w:rsidRPr="00CA682E">
        <w:rPr>
          <w:rFonts w:eastAsia="Times New Roman" w:cs="Times New Roman"/>
          <w:bCs/>
          <w:noProof/>
          <w:color w:val="000000" w:themeColor="text1"/>
          <w:sz w:val="20"/>
          <w:szCs w:val="22"/>
          <w:lang w:eastAsia="en-US"/>
        </w:rPr>
        <w:t>OBJETIVOS, ALCANCE Y ENFOQUE: ANTECEDENTES</w:t>
      </w: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Es necesario adaptar las dimensiones del actual centro de datos situado en el subsuelo del edificio AB con el fin de adecuarlo a su nuevo objetivo, más reducido, de servir de sala informática para uso exclusivo de los usuarios del edificio AB.  Se prevé que esta adaptación permitirá liberar una superficie importante que podrá utilizarse ulteriormente para ampliar la actual imprenta, que necesita renovación.</w:t>
      </w:r>
    </w:p>
    <w:p w:rsidR="00CA682E" w:rsidRPr="00CA682E" w:rsidRDefault="00CA682E" w:rsidP="00CA682E">
      <w:pPr>
        <w:tabs>
          <w:tab w:val="left" w:pos="567"/>
        </w:tabs>
        <w:jc w:val="both"/>
        <w:rPr>
          <w:rFonts w:eastAsia="Times New Roman" w:cs="Times New Roman"/>
          <w:bCs/>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imes New Roman" w:cs="Times New Roman"/>
          <w:bCs/>
          <w:noProof/>
          <w:color w:val="000000" w:themeColor="text1"/>
          <w:sz w:val="20"/>
          <w:lang w:eastAsia="en-US"/>
        </w:rPr>
      </w:pPr>
      <w:r w:rsidRPr="00CA682E">
        <w:rPr>
          <w:rFonts w:eastAsia="Times New Roman" w:cs="Times New Roman"/>
          <w:bCs/>
          <w:noProof/>
          <w:color w:val="000000" w:themeColor="text1"/>
          <w:sz w:val="20"/>
          <w:lang w:eastAsia="en-US"/>
        </w:rPr>
        <w:t>Los objetivos de este proyecto son: i) determinar la superficie necesaria para la instalación de la imprenta y la sala de informática y documentación, reduciendo las dimensiones del centro de datos con el fin de disponer de un espacio suficientemente amplio para la expansión y renovación de la imprenta;  ii) reducir el consumo de energía mediante la remoción de determinados equipos técnicos del centro de datos;  y iii) mejorar los espacios de trabajo del personal de la sala de imprenta y documentación.</w:t>
      </w: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20"/>
          <w:lang w:eastAsia="en-US"/>
        </w:rPr>
      </w:pPr>
    </w:p>
    <w:p w:rsidR="00CA682E" w:rsidRPr="00CA682E" w:rsidRDefault="00CA682E" w:rsidP="00CA682E">
      <w:pPr>
        <w:rPr>
          <w:rFonts w:eastAsia="Times New Roman" w:cs="Times New Roman"/>
          <w:bCs/>
          <w:noProof/>
          <w:color w:val="000000" w:themeColor="text1"/>
          <w:sz w:val="20"/>
          <w:szCs w:val="22"/>
          <w:lang w:eastAsia="en-US"/>
        </w:rPr>
      </w:pPr>
      <w:r w:rsidRPr="00CA682E">
        <w:rPr>
          <w:rFonts w:eastAsia="Times New Roman" w:cs="Times New Roman"/>
          <w:bCs/>
          <w:noProof/>
          <w:color w:val="000000" w:themeColor="text1"/>
          <w:sz w:val="20"/>
          <w:szCs w:val="22"/>
          <w:lang w:eastAsia="en-US"/>
        </w:rPr>
        <w:t>RESEÑA DE LOS AVANCES LOGRADOS EN 2015 (ETAPAS FUNDAMENTALES)</w:t>
      </w:r>
    </w:p>
    <w:p w:rsidR="00CA682E" w:rsidRPr="00CA682E" w:rsidRDefault="00CA682E" w:rsidP="00CA682E">
      <w:pPr>
        <w:autoSpaceDE w:val="0"/>
        <w:autoSpaceDN w:val="0"/>
        <w:adjustRightInd w:val="0"/>
        <w:rPr>
          <w:rFonts w:eastAsiaTheme="minorHAnsi"/>
          <w:color w:val="000000" w:themeColor="text1"/>
          <w:sz w:val="20"/>
          <w:szCs w:val="24"/>
          <w:lang w:eastAsia="en-US"/>
        </w:rPr>
      </w:pPr>
    </w:p>
    <w:p w:rsidR="00CA682E" w:rsidRPr="00CA682E" w:rsidRDefault="00CA682E" w:rsidP="00CA682E">
      <w:pPr>
        <w:numPr>
          <w:ilvl w:val="0"/>
          <w:numId w:val="129"/>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2014, se realizaron los siguientes progresos: </w:t>
      </w:r>
    </w:p>
    <w:p w:rsidR="00CA682E" w:rsidRPr="00CA682E" w:rsidRDefault="00CA682E" w:rsidP="00CA682E">
      <w:pPr>
        <w:autoSpaceDE w:val="0"/>
        <w:autoSpaceDN w:val="0"/>
        <w:adjustRightInd w:val="0"/>
        <w:spacing w:after="13"/>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elaboró el mandato del arquitecto;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llamó a licitación para la selección del arquitecto; y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adjudicaron contratos al arquitecto y al ingeniero en climatización. </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Debido a la demora en la finalización de la nueva sala de conferencias de la OMPI (aplazada de comienzos de 2014 a septiembre de 2014), la puesta en marcha del proyecto se retrasó seis meses con respecto al plan original. El calendario del proyecto se ha modificado en consecuencia. </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2015, se realizaron los avances siguientes: </w:t>
      </w:r>
    </w:p>
    <w:p w:rsidR="00CA682E" w:rsidRPr="00CA682E" w:rsidRDefault="00CA682E" w:rsidP="00CA682E">
      <w:pPr>
        <w:autoSpaceDE w:val="0"/>
        <w:autoSpaceDN w:val="0"/>
        <w:adjustRightInd w:val="0"/>
        <w:ind w:left="714"/>
        <w:rPr>
          <w:rFonts w:eastAsia="Times New Roman" w:cs="Times New Roman"/>
          <w:bCs/>
          <w:color w:val="000000" w:themeColor="text1"/>
          <w:sz w:val="20"/>
          <w:lang w:eastAsia="en-US"/>
        </w:rPr>
      </w:pPr>
    </w:p>
    <w:p w:rsidR="00CA682E" w:rsidRPr="00CA682E" w:rsidRDefault="00CA60DC" w:rsidP="00CA682E">
      <w:pPr>
        <w:numPr>
          <w:ilvl w:val="0"/>
          <w:numId w:val="136"/>
        </w:numPr>
        <w:tabs>
          <w:tab w:val="left" w:pos="1134"/>
        </w:tabs>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inicio </w:t>
      </w:r>
      <w:r w:rsidR="00CA682E" w:rsidRPr="00CA682E">
        <w:rPr>
          <w:rFonts w:eastAsia="Times New Roman" w:cs="Times New Roman"/>
          <w:bCs/>
          <w:color w:val="000000" w:themeColor="text1"/>
          <w:sz w:val="20"/>
          <w:lang w:eastAsia="en-US"/>
        </w:rPr>
        <w:t>de los estudios por el arquitecto;  y</w:t>
      </w:r>
    </w:p>
    <w:p w:rsidR="00CA682E" w:rsidRPr="00CA682E" w:rsidRDefault="00CA60DC" w:rsidP="00CA682E">
      <w:pPr>
        <w:numPr>
          <w:ilvl w:val="0"/>
          <w:numId w:val="136"/>
        </w:numPr>
        <w:tabs>
          <w:tab w:val="left" w:pos="1134"/>
        </w:tabs>
        <w:autoSpaceDE w:val="0"/>
        <w:autoSpaceDN w:val="0"/>
        <w:adjustRightInd w:val="0"/>
        <w:spacing w:after="120"/>
        <w:ind w:left="1134" w:hanging="567"/>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traslado </w:t>
      </w:r>
      <w:r w:rsidR="00CA682E" w:rsidRPr="00CA682E">
        <w:rPr>
          <w:rFonts w:eastAsia="Times New Roman" w:cs="Times New Roman"/>
          <w:bCs/>
          <w:color w:val="000000" w:themeColor="text1"/>
          <w:sz w:val="20"/>
          <w:lang w:eastAsia="en-US"/>
        </w:rPr>
        <w:t>del equipo informático al centro de datos redimensionado para determinar la superficie disponible para la futura imprenta.</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29"/>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A finales de 2015 todavía había de validarse a nivel interno el espacio necesario para la imprenta ampliada y renovada, con las consiguientes demoras adicionales en la ejecución del proyecto.  </w:t>
      </w:r>
      <w:r w:rsidRPr="00CA682E">
        <w:rPr>
          <w:rFonts w:eastAsia="Times New Roman" w:cs="Times New Roman"/>
          <w:bCs/>
          <w:noProof/>
          <w:color w:val="000000" w:themeColor="text1"/>
          <w:sz w:val="20"/>
          <w:lang w:eastAsia="en-US"/>
        </w:rPr>
        <w:t>El calendario del proyecto se ha modificado en consecuencia.</w:t>
      </w:r>
    </w:p>
    <w:p w:rsidR="00CA682E" w:rsidRPr="00CA682E" w:rsidRDefault="00CA682E" w:rsidP="00CA682E">
      <w:pPr>
        <w:spacing w:after="200" w:line="276" w:lineRule="auto"/>
        <w:rPr>
          <w:rFonts w:eastAsiaTheme="minorHAnsi"/>
          <w:color w:val="000000" w:themeColor="text1"/>
          <w:sz w:val="20"/>
          <w:lang w:eastAsia="en-US"/>
        </w:rPr>
      </w:pPr>
      <w:r w:rsidRPr="00CA682E">
        <w:rPr>
          <w:rFonts w:eastAsiaTheme="minorHAnsi"/>
          <w:color w:val="000000" w:themeColor="text1"/>
          <w:sz w:val="20"/>
          <w:lang w:eastAsia="en-US"/>
        </w:rPr>
        <w:br w:type="page"/>
      </w:r>
    </w:p>
    <w:p w:rsidR="00CA682E" w:rsidRPr="00CA682E" w:rsidRDefault="00CA682E" w:rsidP="00CA682E">
      <w:pPr>
        <w:keepNext/>
        <w:keepLines/>
        <w:rPr>
          <w:rFonts w:eastAsia="Times New Roman" w:cs="Times New Roman"/>
          <w:noProof/>
          <w:color w:val="000000" w:themeColor="text1"/>
          <w:sz w:val="20"/>
          <w:lang w:eastAsia="en-US"/>
        </w:rPr>
      </w:pPr>
      <w:r w:rsidRPr="00CA682E">
        <w:rPr>
          <w:rFonts w:eastAsia="Times New Roman" w:cs="Times New Roman"/>
          <w:noProof/>
          <w:color w:val="000000" w:themeColor="text1"/>
          <w:sz w:val="20"/>
          <w:lang w:eastAsia="en-US"/>
        </w:rPr>
        <w:lastRenderedPageBreak/>
        <w:t>OBTENCIÓN DE BENEFICIOS</w:t>
      </w:r>
    </w:p>
    <w:p w:rsidR="00CA682E" w:rsidRPr="00CA682E" w:rsidRDefault="00CA682E" w:rsidP="00CA682E">
      <w:pPr>
        <w:keepNext/>
        <w:keepLines/>
        <w:rPr>
          <w:rFonts w:eastAsia="Times New Roman" w:cs="Times New Roman"/>
          <w:noProof/>
          <w:color w:val="000000" w:themeColor="text1"/>
          <w:sz w:val="20"/>
          <w:lang w:eastAsia="en-US"/>
        </w:rPr>
      </w:pPr>
    </w:p>
    <w:tbl>
      <w:tblPr>
        <w:tblW w:w="3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20"/>
      </w:tblGrid>
      <w:tr w:rsidR="00CA682E" w:rsidRPr="00CA682E" w:rsidTr="007B1DE4">
        <w:trPr>
          <w:trHeight w:val="442"/>
          <w:tblHeader/>
          <w:jc w:val="center"/>
        </w:trPr>
        <w:tc>
          <w:tcPr>
            <w:tcW w:w="5000" w:type="pct"/>
            <w:shd w:val="clear" w:color="auto" w:fill="C6D9F1" w:themeFill="text2" w:themeFillTint="33"/>
            <w:vAlign w:val="center"/>
          </w:tcPr>
          <w:p w:rsidR="00CA682E" w:rsidRPr="00CA682E" w:rsidRDefault="00CA682E" w:rsidP="00CA682E">
            <w:pPr>
              <w:keepNext/>
              <w:keepLines/>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Beneficios previstos para 2017</w:t>
            </w:r>
          </w:p>
        </w:tc>
      </w:tr>
      <w:tr w:rsidR="00CA682E" w:rsidRPr="00CA682E" w:rsidTr="007B1DE4">
        <w:trPr>
          <w:trHeight w:val="348"/>
          <w:jc w:val="center"/>
        </w:trPr>
        <w:tc>
          <w:tcPr>
            <w:tcW w:w="5000" w:type="pct"/>
            <w:shd w:val="clear" w:color="auto" w:fill="auto"/>
            <w:vAlign w:val="center"/>
          </w:tcPr>
          <w:p w:rsidR="00CA682E" w:rsidRPr="00CA682E" w:rsidRDefault="00CA682E" w:rsidP="00CA682E">
            <w:pPr>
              <w:spacing w:before="60" w:after="60"/>
              <w:rPr>
                <w:rFonts w:eastAsia="Times New Roman" w:cs="Times New Roman"/>
                <w:bCs/>
                <w:iCs/>
                <w:noProof/>
                <w:color w:val="000000" w:themeColor="text1"/>
                <w:sz w:val="16"/>
                <w:szCs w:val="16"/>
                <w:lang w:eastAsia="en-US"/>
              </w:rPr>
            </w:pPr>
            <w:r w:rsidRPr="00CA682E">
              <w:rPr>
                <w:rFonts w:eastAsia="Times New Roman" w:cs="Times New Roman"/>
                <w:bCs/>
                <w:iCs/>
                <w:noProof/>
                <w:color w:val="000000" w:themeColor="text1"/>
                <w:sz w:val="16"/>
                <w:szCs w:val="16"/>
                <w:lang w:eastAsia="en-US"/>
              </w:rPr>
              <w:t>Mejor asignación del espacio disponible en función de los usos respectivos</w:t>
            </w:r>
          </w:p>
        </w:tc>
      </w:tr>
      <w:tr w:rsidR="00CA682E" w:rsidRPr="00CA682E" w:rsidTr="007B1DE4">
        <w:trPr>
          <w:trHeight w:val="281"/>
          <w:jc w:val="center"/>
        </w:trPr>
        <w:tc>
          <w:tcPr>
            <w:tcW w:w="5000" w:type="pct"/>
            <w:shd w:val="clear" w:color="auto" w:fill="auto"/>
            <w:vAlign w:val="center"/>
          </w:tcPr>
          <w:p w:rsidR="00CA682E" w:rsidRPr="00CA682E" w:rsidRDefault="00CA682E" w:rsidP="00CA682E">
            <w:pPr>
              <w:spacing w:before="60" w:after="60"/>
              <w:rPr>
                <w:rFonts w:eastAsia="Times New Roman" w:cs="Times New Roman"/>
                <w:bCs/>
                <w:iCs/>
                <w:noProof/>
                <w:color w:val="000000" w:themeColor="text1"/>
                <w:sz w:val="16"/>
                <w:szCs w:val="16"/>
                <w:lang w:eastAsia="en-US"/>
              </w:rPr>
            </w:pPr>
            <w:r w:rsidRPr="00CA682E">
              <w:rPr>
                <w:rFonts w:eastAsia="Times New Roman" w:cs="Times New Roman"/>
                <w:bCs/>
                <w:iCs/>
                <w:noProof/>
                <w:color w:val="000000" w:themeColor="text1"/>
                <w:sz w:val="16"/>
                <w:szCs w:val="16"/>
                <w:lang w:eastAsia="en-US"/>
              </w:rPr>
              <w:t>Reducción parcial del consumo de energía en la zona afectada por las obras en el edificio AB</w:t>
            </w:r>
          </w:p>
        </w:tc>
      </w:tr>
      <w:tr w:rsidR="00CA682E" w:rsidRPr="00CA682E" w:rsidTr="007B1DE4">
        <w:trPr>
          <w:trHeight w:val="274"/>
          <w:jc w:val="center"/>
        </w:trPr>
        <w:tc>
          <w:tcPr>
            <w:tcW w:w="5000" w:type="pct"/>
            <w:shd w:val="clear" w:color="auto" w:fill="auto"/>
            <w:vAlign w:val="center"/>
          </w:tcPr>
          <w:p w:rsidR="00CA682E" w:rsidRPr="00CA682E" w:rsidRDefault="00CA682E" w:rsidP="00CA682E">
            <w:pPr>
              <w:spacing w:before="60" w:after="60"/>
              <w:rPr>
                <w:rFonts w:eastAsia="Times New Roman" w:cs="Times New Roman"/>
                <w:bCs/>
                <w:iCs/>
                <w:noProof/>
                <w:color w:val="000000" w:themeColor="text1"/>
                <w:sz w:val="16"/>
                <w:szCs w:val="16"/>
                <w:lang w:eastAsia="en-US"/>
              </w:rPr>
            </w:pPr>
            <w:r w:rsidRPr="00CA682E">
              <w:rPr>
                <w:rFonts w:eastAsia="Times New Roman" w:cs="Times New Roman"/>
                <w:bCs/>
                <w:iCs/>
                <w:noProof/>
                <w:color w:val="000000" w:themeColor="text1"/>
                <w:sz w:val="16"/>
                <w:szCs w:val="16"/>
                <w:lang w:eastAsia="en-US"/>
              </w:rPr>
              <w:t>Mejora de los espacios de trabajo del personal de la imprenta y la documentación</w:t>
            </w:r>
          </w:p>
        </w:tc>
      </w:tr>
    </w:tbl>
    <w:p w:rsidR="00CA682E" w:rsidRPr="00CA682E" w:rsidRDefault="00CA682E" w:rsidP="00CA682E">
      <w:pPr>
        <w:rPr>
          <w:rFonts w:eastAsia="Times New Roman"/>
          <w:noProof/>
          <w:color w:val="000000" w:themeColor="text1"/>
          <w:sz w:val="20"/>
          <w:lang w:eastAsia="en-US"/>
        </w:rPr>
      </w:pPr>
    </w:p>
    <w:p w:rsidR="00CA682E" w:rsidRPr="00CA682E" w:rsidRDefault="00CA682E" w:rsidP="00CA682E">
      <w:pPr>
        <w:rPr>
          <w:rFonts w:eastAsia="Times New Roman"/>
          <w:noProof/>
          <w:color w:val="000000" w:themeColor="text1"/>
          <w:sz w:val="20"/>
          <w:lang w:eastAsia="en-US"/>
        </w:rPr>
      </w:pPr>
    </w:p>
    <w:p w:rsidR="00CA682E" w:rsidRPr="00CA682E" w:rsidRDefault="00CA682E" w:rsidP="00CA682E">
      <w:pPr>
        <w:rPr>
          <w:rFonts w:eastAsia="Times New Roman"/>
          <w:noProof/>
          <w:color w:val="000000" w:themeColor="text1"/>
          <w:sz w:val="20"/>
          <w:lang w:eastAsia="en-US"/>
        </w:rPr>
      </w:pPr>
      <w:r w:rsidRPr="00CA682E">
        <w:rPr>
          <w:rFonts w:eastAsia="Times New Roman"/>
          <w:noProof/>
          <w:color w:val="000000" w:themeColor="text1"/>
          <w:sz w:val="20"/>
          <w:lang w:eastAsia="en-US"/>
        </w:rPr>
        <w:t>UTILIZACIÓN DE LOS RECURSOS</w:t>
      </w:r>
      <w:r w:rsidRPr="00CA682E">
        <w:rPr>
          <w:rFonts w:eastAsia="Times New Roman"/>
          <w:noProof/>
          <w:color w:val="000000" w:themeColor="text1"/>
          <w:sz w:val="20"/>
          <w:vertAlign w:val="superscript"/>
          <w:lang w:eastAsia="en-US"/>
        </w:rPr>
        <w:footnoteReference w:id="178"/>
      </w:r>
    </w:p>
    <w:p w:rsidR="00CA682E" w:rsidRPr="00CA682E" w:rsidRDefault="00CA682E" w:rsidP="00CA682E">
      <w:pPr>
        <w:rPr>
          <w:rFonts w:eastAsia="Times New Roman"/>
          <w:noProof/>
          <w:color w:val="000000" w:themeColor="text1"/>
          <w:sz w:val="20"/>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r w:rsidRPr="00CA682E">
        <w:rPr>
          <w:rFonts w:eastAsia="Times New Roman" w:cs="Times New Roman"/>
          <w:b/>
          <w:noProof/>
          <w:color w:val="000000" w:themeColor="text1"/>
          <w:sz w:val="20"/>
          <w:szCs w:val="22"/>
          <w:lang w:eastAsia="en-US"/>
        </w:rPr>
        <w:t>Utilización del presupuesto del proyecto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noProof/>
          <w:color w:val="000000" w:themeColor="text1"/>
          <w:sz w:val="18"/>
          <w:szCs w:val="18"/>
          <w:lang w:eastAsia="en-US"/>
        </w:rPr>
      </w:pPr>
      <w:r w:rsidRPr="00CA682E">
        <w:rPr>
          <w:rFonts w:eastAsia="Times New Roman" w:cs="Times New Roman"/>
          <w:i/>
          <w:iCs/>
          <w:noProof/>
          <w:color w:val="000000" w:themeColor="text1"/>
          <w:sz w:val="18"/>
          <w:szCs w:val="18"/>
          <w:lang w:eastAsia="en-US"/>
        </w:rPr>
        <w:t>(en francos suizos, al 31 de diciembre de 2015)</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CA682E" w:rsidRPr="00CA682E" w:rsidTr="007B1DE4">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Nombre del proyecto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Presupuesto del proyecto</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Gasto real hasta la fecha</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Utilización real del presupuesto</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Índice de avance en la ejecución del proyecto</w:t>
            </w:r>
          </w:p>
        </w:tc>
      </w:tr>
      <w:tr w:rsidR="00CA682E" w:rsidRPr="00CA682E" w:rsidTr="007B1DE4">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Edificio Arpad Bogsch – fase 1 de la renovación del subsuelo (adaptación de las dimensiones del centro de datos y renovación de la imprenta)</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960.000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5.000</w:t>
            </w:r>
          </w:p>
        </w:tc>
        <w:tc>
          <w:tcPr>
            <w:tcW w:w="85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0,5%</w:t>
            </w:r>
          </w:p>
        </w:tc>
        <w:tc>
          <w:tcPr>
            <w:tcW w:w="85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15%</w:t>
            </w: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r w:rsidRPr="00CA682E">
        <w:rPr>
          <w:rFonts w:eastAsia="Times New Roman" w:cs="Times New Roman"/>
          <w:b/>
          <w:noProof/>
          <w:color w:val="000000" w:themeColor="text1"/>
          <w:sz w:val="20"/>
          <w:szCs w:val="22"/>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noProof/>
          <w:color w:val="000000" w:themeColor="text1"/>
          <w:sz w:val="18"/>
          <w:szCs w:val="18"/>
          <w:lang w:eastAsia="en-US"/>
        </w:rPr>
      </w:pPr>
      <w:r w:rsidRPr="00CA682E">
        <w:rPr>
          <w:rFonts w:eastAsia="Times New Roman" w:cs="Times New Roman"/>
          <w:i/>
          <w:iCs/>
          <w:noProof/>
          <w:color w:val="000000" w:themeColor="text1"/>
          <w:sz w:val="18"/>
          <w:szCs w:val="18"/>
          <w:lang w:eastAsia="en-US"/>
        </w:rPr>
        <w:t>(en francos suizos, al 31 de diciembre de 2015)</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575"/>
        <w:gridCol w:w="1575"/>
        <w:gridCol w:w="1557"/>
      </w:tblGrid>
      <w:tr w:rsidR="00CA682E" w:rsidRPr="00CA682E" w:rsidTr="007B1DE4">
        <w:trPr>
          <w:trHeight w:val="410"/>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Etapa fundamental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Presupuesto del proyecto</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Gasto real hasta la fecha</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Utilización real del presupuesto</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Índice de avance en la ejecución del proyecto</w:t>
            </w:r>
          </w:p>
        </w:tc>
      </w:tr>
      <w:tr w:rsidR="00CA682E" w:rsidRPr="00CA682E" w:rsidTr="007B1DE4">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 xml:space="preserve">Adjudicación de los contratos al arquitecto y a los ingenieros </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144.000</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5.000</w:t>
            </w:r>
            <w:r w:rsidRPr="00CA682E">
              <w:rPr>
                <w:rFonts w:eastAsia="Times New Roman" w:cs="Times New Roman"/>
                <w:noProof/>
                <w:color w:val="000000" w:themeColor="text1"/>
                <w:sz w:val="16"/>
                <w:szCs w:val="16"/>
                <w:vertAlign w:val="superscript"/>
                <w:lang w:eastAsia="en-US"/>
              </w:rPr>
              <w:footnoteReference w:id="179"/>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3,5%</w:t>
            </w:r>
          </w:p>
        </w:tc>
        <w:tc>
          <w:tcPr>
            <w:tcW w:w="84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100%</w:t>
            </w:r>
          </w:p>
        </w:tc>
      </w:tr>
      <w:tr w:rsidR="00CA682E" w:rsidRPr="00CA682E" w:rsidTr="007B1DE4">
        <w:trPr>
          <w:trHeight w:val="389"/>
        </w:trPr>
        <w:tc>
          <w:tcPr>
            <w:tcW w:w="157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Obra y puesta en servicio</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816.000</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c>
          <w:tcPr>
            <w:tcW w:w="8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c>
          <w:tcPr>
            <w:tcW w:w="84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w:t>
            </w:r>
          </w:p>
        </w:tc>
      </w:tr>
      <w:tr w:rsidR="00CA682E" w:rsidRPr="00CA682E" w:rsidTr="007B1DE4">
        <w:trPr>
          <w:trHeight w:val="389"/>
        </w:trPr>
        <w:tc>
          <w:tcPr>
            <w:tcW w:w="15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Total</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960.000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5.000</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0,5%</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keepNext/>
              <w:keepLines/>
              <w:autoSpaceDE w:val="0"/>
              <w:autoSpaceDN w:val="0"/>
              <w:adjustRightInd w:val="0"/>
              <w:spacing w:before="40" w:after="40"/>
              <w:jc w:val="center"/>
              <w:rPr>
                <w:rFonts w:eastAsia="Times New Roman" w:cs="Times New Roman"/>
                <w:b/>
                <w:noProof/>
                <w:color w:val="000000" w:themeColor="text1"/>
                <w:sz w:val="16"/>
                <w:szCs w:val="16"/>
                <w:lang w:eastAsia="en-US"/>
              </w:rPr>
            </w:pPr>
          </w:p>
        </w:tc>
      </w:tr>
    </w:tbl>
    <w:p w:rsidR="00CA682E" w:rsidRPr="00CA682E" w:rsidRDefault="00CA682E" w:rsidP="00CA682E">
      <w:pPr>
        <w:keepNext/>
        <w:keepLines/>
        <w:tabs>
          <w:tab w:val="left" w:pos="3261"/>
        </w:tabs>
        <w:autoSpaceDE w:val="0"/>
        <w:autoSpaceDN w:val="0"/>
        <w:adjustRightInd w:val="0"/>
        <w:rPr>
          <w:rFonts w:eastAsia="Times New Roman" w:cs="Times New Roman"/>
          <w:b/>
          <w:noProof/>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noProof/>
          <w:color w:val="000000" w:themeColor="text1"/>
          <w:sz w:val="20"/>
          <w:szCs w:val="22"/>
          <w:lang w:eastAsia="en-US"/>
        </w:rPr>
      </w:pPr>
      <w:r w:rsidRPr="00CA682E">
        <w:rPr>
          <w:rFonts w:eastAsia="Times New Roman" w:cs="Times New Roman"/>
          <w:b/>
          <w:noProof/>
          <w:color w:val="000000" w:themeColor="text1"/>
          <w:sz w:val="20"/>
          <w:szCs w:val="22"/>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noProof/>
          <w:color w:val="000000" w:themeColor="text1"/>
          <w:sz w:val="18"/>
          <w:szCs w:val="18"/>
          <w:lang w:eastAsia="en-US"/>
        </w:rPr>
      </w:pPr>
      <w:r w:rsidRPr="00CA682E">
        <w:rPr>
          <w:rFonts w:eastAsia="Times New Roman" w:cs="Times New Roman"/>
          <w:i/>
          <w:iCs/>
          <w:noProof/>
          <w:color w:val="000000" w:themeColor="text1"/>
          <w:sz w:val="18"/>
          <w:szCs w:val="18"/>
          <w:lang w:eastAsia="en-US"/>
        </w:rPr>
        <w:t>(en francos suizos, al 31 de diciembre de 2015)</w:t>
      </w:r>
    </w:p>
    <w:tbl>
      <w:tblPr>
        <w:tblW w:w="466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2001"/>
      </w:tblGrid>
      <w:tr w:rsidR="00CA682E" w:rsidRPr="00CA682E" w:rsidTr="007B1DE4">
        <w:trPr>
          <w:trHeight w:val="569"/>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Categoría de costo</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Presupuesto del proyecto</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 xml:space="preserve">Gasto real hasta la fecha </w:t>
            </w:r>
          </w:p>
        </w:tc>
        <w:tc>
          <w:tcPr>
            <w:tcW w:w="11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Utilización real del presupuesto</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Costos relacionados con las obras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759.000</w:t>
            </w:r>
          </w:p>
        </w:tc>
        <w:tc>
          <w:tcPr>
            <w:tcW w:w="103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c>
          <w:tcPr>
            <w:tcW w:w="112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Honorarios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144.000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5.000</w:t>
            </w:r>
            <w:r w:rsidRPr="00CA682E">
              <w:rPr>
                <w:rFonts w:eastAsia="Times New Roman" w:cs="Times New Roman"/>
                <w:noProof/>
                <w:color w:val="000000" w:themeColor="text1"/>
                <w:sz w:val="16"/>
                <w:szCs w:val="16"/>
                <w:vertAlign w:val="superscript"/>
                <w:lang w:eastAsia="en-US"/>
              </w:rPr>
              <w:footnoteReference w:id="180"/>
            </w:r>
          </w:p>
        </w:tc>
        <w:tc>
          <w:tcPr>
            <w:tcW w:w="11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3,5%</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Diversos e imprevistos</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67.000</w:t>
            </w:r>
          </w:p>
        </w:tc>
        <w:tc>
          <w:tcPr>
            <w:tcW w:w="103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c>
          <w:tcPr>
            <w:tcW w:w="1120"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0%</w:t>
            </w:r>
          </w:p>
        </w:tc>
      </w:tr>
      <w:tr w:rsidR="00CA682E" w:rsidRPr="00CA682E" w:rsidTr="007B1DE4">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Total</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960.000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5.000</w:t>
            </w:r>
          </w:p>
        </w:tc>
        <w:tc>
          <w:tcPr>
            <w:tcW w:w="112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jc w:val="center"/>
              <w:rPr>
                <w:rFonts w:eastAsia="Times New Roman" w:cs="Times New Roman"/>
                <w:b/>
                <w:noProof/>
                <w:color w:val="000000" w:themeColor="text1"/>
                <w:sz w:val="16"/>
                <w:szCs w:val="16"/>
                <w:lang w:eastAsia="en-US"/>
              </w:rPr>
            </w:pPr>
            <w:r w:rsidRPr="00CA682E">
              <w:rPr>
                <w:rFonts w:eastAsia="Times New Roman" w:cs="Times New Roman"/>
                <w:b/>
                <w:noProof/>
                <w:color w:val="000000" w:themeColor="text1"/>
                <w:sz w:val="16"/>
                <w:szCs w:val="16"/>
                <w:lang w:eastAsia="en-US"/>
              </w:rPr>
              <w:t>0,5%</w:t>
            </w:r>
          </w:p>
        </w:tc>
      </w:tr>
    </w:tbl>
    <w:p w:rsidR="00CA682E" w:rsidRPr="00CA682E" w:rsidRDefault="00CA682E" w:rsidP="00CA682E">
      <w:pPr>
        <w:rPr>
          <w:rFonts w:eastAsia="Times New Roman"/>
          <w:noProof/>
          <w:color w:val="000000" w:themeColor="text1"/>
          <w:sz w:val="20"/>
          <w:szCs w:val="22"/>
          <w:lang w:eastAsia="en-US"/>
        </w:rPr>
      </w:pPr>
    </w:p>
    <w:p w:rsidR="00CA682E" w:rsidRPr="00CA682E" w:rsidRDefault="00CA682E" w:rsidP="00CA682E">
      <w:pPr>
        <w:rPr>
          <w:rFonts w:eastAsia="Times New Roman"/>
          <w:noProof/>
          <w:color w:val="000000" w:themeColor="text1"/>
          <w:sz w:val="20"/>
          <w:szCs w:val="22"/>
          <w:lang w:eastAsia="en-US"/>
        </w:rPr>
      </w:pPr>
    </w:p>
    <w:p w:rsidR="00CA682E" w:rsidRPr="00CA682E" w:rsidRDefault="00CA682E" w:rsidP="00CA682E">
      <w:pPr>
        <w:rPr>
          <w:rFonts w:eastAsia="Times New Roman"/>
          <w:noProof/>
          <w:color w:val="000000" w:themeColor="text1"/>
          <w:sz w:val="20"/>
          <w:szCs w:val="22"/>
          <w:lang w:eastAsia="en-US"/>
        </w:rPr>
      </w:pPr>
      <w:r w:rsidRPr="00CA682E">
        <w:rPr>
          <w:rFonts w:eastAsia="Times New Roman"/>
          <w:noProof/>
          <w:color w:val="000000" w:themeColor="text1"/>
          <w:sz w:val="20"/>
          <w:szCs w:val="22"/>
          <w:lang w:eastAsia="en-US"/>
        </w:rPr>
        <w:t>RIESGOS Y ESTRATEGIAS DE MITIGACIÓN</w:t>
      </w:r>
    </w:p>
    <w:p w:rsidR="00CA682E" w:rsidRPr="00CA682E" w:rsidRDefault="00CA682E" w:rsidP="00CA682E">
      <w:pPr>
        <w:rPr>
          <w:rFonts w:eastAsia="Times New Roman"/>
          <w:noProof/>
          <w:color w:val="000000" w:themeColor="text1"/>
          <w:sz w:val="20"/>
          <w:szCs w:val="22"/>
          <w:lang w:eastAsia="en-U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CA682E" w:rsidRPr="00CA682E" w:rsidTr="007B1DE4">
        <w:trPr>
          <w:trHeight w:val="445"/>
          <w:tblHeader/>
          <w:jc w:val="center"/>
        </w:trPr>
        <w:tc>
          <w:tcPr>
            <w:tcW w:w="166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Riesgo /Descripción del riesgo</w:t>
            </w:r>
          </w:p>
        </w:tc>
        <w:tc>
          <w:tcPr>
            <w:tcW w:w="166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Mitigación del riesgo</w:t>
            </w:r>
            <w:r w:rsidRPr="00CA682E" w:rsidDel="003965B5">
              <w:rPr>
                <w:rFonts w:eastAsia="Times New Roman" w:cs="Times New Roman"/>
                <w:b/>
                <w:bCs/>
                <w:noProof/>
                <w:color w:val="000000" w:themeColor="text1"/>
                <w:sz w:val="16"/>
                <w:szCs w:val="16"/>
                <w:lang w:eastAsia="en-US"/>
              </w:rPr>
              <w:t xml:space="preserve"> </w:t>
            </w:r>
          </w:p>
        </w:tc>
        <w:tc>
          <w:tcPr>
            <w:tcW w:w="1666"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9"/>
              <w:jc w:val="center"/>
              <w:rPr>
                <w:rFonts w:eastAsia="Times New Roman" w:cs="Times New Roman"/>
                <w:b/>
                <w:bCs/>
                <w:noProof/>
                <w:color w:val="000000" w:themeColor="text1"/>
                <w:sz w:val="16"/>
                <w:szCs w:val="16"/>
                <w:lang w:eastAsia="en-US"/>
              </w:rPr>
            </w:pPr>
            <w:r w:rsidRPr="00CA682E">
              <w:rPr>
                <w:rFonts w:eastAsia="Times New Roman" w:cs="Times New Roman"/>
                <w:b/>
                <w:bCs/>
                <w:noProof/>
                <w:color w:val="000000" w:themeColor="text1"/>
                <w:sz w:val="16"/>
                <w:szCs w:val="16"/>
                <w:lang w:eastAsia="en-US"/>
              </w:rPr>
              <w:t>Comentario</w:t>
            </w:r>
          </w:p>
        </w:tc>
      </w:tr>
      <w:tr w:rsidR="00CA682E" w:rsidRPr="00CA682E" w:rsidTr="007B1DE4">
        <w:trPr>
          <w:trHeight w:val="411"/>
          <w:jc w:val="center"/>
        </w:trPr>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 xml:space="preserve">Proyecto aplazado entre seis meses  y un año debido al retraso en la finalización de la nueva sala de </w:t>
            </w:r>
            <w:r w:rsidRPr="00CA682E">
              <w:rPr>
                <w:rFonts w:eastAsia="Times New Roman" w:cs="Times New Roman"/>
                <w:noProof/>
                <w:color w:val="000000" w:themeColor="text1"/>
                <w:sz w:val="16"/>
                <w:szCs w:val="16"/>
                <w:lang w:eastAsia="en-US"/>
              </w:rPr>
              <w:lastRenderedPageBreak/>
              <w:t>conferencias de la OMPI</w:t>
            </w:r>
          </w:p>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lastRenderedPageBreak/>
              <w:t>Ajustar el calendario para tener en cuenta la demora.</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color w:val="000000" w:themeColor="text1"/>
                <w:sz w:val="16"/>
                <w:szCs w:val="16"/>
                <w:lang w:eastAsia="en-US"/>
              </w:rPr>
              <w:t xml:space="preserve">El riesgo se materializó.  El calendario general del proyecto se alargó seis meses en relación con el plan original.  Se ajustó el plazo del proyecto </w:t>
            </w:r>
            <w:r w:rsidRPr="00CA682E">
              <w:rPr>
                <w:rFonts w:eastAsia="Times New Roman" w:cs="Times New Roman"/>
                <w:color w:val="000000" w:themeColor="text1"/>
                <w:sz w:val="16"/>
                <w:szCs w:val="16"/>
                <w:lang w:eastAsia="en-US"/>
              </w:rPr>
              <w:lastRenderedPageBreak/>
              <w:t>conforme a la medida prevista para mitigar el riesgo.  No hubo incidencia tangible en los aportes concretos del proyecto</w:t>
            </w:r>
          </w:p>
        </w:tc>
      </w:tr>
      <w:tr w:rsidR="00CA682E" w:rsidRPr="00CA682E" w:rsidTr="007B1DE4">
        <w:trPr>
          <w:trHeight w:val="776"/>
          <w:jc w:val="center"/>
        </w:trPr>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lastRenderedPageBreak/>
              <w:t>Demora en el inicio de las obras por la incertidumbre en relación con las decisiones internas en lo tocante a las opciones para la instalación de las máquinas y del personal en la sala prevista para la imprenta que aseguren una mejor utilización del espacio disponible por las unidades en cuestión</w:t>
            </w:r>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Determinar la superficie necesaria para evaluar mejor las necesidades.</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color w:val="000000" w:themeColor="text1"/>
                <w:sz w:val="16"/>
                <w:szCs w:val="16"/>
                <w:lang w:eastAsia="en-US"/>
              </w:rPr>
              <w:t>El riesgo se materializó en 2015, e indujo nuevas demoras en la ejecución del proyecto.  Al final del año estaba finalizando el examen de la superficie necesaria, conforme a la medida prevista para mitigar el riesgo.  Se ha modificado nuevamente el calendario del proyecto</w:t>
            </w:r>
          </w:p>
        </w:tc>
      </w:tr>
      <w:tr w:rsidR="00CA682E" w:rsidRPr="00CA682E" w:rsidTr="007B1DE4">
        <w:trPr>
          <w:trHeight w:val="776"/>
          <w:jc w:val="center"/>
        </w:trPr>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Demora en la finalización de las obras debido a un problema técnico detectado durante las obras de desmantelamiento de las instalaciones actuales o causado por ellas</w:t>
            </w:r>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Realizar las reparaciones necesarias y, de ser necesario, actualizar el calendario de las obras</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p>
        </w:tc>
      </w:tr>
      <w:tr w:rsidR="00CA682E" w:rsidRPr="00CA682E" w:rsidTr="007B1DE4">
        <w:trPr>
          <w:trHeight w:val="776"/>
          <w:jc w:val="center"/>
        </w:trPr>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Riesgo financiero como resultado de los c</w:t>
            </w:r>
            <w:r w:rsidRPr="00CA682E">
              <w:rPr>
                <w:rFonts w:eastAsia="Times New Roman" w:cs="Times New Roman"/>
                <w:color w:val="000000" w:themeColor="text1"/>
                <w:sz w:val="16"/>
                <w:szCs w:val="16"/>
                <w:lang w:eastAsia="en-US"/>
              </w:rPr>
              <w:t xml:space="preserve">ostos derivados de la reubicación parcial y temporal del personal de la imprenta y la </w:t>
            </w:r>
            <w:proofErr w:type="gramStart"/>
            <w:r w:rsidRPr="00CA682E">
              <w:rPr>
                <w:rFonts w:eastAsia="Times New Roman" w:cs="Times New Roman"/>
                <w:color w:val="000000" w:themeColor="text1"/>
                <w:sz w:val="16"/>
                <w:szCs w:val="16"/>
                <w:lang w:eastAsia="en-US"/>
              </w:rPr>
              <w:t xml:space="preserve">documentación </w:t>
            </w:r>
            <w:r w:rsidRPr="00CA682E">
              <w:rPr>
                <w:rFonts w:eastAsia="Times New Roman" w:cs="Times New Roman"/>
                <w:noProof/>
                <w:color w:val="000000" w:themeColor="text1"/>
                <w:sz w:val="16"/>
                <w:szCs w:val="16"/>
                <w:lang w:eastAsia="en-US"/>
              </w:rPr>
              <w:t>.</w:t>
            </w:r>
            <w:proofErr w:type="gramEnd"/>
          </w:p>
        </w:tc>
        <w:tc>
          <w:tcPr>
            <w:tcW w:w="1667"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r w:rsidRPr="00CA682E">
              <w:rPr>
                <w:rFonts w:eastAsia="Times New Roman" w:cs="Times New Roman"/>
                <w:noProof/>
                <w:color w:val="000000" w:themeColor="text1"/>
                <w:sz w:val="16"/>
                <w:szCs w:val="16"/>
                <w:lang w:eastAsia="en-US"/>
              </w:rPr>
              <w:t>Utilizar la reserva para “gastos diversos e imprevistos” en el presupuesto aprobado</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noProof/>
                <w:color w:val="000000" w:themeColor="text1"/>
                <w:sz w:val="16"/>
                <w:szCs w:val="16"/>
                <w:lang w:eastAsia="en-US"/>
              </w:rPr>
            </w:pPr>
          </w:p>
        </w:tc>
      </w:tr>
    </w:tbl>
    <w:p w:rsidR="00CA682E" w:rsidRPr="00CA682E" w:rsidRDefault="00CA682E" w:rsidP="00CA682E">
      <w:pPr>
        <w:rPr>
          <w:rFonts w:eastAsia="Times New Roman"/>
          <w:noProof/>
          <w:color w:val="000000" w:themeColor="text1"/>
          <w:sz w:val="20"/>
          <w:szCs w:val="22"/>
          <w:lang w:eastAsia="en-US"/>
        </w:rPr>
      </w:pPr>
    </w:p>
    <w:p w:rsidR="00CA682E" w:rsidRPr="00CA682E" w:rsidRDefault="00CA682E" w:rsidP="00CA682E">
      <w:pPr>
        <w:rPr>
          <w:rFonts w:eastAsia="Times New Roman"/>
          <w:noProof/>
          <w:color w:val="000000" w:themeColor="text1"/>
          <w:sz w:val="20"/>
          <w:szCs w:val="22"/>
          <w:lang w:eastAsia="en-US"/>
        </w:rPr>
      </w:pPr>
    </w:p>
    <w:p w:rsidR="00CA682E" w:rsidRPr="00CA682E" w:rsidRDefault="00CA682E" w:rsidP="00CA682E">
      <w:pPr>
        <w:rPr>
          <w:rFonts w:eastAsia="Times New Roman"/>
          <w:noProof/>
          <w:color w:val="000000" w:themeColor="text1"/>
          <w:sz w:val="20"/>
          <w:szCs w:val="22"/>
          <w:lang w:eastAsia="en-US"/>
        </w:rPr>
      </w:pPr>
      <w:r w:rsidRPr="00CA682E">
        <w:rPr>
          <w:rFonts w:eastAsia="Times New Roman"/>
          <w:noProof/>
          <w:color w:val="000000" w:themeColor="text1"/>
          <w:sz w:val="20"/>
          <w:szCs w:val="22"/>
          <w:lang w:eastAsia="en-US"/>
        </w:rPr>
        <w:t>CALENDARIO DEL PROYECTO, POR ETAPA</w:t>
      </w:r>
    </w:p>
    <w:p w:rsidR="00CA682E" w:rsidRPr="00CA682E" w:rsidRDefault="00CA682E" w:rsidP="00CA682E">
      <w:pPr>
        <w:autoSpaceDE w:val="0"/>
        <w:autoSpaceDN w:val="0"/>
        <w:jc w:val="both"/>
        <w:rPr>
          <w:rFonts w:eastAsia="Times New Roman" w:cs="Times New Roman"/>
          <w:noProof/>
          <w:color w:val="000000" w:themeColor="text1"/>
          <w:sz w:val="18"/>
          <w:szCs w:val="24"/>
          <w:lang w:eastAsia="en-US"/>
        </w:rPr>
      </w:pP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CA682E" w:rsidRPr="00CA682E" w:rsidTr="007B1DE4">
        <w:trPr>
          <w:trHeight w:val="270"/>
          <w:jc w:val="center"/>
        </w:trPr>
        <w:tc>
          <w:tcPr>
            <w:tcW w:w="1840"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noProof/>
                <w:color w:val="000000" w:themeColor="text1"/>
                <w:sz w:val="16"/>
                <w:szCs w:val="16"/>
                <w:lang w:eastAsia="en-US"/>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2017</w:t>
            </w:r>
          </w:p>
        </w:tc>
      </w:tr>
      <w:tr w:rsidR="00CA682E" w:rsidRPr="00CA682E" w:rsidTr="007B1DE4">
        <w:trPr>
          <w:trHeight w:val="375"/>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noProof/>
                <w:color w:val="000000" w:themeColor="text1"/>
                <w:sz w:val="16"/>
                <w:szCs w:val="16"/>
                <w:lang w:eastAsia="en-US"/>
              </w:rPr>
            </w:pPr>
            <w:r w:rsidRPr="00CA682E">
              <w:rPr>
                <w:rFonts w:eastAsia="Times New Roman"/>
                <w:b/>
                <w:bCs/>
                <w:noProof/>
                <w:color w:val="000000" w:themeColor="text1"/>
                <w:sz w:val="16"/>
                <w:szCs w:val="16"/>
                <w:lang w:eastAsia="en-US"/>
              </w:rPr>
              <w:t>T4</w:t>
            </w: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Definición interna de los objetivos del proyecto</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Adjudicación de contratos al arquitecto</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b/>
                <w:bCs/>
                <w:noProof/>
                <w:color w:val="000000" w:themeColor="text1"/>
                <w:kern w:val="32"/>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Adjudicación de contratos a los ingenieros</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Examen exhaustivo de la ejecución de las obras</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61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Llamado a licitación y selección de empresas</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425"/>
          <w:jc w:val="center"/>
        </w:trPr>
        <w:tc>
          <w:tcPr>
            <w:tcW w:w="1840"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Obra</w:t>
            </w:r>
          </w:p>
        </w:tc>
        <w:tc>
          <w:tcPr>
            <w:tcW w:w="480" w:type="dxa"/>
            <w:tcBorders>
              <w:top w:val="nil"/>
              <w:left w:val="nil"/>
              <w:bottom w:val="single" w:sz="4" w:space="0" w:color="auto"/>
              <w:right w:val="single" w:sz="4" w:space="0" w:color="auto"/>
            </w:tcBorders>
            <w:shd w:val="clear" w:color="auto" w:fill="auto"/>
            <w:noWrap/>
            <w:vAlign w:val="bottom"/>
          </w:tcPr>
          <w:p w:rsidR="00CA682E" w:rsidRPr="00CA682E" w:rsidRDefault="00CA682E" w:rsidP="00CA682E">
            <w:pPr>
              <w:spacing w:before="40" w:after="40"/>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r>
      <w:tr w:rsidR="00CA682E" w:rsidRPr="00CA682E" w:rsidTr="007B1DE4">
        <w:trPr>
          <w:trHeight w:val="397"/>
          <w:jc w:val="center"/>
        </w:trPr>
        <w:tc>
          <w:tcPr>
            <w:tcW w:w="1840"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Puesta en servicio</w:t>
            </w:r>
          </w:p>
        </w:tc>
        <w:tc>
          <w:tcPr>
            <w:tcW w:w="480" w:type="dxa"/>
            <w:tcBorders>
              <w:top w:val="nil"/>
              <w:left w:val="nil"/>
              <w:bottom w:val="single" w:sz="4" w:space="0" w:color="auto"/>
              <w:right w:val="single" w:sz="4" w:space="0" w:color="auto"/>
            </w:tcBorders>
            <w:shd w:val="clear" w:color="auto" w:fill="auto"/>
            <w:noWrap/>
            <w:vAlign w:val="bottom"/>
            <w:hideMark/>
          </w:tcPr>
          <w:p w:rsidR="00CA682E" w:rsidRPr="00CA682E" w:rsidRDefault="00CA682E" w:rsidP="00CA682E">
            <w:pPr>
              <w:spacing w:before="40" w:after="40"/>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 </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noProof/>
                <w:color w:val="000000" w:themeColor="text1"/>
                <w:sz w:val="16"/>
                <w:szCs w:val="16"/>
                <w:lang w:eastAsia="en-US"/>
              </w:rPr>
            </w:pPr>
            <w:r w:rsidRPr="00CA682E">
              <w:rPr>
                <w:rFonts w:eastAsia="Times New Roman"/>
                <w:noProof/>
                <w:color w:val="000000" w:themeColor="text1"/>
                <w:sz w:val="16"/>
                <w:szCs w:val="16"/>
                <w:lang w:eastAsia="en-US"/>
              </w:rPr>
              <w:t>X</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spacing w:after="200" w:line="276" w:lineRule="auto"/>
        <w:rPr>
          <w:rFonts w:eastAsia="Times New Roman" w:cs="Times New Roman"/>
          <w:color w:val="000000" w:themeColor="text1"/>
          <w:sz w:val="20"/>
          <w:szCs w:val="24"/>
          <w:lang w:eastAsia="en-US"/>
        </w:rPr>
      </w:pPr>
      <w:r w:rsidRPr="00CA682E">
        <w:rPr>
          <w:rFonts w:eastAsia="Times New Roman" w:cs="Times New Roman"/>
          <w:color w:val="000000" w:themeColor="text1"/>
          <w:sz w:val="20"/>
          <w:szCs w:val="24"/>
          <w:lang w:eastAsia="en-US"/>
        </w:rPr>
        <w:br w:type="page"/>
      </w:r>
    </w:p>
    <w:p w:rsidR="00CA682E" w:rsidRPr="00CA682E" w:rsidRDefault="00CA682E" w:rsidP="00CA682E">
      <w:pPr>
        <w:rPr>
          <w:rFonts w:eastAsia="Times New Roman" w:cs="Times New Roman"/>
          <w:b/>
          <w:color w:val="000000" w:themeColor="text1"/>
          <w:szCs w:val="24"/>
          <w:lang w:eastAsia="en-US"/>
        </w:rPr>
      </w:pPr>
      <w:r w:rsidRPr="00CA682E">
        <w:rPr>
          <w:rFonts w:eastAsia="Times New Roman" w:cs="Times New Roman"/>
          <w:b/>
          <w:color w:val="000000" w:themeColor="text1"/>
          <w:szCs w:val="24"/>
          <w:lang w:eastAsia="en-US"/>
        </w:rPr>
        <w:lastRenderedPageBreak/>
        <w:t>PROYECTOS RELACIONADOS CON LOS EDIFICIOS</w:t>
      </w:r>
    </w:p>
    <w:p w:rsidR="00CA682E" w:rsidRPr="00CA682E" w:rsidRDefault="00CA682E" w:rsidP="00CA682E">
      <w:pPr>
        <w:rPr>
          <w:rFonts w:eastAsia="Times New Roman" w:cs="Times New Roman"/>
          <w:b/>
          <w:color w:val="000000" w:themeColor="text1"/>
          <w:szCs w:val="24"/>
          <w:lang w:eastAsia="en-US"/>
        </w:rPr>
      </w:pPr>
    </w:p>
    <w:p w:rsidR="00CA682E" w:rsidRPr="00CA682E" w:rsidRDefault="00CA682E" w:rsidP="00DD172C">
      <w:pPr>
        <w:keepNext/>
        <w:ind w:left="1701" w:hanging="1701"/>
        <w:outlineLvl w:val="2"/>
        <w:rPr>
          <w:b/>
          <w:bCs/>
          <w:i/>
          <w:color w:val="000000" w:themeColor="text1"/>
          <w:sz w:val="20"/>
          <w:szCs w:val="26"/>
          <w:lang w:eastAsia="en-US"/>
        </w:rPr>
      </w:pPr>
      <w:bookmarkStart w:id="230" w:name="_Toc455159121"/>
      <w:r w:rsidRPr="00CA682E">
        <w:rPr>
          <w:b/>
          <w:bCs/>
          <w:i/>
          <w:color w:val="000000" w:themeColor="text1"/>
          <w:sz w:val="20"/>
          <w:szCs w:val="26"/>
          <w:lang w:eastAsia="en-US"/>
        </w:rPr>
        <w:t>PROYECTO 6:</w:t>
      </w:r>
      <w:r w:rsidR="00DD172C">
        <w:rPr>
          <w:b/>
          <w:bCs/>
          <w:i/>
          <w:color w:val="000000" w:themeColor="text1"/>
          <w:sz w:val="20"/>
          <w:szCs w:val="26"/>
          <w:lang w:eastAsia="en-US"/>
        </w:rPr>
        <w:tab/>
      </w:r>
      <w:r w:rsidRPr="00CA682E">
        <w:rPr>
          <w:b/>
          <w:bCs/>
          <w:i/>
          <w:color w:val="000000" w:themeColor="text1"/>
          <w:sz w:val="20"/>
          <w:szCs w:val="26"/>
          <w:lang w:eastAsia="en-US"/>
        </w:rPr>
        <w:t>EDIFICIO ARPAD BOGSCH – SUSTITUCIÓN DE DETERMINADAS VENTANAS (PMM 6)</w:t>
      </w:r>
      <w:bookmarkEnd w:id="230"/>
    </w:p>
    <w:p w:rsidR="00CA682E" w:rsidRPr="00CA682E" w:rsidRDefault="00CA682E" w:rsidP="00CA682E">
      <w:pPr>
        <w:rPr>
          <w:rFonts w:eastAsia="Times New Roman" w:cs="Times New Roman"/>
          <w:color w:val="000000" w:themeColor="text1"/>
          <w:lang w:eastAsia="en-US"/>
        </w:rPr>
      </w:pPr>
    </w:p>
    <w:p w:rsidR="00CA682E" w:rsidRPr="00CA682E" w:rsidRDefault="00CA682E" w:rsidP="00CA682E">
      <w:pPr>
        <w:rPr>
          <w:rFonts w:eastAsia="Times New Roman" w:cs="Times New Roman"/>
          <w:b/>
          <w:color w:val="000000" w:themeColor="text1"/>
          <w:sz w:val="20"/>
          <w:lang w:eastAsia="en-US"/>
        </w:rPr>
      </w:pPr>
      <w:r w:rsidRPr="00CA682E">
        <w:rPr>
          <w:rFonts w:eastAsia="Times New Roman" w:cs="Times New Roman"/>
          <w:b/>
          <w:color w:val="000000" w:themeColor="text1"/>
          <w:sz w:val="20"/>
          <w:lang w:eastAsia="en-US"/>
        </w:rPr>
        <w:t>Director de proyecto:</w:t>
      </w:r>
      <w:r w:rsidRPr="00CA682E">
        <w:rPr>
          <w:rFonts w:eastAsia="Times New Roman" w:cs="Times New Roman"/>
          <w:b/>
          <w:color w:val="000000" w:themeColor="text1"/>
          <w:sz w:val="20"/>
          <w:lang w:eastAsia="en-US"/>
        </w:rPr>
        <w:tab/>
        <w:t>Sr. A. FAVERO</w:t>
      </w: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RESULTADO PREVISTO</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i/>
          <w:iCs/>
          <w:color w:val="000000" w:themeColor="text1"/>
          <w:sz w:val="20"/>
          <w:lang w:eastAsia="en-US"/>
        </w:rPr>
      </w:pPr>
      <w:r w:rsidRPr="00CA682E">
        <w:rPr>
          <w:rFonts w:eastAsia="Times New Roman" w:cs="Times New Roman"/>
          <w:i/>
          <w:iCs/>
          <w:color w:val="000000" w:themeColor="text1"/>
          <w:sz w:val="20"/>
          <w:lang w:eastAsia="en-US"/>
        </w:rPr>
        <w:t xml:space="preserve">IX.1  Servicios de </w:t>
      </w:r>
      <w:proofErr w:type="gramStart"/>
      <w:r w:rsidRPr="00CA682E">
        <w:rPr>
          <w:rFonts w:eastAsia="Times New Roman" w:cs="Times New Roman"/>
          <w:i/>
          <w:iCs/>
          <w:color w:val="000000" w:themeColor="text1"/>
          <w:sz w:val="20"/>
          <w:lang w:eastAsia="en-US"/>
        </w:rPr>
        <w:t>apoyo eficaces, eficientes, de calidad y orientados</w:t>
      </w:r>
      <w:proofErr w:type="gramEnd"/>
      <w:r w:rsidRPr="00CA682E">
        <w:rPr>
          <w:rFonts w:eastAsia="Times New Roman" w:cs="Times New Roman"/>
          <w:i/>
          <w:iCs/>
          <w:color w:val="000000" w:themeColor="text1"/>
          <w:sz w:val="20"/>
          <w:lang w:eastAsia="en-US"/>
        </w:rPr>
        <w:t xml:space="preserve"> al cliente, tanto a los clientes internos como a las partes interesadas externas</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OBJETIVOS, ALCANCE Y ENFOQUE</w:t>
      </w:r>
      <w:proofErr w:type="gramStart"/>
      <w:r w:rsidRPr="00CA682E">
        <w:rPr>
          <w:rFonts w:eastAsia="Times New Roman" w:cs="Times New Roman"/>
          <w:bCs/>
          <w:color w:val="000000" w:themeColor="text1"/>
          <w:sz w:val="20"/>
          <w:lang w:eastAsia="en-US"/>
        </w:rPr>
        <w:t>:  ANTECEDENTES</w:t>
      </w:r>
      <w:proofErr w:type="gramEnd"/>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Las ventanas de la fachada suroeste del edificio AB, expuestas en los últimos tres decenios, más que las otras fachadas, al sol y el calor y a mayores diferencias de temperatura entre el verano y el invierno, han sufrido un deterioro significativo en sus cualidades térmicas.  Además, en varias de esas ventanas, así como en otras de la fachada, se ha degradado el tono de azul (que ha pasado a tomar matices de rosa y violeta) debido al envejecimiento de los componentes gaseosos que rellenan el espacio entre las capas de vidrio.</w:t>
      </w:r>
    </w:p>
    <w:p w:rsidR="00CA682E" w:rsidRPr="00CA682E" w:rsidRDefault="00CA682E" w:rsidP="00CA682E">
      <w:pPr>
        <w:tabs>
          <w:tab w:val="left" w:pos="567"/>
        </w:tabs>
        <w:jc w:val="both"/>
        <w:rPr>
          <w:rFonts w:eastAsia="Times New Roman" w:cs="Times New Roman"/>
          <w:bCs/>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La sustitución de esas ventanas reducirá el consumo de energía necesario principalmente para refrigerar las oficinas de que se trate en períodos de calor.  También mejorará, como es necesario, el aspecto estético del edificio AB, uno de los emblemas arquitectónicos de la ciudad de Ginebra. </w:t>
      </w:r>
    </w:p>
    <w:p w:rsidR="00CA682E" w:rsidRPr="00CA682E" w:rsidRDefault="00CA682E" w:rsidP="00CA682E">
      <w:pPr>
        <w:tabs>
          <w:tab w:val="left" w:pos="567"/>
        </w:tabs>
        <w:jc w:val="both"/>
        <w:rPr>
          <w:rFonts w:eastAsia="Times New Roman" w:cs="Times New Roman"/>
          <w:bCs/>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Los objetivos de este proyecto son: i) mejorar las cualidades térmicas y la eficiencia energética de la fachada suroeste del edificio AB; ii) reducir el consumo de energía; iii) mejorar el confort térmico de los ocupantes;  y iv) mejorar el aspecto estético del edificio AB.</w:t>
      </w:r>
    </w:p>
    <w:p w:rsidR="00CA682E" w:rsidRPr="00CA682E" w:rsidRDefault="00CA682E" w:rsidP="00CA682E">
      <w:pPr>
        <w:jc w:val="both"/>
        <w:rPr>
          <w:rFonts w:eastAsia="Times New Roman" w:cs="Times New Roman"/>
          <w:bCs/>
          <w:color w:val="000000" w:themeColor="text1"/>
          <w:sz w:val="20"/>
          <w:lang w:eastAsia="en-US"/>
        </w:rPr>
      </w:pPr>
    </w:p>
    <w:p w:rsidR="00CA682E" w:rsidRPr="00CA682E" w:rsidRDefault="00CA682E" w:rsidP="00CA682E">
      <w:pPr>
        <w:jc w:val="both"/>
        <w:rPr>
          <w:rFonts w:eastAsia="Times New Roman" w:cs="Times New Roman"/>
          <w:bCs/>
          <w:color w:val="000000" w:themeColor="text1"/>
          <w:sz w:val="20"/>
          <w:lang w:eastAsia="en-US"/>
        </w:rPr>
      </w:pPr>
    </w:p>
    <w:p w:rsidR="00CA682E" w:rsidRPr="00CA682E" w:rsidRDefault="00CA682E" w:rsidP="00CA682E">
      <w:pPr>
        <w:jc w:val="both"/>
        <w:rPr>
          <w:rFonts w:eastAsia="Times New Roman" w:cs="Times New Roman"/>
          <w:bCs/>
          <w:color w:val="000000" w:themeColor="text1"/>
          <w:sz w:val="18"/>
          <w:lang w:eastAsia="en-US"/>
        </w:rPr>
      </w:pPr>
      <w:r w:rsidRPr="00CA682E">
        <w:rPr>
          <w:rFonts w:eastAsia="Times New Roman" w:cs="Times New Roman"/>
          <w:bCs/>
          <w:color w:val="000000" w:themeColor="text1"/>
          <w:sz w:val="18"/>
          <w:lang w:eastAsia="en-US"/>
        </w:rPr>
        <w:t>RESEÑA DE LOS AVANCES LOGRADOS EN 2015 (ETAPAS FUNDAMENTALES)</w:t>
      </w:r>
    </w:p>
    <w:p w:rsidR="00CA682E" w:rsidRPr="00CA682E" w:rsidRDefault="00CA682E" w:rsidP="00CA682E">
      <w:pPr>
        <w:jc w:val="both"/>
        <w:rPr>
          <w:rFonts w:eastAsia="Times New Roman" w:cs="Times New Roman"/>
          <w:bCs/>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2014, se realizaron los siguientes progresos: </w:t>
      </w:r>
    </w:p>
    <w:p w:rsidR="00CA682E" w:rsidRPr="00CA682E" w:rsidRDefault="00CA682E" w:rsidP="00CA682E">
      <w:pPr>
        <w:tabs>
          <w:tab w:val="left" w:pos="567"/>
        </w:tabs>
        <w:jc w:val="both"/>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elaboró el mandato del ingeniero de fachadas;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llamó a licitación para la selección del ingeniero de fachadas;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adjudicó el contrato al ingeniero de fachadas; y </w:t>
      </w:r>
    </w:p>
    <w:p w:rsidR="00CA682E" w:rsidRPr="00CA682E" w:rsidRDefault="00CA682E" w:rsidP="00CA682E">
      <w:pPr>
        <w:numPr>
          <w:ilvl w:val="0"/>
          <w:numId w:val="136"/>
        </w:numPr>
        <w:tabs>
          <w:tab w:val="left" w:pos="1134"/>
        </w:tabs>
        <w:autoSpaceDE w:val="0"/>
        <w:autoSpaceDN w:val="0"/>
        <w:adjustRightInd w:val="0"/>
        <w:spacing w:after="120"/>
        <w:ind w:left="567" w:firstLine="0"/>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se examinó y validó el proyecto con el ingeniero de fachadas. </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Debido al retraso registrado en la finalización de la nueva sala de conferencias de la OMPI (aplazada de comienzos de 2014 a septiembre de 2014), la puesta en marcha del proyecto se retrasó un año con respecto al plan original.  El calendario del proyecto se ha modificado en consecuencia. </w:t>
      </w:r>
    </w:p>
    <w:p w:rsidR="00CA682E" w:rsidRPr="00CA682E" w:rsidRDefault="00CA682E" w:rsidP="00CA682E">
      <w:pPr>
        <w:autoSpaceDE w:val="0"/>
        <w:autoSpaceDN w:val="0"/>
        <w:adjustRightInd w:val="0"/>
        <w:rPr>
          <w:rFonts w:eastAsiaTheme="minorHAnsi"/>
          <w:color w:val="000000" w:themeColor="text1"/>
          <w:sz w:val="20"/>
          <w:lang w:eastAsia="en-US"/>
        </w:rPr>
      </w:pPr>
    </w:p>
    <w:p w:rsidR="00CA682E" w:rsidRPr="00CA682E" w:rsidRDefault="00CA682E" w:rsidP="00CA682E">
      <w:pPr>
        <w:numPr>
          <w:ilvl w:val="0"/>
          <w:numId w:val="130"/>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En 2015, se realizaron los avances siguientes: </w:t>
      </w:r>
    </w:p>
    <w:p w:rsidR="00CA682E" w:rsidRPr="00CA682E" w:rsidRDefault="00CA682E" w:rsidP="00CA682E">
      <w:pPr>
        <w:autoSpaceDE w:val="0"/>
        <w:autoSpaceDN w:val="0"/>
        <w:adjustRightInd w:val="0"/>
        <w:jc w:val="both"/>
        <w:rPr>
          <w:rFonts w:eastAsiaTheme="minorHAnsi"/>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realización de los preparativos necesarios (julio y agosto de 2015) a fin de encargar las ventanas; </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detección de problemas</w:t>
      </w:r>
      <w:r w:rsidR="000D2B1B" w:rsidRPr="00734316">
        <w:rPr>
          <w:rStyle w:val="FootnoteReference"/>
          <w:rFonts w:eastAsia="Times New Roman" w:cs="Times New Roman"/>
          <w:bCs/>
          <w:color w:val="000000" w:themeColor="text1"/>
          <w:sz w:val="20"/>
          <w:lang w:eastAsia="en-US"/>
        </w:rPr>
        <w:footnoteReference w:id="181"/>
      </w:r>
      <w:r w:rsidRPr="00CA682E">
        <w:rPr>
          <w:rFonts w:eastAsia="Times New Roman" w:cs="Times New Roman"/>
          <w:bCs/>
          <w:color w:val="000000" w:themeColor="text1"/>
          <w:sz w:val="20"/>
          <w:lang w:eastAsia="en-US"/>
        </w:rPr>
        <w:t xml:space="preserve"> técnicos durante las obras de muestra realizadas, lo que supuso la interrupción de las obras;</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lastRenderedPageBreak/>
        <w:t>decisión de contratar expertos para volver a evaluar la situación técnica</w:t>
      </w:r>
      <w:r w:rsidR="00734316">
        <w:rPr>
          <w:rFonts w:eastAsia="Times New Roman" w:cs="Times New Roman"/>
          <w:bCs/>
          <w:color w:val="000000" w:themeColor="text1"/>
          <w:sz w:val="20"/>
          <w:lang w:eastAsia="en-US"/>
        </w:rPr>
        <w:t>, que ahora supondrá una obra más compleja de extracción de las ventanas y sus marcos,</w:t>
      </w:r>
      <w:r w:rsidRPr="00CA682E">
        <w:rPr>
          <w:rFonts w:eastAsia="Times New Roman" w:cs="Times New Roman"/>
          <w:bCs/>
          <w:color w:val="000000" w:themeColor="text1"/>
          <w:sz w:val="20"/>
          <w:lang w:eastAsia="en-US"/>
        </w:rPr>
        <w:t xml:space="preserve"> y aconsejar las próximas medidas a tomar;  y</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aplazamiento de la ejecución del proyecto hasta que se resolvieran los problemas técnicos.</w:t>
      </w:r>
    </w:p>
    <w:p w:rsidR="00CA682E" w:rsidRPr="00CA682E" w:rsidRDefault="00CA682E" w:rsidP="00CA682E">
      <w:pPr>
        <w:autoSpaceDE w:val="0"/>
        <w:autoSpaceDN w:val="0"/>
        <w:adjustRightInd w:val="0"/>
        <w:rPr>
          <w:rFonts w:eastAsiaTheme="minorHAnsi"/>
          <w:color w:val="000000" w:themeColor="text1"/>
          <w:sz w:val="20"/>
          <w:szCs w:val="24"/>
          <w:lang w:eastAsia="en-US"/>
        </w:rPr>
      </w:pPr>
    </w:p>
    <w:p w:rsidR="00CA682E" w:rsidRPr="00CA682E" w:rsidRDefault="00CA682E" w:rsidP="00CA682E">
      <w:pPr>
        <w:numPr>
          <w:ilvl w:val="0"/>
          <w:numId w:val="130"/>
        </w:numPr>
        <w:tabs>
          <w:tab w:val="left" w:pos="567"/>
        </w:tabs>
        <w:ind w:left="0" w:firstLine="0"/>
        <w:jc w:val="both"/>
        <w:rPr>
          <w:rFonts w:eastAsiaTheme="minorHAnsi"/>
          <w:color w:val="000000" w:themeColor="text1"/>
          <w:sz w:val="20"/>
          <w:lang w:eastAsia="en-US"/>
        </w:rPr>
      </w:pPr>
      <w:r w:rsidRPr="00CA682E">
        <w:rPr>
          <w:rFonts w:eastAsiaTheme="minorHAnsi"/>
          <w:color w:val="000000" w:themeColor="text1"/>
          <w:sz w:val="20"/>
          <w:lang w:eastAsia="en-US"/>
        </w:rPr>
        <w:t xml:space="preserve">A finales de 2015 todavía no se sabía la incidencia total que tendrían los problemas técnicos en el proyecto.  A fin de atenuar la probabilidad de riesgo se contratarán expertos y se llevarán a cabo estudios adicionales para asesorar a la OMPI sobre el modo más indicado de proceder.  </w:t>
      </w: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p>
    <w:p w:rsidR="00CA682E" w:rsidRPr="00CA682E" w:rsidRDefault="00CA682E" w:rsidP="00CA682E">
      <w:pPr>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OBTENCIÓN DE BENEFICIOS</w:t>
      </w:r>
    </w:p>
    <w:p w:rsidR="00CA682E" w:rsidRPr="00CA682E" w:rsidRDefault="00CA682E" w:rsidP="00CA682E">
      <w:pPr>
        <w:rPr>
          <w:rFonts w:eastAsia="Times New Roman" w:cs="Times New Roman"/>
          <w:color w:val="000000" w:themeColor="text1"/>
          <w:sz w:val="20"/>
          <w:lang w:eastAsia="en-US"/>
        </w:rPr>
      </w:pPr>
    </w:p>
    <w:tbl>
      <w:tblPr>
        <w:tblW w:w="46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4424"/>
      </w:tblGrid>
      <w:tr w:rsidR="00CA682E" w:rsidRPr="00CA682E" w:rsidTr="007B1DE4">
        <w:trPr>
          <w:trHeight w:val="421"/>
          <w:tblHeader/>
          <w:jc w:val="center"/>
        </w:trPr>
        <w:tc>
          <w:tcPr>
            <w:tcW w:w="2500" w:type="pct"/>
            <w:tcBorders>
              <w:bottom w:val="single" w:sz="4" w:space="0" w:color="auto"/>
            </w:tcBorders>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2015</w:t>
            </w:r>
          </w:p>
        </w:tc>
        <w:tc>
          <w:tcPr>
            <w:tcW w:w="2500" w:type="pct"/>
            <w:shd w:val="clear" w:color="auto" w:fill="C6D9F1" w:themeFill="text2" w:themeFillTint="33"/>
            <w:vAlign w:val="center"/>
          </w:tcPr>
          <w:p w:rsidR="00CA682E" w:rsidRPr="00CA682E" w:rsidRDefault="00CA682E" w:rsidP="00CA682E">
            <w:pPr>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el futuro</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En 2015 no se obtuvieron  beneficios debido a la interrupción de las obras tras detectarse problemas técnicos</w:t>
            </w: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Reducción total de la pérdida de energía a través de la fachada suroeste del edificio AB</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 confort térmico todo el año</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Reciclado de las ventanas menos dañadas para su uso en otras fachadas del edificio AB</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 del aspecto estético de la fachada suroeste del edificio AB</w:t>
            </w:r>
          </w:p>
        </w:tc>
      </w:tr>
      <w:tr w:rsidR="00CA682E" w:rsidRPr="00CA682E" w:rsidTr="007B1DE4">
        <w:trPr>
          <w:trHeight w:val="564"/>
          <w:jc w:val="center"/>
        </w:trPr>
        <w:tc>
          <w:tcPr>
            <w:tcW w:w="2500" w:type="pct"/>
            <w:tcBorders>
              <w:top w:val="single" w:sz="4" w:space="0" w:color="auto"/>
              <w:bottom w:val="single" w:sz="4" w:space="0" w:color="auto"/>
            </w:tcBorders>
            <w:vAlign w:val="center"/>
          </w:tcPr>
          <w:p w:rsidR="00CA682E" w:rsidRPr="00CA682E" w:rsidRDefault="00CA682E" w:rsidP="00CA682E">
            <w:pPr>
              <w:rPr>
                <w:rFonts w:eastAsia="Times New Roman" w:cs="Times New Roman"/>
                <w:bCs/>
                <w:color w:val="000000" w:themeColor="text1"/>
                <w:sz w:val="16"/>
                <w:szCs w:val="16"/>
                <w:lang w:eastAsia="en-US"/>
              </w:rPr>
            </w:pPr>
          </w:p>
        </w:tc>
        <w:tc>
          <w:tcPr>
            <w:tcW w:w="2500" w:type="pct"/>
            <w:shd w:val="clear" w:color="auto" w:fill="auto"/>
            <w:vAlign w:val="center"/>
          </w:tcPr>
          <w:p w:rsidR="00CA682E" w:rsidRPr="00CA682E" w:rsidRDefault="00CA682E" w:rsidP="00CA682E">
            <w:pPr>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 de la eficiencia energética</w:t>
            </w:r>
          </w:p>
        </w:tc>
      </w:tr>
    </w:tbl>
    <w:p w:rsidR="00CA682E" w:rsidRPr="00CA682E" w:rsidRDefault="00CA682E" w:rsidP="00CA682E">
      <w:pPr>
        <w:rPr>
          <w:rFonts w:eastAsia="Times New Roman" w:cs="Times New Roman"/>
          <w:b/>
          <w:color w:val="000000" w:themeColor="text1"/>
          <w:sz w:val="20"/>
          <w:lang w:eastAsia="en-US"/>
        </w:rPr>
      </w:pP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UTILIZACIÓN DE LOS RECURSOS</w:t>
      </w:r>
      <w:r w:rsidRPr="00CA682E">
        <w:rPr>
          <w:rFonts w:eastAsia="Times New Roman"/>
          <w:color w:val="000000" w:themeColor="text1"/>
          <w:sz w:val="20"/>
          <w:vertAlign w:val="superscript"/>
          <w:lang w:eastAsia="en-US"/>
        </w:rPr>
        <w:footnoteReference w:id="182"/>
      </w:r>
    </w:p>
    <w:p w:rsidR="00CA682E" w:rsidRPr="00CA682E" w:rsidRDefault="00CA682E" w:rsidP="00CA682E">
      <w:pPr>
        <w:rPr>
          <w:rFonts w:eastAsia="Times New Roman"/>
          <w:color w:val="000000" w:themeColor="text1"/>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565"/>
        <w:gridCol w:w="1565"/>
        <w:gridCol w:w="1564"/>
        <w:gridCol w:w="1687"/>
      </w:tblGrid>
      <w:tr w:rsidR="00CA682E" w:rsidRPr="00CA682E" w:rsidTr="007B1DE4">
        <w:trPr>
          <w:trHeight w:val="410"/>
        </w:trPr>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0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7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Edificio Arpad Bogsch – sustitución de determinadas ventanas</w:t>
            </w:r>
          </w:p>
        </w:tc>
        <w:tc>
          <w:tcPr>
            <w:tcW w:w="83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300.000</w:t>
            </w:r>
          </w:p>
        </w:tc>
        <w:tc>
          <w:tcPr>
            <w:tcW w:w="83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47.042</w:t>
            </w:r>
          </w:p>
        </w:tc>
        <w:tc>
          <w:tcPr>
            <w:tcW w:w="83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15,7%</w:t>
            </w:r>
          </w:p>
        </w:tc>
        <w:tc>
          <w:tcPr>
            <w:tcW w:w="90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15%</w:t>
            </w:r>
          </w:p>
        </w:tc>
      </w:tr>
    </w:tbl>
    <w:p w:rsidR="00CA682E" w:rsidRPr="00CA682E" w:rsidRDefault="00CA682E" w:rsidP="00CA682E">
      <w:pPr>
        <w:keepNext/>
        <w:autoSpaceDE w:val="0"/>
        <w:autoSpaceDN w:val="0"/>
        <w:rPr>
          <w:rFonts w:eastAsia="Times New Roman" w:cs="Times New Roman"/>
          <w:color w:val="000000" w:themeColor="text1"/>
          <w:sz w:val="20"/>
          <w:szCs w:val="16"/>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0"/>
        <w:gridCol w:w="1575"/>
        <w:gridCol w:w="1575"/>
        <w:gridCol w:w="1575"/>
        <w:gridCol w:w="1697"/>
      </w:tblGrid>
      <w:tr w:rsidR="00CA682E" w:rsidRPr="00CA682E" w:rsidTr="007B1DE4">
        <w:trPr>
          <w:trHeight w:val="410"/>
        </w:trPr>
        <w:tc>
          <w:tcPr>
            <w:tcW w:w="1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Etapas fundamentales</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1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Adjudicación del contrato al ingeniero de fachadas</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45.000</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36.812</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81,8%</w:t>
            </w:r>
          </w:p>
        </w:tc>
        <w:tc>
          <w:tcPr>
            <w:tcW w:w="91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90%</w:t>
            </w:r>
          </w:p>
        </w:tc>
      </w:tr>
      <w:tr w:rsidR="00CA682E" w:rsidRPr="00CA682E" w:rsidTr="007B1DE4">
        <w:trPr>
          <w:trHeight w:val="389"/>
        </w:trPr>
        <w:tc>
          <w:tcPr>
            <w:tcW w:w="155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Obra y puesta en servicio</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255.000</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10.230</w:t>
            </w:r>
          </w:p>
        </w:tc>
        <w:tc>
          <w:tcPr>
            <w:tcW w:w="84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w:t>
            </w:r>
          </w:p>
        </w:tc>
        <w:tc>
          <w:tcPr>
            <w:tcW w:w="91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w:t>
            </w:r>
          </w:p>
        </w:tc>
      </w:tr>
      <w:tr w:rsidR="00CA682E" w:rsidRPr="00CA682E" w:rsidTr="007B1DE4">
        <w:trPr>
          <w:trHeight w:val="389"/>
        </w:trPr>
        <w:tc>
          <w:tcPr>
            <w:tcW w:w="15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300.000</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47.042</w:t>
            </w:r>
          </w:p>
        </w:tc>
        <w:tc>
          <w:tcPr>
            <w:tcW w:w="84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c>
          <w:tcPr>
            <w:tcW w:w="91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keepNext/>
        <w:keepLines/>
        <w:tabs>
          <w:tab w:val="left" w:pos="3261"/>
        </w:tabs>
        <w:autoSpaceDE w:val="0"/>
        <w:autoSpaceDN w:val="0"/>
        <w:adjustRightInd w:val="0"/>
        <w:rPr>
          <w:rFonts w:eastAsia="Times New Roman" w:cs="Times New Roman"/>
          <w:color w:val="000000" w:themeColor="text1"/>
          <w:sz w:val="20"/>
          <w:szCs w:val="22"/>
          <w:lang w:eastAsia="en-US"/>
        </w:rPr>
      </w:pPr>
    </w:p>
    <w:p w:rsidR="006E408E" w:rsidRDefault="006E408E">
      <w:pPr>
        <w:rPr>
          <w:rFonts w:eastAsia="Times New Roman" w:cs="Times New Roman"/>
          <w:b/>
          <w:color w:val="000000" w:themeColor="text1"/>
          <w:sz w:val="20"/>
          <w:szCs w:val="22"/>
          <w:lang w:eastAsia="en-US"/>
        </w:rPr>
      </w:pPr>
      <w:r>
        <w:rPr>
          <w:rFonts w:eastAsia="Times New Roman" w:cs="Times New Roman"/>
          <w:b/>
          <w:color w:val="000000" w:themeColor="text1"/>
          <w:sz w:val="20"/>
          <w:szCs w:val="22"/>
          <w:lang w:eastAsia="en-US"/>
        </w:rPr>
        <w:br w:type="page"/>
      </w: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lastRenderedPageBreak/>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73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1840"/>
        <w:gridCol w:w="1840"/>
        <w:gridCol w:w="2141"/>
      </w:tblGrid>
      <w:tr w:rsidR="00CA682E" w:rsidRPr="00CA682E" w:rsidTr="007B1DE4">
        <w:trPr>
          <w:trHeight w:val="569"/>
        </w:trPr>
        <w:tc>
          <w:tcPr>
            <w:tcW w:w="17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Gasto real hasta la fecha </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7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Costos relacionados con las obras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234.000</w:t>
            </w:r>
          </w:p>
        </w:tc>
        <w:tc>
          <w:tcPr>
            <w:tcW w:w="101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10.230</w:t>
            </w:r>
          </w:p>
        </w:tc>
        <w:tc>
          <w:tcPr>
            <w:tcW w:w="118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4,4%</w:t>
            </w:r>
          </w:p>
        </w:tc>
      </w:tr>
      <w:tr w:rsidR="00CA682E" w:rsidRPr="00CA682E" w:rsidTr="007B1DE4">
        <w:tc>
          <w:tcPr>
            <w:tcW w:w="17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Honorarios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45.000</w:t>
            </w:r>
          </w:p>
        </w:tc>
        <w:tc>
          <w:tcPr>
            <w:tcW w:w="101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36.812</w:t>
            </w:r>
          </w:p>
        </w:tc>
        <w:tc>
          <w:tcPr>
            <w:tcW w:w="118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81,8%</w:t>
            </w:r>
          </w:p>
        </w:tc>
      </w:tr>
      <w:tr w:rsidR="00CA682E" w:rsidRPr="00CA682E" w:rsidTr="007B1DE4">
        <w:tc>
          <w:tcPr>
            <w:tcW w:w="179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line="260" w:lineRule="exact"/>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Diversos e imprevistos</w:t>
            </w:r>
          </w:p>
        </w:tc>
        <w:tc>
          <w:tcPr>
            <w:tcW w:w="1014" w:type="pct"/>
            <w:tcBorders>
              <w:top w:val="single" w:sz="4" w:space="0" w:color="auto"/>
              <w:left w:val="single" w:sz="4" w:space="0" w:color="auto"/>
              <w:bottom w:val="single" w:sz="4" w:space="0" w:color="auto"/>
              <w:right w:val="single" w:sz="4" w:space="0" w:color="auto"/>
            </w:tcBorders>
            <w:vAlign w:val="center"/>
          </w:tcPr>
          <w:p w:rsidR="00CA682E" w:rsidRPr="00CA682E" w:rsidRDefault="006E408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Pr>
                <w:rFonts w:eastAsia="Times New Roman" w:cs="Times New Roman"/>
                <w:color w:val="000000" w:themeColor="text1"/>
                <w:sz w:val="16"/>
                <w:szCs w:val="16"/>
                <w:lang w:eastAsia="en-US"/>
              </w:rPr>
              <w:t>21.</w:t>
            </w:r>
            <w:r w:rsidR="00CA682E" w:rsidRPr="00CA682E">
              <w:rPr>
                <w:rFonts w:eastAsia="Times New Roman" w:cs="Times New Roman"/>
                <w:color w:val="000000" w:themeColor="text1"/>
                <w:sz w:val="16"/>
                <w:szCs w:val="16"/>
                <w:lang w:eastAsia="en-US"/>
              </w:rPr>
              <w:t>000</w:t>
            </w:r>
          </w:p>
        </w:tc>
        <w:tc>
          <w:tcPr>
            <w:tcW w:w="101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80"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line="260" w:lineRule="exact"/>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7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300.000</w:t>
            </w:r>
          </w:p>
        </w:tc>
        <w:tc>
          <w:tcPr>
            <w:tcW w:w="101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47.042</w:t>
            </w:r>
          </w:p>
        </w:tc>
        <w:tc>
          <w:tcPr>
            <w:tcW w:w="118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line="260" w:lineRule="exact"/>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RIESGOS Y ESTRATEGIAS DE MITIGACIÓN</w:t>
      </w:r>
    </w:p>
    <w:p w:rsidR="00CA682E" w:rsidRPr="00CA682E" w:rsidRDefault="00CA682E" w:rsidP="00CA682E">
      <w:pPr>
        <w:rPr>
          <w:rFonts w:eastAsia="Times New Roman"/>
          <w:color w:val="000000" w:themeColor="text1"/>
          <w:sz w:val="20"/>
          <w:szCs w:val="22"/>
          <w:lang w:eastAsia="en-US"/>
        </w:rPr>
      </w:pP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3237"/>
        <w:gridCol w:w="3070"/>
      </w:tblGrid>
      <w:tr w:rsidR="00CA682E" w:rsidRPr="00CA682E" w:rsidTr="007B1DE4">
        <w:trPr>
          <w:trHeight w:val="534"/>
          <w:tblHeader/>
          <w:jc w:val="center"/>
        </w:trPr>
        <w:tc>
          <w:tcPr>
            <w:tcW w:w="157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Riesgo/Descripción del riesgo</w:t>
            </w:r>
          </w:p>
        </w:tc>
        <w:tc>
          <w:tcPr>
            <w:tcW w:w="1757"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Mitigación del riesgo</w:t>
            </w:r>
            <w:r w:rsidRPr="00CA682E" w:rsidDel="00826D61">
              <w:rPr>
                <w:rFonts w:eastAsia="Times New Roman" w:cs="Times New Roman"/>
                <w:b/>
                <w:bCs/>
                <w:color w:val="000000" w:themeColor="text1"/>
                <w:sz w:val="16"/>
                <w:szCs w:val="16"/>
                <w:lang w:eastAsia="en-US"/>
              </w:rPr>
              <w:t xml:space="preserve"> </w:t>
            </w:r>
          </w:p>
        </w:tc>
        <w:tc>
          <w:tcPr>
            <w:tcW w:w="1666"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Comentario</w:t>
            </w: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de hasta un año en el comienzo del proyecto debido al retraso en la finalización de la nueva sala de conferencias de la OMPI</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Ajustar el calendario y realizar obras durante el verano en la medida posible</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El riesgo se materializó en 2014.  El calendario general del proyecto fue alargado 12 meses en relación con el plan original.  Se ajustó el plazo para el proyecto, conforme a la medida prevista para mitigar el riesgo.  No hubo incidencia tangible en los aportes concretos del proyecto</w:t>
            </w:r>
            <w:r w:rsidRPr="00CA682E">
              <w:rPr>
                <w:rFonts w:eastAsia="Times New Roman" w:cs="Times New Roman"/>
                <w:i/>
                <w:color w:val="000000" w:themeColor="text1"/>
                <w:sz w:val="16"/>
                <w:szCs w:val="16"/>
                <w:lang w:eastAsia="en-US"/>
              </w:rPr>
              <w:t xml:space="preserve"> </w:t>
            </w: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rPr>
                <w:rFonts w:eastAsia="Batang"/>
                <w:color w:val="000000" w:themeColor="text1"/>
                <w:sz w:val="16"/>
                <w:szCs w:val="16"/>
                <w:lang w:eastAsia="ja-JP"/>
              </w:rPr>
            </w:pPr>
            <w:r w:rsidRPr="00CA682E">
              <w:rPr>
                <w:rFonts w:eastAsia="Batang"/>
                <w:color w:val="000000" w:themeColor="text1"/>
                <w:sz w:val="16"/>
                <w:szCs w:val="16"/>
                <w:lang w:eastAsia="ja-JP"/>
              </w:rPr>
              <w:t>Conflicto de prioridades entre el avance de las obras y la utilización de las oficinas por sus ocupantes, con la consiguiente imposibilidad de desalojar las oficinas para poder comenzar las obras en las plantas afectadas</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En lo posible, reorganizar las obras de construcción y revisar el calendario</w:t>
            </w:r>
            <w:r w:rsidRPr="00CA682E" w:rsidDel="00826D61">
              <w:rPr>
                <w:rFonts w:eastAsia="Times New Roman" w:cs="Times New Roman"/>
                <w:color w:val="000000" w:themeColor="text1"/>
                <w:sz w:val="16"/>
                <w:szCs w:val="16"/>
                <w:lang w:eastAsia="en-US"/>
              </w:rPr>
              <w:t xml:space="preserve"> </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Imposibilidad de realizar las obras durante el verano de 2015 por no estar disponibles las empresas en la fecha solicitada por la OMPI</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 xml:space="preserve">Aplazar las obras hasta el verano de 2016 </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o interrupción de las obras debido a un accidente en el lugar de las obras</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Revalidar y fortalecer las medidas de seguridad y revisar el calendario de las obras hasta 2016</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r w:rsidR="00CA682E" w:rsidRPr="00CA682E" w:rsidTr="007B1DE4">
        <w:trPr>
          <w:trHeight w:val="776"/>
          <w:jc w:val="center"/>
        </w:trPr>
        <w:tc>
          <w:tcPr>
            <w:tcW w:w="157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Interrupción de las obras por problemas técnicos detectados durante la labor preparatoria del sitio de las obras</w:t>
            </w:r>
          </w:p>
        </w:tc>
        <w:tc>
          <w:tcPr>
            <w:tcW w:w="1757"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Contratar expertos que presten asesoramiento sobre el mejor modo de solucionar los problemas planteados</w:t>
            </w:r>
          </w:p>
        </w:tc>
        <w:tc>
          <w:tcPr>
            <w:tcW w:w="1666" w:type="pct"/>
            <w:shd w:val="clear" w:color="auto" w:fill="auto"/>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El riesgo se materializó en 2015.  Se contrataron expertos adicionales para realizar estudios a fin de asesorar  a la Secretaría sobre el mejor modo de proceder para atenuar la incidencia</w:t>
            </w:r>
          </w:p>
        </w:tc>
      </w:tr>
    </w:tbl>
    <w:p w:rsidR="00CA682E" w:rsidRPr="00CA682E" w:rsidRDefault="00CA682E" w:rsidP="00CA682E">
      <w:pPr>
        <w:autoSpaceDE w:val="0"/>
        <w:autoSpaceDN w:val="0"/>
        <w:jc w:val="both"/>
        <w:rPr>
          <w:rFonts w:eastAsia="Times New Roman" w:cs="Times New Roman"/>
          <w:color w:val="000000" w:themeColor="text1"/>
          <w:sz w:val="18"/>
          <w:szCs w:val="24"/>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CALENDARIO DEL PROYECTO, POR ETAPA</w:t>
      </w:r>
    </w:p>
    <w:p w:rsidR="00CA682E" w:rsidRPr="00CA682E" w:rsidRDefault="00CA682E" w:rsidP="00CA682E">
      <w:pPr>
        <w:autoSpaceDE w:val="0"/>
        <w:autoSpaceDN w:val="0"/>
        <w:jc w:val="both"/>
        <w:rPr>
          <w:rFonts w:eastAsia="Times New Roman" w:cs="Times New Roman"/>
          <w:color w:val="000000" w:themeColor="text1"/>
          <w:sz w:val="18"/>
          <w:szCs w:val="24"/>
          <w:lang w:eastAsia="en-US"/>
        </w:rPr>
      </w:pPr>
    </w:p>
    <w:tbl>
      <w:tblPr>
        <w:tblW w:w="8690" w:type="dxa"/>
        <w:jc w:val="center"/>
        <w:tblLook w:val="04A0" w:firstRow="1" w:lastRow="0" w:firstColumn="1" w:lastColumn="0" w:noHBand="0" w:noVBand="1"/>
      </w:tblPr>
      <w:tblGrid>
        <w:gridCol w:w="3782"/>
        <w:gridCol w:w="448"/>
        <w:gridCol w:w="448"/>
        <w:gridCol w:w="403"/>
        <w:gridCol w:w="403"/>
        <w:gridCol w:w="448"/>
        <w:gridCol w:w="448"/>
        <w:gridCol w:w="409"/>
        <w:gridCol w:w="409"/>
        <w:gridCol w:w="448"/>
        <w:gridCol w:w="448"/>
        <w:gridCol w:w="409"/>
        <w:gridCol w:w="409"/>
      </w:tblGrid>
      <w:tr w:rsidR="00CA682E" w:rsidRPr="00CA682E" w:rsidTr="007B1DE4">
        <w:trPr>
          <w:trHeight w:val="244"/>
          <w:jc w:val="center"/>
        </w:trPr>
        <w:tc>
          <w:tcPr>
            <w:tcW w:w="3782"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color w:val="000000" w:themeColor="text1"/>
                <w:sz w:val="16"/>
                <w:szCs w:val="16"/>
                <w:lang w:eastAsia="en-US"/>
              </w:rPr>
            </w:pPr>
          </w:p>
        </w:tc>
        <w:tc>
          <w:tcPr>
            <w:tcW w:w="1635"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2014</w:t>
            </w:r>
          </w:p>
        </w:tc>
        <w:tc>
          <w:tcPr>
            <w:tcW w:w="1635" w:type="dxa"/>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2015</w:t>
            </w:r>
          </w:p>
        </w:tc>
        <w:tc>
          <w:tcPr>
            <w:tcW w:w="1635"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2016</w:t>
            </w:r>
          </w:p>
        </w:tc>
      </w:tr>
      <w:tr w:rsidR="00CA682E" w:rsidRPr="00CA682E" w:rsidTr="007B1DE4">
        <w:trPr>
          <w:trHeight w:val="254"/>
          <w:jc w:val="center"/>
        </w:trPr>
        <w:tc>
          <w:tcPr>
            <w:tcW w:w="3782"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Etapas fundamentales</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09" w:type="dxa"/>
            <w:tcBorders>
              <w:top w:val="nil"/>
              <w:left w:val="nil"/>
              <w:bottom w:val="single" w:sz="4" w:space="0" w:color="auto"/>
              <w:right w:val="single" w:sz="4" w:space="0" w:color="auto"/>
            </w:tcBorders>
            <w:shd w:val="clear" w:color="auto" w:fill="C6D9F1" w:themeFill="text2" w:themeFillTint="33"/>
            <w:vAlign w:val="bottom"/>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09"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09"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T1.</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T2.</w:t>
            </w:r>
          </w:p>
        </w:tc>
        <w:tc>
          <w:tcPr>
            <w:tcW w:w="409"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T3</w:t>
            </w:r>
          </w:p>
        </w:tc>
        <w:tc>
          <w:tcPr>
            <w:tcW w:w="409"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spacing w:before="40" w:after="40"/>
              <w:jc w:val="center"/>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T4</w:t>
            </w: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Adjudicación del contrato al ingeniero de fachadas</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xml:space="preserve">Desarrollo y validación del proyecto con el ingeniero de fachadas </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Llamado a presentar ofertas y selección de empresas</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Ejecución y puesta en servicio de las obras</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single" w:sz="4" w:space="0" w:color="auto"/>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8"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shd w:val="clear" w:color="auto" w:fill="auto"/>
            <w:noWrap/>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bottom"/>
          </w:tcPr>
          <w:p w:rsidR="00CA682E" w:rsidRPr="00CA682E" w:rsidRDefault="00CA682E" w:rsidP="00CA682E">
            <w:pPr>
              <w:spacing w:before="40" w:after="40"/>
              <w:rPr>
                <w:rFonts w:eastAsia="Times New Roman"/>
                <w:color w:val="000000" w:themeColor="text1"/>
                <w:sz w:val="16"/>
                <w:szCs w:val="16"/>
                <w:lang w:eastAsia="en-US"/>
              </w:rPr>
            </w:pPr>
          </w:p>
        </w:tc>
      </w:tr>
      <w:tr w:rsidR="00CA682E" w:rsidRPr="00CA682E" w:rsidTr="007B1DE4">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xml:space="preserve">Adjudicación de contrato a expertos para que realicen estudios a fin de asesorar a la Secretaría sobre el mejor modo de proceder </w:t>
            </w: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vAlign w:val="center"/>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09" w:type="dxa"/>
            <w:tcBorders>
              <w:top w:val="nil"/>
              <w:left w:val="nil"/>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 </w:t>
            </w:r>
          </w:p>
        </w:tc>
      </w:tr>
    </w:tbl>
    <w:p w:rsidR="00CA682E" w:rsidRPr="00CA682E" w:rsidRDefault="00CA682E" w:rsidP="00CA682E">
      <w:pPr>
        <w:autoSpaceDE w:val="0"/>
        <w:autoSpaceDN w:val="0"/>
        <w:jc w:val="both"/>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b/>
          <w:color w:val="000000" w:themeColor="text1"/>
          <w:szCs w:val="22"/>
          <w:lang w:eastAsia="en-US"/>
        </w:rPr>
      </w:pPr>
      <w:r w:rsidRPr="00CA682E">
        <w:rPr>
          <w:rFonts w:eastAsia="Times New Roman" w:cs="Times New Roman"/>
          <w:color w:val="000000" w:themeColor="text1"/>
          <w:sz w:val="20"/>
          <w:szCs w:val="24"/>
          <w:lang w:eastAsia="en-US"/>
        </w:rPr>
        <w:br w:type="page"/>
      </w:r>
      <w:r w:rsidRPr="00CA682E">
        <w:rPr>
          <w:rFonts w:eastAsia="Times New Roman" w:cs="Times New Roman"/>
          <w:b/>
          <w:color w:val="000000" w:themeColor="text1"/>
          <w:szCs w:val="22"/>
          <w:lang w:eastAsia="en-US"/>
        </w:rPr>
        <w:lastRenderedPageBreak/>
        <w:t>PROYECTOS RELACIONADOS CON LA SEGURIDAD Y LA VIGILANCIA</w:t>
      </w:r>
    </w:p>
    <w:p w:rsidR="00CA682E" w:rsidRPr="00CA682E" w:rsidRDefault="00CA682E" w:rsidP="00CA682E">
      <w:pPr>
        <w:rPr>
          <w:rFonts w:eastAsia="Times New Roman" w:cs="Times New Roman"/>
          <w:b/>
          <w:color w:val="000000" w:themeColor="text1"/>
          <w:szCs w:val="24"/>
          <w:lang w:eastAsia="en-US"/>
        </w:rPr>
      </w:pPr>
    </w:p>
    <w:p w:rsidR="00CA682E" w:rsidRPr="00CA682E" w:rsidRDefault="00CA682E" w:rsidP="00CA682E">
      <w:pPr>
        <w:keepNext/>
        <w:outlineLvl w:val="2"/>
        <w:rPr>
          <w:b/>
          <w:bCs/>
          <w:i/>
          <w:color w:val="000000" w:themeColor="text1"/>
          <w:sz w:val="20"/>
          <w:lang w:eastAsia="en-US"/>
        </w:rPr>
      </w:pPr>
      <w:bookmarkStart w:id="231" w:name="_Toc455159122"/>
      <w:r w:rsidRPr="00CA682E">
        <w:rPr>
          <w:b/>
          <w:bCs/>
          <w:i/>
          <w:color w:val="000000" w:themeColor="text1"/>
          <w:sz w:val="20"/>
          <w:lang w:eastAsia="en-US"/>
        </w:rPr>
        <w:t>PROYECTO 7</w:t>
      </w:r>
      <w:r w:rsidR="00DD172C">
        <w:rPr>
          <w:b/>
          <w:bCs/>
          <w:i/>
          <w:color w:val="000000" w:themeColor="text1"/>
          <w:sz w:val="20"/>
          <w:lang w:eastAsia="en-US"/>
        </w:rPr>
        <w:t>:</w:t>
      </w:r>
      <w:r w:rsidR="00DD172C">
        <w:rPr>
          <w:b/>
          <w:bCs/>
          <w:i/>
          <w:color w:val="000000" w:themeColor="text1"/>
          <w:sz w:val="20"/>
          <w:lang w:eastAsia="en-US"/>
        </w:rPr>
        <w:tab/>
      </w:r>
      <w:r w:rsidRPr="00CA682E">
        <w:rPr>
          <w:b/>
          <w:bCs/>
          <w:i/>
          <w:color w:val="000000" w:themeColor="text1"/>
          <w:sz w:val="20"/>
          <w:lang w:eastAsia="en-US"/>
        </w:rPr>
        <w:t>MEDIDAS DE SEGURIDAD Y DE PROTECCIÓN CONTRA INCENDIOS (PMM 7)</w:t>
      </w:r>
      <w:bookmarkEnd w:id="231"/>
    </w:p>
    <w:p w:rsidR="00CA682E" w:rsidRPr="00CA682E" w:rsidRDefault="00CA682E" w:rsidP="00CA682E">
      <w:pPr>
        <w:rPr>
          <w:rFonts w:eastAsia="Times New Roman"/>
          <w:b/>
          <w:color w:val="000000" w:themeColor="text1"/>
          <w:szCs w:val="24"/>
          <w:lang w:eastAsia="en-US"/>
        </w:rPr>
      </w:pPr>
    </w:p>
    <w:p w:rsidR="00CA682E" w:rsidRPr="00CA682E" w:rsidRDefault="00CA682E" w:rsidP="00CA682E">
      <w:pPr>
        <w:rPr>
          <w:rFonts w:eastAsia="Times New Roman"/>
          <w:b/>
          <w:color w:val="000000" w:themeColor="text1"/>
          <w:sz w:val="20"/>
          <w:lang w:eastAsia="en-US"/>
        </w:rPr>
      </w:pPr>
      <w:r w:rsidRPr="00CA682E">
        <w:rPr>
          <w:rFonts w:eastAsia="Times New Roman"/>
          <w:b/>
          <w:color w:val="000000" w:themeColor="text1"/>
          <w:sz w:val="20"/>
          <w:lang w:eastAsia="en-US"/>
        </w:rPr>
        <w:t>Director del proyecto</w:t>
      </w:r>
      <w:r w:rsidRPr="00CA682E">
        <w:rPr>
          <w:rFonts w:eastAsia="Times New Roman"/>
          <w:b/>
          <w:color w:val="000000" w:themeColor="text1"/>
          <w:sz w:val="20"/>
          <w:lang w:eastAsia="en-US"/>
        </w:rPr>
        <w:tab/>
        <w:t>Sr. M. GIBB</w:t>
      </w:r>
    </w:p>
    <w:p w:rsidR="00CA682E" w:rsidRPr="00CA682E" w:rsidRDefault="00CA682E" w:rsidP="00CA682E">
      <w:pPr>
        <w:rPr>
          <w:rFonts w:eastAsia="Times New Roman"/>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RESULTADO PREVISTO</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i/>
          <w:color w:val="000000" w:themeColor="text1"/>
          <w:sz w:val="20"/>
          <w:lang w:eastAsia="en-US"/>
        </w:rPr>
        <w:t>IX.4  Una organización responsable con el medio ambiente y la sociedad, en la que se garantiza la seguridad de su personal, los delegados, los visitantes, la información y los activos físicos</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OBJETIVOS, ALCANCE Y ENFOQUE</w:t>
      </w:r>
      <w:proofErr w:type="gramStart"/>
      <w:r w:rsidRPr="00CA682E">
        <w:rPr>
          <w:rFonts w:eastAsia="Times New Roman"/>
          <w:bCs/>
          <w:color w:val="000000" w:themeColor="text1"/>
          <w:sz w:val="20"/>
          <w:lang w:eastAsia="en-US"/>
        </w:rPr>
        <w:t>:  ANTECEDENTES</w:t>
      </w:r>
      <w:proofErr w:type="gramEnd"/>
    </w:p>
    <w:p w:rsidR="00CA682E" w:rsidRPr="00CA682E" w:rsidRDefault="00CA682E" w:rsidP="00CA682E">
      <w:pPr>
        <w:rPr>
          <w:rFonts w:eastAsia="Times New Roman"/>
          <w:bCs/>
          <w:color w:val="000000" w:themeColor="text1"/>
          <w:sz w:val="20"/>
          <w:lang w:eastAsia="en-US"/>
        </w:rPr>
      </w:pPr>
    </w:p>
    <w:p w:rsidR="00CA682E" w:rsidRPr="00CA682E" w:rsidRDefault="00CA682E" w:rsidP="00734316">
      <w:pPr>
        <w:numPr>
          <w:ilvl w:val="0"/>
          <w:numId w:val="131"/>
        </w:numPr>
        <w:tabs>
          <w:tab w:val="left" w:pos="567"/>
        </w:tabs>
        <w:ind w:left="0" w:firstLine="0"/>
        <w:rPr>
          <w:rFonts w:eastAsia="Batang"/>
          <w:color w:val="000000" w:themeColor="text1"/>
          <w:sz w:val="20"/>
          <w:lang w:eastAsia="ja-JP"/>
        </w:rPr>
      </w:pPr>
      <w:r w:rsidRPr="00CA682E">
        <w:rPr>
          <w:rFonts w:eastAsia="Batang"/>
          <w:color w:val="000000" w:themeColor="text1"/>
          <w:sz w:val="20"/>
          <w:lang w:eastAsia="ja-JP"/>
        </w:rPr>
        <w:t xml:space="preserve">Conforme a la auditoría de seguridad y vigilancia realizada por un instituto especializado a petición de la Secretaría, es necesario poner en práctica varias recomendaciones relacionadas con medidas de seguridad y de protección contra incendios en los edificios más antiguos de la OMPI, para que cumplan con los nuevos niveles de seguridad (cabe señalar que el nuevo edificio y la nueva sala de conferencias quedan excluidos de este proyecto pues las especificaciones técnicas ya reflejan los nuevos niveles exigidos).  </w:t>
      </w:r>
      <w:r w:rsidRPr="00CA682E">
        <w:rPr>
          <w:rFonts w:eastAsiaTheme="minorHAnsi"/>
          <w:color w:val="000000" w:themeColor="text1"/>
          <w:sz w:val="20"/>
          <w:lang w:eastAsia="ja-JP"/>
        </w:rPr>
        <w:t xml:space="preserve">Las medidas de seguridad y de protección contra incendios que han de aplicarse en los edificios más antiguos de la OMPI </w:t>
      </w:r>
      <w:proofErr w:type="gramStart"/>
      <w:r w:rsidRPr="00CA682E">
        <w:rPr>
          <w:rFonts w:eastAsiaTheme="minorHAnsi"/>
          <w:color w:val="000000" w:themeColor="text1"/>
          <w:sz w:val="20"/>
          <w:lang w:eastAsia="ja-JP"/>
        </w:rPr>
        <w:t xml:space="preserve">son </w:t>
      </w:r>
      <w:r w:rsidRPr="00CA682E">
        <w:rPr>
          <w:rFonts w:eastAsia="Batang"/>
          <w:color w:val="000000" w:themeColor="text1"/>
          <w:sz w:val="20"/>
          <w:lang w:eastAsia="ja-JP"/>
        </w:rPr>
        <w:t>:</w:t>
      </w:r>
      <w:proofErr w:type="gramEnd"/>
      <w:r w:rsidRPr="00CA682E">
        <w:rPr>
          <w:rFonts w:eastAsia="Batang"/>
          <w:color w:val="000000" w:themeColor="text1"/>
          <w:sz w:val="20"/>
          <w:lang w:eastAsia="ja-JP"/>
        </w:rPr>
        <w:t xml:space="preserve"> i) la compartimentación entre edificios;  y ii) la compartimentación entre áreas de un edificio determinado (tabiques divisorios).  La finalidad de esa compartimentación es aislar mejor un único edificio o área en caso de incendio o de propagación de humo tras un incidente.  La compartimentación de los edificios se realizará mediante la construcción de elementos de infraestructura o puertas además o en lugar de las existentes y, en algunos casos, la instalación de nuevas puertas en los corredores o pasillos existentes.  </w:t>
      </w:r>
    </w:p>
    <w:p w:rsidR="00CA682E" w:rsidRPr="00CA682E" w:rsidRDefault="00CA682E" w:rsidP="00CA682E">
      <w:pPr>
        <w:tabs>
          <w:tab w:val="left" w:pos="567"/>
        </w:tabs>
        <w:rPr>
          <w:rFonts w:eastAsia="Times New Roman"/>
          <w:color w:val="000000" w:themeColor="text1"/>
          <w:sz w:val="20"/>
          <w:lang w:eastAsia="en-US"/>
        </w:rPr>
      </w:pPr>
    </w:p>
    <w:p w:rsidR="00CA682E" w:rsidRPr="00CA682E" w:rsidRDefault="00CA682E" w:rsidP="00CA682E">
      <w:pPr>
        <w:numPr>
          <w:ilvl w:val="0"/>
          <w:numId w:val="131"/>
        </w:numPr>
        <w:tabs>
          <w:tab w:val="left" w:pos="567"/>
        </w:tabs>
        <w:ind w:left="0" w:firstLine="0"/>
        <w:rPr>
          <w:rFonts w:eastAsia="Times New Roman"/>
          <w:color w:val="000000" w:themeColor="text1"/>
          <w:sz w:val="20"/>
          <w:lang w:eastAsia="en-US"/>
        </w:rPr>
      </w:pPr>
      <w:r w:rsidRPr="00CA682E">
        <w:rPr>
          <w:rFonts w:eastAsia="Times New Roman"/>
          <w:color w:val="000000" w:themeColor="text1"/>
          <w:sz w:val="20"/>
          <w:lang w:eastAsia="en-US"/>
        </w:rPr>
        <w:t>La ejecución del proyecto permitirá:</w:t>
      </w:r>
    </w:p>
    <w:p w:rsidR="00CA682E" w:rsidRPr="00CA682E" w:rsidRDefault="00CA682E" w:rsidP="00CA682E">
      <w:pPr>
        <w:tabs>
          <w:tab w:val="left" w:pos="567"/>
        </w:tabs>
        <w:rPr>
          <w:rFonts w:eastAsia="Times New Roman"/>
          <w:color w:val="000000" w:themeColor="text1"/>
          <w:sz w:val="20"/>
          <w:lang w:eastAsia="en-US"/>
        </w:rPr>
      </w:pP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reducir los costos relacionados con: i) daños causados a los locales o a los activos que se encuentran en su interior, limitando la probabilidad de que ocurran incidentes; y ii) actividades de reparación, sustitución y limpieza; </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mejorar la protección de los datos relativos a la presentación de solicitudes en virtud de diferentes sistemas de registro;</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 xml:space="preserve">crear un entorno de trabajo más seguro, fortaleciendo, en caso de incidente, la seguridad y las medidas de protección del personal y de las demás personas que trabajen en los edificios, y mejorando los procedimientos de evacuación; </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mejorar la protección y la separación física de las instalaciones esenciales en los edificios;</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cumplimiento de las normas del Cantón de Ginebra sobre la prevención de incendios;  y</w:t>
      </w:r>
    </w:p>
    <w:p w:rsidR="00CA682E" w:rsidRPr="00CA682E" w:rsidRDefault="00CA682E" w:rsidP="00CA682E">
      <w:pPr>
        <w:numPr>
          <w:ilvl w:val="0"/>
          <w:numId w:val="136"/>
        </w:numPr>
        <w:tabs>
          <w:tab w:val="left" w:pos="1134"/>
        </w:tabs>
        <w:autoSpaceDE w:val="0"/>
        <w:autoSpaceDN w:val="0"/>
        <w:adjustRightInd w:val="0"/>
        <w:spacing w:after="120"/>
        <w:ind w:left="1134" w:hanging="567"/>
        <w:jc w:val="both"/>
        <w:rPr>
          <w:rFonts w:eastAsia="Times New Roman" w:cs="Times New Roman"/>
          <w:bCs/>
          <w:color w:val="000000" w:themeColor="text1"/>
          <w:sz w:val="20"/>
          <w:lang w:eastAsia="en-US"/>
        </w:rPr>
      </w:pPr>
      <w:r w:rsidRPr="00CA682E">
        <w:rPr>
          <w:rFonts w:eastAsia="Times New Roman" w:cs="Times New Roman"/>
          <w:bCs/>
          <w:color w:val="000000" w:themeColor="text1"/>
          <w:sz w:val="20"/>
          <w:lang w:eastAsia="en-US"/>
        </w:rPr>
        <w:t>adhesión a la política de prevención de incendios de las Naciones Unidas.</w:t>
      </w: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p>
    <w:p w:rsidR="00CA682E" w:rsidRPr="00CA682E" w:rsidRDefault="00CA682E" w:rsidP="00CA682E">
      <w:pPr>
        <w:rPr>
          <w:rFonts w:eastAsia="Times New Roman"/>
          <w:bCs/>
          <w:color w:val="000000" w:themeColor="text1"/>
          <w:sz w:val="20"/>
          <w:lang w:eastAsia="en-US"/>
        </w:rPr>
      </w:pPr>
      <w:r w:rsidRPr="00CA682E">
        <w:rPr>
          <w:rFonts w:eastAsia="Times New Roman"/>
          <w:bCs/>
          <w:color w:val="000000" w:themeColor="text1"/>
          <w:sz w:val="20"/>
          <w:lang w:eastAsia="en-US"/>
        </w:rPr>
        <w:t>RESEÑA DE LOS AVANCES LOGRADOS EN 2015 (ETAPAS FUNDAMENTALES)</w:t>
      </w:r>
    </w:p>
    <w:p w:rsidR="00CA682E" w:rsidRPr="00CA682E" w:rsidRDefault="00CA682E" w:rsidP="00CA682E">
      <w:pPr>
        <w:spacing w:line="276" w:lineRule="auto"/>
        <w:rPr>
          <w:rFonts w:eastAsia="Times New Roman"/>
          <w:bCs/>
          <w:color w:val="000000" w:themeColor="text1"/>
          <w:sz w:val="20"/>
          <w:lang w:eastAsia="en-US"/>
        </w:rPr>
      </w:pPr>
    </w:p>
    <w:p w:rsidR="00CA682E" w:rsidRPr="00734316" w:rsidRDefault="00CA682E" w:rsidP="00734316">
      <w:pPr>
        <w:numPr>
          <w:ilvl w:val="0"/>
          <w:numId w:val="131"/>
        </w:numPr>
        <w:tabs>
          <w:tab w:val="left" w:pos="567"/>
        </w:tabs>
        <w:ind w:left="0" w:firstLine="0"/>
        <w:rPr>
          <w:rFonts w:eastAsia="Times New Roman"/>
          <w:color w:val="000000" w:themeColor="text1"/>
          <w:sz w:val="20"/>
          <w:lang w:eastAsia="en-US"/>
        </w:rPr>
      </w:pPr>
      <w:r w:rsidRPr="00734316">
        <w:rPr>
          <w:rFonts w:eastAsia="Times New Roman"/>
          <w:color w:val="000000" w:themeColor="text1"/>
          <w:sz w:val="20"/>
          <w:lang w:eastAsia="en-US"/>
        </w:rPr>
        <w:t>La compartimentación del edificio PCT</w:t>
      </w:r>
      <w:r w:rsidRPr="00CA682E">
        <w:rPr>
          <w:rFonts w:eastAsia="Times New Roman"/>
          <w:color w:val="000000" w:themeColor="text1"/>
          <w:sz w:val="20"/>
          <w:lang w:eastAsia="en-US"/>
        </w:rPr>
        <w:t xml:space="preserve"> se llevó a cabo y concluyó en 2014 e incluyó un estudio de viabilidad y la instalación y conexión de puertas cortafuegos.  En 2015 finalizó la labor de compartimentación en el segundo subsuelo del edificio AB, entre el estacionamiento subterráneo del edificio AB y el edificio AB, iniciada en 2014 y quedó totalmente operativo el equipo ignífugo</w:t>
      </w:r>
      <w:r w:rsidRPr="00734316">
        <w:rPr>
          <w:rFonts w:eastAsia="Times New Roman"/>
          <w:color w:val="000000" w:themeColor="text1"/>
          <w:sz w:val="20"/>
          <w:lang w:eastAsia="en-US"/>
        </w:rPr>
        <w:t xml:space="preserve">.  El costo para finalizar esa labor fue superior a la que se había presupuestado originalmente y será sufragado mediante los ahorros obtenidos en el marco del proyecto de compartimentación entre los edificios GBI y AB (véase a continuación).  </w:t>
      </w:r>
    </w:p>
    <w:p w:rsidR="00CA682E" w:rsidRPr="00CA682E" w:rsidRDefault="00CA682E" w:rsidP="00CA682E">
      <w:pPr>
        <w:rPr>
          <w:rFonts w:eastAsia="Times New Roman"/>
          <w:bCs/>
          <w:color w:val="000000" w:themeColor="text1"/>
          <w:sz w:val="20"/>
          <w:lang w:eastAsia="en-US"/>
        </w:rPr>
      </w:pPr>
    </w:p>
    <w:p w:rsidR="00CA682E" w:rsidRPr="00CA682E" w:rsidRDefault="00CA682E" w:rsidP="00734316">
      <w:pPr>
        <w:numPr>
          <w:ilvl w:val="0"/>
          <w:numId w:val="131"/>
        </w:numPr>
        <w:tabs>
          <w:tab w:val="left" w:pos="567"/>
        </w:tabs>
        <w:ind w:left="0" w:firstLine="0"/>
        <w:rPr>
          <w:rFonts w:eastAsia="Times New Roman"/>
          <w:color w:val="000000" w:themeColor="text1"/>
          <w:sz w:val="20"/>
          <w:lang w:eastAsia="en-US"/>
        </w:rPr>
      </w:pPr>
      <w:r w:rsidRPr="00CA682E">
        <w:rPr>
          <w:rFonts w:eastAsia="Times New Roman"/>
          <w:color w:val="000000" w:themeColor="text1"/>
          <w:sz w:val="20"/>
          <w:lang w:eastAsia="en-US"/>
        </w:rPr>
        <w:t xml:space="preserve">En el segundo semestre de 2015, en el marco del proyecto de compartimentación entre los edificios GBI y AB, la Secretaría llevó a cabo un estudio y preparó el mandato relativo a la instalación de tres puertas cortafuegos adicionales entre los edificios AB y GBI (primer subsuelo, planta baja y primera planta), lo que llevó más tiempo de lo previsto por la marcha inesperada del consultor inicialmente </w:t>
      </w:r>
      <w:r w:rsidRPr="00CA682E">
        <w:rPr>
          <w:rFonts w:eastAsia="Times New Roman"/>
          <w:color w:val="000000" w:themeColor="text1"/>
          <w:sz w:val="20"/>
          <w:lang w:eastAsia="en-US"/>
        </w:rPr>
        <w:lastRenderedPageBreak/>
        <w:t>encargado de realizar el estudio, lo que supuso un retraso de 6 meses para este aporte concreto.</w:t>
      </w:r>
      <w:r w:rsidRPr="00734316">
        <w:rPr>
          <w:rFonts w:eastAsia="Times New Roman"/>
          <w:color w:val="000000" w:themeColor="text1"/>
          <w:sz w:val="20"/>
          <w:lang w:eastAsia="en-US"/>
        </w:rPr>
        <w:t xml:space="preserve"> El calendario del proyecto se ha modificado en consecuencia</w:t>
      </w:r>
      <w:r w:rsidRPr="00CA682E">
        <w:rPr>
          <w:rFonts w:eastAsia="Times New Roman"/>
          <w:color w:val="000000" w:themeColor="text1"/>
          <w:sz w:val="20"/>
          <w:lang w:eastAsia="en-US"/>
        </w:rPr>
        <w:t>.</w:t>
      </w:r>
    </w:p>
    <w:p w:rsidR="00CA682E" w:rsidRPr="00CA682E" w:rsidRDefault="00CA682E" w:rsidP="00734316">
      <w:pPr>
        <w:tabs>
          <w:tab w:val="left" w:pos="567"/>
        </w:tabs>
        <w:rPr>
          <w:rFonts w:eastAsia="Times New Roman"/>
          <w:color w:val="000000" w:themeColor="text1"/>
          <w:sz w:val="20"/>
          <w:lang w:eastAsia="en-US"/>
        </w:rPr>
      </w:pPr>
    </w:p>
    <w:p w:rsidR="00CA682E" w:rsidRPr="00734316" w:rsidRDefault="00CA682E" w:rsidP="00734316">
      <w:pPr>
        <w:numPr>
          <w:ilvl w:val="0"/>
          <w:numId w:val="131"/>
        </w:numPr>
        <w:tabs>
          <w:tab w:val="left" w:pos="567"/>
        </w:tabs>
        <w:ind w:left="0" w:firstLine="0"/>
        <w:rPr>
          <w:rFonts w:eastAsia="Times New Roman"/>
          <w:color w:val="000000" w:themeColor="text1"/>
          <w:sz w:val="20"/>
          <w:lang w:eastAsia="en-US"/>
        </w:rPr>
      </w:pPr>
      <w:r w:rsidRPr="00CA682E">
        <w:rPr>
          <w:rFonts w:eastAsia="Times New Roman"/>
          <w:color w:val="000000" w:themeColor="text1"/>
          <w:sz w:val="20"/>
          <w:lang w:eastAsia="en-US"/>
        </w:rPr>
        <w:t>A finales de 2015 ya se había instaurado una mejor coordinación y planificación para velar por que el proyecto quede finalizado a tiempo y conforme al presupuesto previsto.</w:t>
      </w: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OBTENCIÓN DE BENEFICIOS</w:t>
      </w:r>
    </w:p>
    <w:p w:rsidR="00CA682E" w:rsidRPr="00CA682E" w:rsidRDefault="00CA682E" w:rsidP="00CA682E">
      <w:pPr>
        <w:rPr>
          <w:rFonts w:eastAsia="Times New Roman" w:cs="Times New Roman"/>
          <w:color w:val="000000" w:themeColor="text1"/>
          <w:sz w:val="20"/>
          <w:lang w:eastAsia="en-US"/>
        </w:rPr>
      </w:pPr>
    </w:p>
    <w:tbl>
      <w:tblPr>
        <w:tblW w:w="4857" w:type="pct"/>
        <w:jc w:val="center"/>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833"/>
        <w:gridCol w:w="1833"/>
        <w:gridCol w:w="2583"/>
      </w:tblGrid>
      <w:tr w:rsidR="00CA682E" w:rsidRPr="00CA682E" w:rsidTr="007B1DE4">
        <w:trPr>
          <w:trHeight w:val="209"/>
          <w:tblHeader/>
          <w:jc w:val="center"/>
        </w:trPr>
        <w:tc>
          <w:tcPr>
            <w:tcW w:w="1639" w:type="pct"/>
            <w:tcBorders>
              <w:bottom w:val="single" w:sz="4" w:space="0" w:color="auto"/>
            </w:tcBorders>
            <w:shd w:val="clear" w:color="auto" w:fill="C6D9F1" w:themeFill="text2" w:themeFillTint="33"/>
            <w:tcMar>
              <w:top w:w="113" w:type="dxa"/>
              <w:bottom w:w="113" w:type="dxa"/>
            </w:tcMar>
            <w:vAlign w:val="center"/>
          </w:tcPr>
          <w:p w:rsidR="00CA682E" w:rsidRPr="00CA682E" w:rsidRDefault="00CA682E" w:rsidP="00CA682E">
            <w:pPr>
              <w:spacing w:before="40" w:after="4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2014</w:t>
            </w:r>
          </w:p>
        </w:tc>
        <w:tc>
          <w:tcPr>
            <w:tcW w:w="986" w:type="pct"/>
            <w:tcBorders>
              <w:bottom w:val="single" w:sz="4" w:space="0" w:color="auto"/>
            </w:tcBorders>
            <w:shd w:val="clear" w:color="auto" w:fill="C6D9F1" w:themeFill="text2" w:themeFillTint="33"/>
            <w:vAlign w:val="center"/>
          </w:tcPr>
          <w:p w:rsidR="00CA682E" w:rsidRPr="00CA682E" w:rsidRDefault="00CA682E" w:rsidP="00CA682E">
            <w:pPr>
              <w:spacing w:before="40" w:after="4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obtenidos en 2015</w:t>
            </w:r>
          </w:p>
        </w:tc>
        <w:tc>
          <w:tcPr>
            <w:tcW w:w="986" w:type="pct"/>
            <w:shd w:val="clear" w:color="auto" w:fill="C6D9F1" w:themeFill="text2" w:themeFillTint="33"/>
            <w:vAlign w:val="center"/>
          </w:tcPr>
          <w:p w:rsidR="00CA682E" w:rsidRPr="00CA682E" w:rsidRDefault="00CA682E" w:rsidP="00CA682E">
            <w:pPr>
              <w:spacing w:before="40" w:after="4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en 2016</w:t>
            </w:r>
          </w:p>
        </w:tc>
        <w:tc>
          <w:tcPr>
            <w:tcW w:w="1390" w:type="pct"/>
            <w:shd w:val="clear" w:color="auto" w:fill="C6D9F1" w:themeFill="text2" w:themeFillTint="33"/>
            <w:vAlign w:val="center"/>
          </w:tcPr>
          <w:p w:rsidR="00CA682E" w:rsidRPr="00CA682E" w:rsidRDefault="00CA682E" w:rsidP="00CA682E">
            <w:pPr>
              <w:spacing w:before="40" w:after="4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Beneficios previstos para 2017</w:t>
            </w:r>
          </w:p>
        </w:tc>
      </w:tr>
      <w:tr w:rsidR="00CA682E" w:rsidRPr="00CA682E" w:rsidTr="007B1DE4">
        <w:trPr>
          <w:trHeight w:val="828"/>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 de las medidas de seguridad y de protección del personal al término de las obras de compartimentación del edificio PCT</w:t>
            </w: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Mantener el nivel de vigilancia y seguridad en el edificio PCT</w:t>
            </w:r>
          </w:p>
        </w:tc>
        <w:tc>
          <w:tcPr>
            <w:tcW w:w="986" w:type="pct"/>
            <w:shd w:val="clear" w:color="auto" w:fill="auto"/>
          </w:tcPr>
          <w:p w:rsidR="00CA682E" w:rsidRPr="00CA682E" w:rsidRDefault="00CA682E" w:rsidP="00CA682E">
            <w:pPr>
              <w:spacing w:before="40" w:after="40"/>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Mantener el nivel de vigilancia y seguridad en el edificio PCT</w:t>
            </w:r>
          </w:p>
        </w:tc>
        <w:tc>
          <w:tcPr>
            <w:tcW w:w="1390" w:type="pct"/>
          </w:tcPr>
          <w:p w:rsidR="00CA682E" w:rsidRPr="00CA682E" w:rsidRDefault="00CA682E" w:rsidP="00CA682E">
            <w:pPr>
              <w:spacing w:before="40" w:after="40"/>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Mantener el nivel de vigilancia y seguridad en el edificio PCT</w:t>
            </w:r>
          </w:p>
        </w:tc>
      </w:tr>
      <w:tr w:rsidR="00CA682E" w:rsidRPr="00CA682E" w:rsidTr="007B1DE4">
        <w:trPr>
          <w:trHeight w:val="1906"/>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
                <w:bCs/>
                <w:color w:val="000000" w:themeColor="text1"/>
                <w:sz w:val="16"/>
                <w:szCs w:val="16"/>
                <w:u w:val="single"/>
                <w:lang w:eastAsia="en-US"/>
              </w:rPr>
            </w:pP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Mejorar la seguridad del personal y de los delegados mediante la creación de un vestíbulo de independencia en el acceso a los ascensores en el segundo subsuelo del edificio AB</w:t>
            </w:r>
          </w:p>
        </w:tc>
        <w:tc>
          <w:tcPr>
            <w:tcW w:w="986" w:type="pct"/>
            <w:shd w:val="clear" w:color="auto" w:fill="auto"/>
          </w:tcPr>
          <w:p w:rsidR="00CA682E" w:rsidRPr="00CA682E" w:rsidRDefault="00CA682E" w:rsidP="00CA682E">
            <w:pPr>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Mantener el nivel de vigilancia y seguridad en el acceso al segundo subsuelo del edificio AB</w:t>
            </w:r>
          </w:p>
        </w:tc>
        <w:tc>
          <w:tcPr>
            <w:tcW w:w="1390" w:type="pct"/>
          </w:tcPr>
          <w:p w:rsidR="00CA682E" w:rsidRPr="00CA682E" w:rsidRDefault="00CA682E" w:rsidP="00CA682E">
            <w:pPr>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Mantener el nivel de vigilancia y seguridad en el acceso al segundo subsuelo del edificio AB</w:t>
            </w:r>
          </w:p>
        </w:tc>
      </w:tr>
      <w:tr w:rsidR="00CA682E" w:rsidRPr="00CA682E" w:rsidTr="007B1DE4">
        <w:trPr>
          <w:trHeight w:val="731"/>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
                <w:bCs/>
                <w:color w:val="000000" w:themeColor="text1"/>
                <w:sz w:val="16"/>
                <w:szCs w:val="16"/>
                <w:u w:val="single"/>
                <w:lang w:eastAsia="en-US"/>
              </w:rPr>
            </w:pP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u w:val="single"/>
                <w:lang w:eastAsia="en-US"/>
              </w:rPr>
            </w:pPr>
          </w:p>
        </w:tc>
        <w:tc>
          <w:tcPr>
            <w:tcW w:w="986" w:type="pct"/>
            <w:shd w:val="clear" w:color="auto" w:fill="auto"/>
          </w:tcPr>
          <w:p w:rsidR="00CA682E" w:rsidRPr="00CA682E" w:rsidRDefault="00CA682E" w:rsidP="00CA682E">
            <w:pPr>
              <w:spacing w:before="40" w:after="40"/>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Mejorar el nivel de vigilancia y seguridad entre los edificios AB y GBI</w:t>
            </w:r>
          </w:p>
        </w:tc>
        <w:tc>
          <w:tcPr>
            <w:tcW w:w="1390" w:type="pct"/>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Mejorar el nivel de vigilancia y seguridad entre los edificios AB y GBI</w:t>
            </w:r>
          </w:p>
        </w:tc>
      </w:tr>
      <w:tr w:rsidR="00CA682E" w:rsidRPr="00CA682E" w:rsidTr="007B1DE4">
        <w:trPr>
          <w:trHeight w:val="376"/>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
                <w:bCs/>
                <w:color w:val="000000" w:themeColor="text1"/>
                <w:sz w:val="16"/>
                <w:szCs w:val="16"/>
                <w:u w:val="single"/>
                <w:lang w:eastAsia="en-US"/>
              </w:rPr>
            </w:pP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u w:val="single"/>
                <w:lang w:eastAsia="en-US"/>
              </w:rPr>
            </w:pPr>
          </w:p>
        </w:tc>
        <w:tc>
          <w:tcPr>
            <w:tcW w:w="986" w:type="pct"/>
            <w:shd w:val="clear" w:color="auto" w:fill="auto"/>
          </w:tcPr>
          <w:p w:rsidR="00CA682E" w:rsidRPr="00CA682E" w:rsidRDefault="00CA682E" w:rsidP="00CA682E">
            <w:pPr>
              <w:spacing w:before="40" w:after="40"/>
              <w:rPr>
                <w:rFonts w:eastAsia="Times New Roman" w:cs="Times New Roman"/>
                <w:bCs/>
                <w:iCs/>
                <w:color w:val="000000" w:themeColor="text1"/>
                <w:sz w:val="16"/>
                <w:szCs w:val="16"/>
                <w:lang w:eastAsia="en-US"/>
              </w:rPr>
            </w:pPr>
            <w:r w:rsidRPr="00CA682E">
              <w:rPr>
                <w:rFonts w:eastAsia="Times New Roman" w:cs="Times New Roman"/>
                <w:bCs/>
                <w:iCs/>
                <w:color w:val="000000" w:themeColor="text1"/>
                <w:sz w:val="16"/>
                <w:szCs w:val="16"/>
                <w:lang w:eastAsia="en-US"/>
              </w:rPr>
              <w:t>Mejorar el nivel de vigilancia y seguridad entre los edificios GBI y GBII</w:t>
            </w:r>
          </w:p>
        </w:tc>
        <w:tc>
          <w:tcPr>
            <w:tcW w:w="1390" w:type="pct"/>
          </w:tcPr>
          <w:p w:rsidR="00CA682E" w:rsidRPr="00CA682E" w:rsidRDefault="00CA682E" w:rsidP="00CA682E">
            <w:pPr>
              <w:spacing w:before="40" w:after="40"/>
              <w:rPr>
                <w:rFonts w:eastAsia="Times New Roman" w:cs="Times New Roman"/>
                <w:bCs/>
                <w:color w:val="000000" w:themeColor="text1"/>
                <w:sz w:val="16"/>
                <w:szCs w:val="16"/>
                <w:lang w:eastAsia="en-US"/>
              </w:rPr>
            </w:pPr>
            <w:r w:rsidRPr="00CA682E">
              <w:rPr>
                <w:rFonts w:eastAsia="Times New Roman" w:cs="Times New Roman"/>
                <w:bCs/>
                <w:color w:val="000000" w:themeColor="text1"/>
                <w:sz w:val="16"/>
                <w:szCs w:val="16"/>
                <w:lang w:eastAsia="en-US"/>
              </w:rPr>
              <w:t>Mejorar el nivel de vigilancia y seguridad entre los edificios GBI y GBII</w:t>
            </w:r>
          </w:p>
        </w:tc>
      </w:tr>
      <w:tr w:rsidR="00CA682E" w:rsidRPr="00CA682E" w:rsidTr="007B1DE4">
        <w:trPr>
          <w:trHeight w:val="376"/>
          <w:jc w:val="center"/>
        </w:trPr>
        <w:tc>
          <w:tcPr>
            <w:tcW w:w="1639" w:type="pct"/>
            <w:tcBorders>
              <w:top w:val="single" w:sz="4" w:space="0" w:color="auto"/>
              <w:bottom w:val="single" w:sz="4" w:space="0" w:color="auto"/>
            </w:tcBorders>
            <w:shd w:val="clear" w:color="auto" w:fill="auto"/>
            <w:tcMar>
              <w:top w:w="113" w:type="dxa"/>
              <w:bottom w:w="113" w:type="dxa"/>
            </w:tcMar>
          </w:tcPr>
          <w:p w:rsidR="00CA682E" w:rsidRPr="00CA682E" w:rsidRDefault="00CA682E" w:rsidP="00CA682E">
            <w:pPr>
              <w:spacing w:before="40" w:after="40"/>
              <w:rPr>
                <w:rFonts w:eastAsia="Times New Roman" w:cs="Times New Roman"/>
                <w:b/>
                <w:bCs/>
                <w:color w:val="000000" w:themeColor="text1"/>
                <w:sz w:val="16"/>
                <w:szCs w:val="16"/>
                <w:u w:val="single"/>
                <w:lang w:eastAsia="en-US"/>
              </w:rPr>
            </w:pPr>
          </w:p>
        </w:tc>
        <w:tc>
          <w:tcPr>
            <w:tcW w:w="986" w:type="pct"/>
            <w:tcBorders>
              <w:top w:val="single" w:sz="4" w:space="0" w:color="auto"/>
              <w:bottom w:val="single" w:sz="4" w:space="0" w:color="auto"/>
            </w:tcBorders>
          </w:tcPr>
          <w:p w:rsidR="00CA682E" w:rsidRPr="00CA682E" w:rsidRDefault="00CA682E" w:rsidP="00CA682E">
            <w:pPr>
              <w:spacing w:before="40" w:after="40"/>
              <w:rPr>
                <w:rFonts w:eastAsia="Times New Roman" w:cs="Times New Roman"/>
                <w:bCs/>
                <w:color w:val="000000" w:themeColor="text1"/>
                <w:sz w:val="16"/>
                <w:szCs w:val="16"/>
                <w:u w:val="single"/>
                <w:lang w:eastAsia="en-US"/>
              </w:rPr>
            </w:pPr>
          </w:p>
        </w:tc>
        <w:tc>
          <w:tcPr>
            <w:tcW w:w="986" w:type="pct"/>
            <w:shd w:val="clear" w:color="auto" w:fill="auto"/>
          </w:tcPr>
          <w:p w:rsidR="00CA682E" w:rsidRPr="00CA682E" w:rsidRDefault="00CA682E" w:rsidP="00CA682E">
            <w:pPr>
              <w:spacing w:before="40" w:after="40"/>
              <w:rPr>
                <w:rFonts w:eastAsia="Times New Roman" w:cs="Times New Roman"/>
                <w:color w:val="000000" w:themeColor="text1"/>
                <w:sz w:val="16"/>
                <w:szCs w:val="16"/>
                <w:lang w:eastAsia="en-US"/>
              </w:rPr>
            </w:pPr>
          </w:p>
        </w:tc>
        <w:tc>
          <w:tcPr>
            <w:tcW w:w="1390" w:type="pct"/>
          </w:tcPr>
          <w:p w:rsidR="00CA682E" w:rsidRPr="00CA682E" w:rsidRDefault="00CA682E" w:rsidP="00CA682E">
            <w:pPr>
              <w:spacing w:before="40" w:after="40"/>
              <w:rPr>
                <w:rFonts w:eastAsia="Times New Roman" w:cs="Times New Roman"/>
                <w:color w:val="000000" w:themeColor="text1"/>
                <w:sz w:val="16"/>
                <w:szCs w:val="16"/>
                <w:lang w:eastAsia="en-US"/>
              </w:rPr>
            </w:pPr>
            <w:r w:rsidRPr="00CA682E">
              <w:rPr>
                <w:rFonts w:eastAsia="Times New Roman" w:cs="Times New Roman"/>
                <w:bCs/>
                <w:color w:val="000000" w:themeColor="text1"/>
                <w:sz w:val="16"/>
                <w:szCs w:val="16"/>
                <w:lang w:eastAsia="en-US"/>
              </w:rPr>
              <w:t>Mejorar el nivel de vigilancia y seguridad entre partes del edificio</w:t>
            </w:r>
            <w:r w:rsidRPr="00CA682E">
              <w:rPr>
                <w:rFonts w:eastAsia="Times New Roman" w:cs="Times New Roman"/>
                <w:color w:val="000000" w:themeColor="text1"/>
                <w:sz w:val="16"/>
                <w:szCs w:val="16"/>
                <w:lang w:eastAsia="en-US"/>
              </w:rPr>
              <w:t xml:space="preserve"> AB</w:t>
            </w:r>
          </w:p>
        </w:tc>
      </w:tr>
    </w:tbl>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s="Times New Roman"/>
          <w:color w:val="000000" w:themeColor="text1"/>
          <w:sz w:val="20"/>
          <w:lang w:eastAsia="en-US"/>
        </w:rPr>
      </w:pPr>
    </w:p>
    <w:p w:rsidR="00CA682E" w:rsidRPr="00CA682E" w:rsidRDefault="00CA682E" w:rsidP="00CA682E">
      <w:pPr>
        <w:rPr>
          <w:rFonts w:eastAsia="Times New Roman"/>
          <w:color w:val="000000" w:themeColor="text1"/>
          <w:sz w:val="20"/>
          <w:lang w:eastAsia="en-US"/>
        </w:rPr>
      </w:pPr>
      <w:r w:rsidRPr="00CA682E">
        <w:rPr>
          <w:rFonts w:eastAsia="Times New Roman"/>
          <w:color w:val="000000" w:themeColor="text1"/>
          <w:sz w:val="20"/>
          <w:lang w:eastAsia="en-US"/>
        </w:rPr>
        <w:t>UTILIZACIÓN DE LOS RECURSOS</w:t>
      </w:r>
      <w:r w:rsidRPr="00CA682E">
        <w:rPr>
          <w:rFonts w:eastAsia="Times New Roman"/>
          <w:color w:val="000000" w:themeColor="text1"/>
          <w:sz w:val="20"/>
          <w:vertAlign w:val="superscript"/>
          <w:lang w:eastAsia="en-US"/>
        </w:rPr>
        <w:footnoteReference w:id="183"/>
      </w:r>
    </w:p>
    <w:p w:rsidR="00CA682E" w:rsidRPr="00CA682E" w:rsidRDefault="00CA682E" w:rsidP="00CA682E">
      <w:pPr>
        <w:rPr>
          <w:rFonts w:eastAsia="Times New Roman"/>
          <w:color w:val="000000" w:themeColor="text1"/>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 xml:space="preserve">Utilización del presupuesto del proyecto </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759"/>
        <w:gridCol w:w="1711"/>
        <w:gridCol w:w="1225"/>
        <w:gridCol w:w="1546"/>
      </w:tblGrid>
      <w:tr w:rsidR="00CA682E" w:rsidRPr="00CA682E" w:rsidTr="007B1DE4">
        <w:trPr>
          <w:trHeight w:val="410"/>
        </w:trPr>
        <w:tc>
          <w:tcPr>
            <w:tcW w:w="16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Nombre del proyecto</w:t>
            </w:r>
          </w:p>
        </w:tc>
        <w:tc>
          <w:tcPr>
            <w:tcW w:w="9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9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84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60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Medidas de seguridad y de protección contra incendios</w:t>
            </w:r>
          </w:p>
        </w:tc>
        <w:tc>
          <w:tcPr>
            <w:tcW w:w="95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400.000</w:t>
            </w:r>
          </w:p>
        </w:tc>
        <w:tc>
          <w:tcPr>
            <w:tcW w:w="93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122.587</w:t>
            </w:r>
          </w:p>
        </w:tc>
        <w:tc>
          <w:tcPr>
            <w:tcW w:w="66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31%</w:t>
            </w:r>
          </w:p>
        </w:tc>
        <w:tc>
          <w:tcPr>
            <w:tcW w:w="842"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40%</w:t>
            </w: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spacing w:after="200" w:line="276" w:lineRule="auto"/>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br w:type="page"/>
      </w: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etapa)</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 </w:t>
      </w:r>
    </w:p>
    <w:tbl>
      <w:tblPr>
        <w:tblpPr w:leftFromText="180" w:rightFromText="180" w:vertAnchor="text" w:horzAnchor="margin" w:tblpX="148" w:tblpY="17"/>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1"/>
        <w:gridCol w:w="1387"/>
        <w:gridCol w:w="1589"/>
        <w:gridCol w:w="1563"/>
        <w:gridCol w:w="1697"/>
      </w:tblGrid>
      <w:tr w:rsidR="00CA682E" w:rsidRPr="00CA682E" w:rsidTr="007B1DE4">
        <w:trPr>
          <w:trHeight w:val="410"/>
        </w:trPr>
        <w:tc>
          <w:tcPr>
            <w:tcW w:w="166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Etapas fundamentales</w:t>
            </w:r>
          </w:p>
        </w:tc>
        <w:tc>
          <w:tcPr>
            <w:tcW w:w="7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Presupuesto del proyecto</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right="-106"/>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Gasto real hasta la fecha</w:t>
            </w:r>
          </w:p>
        </w:tc>
        <w:tc>
          <w:tcPr>
            <w:tcW w:w="83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c>
          <w:tcPr>
            <w:tcW w:w="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right="-73" w:firstLine="1"/>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Índice de avance en la ejecución del proyecto</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Compartimentación del edificio PCT</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45.000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44.392</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98%</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Mejora de la planificación del espacio en la zona para los delegados en el segundo subsuelo del edificio AB/creación de un vestíbulo de independencia en el acceso a los ascensores en el segundo subsuelo del edificio AB</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55.000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78.195</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142%</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100%</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Estudio y proyecto relacionados con la compartimentación entre los edificios GBI y AB</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175.000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10%</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relacionado con la compartimentación entre los edificios GBI y GBII (todos los niveles, con excepción del primer subsuelo)</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65.000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Proyecto relacionado con la compartimentación del edificio AB (con excepción del segundo subsuelo)</w:t>
            </w:r>
          </w:p>
        </w:tc>
        <w:tc>
          <w:tcPr>
            <w:tcW w:w="741"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60.000</w:t>
            </w:r>
          </w:p>
        </w:tc>
        <w:tc>
          <w:tcPr>
            <w:tcW w:w="84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835"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907"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w:t>
            </w:r>
          </w:p>
        </w:tc>
      </w:tr>
      <w:tr w:rsidR="00CA682E" w:rsidRPr="00CA682E" w:rsidTr="007B1DE4">
        <w:trPr>
          <w:trHeight w:val="389"/>
        </w:trPr>
        <w:tc>
          <w:tcPr>
            <w:tcW w:w="166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7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400.000</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122.587</w:t>
            </w:r>
          </w:p>
        </w:tc>
        <w:tc>
          <w:tcPr>
            <w:tcW w:w="83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p>
        </w:tc>
        <w:tc>
          <w:tcPr>
            <w:tcW w:w="9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keepNext/>
              <w:keepLines/>
              <w:autoSpaceDE w:val="0"/>
              <w:autoSpaceDN w:val="0"/>
              <w:adjustRightInd w:val="0"/>
              <w:spacing w:before="40" w:after="40"/>
              <w:jc w:val="center"/>
              <w:rPr>
                <w:rFonts w:eastAsia="Times New Roman" w:cs="Times New Roman"/>
                <w:b/>
                <w:color w:val="000000" w:themeColor="text1"/>
                <w:sz w:val="16"/>
                <w:szCs w:val="16"/>
                <w:lang w:eastAsia="en-US"/>
              </w:rPr>
            </w:pPr>
          </w:p>
        </w:tc>
      </w:tr>
    </w:tbl>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p>
    <w:p w:rsidR="00CA682E" w:rsidRPr="00CA682E" w:rsidRDefault="00CA682E" w:rsidP="00CA682E">
      <w:pPr>
        <w:keepNext/>
        <w:keepLines/>
        <w:tabs>
          <w:tab w:val="left" w:pos="3261"/>
        </w:tabs>
        <w:autoSpaceDE w:val="0"/>
        <w:autoSpaceDN w:val="0"/>
        <w:adjustRightInd w:val="0"/>
        <w:jc w:val="center"/>
        <w:rPr>
          <w:rFonts w:eastAsia="Times New Roman" w:cs="Times New Roman"/>
          <w:b/>
          <w:color w:val="000000" w:themeColor="text1"/>
          <w:sz w:val="20"/>
          <w:szCs w:val="22"/>
          <w:lang w:eastAsia="en-US"/>
        </w:rPr>
      </w:pPr>
      <w:r w:rsidRPr="00CA682E">
        <w:rPr>
          <w:rFonts w:eastAsia="Times New Roman" w:cs="Times New Roman"/>
          <w:b/>
          <w:color w:val="000000" w:themeColor="text1"/>
          <w:sz w:val="20"/>
          <w:szCs w:val="22"/>
          <w:lang w:eastAsia="en-US"/>
        </w:rPr>
        <w:t>Utilización del presupuesto del proyecto (por categoría de costo)</w:t>
      </w:r>
    </w:p>
    <w:p w:rsidR="00CA682E" w:rsidRPr="00CA682E" w:rsidRDefault="00CA682E" w:rsidP="00CA682E">
      <w:pPr>
        <w:keepNext/>
        <w:keepLines/>
        <w:tabs>
          <w:tab w:val="left" w:pos="3261"/>
        </w:tabs>
        <w:autoSpaceDE w:val="0"/>
        <w:autoSpaceDN w:val="0"/>
        <w:adjustRightInd w:val="0"/>
        <w:spacing w:after="120"/>
        <w:jc w:val="center"/>
        <w:rPr>
          <w:rFonts w:eastAsia="Times New Roman" w:cs="Times New Roman"/>
          <w:i/>
          <w:iCs/>
          <w:color w:val="000000" w:themeColor="text1"/>
          <w:sz w:val="18"/>
          <w:szCs w:val="18"/>
          <w:lang w:eastAsia="en-US"/>
        </w:rPr>
      </w:pPr>
      <w:r w:rsidRPr="00CA682E">
        <w:rPr>
          <w:rFonts w:eastAsia="Times New Roman" w:cs="Times New Roman"/>
          <w:i/>
          <w:iCs/>
          <w:color w:val="000000" w:themeColor="text1"/>
          <w:sz w:val="18"/>
          <w:szCs w:val="18"/>
          <w:lang w:eastAsia="en-US"/>
        </w:rPr>
        <w:t>(</w:t>
      </w:r>
      <w:proofErr w:type="gramStart"/>
      <w:r w:rsidRPr="00CA682E">
        <w:rPr>
          <w:rFonts w:eastAsia="Times New Roman" w:cs="Times New Roman"/>
          <w:i/>
          <w:iCs/>
          <w:color w:val="000000" w:themeColor="text1"/>
          <w:sz w:val="18"/>
          <w:szCs w:val="18"/>
          <w:lang w:eastAsia="en-US"/>
        </w:rPr>
        <w:t>en</w:t>
      </w:r>
      <w:proofErr w:type="gramEnd"/>
      <w:r w:rsidRPr="00CA682E">
        <w:rPr>
          <w:rFonts w:eastAsia="Times New Roman" w:cs="Times New Roman"/>
          <w:i/>
          <w:iCs/>
          <w:color w:val="000000" w:themeColor="text1"/>
          <w:sz w:val="18"/>
          <w:szCs w:val="18"/>
          <w:lang w:eastAsia="en-US"/>
        </w:rPr>
        <w:t xml:space="preserve"> francos suizos, al 31 de diciembre de 2015)</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840"/>
        <w:gridCol w:w="1840"/>
        <w:gridCol w:w="2140"/>
      </w:tblGrid>
      <w:tr w:rsidR="00CA682E" w:rsidRPr="00CA682E" w:rsidTr="007B1DE4">
        <w:trPr>
          <w:trHeight w:val="569"/>
        </w:trPr>
        <w:tc>
          <w:tcPr>
            <w:tcW w:w="18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Categoría de costo</w:t>
            </w:r>
          </w:p>
        </w:tc>
        <w:tc>
          <w:tcPr>
            <w:tcW w:w="9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Presupuesto del proyecto </w:t>
            </w:r>
          </w:p>
        </w:tc>
        <w:tc>
          <w:tcPr>
            <w:tcW w:w="9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 xml:space="preserve">Gasto real hasta la fecha </w:t>
            </w:r>
          </w:p>
        </w:tc>
        <w:tc>
          <w:tcPr>
            <w:tcW w:w="11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keepNext/>
              <w:keepLines/>
              <w:autoSpaceDE w:val="0"/>
              <w:autoSpaceDN w:val="0"/>
              <w:adjustRightInd w:val="0"/>
              <w:spacing w:before="40" w:after="40"/>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Utilización real del presupuesto</w:t>
            </w:r>
          </w:p>
        </w:tc>
      </w:tr>
      <w:tr w:rsidR="00CA682E" w:rsidRPr="00CA682E" w:rsidTr="007B1DE4">
        <w:tc>
          <w:tcPr>
            <w:tcW w:w="188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Costos relacionados con las obras</w:t>
            </w:r>
          </w:p>
        </w:tc>
        <w:tc>
          <w:tcPr>
            <w:tcW w:w="98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312.000</w:t>
            </w:r>
          </w:p>
        </w:tc>
        <w:tc>
          <w:tcPr>
            <w:tcW w:w="983"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122.587</w:t>
            </w:r>
          </w:p>
        </w:tc>
        <w:tc>
          <w:tcPr>
            <w:tcW w:w="114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39%</w:t>
            </w:r>
          </w:p>
        </w:tc>
      </w:tr>
      <w:tr w:rsidR="00CA682E" w:rsidRPr="00CA682E" w:rsidTr="007B1DE4">
        <w:tc>
          <w:tcPr>
            <w:tcW w:w="188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Honorarios</w:t>
            </w:r>
          </w:p>
        </w:tc>
        <w:tc>
          <w:tcPr>
            <w:tcW w:w="98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60.000</w:t>
            </w:r>
          </w:p>
        </w:tc>
        <w:tc>
          <w:tcPr>
            <w:tcW w:w="983"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4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89"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Diversos e imprevistos</w:t>
            </w:r>
          </w:p>
        </w:tc>
        <w:tc>
          <w:tcPr>
            <w:tcW w:w="983" w:type="pct"/>
            <w:tcBorders>
              <w:top w:val="single" w:sz="4" w:space="0" w:color="auto"/>
              <w:left w:val="single" w:sz="4" w:space="0" w:color="auto"/>
              <w:bottom w:val="single" w:sz="4" w:space="0" w:color="auto"/>
              <w:right w:val="single" w:sz="4" w:space="0" w:color="auto"/>
            </w:tcBorders>
            <w:vAlign w:val="center"/>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28.000</w:t>
            </w:r>
          </w:p>
        </w:tc>
        <w:tc>
          <w:tcPr>
            <w:tcW w:w="983"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c>
          <w:tcPr>
            <w:tcW w:w="1144" w:type="pct"/>
            <w:tcBorders>
              <w:top w:val="single" w:sz="4" w:space="0" w:color="auto"/>
              <w:left w:val="single" w:sz="4" w:space="0" w:color="auto"/>
              <w:bottom w:val="single" w:sz="4" w:space="0" w:color="auto"/>
              <w:right w:val="single" w:sz="4" w:space="0" w:color="auto"/>
            </w:tcBorders>
          </w:tcPr>
          <w:p w:rsidR="00CA682E" w:rsidRPr="00CA682E" w:rsidRDefault="00CA682E" w:rsidP="00CA682E">
            <w:pPr>
              <w:autoSpaceDE w:val="0"/>
              <w:autoSpaceDN w:val="0"/>
              <w:adjustRightInd w:val="0"/>
              <w:spacing w:before="40" w:after="40"/>
              <w:jc w:val="center"/>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0%</w:t>
            </w:r>
          </w:p>
        </w:tc>
      </w:tr>
      <w:tr w:rsidR="00CA682E" w:rsidRPr="00CA682E" w:rsidTr="007B1DE4">
        <w:tc>
          <w:tcPr>
            <w:tcW w:w="188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Total</w:t>
            </w:r>
          </w:p>
        </w:tc>
        <w:tc>
          <w:tcPr>
            <w:tcW w:w="9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A682E" w:rsidRPr="00CA682E" w:rsidRDefault="00CA682E" w:rsidP="00CA682E">
            <w:pPr>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400.000</w:t>
            </w:r>
          </w:p>
        </w:tc>
        <w:tc>
          <w:tcPr>
            <w:tcW w:w="98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jc w:val="center"/>
              <w:rPr>
                <w:rFonts w:eastAsia="Times New Roman" w:cs="Times New Roman"/>
                <w:b/>
                <w:color w:val="000000" w:themeColor="text1"/>
                <w:sz w:val="16"/>
                <w:szCs w:val="16"/>
                <w:lang w:eastAsia="en-US"/>
              </w:rPr>
            </w:pPr>
            <w:r w:rsidRPr="00CA682E">
              <w:rPr>
                <w:rFonts w:eastAsia="Times New Roman" w:cs="Times New Roman"/>
                <w:b/>
                <w:color w:val="000000" w:themeColor="text1"/>
                <w:sz w:val="16"/>
                <w:szCs w:val="16"/>
                <w:lang w:eastAsia="en-US"/>
              </w:rPr>
              <w:t>122.587</w:t>
            </w:r>
          </w:p>
        </w:tc>
        <w:tc>
          <w:tcPr>
            <w:tcW w:w="114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CA682E" w:rsidRPr="00CA682E" w:rsidRDefault="00CA682E" w:rsidP="00CA682E">
            <w:pPr>
              <w:autoSpaceDE w:val="0"/>
              <w:autoSpaceDN w:val="0"/>
              <w:adjustRightInd w:val="0"/>
              <w:spacing w:before="40" w:after="40"/>
              <w:jc w:val="center"/>
              <w:rPr>
                <w:rFonts w:eastAsia="Times New Roman" w:cs="Times New Roman"/>
                <w:b/>
                <w:color w:val="000000" w:themeColor="text1"/>
                <w:sz w:val="16"/>
                <w:szCs w:val="16"/>
                <w:lang w:eastAsia="en-US"/>
              </w:rPr>
            </w:pPr>
          </w:p>
        </w:tc>
      </w:tr>
    </w:tbl>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p>
    <w:p w:rsidR="00CA682E" w:rsidRPr="00CA682E" w:rsidRDefault="00CA682E" w:rsidP="00CA682E">
      <w:pPr>
        <w:rPr>
          <w:rFonts w:eastAsia="Times New Roman"/>
          <w:color w:val="000000" w:themeColor="text1"/>
          <w:sz w:val="20"/>
          <w:szCs w:val="22"/>
          <w:lang w:eastAsia="en-US"/>
        </w:rPr>
      </w:pPr>
      <w:r w:rsidRPr="00CA682E">
        <w:rPr>
          <w:rFonts w:eastAsia="Times New Roman"/>
          <w:color w:val="000000" w:themeColor="text1"/>
          <w:sz w:val="20"/>
          <w:szCs w:val="22"/>
          <w:lang w:eastAsia="en-US"/>
        </w:rPr>
        <w:t>RIESGOS Y ESTRATEGIAS DE MITIGACIÓN</w:t>
      </w:r>
    </w:p>
    <w:p w:rsidR="00CA682E" w:rsidRPr="00CA682E" w:rsidRDefault="00CA682E" w:rsidP="00CA682E">
      <w:pPr>
        <w:rPr>
          <w:rFonts w:eastAsia="Times New Roman"/>
          <w:color w:val="000000" w:themeColor="text1"/>
          <w:sz w:val="20"/>
          <w:szCs w:val="22"/>
          <w:lang w:eastAsia="en-US"/>
        </w:rPr>
      </w:pPr>
    </w:p>
    <w:tbl>
      <w:tblPr>
        <w:tblW w:w="4850" w:type="pct"/>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3072"/>
        <w:gridCol w:w="3069"/>
      </w:tblGrid>
      <w:tr w:rsidR="00CA682E" w:rsidRPr="00CA682E" w:rsidTr="007B1DE4">
        <w:trPr>
          <w:trHeight w:val="308"/>
          <w:tblHeader/>
          <w:jc w:val="center"/>
        </w:trPr>
        <w:tc>
          <w:tcPr>
            <w:tcW w:w="1692"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74" w:right="-60"/>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Riesgo/Descripción del riesgo</w:t>
            </w:r>
          </w:p>
        </w:tc>
        <w:tc>
          <w:tcPr>
            <w:tcW w:w="1654"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7" w:right="-108"/>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Mitigación del riesgo</w:t>
            </w:r>
            <w:r w:rsidRPr="00CA682E" w:rsidDel="00B70319">
              <w:rPr>
                <w:rFonts w:eastAsia="Times New Roman" w:cs="Times New Roman"/>
                <w:b/>
                <w:bCs/>
                <w:color w:val="000000" w:themeColor="text1"/>
                <w:sz w:val="16"/>
                <w:szCs w:val="16"/>
                <w:lang w:eastAsia="en-US"/>
              </w:rPr>
              <w:t xml:space="preserve"> </w:t>
            </w:r>
          </w:p>
        </w:tc>
        <w:tc>
          <w:tcPr>
            <w:tcW w:w="1653" w:type="pct"/>
            <w:shd w:val="clear" w:color="auto" w:fill="C6D9F1" w:themeFill="text2" w:themeFillTint="33"/>
            <w:vAlign w:val="center"/>
          </w:tcPr>
          <w:p w:rsidR="00CA682E" w:rsidRPr="00CA682E" w:rsidRDefault="00CA682E" w:rsidP="00CA682E">
            <w:pPr>
              <w:autoSpaceDE w:val="0"/>
              <w:autoSpaceDN w:val="0"/>
              <w:adjustRightInd w:val="0"/>
              <w:spacing w:before="40" w:after="40" w:line="260" w:lineRule="exact"/>
              <w:ind w:left="-109"/>
              <w:jc w:val="center"/>
              <w:rPr>
                <w:rFonts w:eastAsia="Times New Roman" w:cs="Times New Roman"/>
                <w:b/>
                <w:bCs/>
                <w:color w:val="000000" w:themeColor="text1"/>
                <w:sz w:val="16"/>
                <w:szCs w:val="16"/>
                <w:lang w:eastAsia="en-US"/>
              </w:rPr>
            </w:pPr>
            <w:r w:rsidRPr="00CA682E">
              <w:rPr>
                <w:rFonts w:eastAsia="Times New Roman" w:cs="Times New Roman"/>
                <w:b/>
                <w:bCs/>
                <w:color w:val="000000" w:themeColor="text1"/>
                <w:sz w:val="16"/>
                <w:szCs w:val="16"/>
                <w:lang w:eastAsia="en-US"/>
              </w:rPr>
              <w:t>Comentario</w:t>
            </w:r>
          </w:p>
        </w:tc>
      </w:tr>
      <w:tr w:rsidR="00CA682E" w:rsidRPr="00CA682E" w:rsidTr="007B1DE4">
        <w:trPr>
          <w:trHeight w:val="776"/>
          <w:jc w:val="center"/>
        </w:trPr>
        <w:tc>
          <w:tcPr>
            <w:tcW w:w="1692"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Imposibilidad de realizar las obras en el plazo previsto por no estar disponible un proveedor en la fecha solicitada</w:t>
            </w:r>
          </w:p>
        </w:tc>
        <w:tc>
          <w:tcPr>
            <w:tcW w:w="1654"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Recurrir al personal de la OMPI para subsanar deficiencias si procede/es posible</w:t>
            </w:r>
          </w:p>
        </w:tc>
        <w:tc>
          <w:tcPr>
            <w:tcW w:w="1653"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En 2015, el estudio relativo al proyecto de compartimentación entre los edificios GBI y AB sufrió un retraso de seis meses debido a la marcha imprevista del consultor originalmente encargado de realizar el estudio.  A los fines de mitigar el impacto si se materializaba el riesgo en la ejecución del proyecto, la Secretaría recurrió al personal de la OMPI para realizar el estudio</w:t>
            </w:r>
          </w:p>
        </w:tc>
      </w:tr>
      <w:tr w:rsidR="00CA682E" w:rsidRPr="00CA682E" w:rsidTr="007B1DE4">
        <w:trPr>
          <w:trHeight w:val="669"/>
          <w:jc w:val="center"/>
        </w:trPr>
        <w:tc>
          <w:tcPr>
            <w:tcW w:w="1692"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Demora o interrupción de las obras debido a un accidente en el lugar de las obras</w:t>
            </w:r>
          </w:p>
        </w:tc>
        <w:tc>
          <w:tcPr>
            <w:tcW w:w="1654"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r w:rsidRPr="00CA682E">
              <w:rPr>
                <w:rFonts w:eastAsia="Times New Roman" w:cs="Times New Roman"/>
                <w:color w:val="000000" w:themeColor="text1"/>
                <w:sz w:val="16"/>
                <w:szCs w:val="16"/>
                <w:lang w:eastAsia="en-US"/>
              </w:rPr>
              <w:t>Revalidar y fortalecer las medidas de seguridad y revisar el calendario de las obras</w:t>
            </w:r>
          </w:p>
        </w:tc>
        <w:tc>
          <w:tcPr>
            <w:tcW w:w="1653" w:type="pct"/>
            <w:shd w:val="clear" w:color="auto" w:fill="FFFFFF" w:themeFill="background1"/>
          </w:tcPr>
          <w:p w:rsidR="00CA682E" w:rsidRPr="00CA682E" w:rsidRDefault="00CA682E" w:rsidP="00CA682E">
            <w:pPr>
              <w:autoSpaceDE w:val="0"/>
              <w:autoSpaceDN w:val="0"/>
              <w:adjustRightInd w:val="0"/>
              <w:spacing w:before="40" w:after="40"/>
              <w:rPr>
                <w:rFonts w:eastAsia="Times New Roman" w:cs="Times New Roman"/>
                <w:color w:val="000000" w:themeColor="text1"/>
                <w:sz w:val="16"/>
                <w:szCs w:val="16"/>
                <w:lang w:eastAsia="en-US"/>
              </w:rPr>
            </w:pPr>
          </w:p>
        </w:tc>
      </w:tr>
    </w:tbl>
    <w:p w:rsidR="00CA682E" w:rsidRPr="00CA682E" w:rsidRDefault="00CA682E" w:rsidP="00CA682E">
      <w:pPr>
        <w:rPr>
          <w:rFonts w:eastAsia="Times New Roman"/>
          <w:color w:val="000000" w:themeColor="text1"/>
          <w:szCs w:val="22"/>
          <w:lang w:eastAsia="en-US"/>
        </w:rPr>
      </w:pPr>
    </w:p>
    <w:p w:rsidR="00CA682E" w:rsidRPr="00CA682E" w:rsidRDefault="00CA682E" w:rsidP="00CA682E">
      <w:pPr>
        <w:spacing w:after="200" w:line="276" w:lineRule="auto"/>
        <w:rPr>
          <w:rFonts w:eastAsia="Times New Roman"/>
          <w:color w:val="000000" w:themeColor="text1"/>
          <w:szCs w:val="22"/>
          <w:lang w:eastAsia="en-US"/>
        </w:rPr>
      </w:pPr>
      <w:r w:rsidRPr="00CA682E">
        <w:rPr>
          <w:rFonts w:eastAsia="Times New Roman"/>
          <w:color w:val="000000" w:themeColor="text1"/>
          <w:szCs w:val="22"/>
          <w:lang w:eastAsia="en-US"/>
        </w:rPr>
        <w:br w:type="page"/>
      </w:r>
    </w:p>
    <w:p w:rsidR="00CA682E" w:rsidRPr="00CA682E" w:rsidRDefault="00CA682E" w:rsidP="00CA682E">
      <w:pPr>
        <w:rPr>
          <w:rFonts w:eastAsia="Times New Roman" w:cs="Times New Roman"/>
          <w:color w:val="000000" w:themeColor="text1"/>
          <w:sz w:val="20"/>
          <w:lang w:eastAsia="en-US"/>
        </w:rPr>
      </w:pPr>
      <w:r w:rsidRPr="00CA682E">
        <w:rPr>
          <w:rFonts w:eastAsia="Times New Roman" w:cs="Times New Roman"/>
          <w:color w:val="000000" w:themeColor="text1"/>
          <w:sz w:val="20"/>
          <w:lang w:eastAsia="en-US"/>
        </w:rPr>
        <w:lastRenderedPageBreak/>
        <w:t>CALENDARIO DEL PROYECTO, POR ETAPA</w:t>
      </w:r>
    </w:p>
    <w:p w:rsidR="00CA682E" w:rsidRPr="00CA682E" w:rsidRDefault="00CA682E" w:rsidP="00CA682E">
      <w:pPr>
        <w:autoSpaceDE w:val="0"/>
        <w:autoSpaceDN w:val="0"/>
        <w:jc w:val="both"/>
        <w:rPr>
          <w:rFonts w:eastAsia="Times New Roman" w:cs="Times New Roman"/>
          <w:color w:val="000000" w:themeColor="text1"/>
          <w:sz w:val="20"/>
          <w:lang w:eastAsia="en-US"/>
        </w:rPr>
      </w:pP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CA682E" w:rsidRPr="00CA682E" w:rsidTr="007B1DE4">
        <w:trPr>
          <w:trHeight w:val="270"/>
          <w:tblHeader/>
          <w:jc w:val="center"/>
        </w:trPr>
        <w:tc>
          <w:tcPr>
            <w:tcW w:w="2324" w:type="dxa"/>
            <w:tcBorders>
              <w:top w:val="nil"/>
              <w:left w:val="nil"/>
              <w:bottom w:val="nil"/>
              <w:right w:val="nil"/>
            </w:tcBorders>
            <w:shd w:val="clear" w:color="auto" w:fill="auto"/>
            <w:noWrap/>
            <w:vAlign w:val="bottom"/>
            <w:hideMark/>
          </w:tcPr>
          <w:p w:rsidR="00CA682E" w:rsidRPr="00CA682E" w:rsidRDefault="00CA682E" w:rsidP="00CA682E">
            <w:pPr>
              <w:rPr>
                <w:rFonts w:eastAsia="Times New Roman"/>
                <w:color w:val="000000" w:themeColor="text1"/>
                <w:sz w:val="18"/>
                <w:szCs w:val="18"/>
                <w:lang w:eastAsia="en-US"/>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2014</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2015</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2016</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2017</w:t>
            </w:r>
          </w:p>
        </w:tc>
      </w:tr>
      <w:tr w:rsidR="00CA682E" w:rsidRPr="00CA682E" w:rsidTr="007B1DE4">
        <w:trPr>
          <w:trHeight w:val="375"/>
          <w:tblHeader/>
          <w:jc w:val="center"/>
        </w:trPr>
        <w:tc>
          <w:tcPr>
            <w:tcW w:w="2324"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jc w:val="cente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Etapas fundamentales</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T4</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T1.</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T2.</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T3</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CA682E" w:rsidRPr="00CA682E" w:rsidRDefault="00CA682E" w:rsidP="00CA682E">
            <w:pPr>
              <w:rPr>
                <w:rFonts w:eastAsia="Times New Roman"/>
                <w:b/>
                <w:bCs/>
                <w:color w:val="000000" w:themeColor="text1"/>
                <w:sz w:val="18"/>
                <w:szCs w:val="18"/>
                <w:lang w:eastAsia="en-US"/>
              </w:rPr>
            </w:pPr>
            <w:r w:rsidRPr="00CA682E">
              <w:rPr>
                <w:rFonts w:eastAsia="Times New Roman"/>
                <w:b/>
                <w:bCs/>
                <w:color w:val="000000" w:themeColor="text1"/>
                <w:sz w:val="18"/>
                <w:szCs w:val="18"/>
                <w:lang w:eastAsia="en-US"/>
              </w:rPr>
              <w:t>T4</w:t>
            </w: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Compartimentación del edificio PCT</w:t>
            </w:r>
          </w:p>
          <w:p w:rsidR="00CA682E" w:rsidRPr="00CA682E" w:rsidRDefault="00CA682E" w:rsidP="00CA682E">
            <w:pPr>
              <w:spacing w:before="40" w:after="40"/>
              <w:rPr>
                <w:rFonts w:eastAsia="Times New Roman"/>
                <w:b/>
                <w:bCs/>
                <w:color w:val="000000" w:themeColor="text1"/>
                <w:sz w:val="16"/>
                <w:szCs w:val="16"/>
                <w:lang w:eastAsia="en-US"/>
              </w:rPr>
            </w:pPr>
            <w:r w:rsidRPr="00CA682E">
              <w:rPr>
                <w:rFonts w:eastAsia="Times New Roman"/>
                <w:color w:val="000000" w:themeColor="text1"/>
                <w:sz w:val="16"/>
                <w:szCs w:val="16"/>
                <w:lang w:eastAsia="en-US"/>
              </w:rPr>
              <w:t>Finalización de las obras</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rPr>
                <w:rFonts w:eastAsia="Times New Roman"/>
                <w:b/>
                <w:bCs/>
                <w:color w:val="000000" w:themeColor="text1"/>
                <w:sz w:val="16"/>
                <w:szCs w:val="16"/>
                <w:lang w:eastAsia="en-US"/>
              </w:rPr>
            </w:pPr>
            <w:r w:rsidRPr="00CA682E">
              <w:rPr>
                <w:rFonts w:eastAsia="Times New Roman"/>
                <w:b/>
                <w:bCs/>
                <w:color w:val="000000" w:themeColor="text1"/>
                <w:sz w:val="16"/>
                <w:szCs w:val="16"/>
                <w:lang w:eastAsia="en-US"/>
              </w:rPr>
              <w:t>Compartimentación del segundo subsuelo del edificio AB: creación de un vestíbulo de independencia</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Estudio y proyecto relacionados con la compartimentación entre los edificios GBI y AB</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Proyecto relacionado con la compartimentación entre los edificios GBI y GBII (todos los niveles, con excepción del primer subsuelo)</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r>
      <w:tr w:rsidR="00CA682E" w:rsidRPr="00CA682E" w:rsidTr="007B1DE4">
        <w:trPr>
          <w:trHeight w:val="615"/>
          <w:jc w:val="center"/>
        </w:trPr>
        <w:tc>
          <w:tcPr>
            <w:tcW w:w="2324" w:type="dxa"/>
            <w:tcBorders>
              <w:top w:val="nil"/>
              <w:left w:val="single" w:sz="8" w:space="0" w:color="auto"/>
              <w:bottom w:val="single" w:sz="4" w:space="0" w:color="auto"/>
              <w:right w:val="single" w:sz="8" w:space="0" w:color="auto"/>
            </w:tcBorders>
            <w:shd w:val="clear" w:color="auto" w:fill="auto"/>
            <w:noWrap/>
            <w:vAlign w:val="bottom"/>
            <w:hideMark/>
          </w:tcPr>
          <w:p w:rsidR="00CA682E" w:rsidRPr="00CA682E" w:rsidRDefault="00CA682E" w:rsidP="00CA682E">
            <w:pPr>
              <w:spacing w:before="40" w:after="40"/>
              <w:rPr>
                <w:rFonts w:eastAsia="Times New Roman"/>
                <w:color w:val="000000" w:themeColor="text1"/>
                <w:sz w:val="16"/>
                <w:szCs w:val="16"/>
                <w:lang w:eastAsia="en-US"/>
              </w:rPr>
            </w:pPr>
            <w:r w:rsidRPr="00CA682E">
              <w:rPr>
                <w:rFonts w:eastAsia="Times New Roman"/>
                <w:color w:val="000000" w:themeColor="text1"/>
                <w:sz w:val="16"/>
                <w:szCs w:val="16"/>
                <w:lang w:eastAsia="en-US"/>
              </w:rPr>
              <w:t>Proyecto relacionado con la compartimentación del edificio AB (con excepción del segundo subsuelo)</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4"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c>
          <w:tcPr>
            <w:tcW w:w="480" w:type="dxa"/>
            <w:tcBorders>
              <w:top w:val="nil"/>
              <w:left w:val="nil"/>
              <w:bottom w:val="single" w:sz="4" w:space="0" w:color="auto"/>
              <w:right w:val="single" w:sz="8" w:space="0" w:color="auto"/>
            </w:tcBorders>
            <w:shd w:val="clear" w:color="auto" w:fill="auto"/>
            <w:noWrap/>
            <w:vAlign w:val="center"/>
            <w:hideMark/>
          </w:tcPr>
          <w:p w:rsidR="00CA682E" w:rsidRPr="00CA682E" w:rsidRDefault="00CA682E" w:rsidP="00CA682E">
            <w:pPr>
              <w:spacing w:before="40" w:after="40"/>
              <w:jc w:val="center"/>
              <w:rPr>
                <w:rFonts w:eastAsia="Times New Roman"/>
                <w:color w:val="000000" w:themeColor="text1"/>
                <w:sz w:val="16"/>
                <w:szCs w:val="16"/>
                <w:lang w:eastAsia="en-US"/>
              </w:rPr>
            </w:pPr>
            <w:r w:rsidRPr="00CA682E">
              <w:rPr>
                <w:rFonts w:eastAsia="Times New Roman"/>
                <w:color w:val="000000" w:themeColor="text1"/>
                <w:sz w:val="16"/>
                <w:szCs w:val="16"/>
                <w:lang w:eastAsia="en-US"/>
              </w:rPr>
              <w:t>X</w:t>
            </w:r>
          </w:p>
        </w:tc>
      </w:tr>
    </w:tbl>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rPr>
          <w:rFonts w:eastAsia="Times New Roman" w:cs="Times New Roman"/>
          <w:color w:val="000000" w:themeColor="text1"/>
          <w:sz w:val="20"/>
          <w:szCs w:val="24"/>
          <w:lang w:eastAsia="en-US"/>
        </w:rPr>
      </w:pPr>
    </w:p>
    <w:p w:rsidR="00CA682E" w:rsidRPr="00CA682E" w:rsidRDefault="00CA682E" w:rsidP="00CA682E">
      <w:pPr>
        <w:ind w:left="5534"/>
        <w:rPr>
          <w:sz w:val="20"/>
        </w:rPr>
      </w:pPr>
      <w:r w:rsidRPr="00CA682E">
        <w:rPr>
          <w:sz w:val="20"/>
        </w:rPr>
        <w:t>[Sigue el Apéndice IV]</w:t>
      </w:r>
    </w:p>
    <w:p w:rsidR="00BC2324" w:rsidRDefault="00BC2324">
      <w:pPr>
        <w:rPr>
          <w:sz w:val="20"/>
        </w:rPr>
      </w:pPr>
    </w:p>
    <w:p w:rsidR="0071404B" w:rsidRDefault="0071404B">
      <w:pPr>
        <w:rPr>
          <w:sz w:val="20"/>
        </w:rPr>
      </w:pPr>
      <w:r>
        <w:rPr>
          <w:sz w:val="20"/>
        </w:rPr>
        <w:br w:type="page"/>
      </w:r>
    </w:p>
    <w:p w:rsidR="0071404B" w:rsidRPr="00526311" w:rsidRDefault="0071404B" w:rsidP="0071404B">
      <w:pPr>
        <w:pStyle w:val="Heading2"/>
        <w:rPr>
          <w:b/>
          <w:i/>
        </w:rPr>
      </w:pPr>
      <w:bookmarkStart w:id="232" w:name="_Toc422927455"/>
      <w:bookmarkStart w:id="233" w:name="_Toc455159123"/>
      <w:r w:rsidRPr="00526311">
        <w:rPr>
          <w:b/>
          <w:bCs w:val="0"/>
          <w:szCs w:val="22"/>
        </w:rPr>
        <w:lastRenderedPageBreak/>
        <w:t>APÉNDICE IV</w:t>
      </w:r>
      <w:r w:rsidRPr="00526311">
        <w:rPr>
          <w:b/>
          <w:bCs w:val="0"/>
          <w:szCs w:val="22"/>
        </w:rPr>
        <w:br/>
      </w:r>
      <w:bookmarkStart w:id="234" w:name="_Toc293334854"/>
      <w:bookmarkStart w:id="235" w:name="_Toc298920436"/>
      <w:bookmarkStart w:id="236" w:name="_Toc310950817"/>
      <w:bookmarkStart w:id="237" w:name="_Toc356567803"/>
      <w:bookmarkStart w:id="238" w:name="_Toc367350629"/>
      <w:bookmarkStart w:id="239" w:name="_Toc392610068"/>
      <w:r w:rsidRPr="00526311">
        <w:br/>
      </w:r>
      <w:r w:rsidRPr="00526311">
        <w:rPr>
          <w:b/>
        </w:rPr>
        <w:t>SIGLAS Y ABREVIATURAS EMPLEADAS EN EL PRESENTE DOCUMENT</w:t>
      </w:r>
      <w:bookmarkEnd w:id="234"/>
      <w:bookmarkEnd w:id="235"/>
      <w:bookmarkEnd w:id="236"/>
      <w:bookmarkEnd w:id="237"/>
      <w:bookmarkEnd w:id="238"/>
      <w:bookmarkEnd w:id="239"/>
      <w:r w:rsidRPr="00526311">
        <w:rPr>
          <w:b/>
        </w:rPr>
        <w:t>O</w:t>
      </w:r>
      <w:bookmarkEnd w:id="232"/>
      <w:bookmarkEnd w:id="233"/>
    </w:p>
    <w:p w:rsidR="0071404B" w:rsidRPr="00526311" w:rsidRDefault="0071404B" w:rsidP="0071404B">
      <w:pPr>
        <w:tabs>
          <w:tab w:val="left" w:pos="1980"/>
          <w:tab w:val="left" w:pos="3261"/>
        </w:tabs>
        <w:ind w:left="2268" w:hanging="2268"/>
        <w:jc w:val="both"/>
        <w:rPr>
          <w:sz w:val="16"/>
          <w:szCs w:val="16"/>
        </w:rPr>
      </w:pPr>
    </w:p>
    <w:p w:rsidR="0071404B" w:rsidRPr="00526311" w:rsidRDefault="0071404B" w:rsidP="0071404B">
      <w:pPr>
        <w:tabs>
          <w:tab w:val="left" w:pos="1980"/>
          <w:tab w:val="left" w:pos="3261"/>
        </w:tabs>
        <w:ind w:left="2268" w:hanging="2268"/>
        <w:jc w:val="both"/>
        <w:rPr>
          <w:sz w:val="16"/>
          <w:szCs w:val="16"/>
        </w:rPr>
      </w:pPr>
    </w:p>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98"/>
      </w:tblGrid>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A</w:t>
            </w:r>
            <w:r w:rsidRPr="00526311">
              <w:rPr>
                <w:sz w:val="20"/>
              </w:rPr>
              <w:t>.D.</w:t>
            </w:r>
            <w:r w:rsidRPr="00526311">
              <w:rPr>
                <w:sz w:val="20"/>
              </w:rPr>
              <w:tab/>
              <w:t>Agenda para el Desarrollo</w:t>
            </w:r>
          </w:p>
        </w:tc>
      </w:tr>
      <w:tr w:rsidR="004341AB" w:rsidRPr="00526311" w:rsidTr="002E3193">
        <w:tc>
          <w:tcPr>
            <w:tcW w:w="9498" w:type="dxa"/>
          </w:tcPr>
          <w:p w:rsidR="004341AB" w:rsidRPr="00526311" w:rsidRDefault="004341AB" w:rsidP="002E3193">
            <w:pPr>
              <w:spacing w:after="40"/>
              <w:ind w:left="1735" w:hanging="1735"/>
              <w:rPr>
                <w:sz w:val="20"/>
              </w:rPr>
            </w:pPr>
            <w:r>
              <w:rPr>
                <w:sz w:val="20"/>
              </w:rPr>
              <w:t>ABC</w:t>
            </w:r>
            <w:r w:rsidRPr="00526311">
              <w:rPr>
                <w:sz w:val="20"/>
              </w:rPr>
              <w:tab/>
            </w:r>
            <w:r>
              <w:rPr>
                <w:sz w:val="20"/>
              </w:rPr>
              <w:t>Consorcio de Libros Accesibles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ACE</w:t>
            </w:r>
            <w:r w:rsidRPr="00526311">
              <w:rPr>
                <w:sz w:val="20"/>
              </w:rPr>
              <w:tab/>
              <w:t xml:space="preserve">Comité Asesor sobre Observancia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AGICOA</w:t>
            </w:r>
            <w:r w:rsidRPr="00526311">
              <w:rPr>
                <w:sz w:val="20"/>
              </w:rPr>
              <w:tab/>
              <w:t>Asociación para la Gestión Internacional Colectiva de Obras Audiovisuales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AIPMS</w:t>
            </w:r>
            <w:r w:rsidRPr="00526311">
              <w:rPr>
                <w:sz w:val="20"/>
              </w:rPr>
              <w:tab/>
              <w:t>Sistema de Gestión de la Propiedad Intelectual en Árabe</w:t>
            </w:r>
          </w:p>
        </w:tc>
      </w:tr>
      <w:tr w:rsidR="0071404B" w:rsidRPr="00F80D4E" w:rsidTr="002E3193">
        <w:tc>
          <w:tcPr>
            <w:tcW w:w="9498" w:type="dxa"/>
          </w:tcPr>
          <w:p w:rsidR="0071404B" w:rsidRPr="00485CF4" w:rsidRDefault="0071404B" w:rsidP="002E3193">
            <w:pPr>
              <w:spacing w:after="40"/>
              <w:ind w:left="1735" w:hanging="1735"/>
              <w:rPr>
                <w:sz w:val="20"/>
                <w:lang w:val="fr-FR"/>
              </w:rPr>
            </w:pPr>
            <w:r w:rsidRPr="00485CF4">
              <w:rPr>
                <w:sz w:val="20"/>
                <w:lang w:val="fr-FR"/>
              </w:rPr>
              <w:t>AMFIE</w:t>
            </w:r>
            <w:r w:rsidRPr="00485CF4">
              <w:rPr>
                <w:sz w:val="20"/>
                <w:lang w:val="fr-FR"/>
              </w:rPr>
              <w:tab/>
            </w:r>
            <w:r w:rsidRPr="00485CF4">
              <w:rPr>
                <w:i/>
                <w:sz w:val="20"/>
                <w:lang w:val="fr-FR"/>
              </w:rPr>
              <w:t>Association Coopérative Financière des Fonctionnaires Internationaux</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ANPEI</w:t>
            </w:r>
            <w:r w:rsidRPr="00526311">
              <w:rPr>
                <w:sz w:val="20"/>
              </w:rPr>
              <w:tab/>
              <w:t>Asociación Nacional de Investigación y Desarrollo de las Empresas Industriales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APEC</w:t>
            </w:r>
            <w:r w:rsidRPr="00526311">
              <w:rPr>
                <w:sz w:val="20"/>
              </w:rPr>
              <w:tab/>
              <w:t xml:space="preserve">Cooperación Económica de Asia y el Pacífico </w:t>
            </w:r>
          </w:p>
        </w:tc>
      </w:tr>
      <w:tr w:rsidR="0071404B" w:rsidRPr="00526311" w:rsidTr="002E3193">
        <w:tc>
          <w:tcPr>
            <w:tcW w:w="9498" w:type="dxa"/>
          </w:tcPr>
          <w:p w:rsidR="0071404B" w:rsidRPr="00526311" w:rsidRDefault="00ED0448" w:rsidP="002E3193">
            <w:pPr>
              <w:spacing w:after="40"/>
              <w:ind w:left="1735" w:hanging="1735"/>
              <w:rPr>
                <w:sz w:val="20"/>
              </w:rPr>
            </w:pPr>
            <w:r w:rsidRPr="00526311">
              <w:rPr>
                <w:sz w:val="20"/>
              </w:rPr>
              <w:t>ARDI</w:t>
            </w:r>
            <w:r w:rsidR="0071404B" w:rsidRPr="00526311">
              <w:rPr>
                <w:sz w:val="20"/>
              </w:rPr>
              <w:tab/>
              <w:t>Acceso a la Investigación para el Desarrollo y la Innovación</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ARIPO</w:t>
            </w:r>
            <w:r w:rsidRPr="00526311">
              <w:rPr>
                <w:sz w:val="20"/>
              </w:rPr>
              <w:tab/>
              <w:t>Organización Regional Africana de la Propiedad Intelectual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ASEAN</w:t>
            </w:r>
            <w:r w:rsidRPr="00526311">
              <w:rPr>
                <w:sz w:val="20"/>
              </w:rPr>
              <w:tab/>
              <w:t>Asociación de Naciones del Asia Sudoriental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ASEF</w:t>
            </w:r>
            <w:r w:rsidRPr="00526311">
              <w:rPr>
                <w:sz w:val="20"/>
              </w:rPr>
              <w:tab/>
            </w:r>
            <w:r w:rsidRPr="00526311">
              <w:rPr>
                <w:i/>
                <w:sz w:val="20"/>
              </w:rPr>
              <w:t>Asia-Europe Foundation</w:t>
            </w:r>
            <w:r w:rsidRPr="00526311">
              <w:rPr>
                <w:sz w:val="20"/>
              </w:rPr>
              <w:t xml:space="preserve">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ASPI</w:t>
            </w:r>
            <w:r w:rsidRPr="00526311">
              <w:rPr>
                <w:sz w:val="20"/>
              </w:rPr>
              <w:tab/>
              <w:t>Acceso a la Información Especializada sobre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ATRIP</w:t>
            </w:r>
            <w:r w:rsidRPr="00526311">
              <w:rPr>
                <w:sz w:val="20"/>
              </w:rPr>
              <w:tab/>
              <w:t>Asociación Internacional para el Progreso de la Enseñanza y la Investigación de la Propiedad Intelectual</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C</w:t>
            </w:r>
            <w:r w:rsidRPr="00526311">
              <w:rPr>
                <w:sz w:val="20"/>
              </w:rPr>
              <w:t>API</w:t>
            </w:r>
            <w:r w:rsidRPr="00526311">
              <w:rPr>
                <w:sz w:val="20"/>
              </w:rPr>
              <w:tab/>
              <w:t xml:space="preserve">Comisión de Administración Pública Internacional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CASE</w:t>
            </w:r>
            <w:r w:rsidRPr="00526311">
              <w:rPr>
                <w:sz w:val="20"/>
              </w:rPr>
              <w:tab/>
              <w:t xml:space="preserve">Acceso Centralizado a la Búsqueda y el Examen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CATI</w:t>
            </w:r>
            <w:r w:rsidRPr="00526311">
              <w:rPr>
                <w:sz w:val="20"/>
              </w:rPr>
              <w:tab/>
              <w:t>Centro(s) de Apoyo a la Tecnología y la Innovación</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CCIS</w:t>
            </w:r>
            <w:r w:rsidRPr="00526311">
              <w:rPr>
                <w:sz w:val="20"/>
              </w:rPr>
              <w:tab/>
              <w:t>Comisión Consultiva Independiente de Supervisión</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ccTLD</w:t>
            </w:r>
            <w:r w:rsidRPr="00526311">
              <w:rPr>
                <w:sz w:val="20"/>
              </w:rPr>
              <w:tab/>
              <w:t>Dominios de nivel superior correspondientes a códigos de países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CC.TT.</w:t>
            </w:r>
            <w:r w:rsidRPr="00526311">
              <w:rPr>
                <w:sz w:val="20"/>
              </w:rPr>
              <w:tab/>
              <w:t>Conocimientos tradicionales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CDB</w:t>
            </w:r>
            <w:r w:rsidRPr="00526311">
              <w:rPr>
                <w:sz w:val="20"/>
              </w:rPr>
              <w:tab/>
              <w:t>Convenio sobre la Diversidad Biológica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CDIP</w:t>
            </w:r>
            <w:r w:rsidRPr="00526311">
              <w:rPr>
                <w:sz w:val="20"/>
              </w:rPr>
              <w:tab/>
              <w:t>Comité de Desarrollo y Propiedad Intelectual</w:t>
            </w:r>
          </w:p>
        </w:tc>
      </w:tr>
      <w:tr w:rsidR="0071404B" w:rsidRPr="00F80D4E" w:rsidTr="002E3193">
        <w:tc>
          <w:tcPr>
            <w:tcW w:w="9498" w:type="dxa"/>
          </w:tcPr>
          <w:p w:rsidR="0071404B" w:rsidRPr="00485CF4" w:rsidRDefault="0071404B" w:rsidP="002E3193">
            <w:pPr>
              <w:spacing w:after="40"/>
              <w:ind w:left="1735" w:hanging="1735"/>
              <w:rPr>
                <w:sz w:val="20"/>
                <w:lang w:val="fr-FR"/>
              </w:rPr>
            </w:pPr>
            <w:r w:rsidRPr="00485CF4">
              <w:rPr>
                <w:sz w:val="20"/>
                <w:lang w:val="fr-FR"/>
              </w:rPr>
              <w:t>CEIPI</w:t>
            </w:r>
            <w:r w:rsidRPr="00485CF4">
              <w:rPr>
                <w:sz w:val="20"/>
                <w:lang w:val="fr-FR"/>
              </w:rPr>
              <w:tab/>
            </w:r>
            <w:r w:rsidRPr="00485CF4">
              <w:rPr>
                <w:i/>
                <w:sz w:val="20"/>
                <w:lang w:val="fr-FR"/>
              </w:rPr>
              <w:t>Centre d’Études Internationales de la Propriété Intellectuelle</w:t>
            </w:r>
            <w:r w:rsidRPr="00485CF4">
              <w:rPr>
                <w:sz w:val="20"/>
                <w:lang w:val="fr-FR"/>
              </w:rPr>
              <w:t xml:space="preserve"> </w:t>
            </w:r>
          </w:p>
        </w:tc>
      </w:tr>
      <w:tr w:rsidR="00ED0448" w:rsidRPr="00526311" w:rsidTr="002E3193">
        <w:tc>
          <w:tcPr>
            <w:tcW w:w="9498" w:type="dxa"/>
          </w:tcPr>
          <w:p w:rsidR="00ED0448" w:rsidRPr="00526311" w:rsidRDefault="00ED0448" w:rsidP="002E3193">
            <w:pPr>
              <w:spacing w:after="40"/>
              <w:ind w:left="1735" w:hanging="1735"/>
              <w:rPr>
                <w:sz w:val="20"/>
              </w:rPr>
            </w:pPr>
            <w:r>
              <w:rPr>
                <w:sz w:val="20"/>
              </w:rPr>
              <w:t>CEPA</w:t>
            </w:r>
            <w:r w:rsidRPr="00ED0448">
              <w:rPr>
                <w:sz w:val="20"/>
              </w:rPr>
              <w:tab/>
              <w:t>Comisión Económica de las Naciones Unidas para África</w:t>
            </w:r>
          </w:p>
        </w:tc>
      </w:tr>
      <w:tr w:rsidR="00ED0448" w:rsidRPr="00526311" w:rsidTr="002E3193">
        <w:tc>
          <w:tcPr>
            <w:tcW w:w="9498" w:type="dxa"/>
          </w:tcPr>
          <w:p w:rsidR="00ED0448" w:rsidRPr="00526311" w:rsidRDefault="00ED0448" w:rsidP="002E3193">
            <w:pPr>
              <w:spacing w:after="40"/>
              <w:ind w:left="1735" w:hanging="1735"/>
              <w:rPr>
                <w:sz w:val="20"/>
              </w:rPr>
            </w:pPr>
            <w:r>
              <w:rPr>
                <w:sz w:val="20"/>
              </w:rPr>
              <w:t>CERLALC</w:t>
            </w:r>
            <w:r w:rsidRPr="00ED0448">
              <w:rPr>
                <w:sz w:val="20"/>
              </w:rPr>
              <w:tab/>
              <w:t>Centro Regional para el Fomento del Libro en América Latina y el Caribe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CERN</w:t>
            </w:r>
            <w:r w:rsidRPr="00526311">
              <w:rPr>
                <w:sz w:val="20"/>
              </w:rPr>
              <w:tab/>
              <w:t>Organización Europea de Investigación Nuclear</w:t>
            </w:r>
          </w:p>
        </w:tc>
      </w:tr>
      <w:tr w:rsidR="00ED0448" w:rsidRPr="00526311" w:rsidTr="002E3193">
        <w:tc>
          <w:tcPr>
            <w:tcW w:w="9498" w:type="dxa"/>
          </w:tcPr>
          <w:p w:rsidR="00ED0448" w:rsidRPr="00ED0448" w:rsidRDefault="00ED0448" w:rsidP="00ED0448">
            <w:pPr>
              <w:spacing w:after="40"/>
              <w:ind w:left="1735" w:hanging="1735"/>
              <w:rPr>
                <w:sz w:val="20"/>
              </w:rPr>
            </w:pPr>
            <w:r w:rsidRPr="00ED0448">
              <w:rPr>
                <w:sz w:val="20"/>
              </w:rPr>
              <w:t>CESPAP</w:t>
            </w:r>
            <w:r w:rsidRPr="00ED0448">
              <w:rPr>
                <w:sz w:val="20"/>
              </w:rPr>
              <w:tab/>
            </w:r>
            <w:r w:rsidRPr="00ED0448">
              <w:rPr>
                <w:bCs/>
                <w:sz w:val="20"/>
              </w:rPr>
              <w:t>Comisión Económica y Social de las Naciones Unidas para Asia y el Pacífico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CICE</w:t>
            </w:r>
            <w:r w:rsidRPr="00526311">
              <w:rPr>
                <w:sz w:val="20"/>
              </w:rPr>
              <w:tab/>
              <w:t>Centro Internacional de Cálculos Electrónicos de las Naciones Unidas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CIG</w:t>
            </w:r>
            <w:r w:rsidRPr="00526311">
              <w:rPr>
                <w:sz w:val="20"/>
              </w:rPr>
              <w:tab/>
              <w:t>Comité Intergubernamental sobre Propiedad Intelectual y Recursos Genéticos, Conocimientos Tradicionales y Folclore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CIP</w:t>
            </w:r>
            <w:r w:rsidRPr="00526311">
              <w:rPr>
                <w:sz w:val="20"/>
              </w:rPr>
              <w:tab/>
              <w:t>Clasificación Internacional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CISAC</w:t>
            </w:r>
            <w:r w:rsidRPr="00526311">
              <w:rPr>
                <w:sz w:val="20"/>
              </w:rPr>
              <w:tab/>
              <w:t>Confederación Internacional de Sociedades de Autores y Compositores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CLIR</w:t>
            </w:r>
            <w:r w:rsidRPr="00526311">
              <w:rPr>
                <w:sz w:val="20"/>
              </w:rPr>
              <w:tab/>
            </w:r>
            <w:r w:rsidRPr="00526311">
              <w:rPr>
                <w:i/>
                <w:sz w:val="20"/>
              </w:rPr>
              <w:t>Cross Lingual Information Retrieval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CMNUCC</w:t>
            </w:r>
            <w:r w:rsidRPr="00526311">
              <w:rPr>
                <w:sz w:val="20"/>
              </w:rPr>
              <w:tab/>
              <w:t>Convención Marco de las Naciones Unidas sobre el Cambio Climático</w:t>
            </w:r>
          </w:p>
        </w:tc>
      </w:tr>
      <w:tr w:rsidR="0071404B" w:rsidRPr="00526311" w:rsidTr="002E3193">
        <w:tc>
          <w:tcPr>
            <w:tcW w:w="9498" w:type="dxa"/>
          </w:tcPr>
          <w:p w:rsidR="0071404B" w:rsidRPr="00526311" w:rsidRDefault="0071404B" w:rsidP="00ED0448">
            <w:pPr>
              <w:spacing w:after="40"/>
              <w:ind w:left="1735" w:hanging="1735"/>
              <w:rPr>
                <w:sz w:val="20"/>
              </w:rPr>
            </w:pPr>
            <w:r w:rsidRPr="00526311">
              <w:rPr>
                <w:sz w:val="20"/>
              </w:rPr>
              <w:t>C</w:t>
            </w:r>
            <w:r w:rsidR="00ED0448">
              <w:rPr>
                <w:sz w:val="20"/>
              </w:rPr>
              <w:t>O</w:t>
            </w:r>
            <w:r w:rsidRPr="00526311">
              <w:rPr>
                <w:sz w:val="20"/>
              </w:rPr>
              <w:t>M</w:t>
            </w:r>
            <w:r w:rsidR="00ED0448">
              <w:rPr>
                <w:sz w:val="20"/>
              </w:rPr>
              <w:t>E</w:t>
            </w:r>
            <w:r w:rsidRPr="00526311">
              <w:rPr>
                <w:sz w:val="20"/>
              </w:rPr>
              <w:t>S</w:t>
            </w:r>
            <w:r w:rsidR="00ED0448">
              <w:rPr>
                <w:sz w:val="20"/>
              </w:rPr>
              <w:t>A</w:t>
            </w:r>
            <w:r w:rsidRPr="00526311">
              <w:rPr>
                <w:sz w:val="20"/>
              </w:rPr>
              <w:tab/>
            </w:r>
            <w:r w:rsidR="00ED0448" w:rsidRPr="009A6CA1">
              <w:rPr>
                <w:color w:val="000000" w:themeColor="text1"/>
                <w:sz w:val="20"/>
              </w:rPr>
              <w:t>Red Internacional de Competencia y el Mercado Común para el África Oriental y Meridional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CRTC</w:t>
            </w:r>
            <w:r w:rsidRPr="00526311">
              <w:rPr>
                <w:sz w:val="20"/>
              </w:rPr>
              <w:tab/>
              <w:t>Centro y Red de Tecnología del Clima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CWS</w:t>
            </w:r>
            <w:r w:rsidRPr="00526311">
              <w:rPr>
                <w:sz w:val="20"/>
              </w:rPr>
              <w:tab/>
              <w:t>Comité de Normas Técnicas de la OMPI</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D</w:t>
            </w:r>
            <w:r w:rsidRPr="00526311">
              <w:rPr>
                <w:sz w:val="20"/>
              </w:rPr>
              <w:t>AG</w:t>
            </w:r>
            <w:r w:rsidRPr="00526311">
              <w:rPr>
                <w:sz w:val="20"/>
              </w:rPr>
              <w:tab/>
              <w:t>Grupo de la Agenda para el Desarrollo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DAS</w:t>
            </w:r>
            <w:r w:rsidRPr="00526311">
              <w:rPr>
                <w:sz w:val="20"/>
              </w:rPr>
              <w:tab/>
              <w:t>Servicio de Acceso Digital a los Documentos de Prioridad</w:t>
            </w:r>
          </w:p>
        </w:tc>
      </w:tr>
      <w:tr w:rsidR="00171C8A" w:rsidRPr="00526311" w:rsidTr="002E3193">
        <w:tc>
          <w:tcPr>
            <w:tcW w:w="9498" w:type="dxa"/>
          </w:tcPr>
          <w:p w:rsidR="00171C8A" w:rsidRPr="00526311" w:rsidRDefault="00171C8A" w:rsidP="002E3193">
            <w:pPr>
              <w:spacing w:after="40"/>
              <w:ind w:left="1735" w:hanging="1735"/>
              <w:rPr>
                <w:sz w:val="20"/>
              </w:rPr>
            </w:pPr>
            <w:r>
              <w:rPr>
                <w:sz w:val="20"/>
              </w:rPr>
              <w:t>DGIPR</w:t>
            </w:r>
            <w:r w:rsidRPr="00526311">
              <w:rPr>
                <w:sz w:val="20"/>
              </w:rPr>
              <w:tab/>
            </w:r>
            <w:r w:rsidRPr="00171C8A">
              <w:rPr>
                <w:sz w:val="20"/>
              </w:rPr>
              <w:t>Dirección General de Derechos de Propiedad Intelectual de Indonesia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DGRRHH</w:t>
            </w:r>
            <w:r w:rsidRPr="00526311">
              <w:rPr>
                <w:sz w:val="20"/>
              </w:rPr>
              <w:tab/>
              <w:t>Departamento de Gestión de los Recursos Humanos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documento PPR</w:t>
            </w:r>
            <w:r w:rsidRPr="00526311">
              <w:rPr>
                <w:sz w:val="20"/>
              </w:rPr>
              <w:tab/>
              <w:t>Informe sobre el Rendimiento de los Programas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DSI</w:t>
            </w:r>
            <w:r w:rsidRPr="00526311">
              <w:rPr>
                <w:sz w:val="20"/>
              </w:rPr>
              <w:tab/>
              <w:t>División de Supervisión Interna</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lastRenderedPageBreak/>
              <w:t>E</w:t>
            </w:r>
            <w:r w:rsidRPr="00526311">
              <w:rPr>
                <w:sz w:val="20"/>
              </w:rPr>
              <w:t>COSOC</w:t>
            </w:r>
            <w:r w:rsidRPr="00526311">
              <w:rPr>
                <w:sz w:val="20"/>
              </w:rPr>
              <w:tab/>
              <w:t xml:space="preserve">Consejo Económico y Social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ECT</w:t>
            </w:r>
            <w:r w:rsidRPr="00526311">
              <w:rPr>
                <w:sz w:val="20"/>
              </w:rPr>
              <w:tab/>
              <w:t>Expresiones culturales tradicionales / Folclore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EDMS</w:t>
            </w:r>
            <w:r w:rsidRPr="00526311">
              <w:rPr>
                <w:sz w:val="20"/>
              </w:rPr>
              <w:tab/>
              <w:t>Sistema de Gestión Electrónica de Documentos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EGEDA</w:t>
            </w:r>
            <w:r w:rsidRPr="00526311">
              <w:rPr>
                <w:sz w:val="20"/>
              </w:rPr>
              <w:tab/>
              <w:t>Entidad de Gestión de Derechos de los Productores Audiovisuales</w:t>
            </w:r>
          </w:p>
        </w:tc>
      </w:tr>
      <w:tr w:rsidR="00ED0448" w:rsidRPr="00526311" w:rsidTr="002E3193">
        <w:tc>
          <w:tcPr>
            <w:tcW w:w="9498" w:type="dxa"/>
          </w:tcPr>
          <w:p w:rsidR="00ED0448" w:rsidRPr="00526311" w:rsidRDefault="00ED0448" w:rsidP="002E3193">
            <w:pPr>
              <w:spacing w:after="40"/>
              <w:ind w:left="1735" w:hanging="1735"/>
              <w:rPr>
                <w:sz w:val="20"/>
              </w:rPr>
            </w:pPr>
            <w:r>
              <w:rPr>
                <w:sz w:val="20"/>
              </w:rPr>
              <w:t>ETSI</w:t>
            </w:r>
            <w:r w:rsidRPr="00526311">
              <w:rPr>
                <w:sz w:val="20"/>
              </w:rPr>
              <w:tab/>
            </w:r>
            <w:r w:rsidRPr="00ED0448">
              <w:rPr>
                <w:rStyle w:val="preferred"/>
                <w:sz w:val="20"/>
              </w:rPr>
              <w:t>Instituto Europeo de Normas de Telecomunicaciones</w:t>
            </w:r>
          </w:p>
        </w:tc>
      </w:tr>
      <w:tr w:rsidR="00ED0448" w:rsidRPr="00526311" w:rsidTr="002E3193">
        <w:tc>
          <w:tcPr>
            <w:tcW w:w="9498" w:type="dxa"/>
          </w:tcPr>
          <w:p w:rsidR="00ED0448" w:rsidRDefault="00ED0448" w:rsidP="002E3193">
            <w:pPr>
              <w:spacing w:after="40"/>
              <w:ind w:left="1735" w:hanging="1735"/>
              <w:rPr>
                <w:sz w:val="20"/>
              </w:rPr>
            </w:pPr>
            <w:r>
              <w:rPr>
                <w:sz w:val="20"/>
              </w:rPr>
              <w:t>e-TA</w:t>
            </w:r>
            <w:r w:rsidRPr="00526311">
              <w:rPr>
                <w:sz w:val="20"/>
              </w:rPr>
              <w:tab/>
            </w:r>
            <w:r>
              <w:rPr>
                <w:sz w:val="20"/>
              </w:rPr>
              <w:t>Autorización electrónica de viaje (formulario)</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F</w:t>
            </w:r>
            <w:r w:rsidRPr="00526311">
              <w:rPr>
                <w:sz w:val="20"/>
              </w:rPr>
              <w:t>AO</w:t>
            </w:r>
            <w:r w:rsidRPr="00526311">
              <w:rPr>
                <w:sz w:val="20"/>
              </w:rPr>
              <w:tab/>
              <w:t>Organización de las Naciones Unidas para la Alimentación y la Agricultura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FIT</w:t>
            </w:r>
            <w:r w:rsidRPr="00526311">
              <w:rPr>
                <w:sz w:val="20"/>
              </w:rPr>
              <w:tab/>
              <w:t>Fondo fiduciario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FNUDC</w:t>
            </w:r>
            <w:r w:rsidRPr="00526311">
              <w:rPr>
                <w:sz w:val="20"/>
              </w:rPr>
              <w:tab/>
              <w:t>Fondo de las Naciones Unidas para el Desarrollo de la Capitalización</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ED0448">
              <w:rPr>
                <w:b/>
                <w:sz w:val="20"/>
              </w:rPr>
              <w:t>G</w:t>
            </w:r>
            <w:r w:rsidRPr="00526311">
              <w:rPr>
                <w:sz w:val="20"/>
              </w:rPr>
              <w:t>DA</w:t>
            </w:r>
            <w:r w:rsidRPr="00526311">
              <w:rPr>
                <w:sz w:val="20"/>
              </w:rPr>
              <w:tab/>
              <w:t>Sistema de gestión colectiva del derecho de autor y los derechos conexos</w:t>
            </w:r>
          </w:p>
        </w:tc>
      </w:tr>
      <w:tr w:rsidR="007F16A3" w:rsidRPr="00526311" w:rsidTr="002E3193">
        <w:tc>
          <w:tcPr>
            <w:tcW w:w="9498" w:type="dxa"/>
          </w:tcPr>
          <w:p w:rsidR="007F16A3" w:rsidRPr="00526311" w:rsidRDefault="007F16A3" w:rsidP="002E3193">
            <w:pPr>
              <w:spacing w:after="40"/>
              <w:ind w:left="1735" w:hanging="1735"/>
              <w:rPr>
                <w:sz w:val="20"/>
              </w:rPr>
            </w:pPr>
            <w:r>
              <w:rPr>
                <w:sz w:val="20"/>
              </w:rPr>
              <w:t>GII</w:t>
            </w:r>
            <w:r w:rsidRPr="00526311">
              <w:rPr>
                <w:sz w:val="20"/>
              </w:rPr>
              <w:tab/>
            </w:r>
            <w:r>
              <w:rPr>
                <w:sz w:val="20"/>
              </w:rPr>
              <w:t>Índice Mundial de Innovación</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gTLD</w:t>
            </w:r>
            <w:r w:rsidRPr="00526311">
              <w:rPr>
                <w:sz w:val="20"/>
              </w:rPr>
              <w:tab/>
              <w:t>Dominios genéricos de nivel superior</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H</w:t>
            </w:r>
            <w:r w:rsidRPr="00526311">
              <w:rPr>
                <w:sz w:val="20"/>
              </w:rPr>
              <w:t>LCM</w:t>
            </w:r>
            <w:r w:rsidRPr="00526311">
              <w:rPr>
                <w:sz w:val="20"/>
              </w:rPr>
              <w:tab/>
              <w:t>Comité de Alto Nivel sobre Gestión</w:t>
            </w:r>
            <w:r w:rsidR="00171C8A">
              <w:rPr>
                <w:sz w:val="20"/>
              </w:rPr>
              <w:t xml:space="preserve"> (de la JJE)</w:t>
            </w:r>
          </w:p>
        </w:tc>
      </w:tr>
      <w:tr w:rsidR="00171C8A" w:rsidRPr="00526311" w:rsidTr="002E3193">
        <w:tc>
          <w:tcPr>
            <w:tcW w:w="9498" w:type="dxa"/>
          </w:tcPr>
          <w:p w:rsidR="00171C8A" w:rsidRPr="00171C8A" w:rsidRDefault="00171C8A" w:rsidP="00171C8A">
            <w:pPr>
              <w:spacing w:after="40"/>
              <w:ind w:left="1735" w:hanging="1735"/>
              <w:rPr>
                <w:sz w:val="20"/>
              </w:rPr>
            </w:pPr>
            <w:r w:rsidRPr="00171C8A">
              <w:rPr>
                <w:sz w:val="20"/>
              </w:rPr>
              <w:t>H</w:t>
            </w:r>
            <w:r>
              <w:rPr>
                <w:sz w:val="20"/>
              </w:rPr>
              <w:t>L</w:t>
            </w:r>
            <w:r w:rsidRPr="00171C8A">
              <w:rPr>
                <w:sz w:val="20"/>
              </w:rPr>
              <w:t>CP</w:t>
            </w:r>
            <w:r w:rsidRPr="00526311">
              <w:rPr>
                <w:sz w:val="20"/>
              </w:rPr>
              <w:tab/>
            </w:r>
            <w:r w:rsidRPr="00B101BC">
              <w:rPr>
                <w:sz w:val="20"/>
              </w:rPr>
              <w:t>Comité de Alto Nivel sobre Programas</w:t>
            </w:r>
            <w:r>
              <w:rPr>
                <w:sz w:val="20"/>
              </w:rPr>
              <w:t xml:space="preserve"> (de la JJE)</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171C8A">
            <w:pPr>
              <w:spacing w:after="40"/>
              <w:ind w:left="1735" w:hanging="1735"/>
              <w:rPr>
                <w:sz w:val="20"/>
              </w:rPr>
            </w:pPr>
            <w:r w:rsidRPr="00526311">
              <w:rPr>
                <w:b/>
                <w:sz w:val="20"/>
              </w:rPr>
              <w:t>I</w:t>
            </w:r>
            <w:r w:rsidRPr="00526311">
              <w:rPr>
                <w:sz w:val="20"/>
              </w:rPr>
              <w:t>B</w:t>
            </w:r>
            <w:r w:rsidR="00171C8A">
              <w:rPr>
                <w:sz w:val="20"/>
              </w:rPr>
              <w:t>EPI</w:t>
            </w:r>
            <w:r w:rsidR="00171C8A">
              <w:rPr>
                <w:sz w:val="20"/>
              </w:rPr>
              <w:tab/>
              <w:t>Programa Iberoamericano de Propiedad Industrial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ICANN</w:t>
            </w:r>
            <w:r w:rsidRPr="00526311">
              <w:rPr>
                <w:sz w:val="20"/>
              </w:rPr>
              <w:tab/>
              <w:t>Corporación para la Asignación de Nombres y Números en Internet</w:t>
            </w:r>
          </w:p>
        </w:tc>
      </w:tr>
      <w:tr w:rsidR="00E77382" w:rsidRPr="00E77382" w:rsidTr="002E3193">
        <w:tc>
          <w:tcPr>
            <w:tcW w:w="9498" w:type="dxa"/>
          </w:tcPr>
          <w:p w:rsidR="00E77382" w:rsidRPr="00E77382" w:rsidRDefault="00E77382" w:rsidP="00171C8A">
            <w:pPr>
              <w:spacing w:after="40"/>
              <w:ind w:left="1735" w:hanging="1735"/>
              <w:rPr>
                <w:sz w:val="20"/>
              </w:rPr>
            </w:pPr>
            <w:r w:rsidRPr="00E77382">
              <w:rPr>
                <w:sz w:val="20"/>
              </w:rPr>
              <w:t>ICOM</w:t>
            </w:r>
            <w:r w:rsidRPr="00526311">
              <w:rPr>
                <w:sz w:val="20"/>
              </w:rPr>
              <w:tab/>
            </w:r>
            <w:r>
              <w:rPr>
                <w:sz w:val="20"/>
              </w:rPr>
              <w:t>Consejo Internacional de Museos</w:t>
            </w:r>
          </w:p>
        </w:tc>
      </w:tr>
      <w:tr w:rsidR="0071404B" w:rsidRPr="00F80D4E" w:rsidTr="002E3193">
        <w:tc>
          <w:tcPr>
            <w:tcW w:w="9498" w:type="dxa"/>
          </w:tcPr>
          <w:p w:rsidR="0071404B" w:rsidRPr="00171C8A" w:rsidRDefault="0071404B" w:rsidP="00171C8A">
            <w:pPr>
              <w:spacing w:after="40"/>
              <w:ind w:left="1735" w:hanging="1735"/>
              <w:rPr>
                <w:sz w:val="20"/>
                <w:lang w:val="en-US"/>
              </w:rPr>
            </w:pPr>
            <w:r w:rsidRPr="00171C8A">
              <w:rPr>
                <w:sz w:val="20"/>
                <w:lang w:val="en-US"/>
              </w:rPr>
              <w:t>I</w:t>
            </w:r>
            <w:r w:rsidR="00171C8A" w:rsidRPr="00171C8A">
              <w:rPr>
                <w:sz w:val="20"/>
                <w:lang w:val="en-US"/>
              </w:rPr>
              <w:t>EEE</w:t>
            </w:r>
            <w:r w:rsidRPr="00171C8A">
              <w:rPr>
                <w:sz w:val="20"/>
                <w:lang w:val="en-US"/>
              </w:rPr>
              <w:tab/>
            </w:r>
            <w:r w:rsidR="00171C8A" w:rsidRPr="00171C8A">
              <w:rPr>
                <w:i/>
                <w:sz w:val="20"/>
                <w:lang w:val="en-US"/>
              </w:rPr>
              <w:t>Institute of Electrical and Electronics Engineers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IGF</w:t>
            </w:r>
            <w:r w:rsidRPr="00526311">
              <w:rPr>
                <w:sz w:val="20"/>
              </w:rPr>
              <w:tab/>
              <w:t>Foro de Gobernanza de Internet</w:t>
            </w:r>
          </w:p>
        </w:tc>
      </w:tr>
      <w:tr w:rsidR="0071404B" w:rsidRPr="00526311" w:rsidTr="002E3193">
        <w:tc>
          <w:tcPr>
            <w:tcW w:w="9498" w:type="dxa"/>
          </w:tcPr>
          <w:p w:rsidR="0071404B" w:rsidRPr="00526311" w:rsidRDefault="0071404B" w:rsidP="00E77382">
            <w:pPr>
              <w:spacing w:after="40"/>
              <w:ind w:left="1735" w:hanging="1735"/>
              <w:rPr>
                <w:sz w:val="20"/>
              </w:rPr>
            </w:pPr>
            <w:r w:rsidRPr="00526311">
              <w:rPr>
                <w:sz w:val="20"/>
              </w:rPr>
              <w:t>I</w:t>
            </w:r>
            <w:r w:rsidR="00E77382">
              <w:rPr>
                <w:sz w:val="20"/>
              </w:rPr>
              <w:t>FRRO</w:t>
            </w:r>
            <w:r w:rsidRPr="00526311">
              <w:rPr>
                <w:sz w:val="20"/>
              </w:rPr>
              <w:tab/>
            </w:r>
            <w:r w:rsidR="00E77382" w:rsidRPr="00E77382">
              <w:rPr>
                <w:sz w:val="20"/>
              </w:rPr>
              <w:t>Federaci</w:t>
            </w:r>
            <w:r w:rsidR="00E77382">
              <w:rPr>
                <w:sz w:val="20"/>
              </w:rPr>
              <w:t>ó</w:t>
            </w:r>
            <w:r w:rsidR="00E77382" w:rsidRPr="00E77382">
              <w:rPr>
                <w:sz w:val="20"/>
              </w:rPr>
              <w:t>n Internacional de Organizaciones de Derechos de Reproducci</w:t>
            </w:r>
            <w:r w:rsidR="00E77382">
              <w:rPr>
                <w:rFonts w:ascii="Tahoma" w:hAnsi="Tahoma" w:cs="Tahoma"/>
                <w:sz w:val="20"/>
              </w:rPr>
              <w:t>ó</w:t>
            </w:r>
            <w:r w:rsidR="00E77382" w:rsidRPr="00E77382">
              <w:rPr>
                <w:sz w:val="20"/>
              </w:rPr>
              <w:t>n</w:t>
            </w:r>
          </w:p>
        </w:tc>
      </w:tr>
      <w:tr w:rsidR="00085356" w:rsidRPr="00526311" w:rsidTr="002E3193">
        <w:tc>
          <w:tcPr>
            <w:tcW w:w="9498" w:type="dxa"/>
          </w:tcPr>
          <w:p w:rsidR="00085356" w:rsidRPr="00526311" w:rsidRDefault="00085356" w:rsidP="002E3193">
            <w:pPr>
              <w:spacing w:after="40"/>
              <w:ind w:left="1735" w:hanging="1735"/>
              <w:rPr>
                <w:sz w:val="20"/>
              </w:rPr>
            </w:pPr>
            <w:r>
              <w:rPr>
                <w:sz w:val="20"/>
              </w:rPr>
              <w:t>IMPI</w:t>
            </w:r>
            <w:r w:rsidRPr="00526311">
              <w:rPr>
                <w:sz w:val="20"/>
              </w:rPr>
              <w:tab/>
            </w:r>
            <w:r>
              <w:rPr>
                <w:sz w:val="20"/>
              </w:rPr>
              <w:t>Instituto Mexicano de la Propiedad Industrial</w:t>
            </w:r>
          </w:p>
        </w:tc>
      </w:tr>
      <w:tr w:rsidR="00085356" w:rsidRPr="00526311" w:rsidTr="002E3193">
        <w:tc>
          <w:tcPr>
            <w:tcW w:w="9498" w:type="dxa"/>
          </w:tcPr>
          <w:p w:rsidR="00085356" w:rsidRPr="00B8059D" w:rsidRDefault="00085356" w:rsidP="00B8059D">
            <w:pPr>
              <w:spacing w:after="40"/>
              <w:ind w:left="1735" w:hanging="1735"/>
              <w:rPr>
                <w:sz w:val="20"/>
              </w:rPr>
            </w:pPr>
            <w:r>
              <w:rPr>
                <w:sz w:val="20"/>
              </w:rPr>
              <w:t>INPI</w:t>
            </w:r>
            <w:r w:rsidRPr="00526311">
              <w:rPr>
                <w:sz w:val="20"/>
              </w:rPr>
              <w:tab/>
            </w:r>
            <w:r w:rsidR="00B8059D" w:rsidRPr="00B8059D">
              <w:rPr>
                <w:i/>
                <w:sz w:val="20"/>
              </w:rPr>
              <w:t>Instituto Nacional da Propiedade Industrial</w:t>
            </w:r>
            <w:r w:rsidR="00B8059D">
              <w:rPr>
                <w:sz w:val="20"/>
              </w:rPr>
              <w:t xml:space="preserve"> (Brasil)</w:t>
            </w:r>
          </w:p>
        </w:tc>
      </w:tr>
      <w:tr w:rsidR="00085356" w:rsidRPr="00526311" w:rsidTr="002E3193">
        <w:tc>
          <w:tcPr>
            <w:tcW w:w="9498" w:type="dxa"/>
          </w:tcPr>
          <w:p w:rsidR="00085356" w:rsidRPr="00526311" w:rsidRDefault="00085356" w:rsidP="002E3193">
            <w:pPr>
              <w:spacing w:after="40"/>
              <w:ind w:left="1735" w:hanging="1735"/>
              <w:rPr>
                <w:sz w:val="20"/>
              </w:rPr>
            </w:pPr>
            <w:r>
              <w:rPr>
                <w:sz w:val="20"/>
              </w:rPr>
              <w:t>INPI</w:t>
            </w:r>
            <w:r w:rsidRPr="00526311">
              <w:rPr>
                <w:sz w:val="20"/>
              </w:rPr>
              <w:tab/>
            </w:r>
            <w:r w:rsidR="00B8059D">
              <w:rPr>
                <w:sz w:val="20"/>
              </w:rPr>
              <w:t>Instituto Nacional de la Propiedad Industrial (Argentina)</w:t>
            </w:r>
          </w:p>
        </w:tc>
      </w:tr>
      <w:tr w:rsidR="00085356" w:rsidRPr="00526311" w:rsidTr="002E3193">
        <w:tc>
          <w:tcPr>
            <w:tcW w:w="9498" w:type="dxa"/>
          </w:tcPr>
          <w:p w:rsidR="00085356" w:rsidRPr="00526311" w:rsidRDefault="00085356" w:rsidP="002E3193">
            <w:pPr>
              <w:spacing w:after="40"/>
              <w:ind w:left="1735" w:hanging="1735"/>
              <w:rPr>
                <w:sz w:val="20"/>
              </w:rPr>
            </w:pPr>
            <w:r>
              <w:rPr>
                <w:sz w:val="20"/>
              </w:rPr>
              <w:t>INPI</w:t>
            </w:r>
            <w:r w:rsidRPr="00526311">
              <w:rPr>
                <w:sz w:val="20"/>
              </w:rPr>
              <w:tab/>
            </w:r>
            <w:r w:rsidR="00B8059D">
              <w:rPr>
                <w:sz w:val="20"/>
              </w:rPr>
              <w:t>Instituto Nacional de la Propiedad Industrial (Francia)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IPAS</w:t>
            </w:r>
            <w:r w:rsidRPr="00526311">
              <w:rPr>
                <w:sz w:val="20"/>
              </w:rPr>
              <w:tab/>
              <w:t>Sistema de Automatización para las Oficinas de P.I.</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IPSAS</w:t>
            </w:r>
            <w:r w:rsidRPr="00526311">
              <w:rPr>
                <w:sz w:val="20"/>
              </w:rPr>
              <w:tab/>
              <w:t>Normas Internacionales de Contabilidad del Sector Público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IP-TAD</w:t>
            </w:r>
            <w:r w:rsidRPr="00526311">
              <w:rPr>
                <w:sz w:val="20"/>
              </w:rPr>
              <w:tab/>
              <w:t xml:space="preserve">Base de datos de asistencia técnica en materia de P.I. </w:t>
            </w:r>
          </w:p>
        </w:tc>
      </w:tr>
      <w:tr w:rsidR="0071404B" w:rsidRPr="00526311" w:rsidTr="002E3193">
        <w:tc>
          <w:tcPr>
            <w:tcW w:w="9498" w:type="dxa"/>
          </w:tcPr>
          <w:p w:rsidR="00085356" w:rsidRDefault="00085356" w:rsidP="002E3193">
            <w:pPr>
              <w:spacing w:after="40"/>
              <w:ind w:left="1735" w:hanging="1735"/>
              <w:rPr>
                <w:sz w:val="20"/>
              </w:rPr>
            </w:pPr>
            <w:r w:rsidRPr="00085356">
              <w:rPr>
                <w:sz w:val="20"/>
              </w:rPr>
              <w:t>ITPGRFA</w:t>
            </w:r>
            <w:r w:rsidRPr="00085356">
              <w:rPr>
                <w:sz w:val="20"/>
              </w:rPr>
              <w:tab/>
              <w:t>Tratado Internacional sobre los Recursos Fitogenéticos para la Alimentación y la Agricultura</w:t>
            </w:r>
          </w:p>
          <w:p w:rsidR="0071404B" w:rsidRPr="00526311" w:rsidRDefault="00085356" w:rsidP="002E3193">
            <w:pPr>
              <w:spacing w:after="40"/>
              <w:ind w:left="1735" w:hanging="1735"/>
              <w:rPr>
                <w:sz w:val="20"/>
              </w:rPr>
            </w:pPr>
            <w:r w:rsidRPr="00085356">
              <w:rPr>
                <w:sz w:val="20"/>
              </w:rPr>
              <w:t>I+D</w:t>
            </w:r>
            <w:r w:rsidRPr="00085356">
              <w:rPr>
                <w:sz w:val="20"/>
              </w:rPr>
              <w:tab/>
              <w:t>Investigación y desarrollo</w:t>
            </w:r>
          </w:p>
        </w:tc>
      </w:tr>
      <w:tr w:rsidR="00085356" w:rsidRPr="00526311" w:rsidTr="002E3193">
        <w:tc>
          <w:tcPr>
            <w:tcW w:w="9498" w:type="dxa"/>
          </w:tcPr>
          <w:p w:rsidR="00085356" w:rsidRPr="00085356" w:rsidRDefault="00085356" w:rsidP="002E3193">
            <w:pPr>
              <w:spacing w:after="40"/>
              <w:ind w:left="1735" w:hanging="1735"/>
              <w:rPr>
                <w:sz w:val="20"/>
              </w:rPr>
            </w:pPr>
          </w:p>
        </w:tc>
      </w:tr>
      <w:tr w:rsidR="0071404B" w:rsidRPr="00526311" w:rsidTr="002E3193">
        <w:tc>
          <w:tcPr>
            <w:tcW w:w="9498" w:type="dxa"/>
          </w:tcPr>
          <w:p w:rsidR="0071404B" w:rsidRDefault="0071404B" w:rsidP="002E3193">
            <w:pPr>
              <w:spacing w:after="40"/>
              <w:ind w:left="1735" w:hanging="1735"/>
              <w:rPr>
                <w:sz w:val="20"/>
              </w:rPr>
            </w:pPr>
            <w:r w:rsidRPr="00526311">
              <w:rPr>
                <w:b/>
                <w:sz w:val="20"/>
              </w:rPr>
              <w:t>J</w:t>
            </w:r>
            <w:r w:rsidRPr="00526311">
              <w:rPr>
                <w:sz w:val="20"/>
              </w:rPr>
              <w:t>JE</w:t>
            </w:r>
            <w:r w:rsidRPr="00526311">
              <w:rPr>
                <w:sz w:val="20"/>
              </w:rPr>
              <w:tab/>
              <w:t>Junta de los Jefes Ejecutivos del Sistema de las Naciones Unidas para la Coordinación</w:t>
            </w:r>
          </w:p>
          <w:p w:rsidR="00E77382" w:rsidRPr="00526311" w:rsidRDefault="00E77382" w:rsidP="002E3193">
            <w:pPr>
              <w:spacing w:after="40"/>
              <w:ind w:left="1735" w:hanging="1735"/>
              <w:rPr>
                <w:sz w:val="20"/>
              </w:rPr>
            </w:pPr>
          </w:p>
        </w:tc>
      </w:tr>
      <w:tr w:rsidR="00171C8A" w:rsidRPr="00526311" w:rsidTr="002E3193">
        <w:tc>
          <w:tcPr>
            <w:tcW w:w="9498" w:type="dxa"/>
          </w:tcPr>
          <w:p w:rsidR="00171C8A" w:rsidRPr="00526311" w:rsidRDefault="00171C8A" w:rsidP="002E3193">
            <w:pPr>
              <w:spacing w:after="40"/>
              <w:ind w:left="1735" w:hanging="1735"/>
              <w:rPr>
                <w:sz w:val="20"/>
              </w:rPr>
            </w:pPr>
            <w:r w:rsidRPr="00E77382">
              <w:rPr>
                <w:b/>
                <w:sz w:val="20"/>
              </w:rPr>
              <w:t>K</w:t>
            </w:r>
            <w:r>
              <w:rPr>
                <w:sz w:val="20"/>
              </w:rPr>
              <w:t>CC</w:t>
            </w:r>
            <w:r w:rsidRPr="00526311">
              <w:rPr>
                <w:sz w:val="20"/>
              </w:rPr>
              <w:tab/>
            </w:r>
            <w:r>
              <w:rPr>
                <w:sz w:val="20"/>
              </w:rPr>
              <w:t>Comisión de Derecho de Autor de la República de Corea</w:t>
            </w:r>
          </w:p>
        </w:tc>
      </w:tr>
      <w:tr w:rsidR="00E77382" w:rsidRPr="00E77382" w:rsidTr="002E3193">
        <w:tc>
          <w:tcPr>
            <w:tcW w:w="9498" w:type="dxa"/>
          </w:tcPr>
          <w:p w:rsidR="00E77382" w:rsidRPr="00E77382" w:rsidRDefault="00E77382" w:rsidP="002E3193">
            <w:pPr>
              <w:spacing w:after="40"/>
              <w:ind w:left="1735" w:hanging="1735"/>
              <w:rPr>
                <w:sz w:val="20"/>
              </w:rPr>
            </w:pPr>
            <w:r w:rsidRPr="00E77382">
              <w:rPr>
                <w:sz w:val="20"/>
              </w:rPr>
              <w:t>KIPO</w:t>
            </w:r>
            <w:r w:rsidRPr="00526311">
              <w:rPr>
                <w:sz w:val="20"/>
              </w:rPr>
              <w:tab/>
            </w:r>
            <w:r>
              <w:rPr>
                <w:sz w:val="20"/>
              </w:rPr>
              <w:t>Oficina Surcoreana de Propiedad Intelectual</w:t>
            </w:r>
          </w:p>
        </w:tc>
      </w:tr>
      <w:tr w:rsidR="00171C8A" w:rsidRPr="00F80D4E" w:rsidTr="002E3193">
        <w:tc>
          <w:tcPr>
            <w:tcW w:w="9498" w:type="dxa"/>
          </w:tcPr>
          <w:p w:rsidR="00171C8A" w:rsidRPr="00E77382" w:rsidRDefault="00171C8A" w:rsidP="002E3193">
            <w:pPr>
              <w:spacing w:after="40"/>
              <w:ind w:left="1735" w:hanging="1735"/>
              <w:rPr>
                <w:i/>
                <w:sz w:val="20"/>
                <w:lang w:val="en-US"/>
              </w:rPr>
            </w:pPr>
            <w:r w:rsidRPr="00E77382">
              <w:rPr>
                <w:sz w:val="20"/>
                <w:lang w:val="en-US"/>
              </w:rPr>
              <w:t>KOCCA</w:t>
            </w:r>
            <w:r w:rsidRPr="00E77382">
              <w:rPr>
                <w:sz w:val="20"/>
                <w:lang w:val="en-US"/>
              </w:rPr>
              <w:tab/>
            </w:r>
            <w:r w:rsidR="00E77382" w:rsidRPr="00E77382">
              <w:rPr>
                <w:i/>
                <w:sz w:val="20"/>
                <w:lang w:val="en-US"/>
              </w:rPr>
              <w:t>Korea Creative Content Agency</w:t>
            </w:r>
          </w:p>
        </w:tc>
      </w:tr>
      <w:tr w:rsidR="0071404B" w:rsidRPr="00F80D4E" w:rsidTr="002E3193">
        <w:tc>
          <w:tcPr>
            <w:tcW w:w="9498" w:type="dxa"/>
          </w:tcPr>
          <w:p w:rsidR="0071404B" w:rsidRPr="00E77382" w:rsidRDefault="0071404B" w:rsidP="002E3193">
            <w:pPr>
              <w:spacing w:after="40"/>
              <w:ind w:left="1735" w:hanging="1735"/>
              <w:rPr>
                <w:sz w:val="20"/>
                <w:lang w:val="en-US"/>
              </w:rPr>
            </w:pPr>
          </w:p>
        </w:tc>
      </w:tr>
      <w:tr w:rsidR="0071404B" w:rsidRPr="00526311" w:rsidTr="002E3193">
        <w:tc>
          <w:tcPr>
            <w:tcW w:w="9498" w:type="dxa"/>
          </w:tcPr>
          <w:p w:rsidR="0071404B" w:rsidRPr="00526311" w:rsidRDefault="0071404B" w:rsidP="00E77382">
            <w:pPr>
              <w:spacing w:after="40"/>
              <w:ind w:left="1735" w:hanging="1735"/>
              <w:rPr>
                <w:sz w:val="20"/>
              </w:rPr>
            </w:pPr>
            <w:r w:rsidRPr="00526311">
              <w:rPr>
                <w:b/>
                <w:sz w:val="20"/>
              </w:rPr>
              <w:t>M</w:t>
            </w:r>
            <w:r w:rsidR="00E77382">
              <w:rPr>
                <w:sz w:val="20"/>
              </w:rPr>
              <w:t>i</w:t>
            </w:r>
            <w:r w:rsidR="00E77382" w:rsidRPr="00E77382">
              <w:rPr>
                <w:sz w:val="20"/>
              </w:rPr>
              <w:t>p</w:t>
            </w:r>
            <w:r w:rsidR="00E77382">
              <w:rPr>
                <w:sz w:val="20"/>
              </w:rPr>
              <w:t>y</w:t>
            </w:r>
            <w:r w:rsidR="00E77382" w:rsidRPr="00E77382">
              <w:rPr>
                <w:sz w:val="20"/>
              </w:rPr>
              <w:t>mes</w:t>
            </w:r>
            <w:r w:rsidRPr="00526311">
              <w:rPr>
                <w:sz w:val="20"/>
              </w:rPr>
              <w:tab/>
            </w:r>
            <w:r w:rsidR="00E77382">
              <w:rPr>
                <w:sz w:val="20"/>
              </w:rPr>
              <w:t>Micro, pequeñas y medianas empresas</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N</w:t>
            </w:r>
            <w:r w:rsidRPr="00526311">
              <w:rPr>
                <w:sz w:val="20"/>
              </w:rPr>
              <w:t>N.UU.</w:t>
            </w:r>
            <w:r w:rsidRPr="00526311">
              <w:rPr>
                <w:sz w:val="20"/>
              </w:rPr>
              <w:tab/>
              <w:t>Naciones Unidas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NPO</w:t>
            </w:r>
            <w:r w:rsidRPr="00526311">
              <w:rPr>
                <w:sz w:val="20"/>
              </w:rPr>
              <w:tab/>
              <w:t xml:space="preserve">Funcionario nacional profesional </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O</w:t>
            </w:r>
            <w:r w:rsidRPr="00526311">
              <w:rPr>
                <w:sz w:val="20"/>
              </w:rPr>
              <w:t>AMI</w:t>
            </w:r>
            <w:r w:rsidRPr="00526311">
              <w:rPr>
                <w:sz w:val="20"/>
              </w:rPr>
              <w:tab/>
              <w:t>Oficina de Armonización del Mercado Interior (Marca Comunitaria)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OAPI</w:t>
            </w:r>
            <w:r w:rsidRPr="00526311">
              <w:rPr>
                <w:sz w:val="20"/>
              </w:rPr>
              <w:tab/>
              <w:t>Organización Africana de la Propiedad Intelectual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OCDE</w:t>
            </w:r>
            <w:r w:rsidRPr="00526311">
              <w:rPr>
                <w:sz w:val="20"/>
              </w:rPr>
              <w:tab/>
              <w:t>Organización de Cooperación y Desarrollo Económicos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ODM</w:t>
            </w:r>
            <w:r w:rsidRPr="00526311">
              <w:rPr>
                <w:sz w:val="20"/>
              </w:rPr>
              <w:tab/>
              <w:t>Objetivos de Desarrollo del Milenio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OEP</w:t>
            </w:r>
            <w:r w:rsidRPr="00526311">
              <w:rPr>
                <w:sz w:val="20"/>
              </w:rPr>
              <w:tab/>
              <w:t>Oficina Europea de Patentes</w:t>
            </w:r>
          </w:p>
        </w:tc>
      </w:tr>
      <w:tr w:rsidR="00E77382" w:rsidRPr="00526311" w:rsidTr="002E3193">
        <w:tc>
          <w:tcPr>
            <w:tcW w:w="9498" w:type="dxa"/>
          </w:tcPr>
          <w:p w:rsidR="00E77382" w:rsidRPr="00526311" w:rsidRDefault="00E77382" w:rsidP="002E3193">
            <w:pPr>
              <w:spacing w:after="40"/>
              <w:ind w:left="1735" w:hanging="1735"/>
              <w:rPr>
                <w:sz w:val="20"/>
              </w:rPr>
            </w:pPr>
            <w:r>
              <w:rPr>
                <w:sz w:val="20"/>
              </w:rPr>
              <w:lastRenderedPageBreak/>
              <w:t>OEPM</w:t>
            </w:r>
            <w:r w:rsidRPr="00526311">
              <w:rPr>
                <w:sz w:val="20"/>
              </w:rPr>
              <w:tab/>
            </w:r>
            <w:r>
              <w:rPr>
                <w:sz w:val="20"/>
              </w:rPr>
              <w:t>Oficina Española de Patentes y Marcas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OGC</w:t>
            </w:r>
            <w:r w:rsidRPr="00526311">
              <w:rPr>
                <w:sz w:val="20"/>
              </w:rPr>
              <w:tab/>
              <w:t>Organismos de gestión colectiva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OIG</w:t>
            </w:r>
            <w:r w:rsidRPr="00526311">
              <w:rPr>
                <w:sz w:val="20"/>
              </w:rPr>
              <w:tab/>
              <w:t>Organizaciones intergubernamentales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OIC</w:t>
            </w:r>
            <w:r w:rsidRPr="00526311">
              <w:rPr>
                <w:sz w:val="20"/>
              </w:rPr>
              <w:tab/>
              <w:t>Organización de Cooperación Islámica</w:t>
            </w:r>
          </w:p>
        </w:tc>
      </w:tr>
      <w:tr w:rsidR="0071404B" w:rsidRPr="00F80D4E" w:rsidTr="002E3193">
        <w:tc>
          <w:tcPr>
            <w:tcW w:w="9498" w:type="dxa"/>
          </w:tcPr>
          <w:p w:rsidR="0071404B" w:rsidRPr="00485CF4" w:rsidRDefault="0071404B" w:rsidP="002E3193">
            <w:pPr>
              <w:spacing w:after="40"/>
              <w:ind w:left="1735" w:hanging="1735"/>
              <w:rPr>
                <w:sz w:val="20"/>
                <w:lang w:val="fr-FR"/>
              </w:rPr>
            </w:pPr>
            <w:r w:rsidRPr="00485CF4">
              <w:rPr>
                <w:sz w:val="20"/>
                <w:lang w:val="fr-FR"/>
              </w:rPr>
              <w:t>OIF</w:t>
            </w:r>
            <w:r w:rsidRPr="00485CF4">
              <w:rPr>
                <w:sz w:val="20"/>
                <w:lang w:val="fr-FR"/>
              </w:rPr>
              <w:tab/>
            </w:r>
            <w:r w:rsidRPr="00485CF4">
              <w:rPr>
                <w:i/>
                <w:sz w:val="20"/>
                <w:lang w:val="fr-FR"/>
              </w:rPr>
              <w:t>Organisation Internationale de la Francophonie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OIT</w:t>
            </w:r>
            <w:r w:rsidRPr="00526311">
              <w:rPr>
                <w:sz w:val="20"/>
              </w:rPr>
              <w:tab/>
              <w:t>Organización Internacional del Trabajo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OMC</w:t>
            </w:r>
            <w:r w:rsidRPr="00526311">
              <w:rPr>
                <w:sz w:val="20"/>
              </w:rPr>
              <w:tab/>
              <w:t xml:space="preserve">Organización Mundial del Comercio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OMS</w:t>
            </w:r>
            <w:r w:rsidRPr="00526311">
              <w:rPr>
                <w:sz w:val="20"/>
              </w:rPr>
              <w:tab/>
              <w:t>Organización Mundial de la Salud</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ONG</w:t>
            </w:r>
            <w:r w:rsidRPr="00526311">
              <w:rPr>
                <w:sz w:val="20"/>
              </w:rPr>
              <w:tab/>
              <w:t>Organizaciones no gubernamentales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ONUDI</w:t>
            </w:r>
            <w:r w:rsidRPr="00526311">
              <w:rPr>
                <w:sz w:val="20"/>
              </w:rPr>
              <w:tab/>
              <w:t>Organización de las Naciones Unidas para el Desarrollo Industrial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OOB</w:t>
            </w:r>
            <w:r w:rsidRPr="00526311">
              <w:rPr>
                <w:sz w:val="20"/>
              </w:rPr>
              <w:tab/>
              <w:t>Oficina de la OMPI en el Brasil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OOJ</w:t>
            </w:r>
            <w:r w:rsidRPr="00526311">
              <w:rPr>
                <w:sz w:val="20"/>
              </w:rPr>
              <w:tab/>
              <w:t>Oficina de la OMPI en el Japón</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OOS</w:t>
            </w:r>
            <w:r w:rsidRPr="00526311">
              <w:rPr>
                <w:sz w:val="20"/>
              </w:rPr>
              <w:tab/>
              <w:t>Oficina de la OMPI en Singapur</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OPD</w:t>
            </w:r>
            <w:r w:rsidRPr="00526311">
              <w:rPr>
                <w:sz w:val="20"/>
              </w:rPr>
              <w:tab/>
              <w:t xml:space="preserve">Sistema </w:t>
            </w:r>
            <w:r w:rsidRPr="00526311">
              <w:rPr>
                <w:i/>
                <w:sz w:val="20"/>
              </w:rPr>
              <w:t>One Portal Dossier</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OPI</w:t>
            </w:r>
            <w:r w:rsidRPr="00526311">
              <w:rPr>
                <w:sz w:val="20"/>
              </w:rPr>
              <w:tab/>
              <w:t>Oficina(s) de propiedad intelectual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OTT</w:t>
            </w:r>
            <w:r w:rsidRPr="00526311">
              <w:rPr>
                <w:sz w:val="20"/>
              </w:rPr>
              <w:tab/>
              <w:t>Oficina de transferencia de tecnología</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P</w:t>
            </w:r>
            <w:r w:rsidRPr="00526311">
              <w:rPr>
                <w:sz w:val="20"/>
              </w:rPr>
              <w:t>AE</w:t>
            </w:r>
            <w:r w:rsidRPr="00526311">
              <w:rPr>
                <w:sz w:val="20"/>
              </w:rPr>
              <w:tab/>
              <w:t>Programa de Alineación Estratégica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P.I.</w:t>
            </w:r>
            <w:r w:rsidRPr="00526311">
              <w:rPr>
                <w:sz w:val="20"/>
              </w:rPr>
              <w:tab/>
              <w:t>Propiedad intelectual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PCT</w:t>
            </w:r>
            <w:r w:rsidRPr="00526311">
              <w:rPr>
                <w:sz w:val="20"/>
              </w:rPr>
              <w:tab/>
              <w:t>Tratado de Cooperación en materia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PEMP</w:t>
            </w:r>
            <w:r w:rsidRPr="00526311">
              <w:rPr>
                <w:sz w:val="20"/>
              </w:rPr>
              <w:tab/>
              <w:t>Plan Estratégico a Mediano Plazo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PLT</w:t>
            </w:r>
            <w:r w:rsidRPr="00526311">
              <w:rPr>
                <w:sz w:val="20"/>
              </w:rPr>
              <w:tab/>
              <w:t>Tratado sobre el Derecho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PMA</w:t>
            </w:r>
            <w:r w:rsidRPr="00526311">
              <w:rPr>
                <w:sz w:val="20"/>
              </w:rPr>
              <w:tab/>
              <w:t>País menos adelantado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PMSDS</w:t>
            </w:r>
            <w:r w:rsidRPr="00526311">
              <w:rPr>
                <w:sz w:val="20"/>
              </w:rPr>
              <w:tab/>
              <w:t>Sistema de Gestión del Desempeño y el Perfeccionamiento del Personal</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noProof/>
                <w:sz w:val="20"/>
                <w:lang w:val="en-US" w:eastAsia="en-US"/>
              </w:rPr>
              <mc:AlternateContent>
                <mc:Choice Requires="wps">
                  <w:drawing>
                    <wp:anchor distT="0" distB="0" distL="114300" distR="114300" simplePos="0" relativeHeight="251659264" behindDoc="0" locked="0" layoutInCell="0" allowOverlap="1" wp14:anchorId="2FD2D881" wp14:editId="46C88B5A">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8F093A" w:rsidRDefault="008F093A" w:rsidP="0071404B">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166.85pt;margin-top:6.55pt;width:57.6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H1/6misCAABUBAAADgAAAAAAAAAAAAAAAAAuAgAA&#10;ZHJzL2Uyb0RvYy54bWxQSwECLQAUAAYACAAAACEAJFH4yOIAAAAMAQAADwAAAAAAAAAAAAAAAACF&#10;BAAAZHJzL2Rvd25yZXYueG1sUEsFBgAAAAAEAAQA8wAAAJQFAAAAAA==&#10;" o:allowincell="f">
                      <v:textbox>
                        <w:txbxContent>
                          <w:p w:rsidR="008F093A" w:rsidRDefault="008F093A" w:rsidP="0071404B">
                            <w:pPr>
                              <w:pStyle w:val="BodyText2"/>
                            </w:pPr>
                          </w:p>
                        </w:txbxContent>
                      </v:textbox>
                    </v:shape>
                  </w:pict>
                </mc:Fallback>
              </mc:AlternateContent>
            </w:r>
            <w:r w:rsidRPr="00526311">
              <w:rPr>
                <w:sz w:val="20"/>
              </w:rPr>
              <w:t>PNUMA</w:t>
            </w:r>
            <w:r w:rsidRPr="00526311">
              <w:rPr>
                <w:sz w:val="20"/>
              </w:rPr>
              <w:tab/>
              <w:t>Programa de las Naciones Unidas para el Medio Ambiente</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Política Uniforme</w:t>
            </w:r>
            <w:r w:rsidRPr="00526311">
              <w:rPr>
                <w:sz w:val="20"/>
              </w:rPr>
              <w:tab/>
              <w:t>Política Uniforme de Solución de Controversias en materia de Nombres de Dominio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PRI</w:t>
            </w:r>
            <w:r w:rsidRPr="00526311">
              <w:rPr>
                <w:sz w:val="20"/>
              </w:rPr>
              <w:tab/>
              <w:t>Planificación de los recursos institucionales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Pymes</w:t>
            </w:r>
            <w:r w:rsidRPr="00526311">
              <w:rPr>
                <w:sz w:val="20"/>
              </w:rPr>
              <w:tab/>
              <w:t>Pequeñas y medianas empresas</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R</w:t>
            </w:r>
            <w:r w:rsidRPr="00526311">
              <w:rPr>
                <w:sz w:val="20"/>
              </w:rPr>
              <w:t>O</w:t>
            </w:r>
            <w:r w:rsidRPr="00526311">
              <w:rPr>
                <w:sz w:val="20"/>
              </w:rPr>
              <w:tab/>
              <w:t>Oficina receptora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RR.GG.</w:t>
            </w:r>
            <w:r w:rsidRPr="00526311">
              <w:rPr>
                <w:sz w:val="20"/>
              </w:rPr>
              <w:tab/>
              <w:t>Recursos genéticos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RR.HH.</w:t>
            </w:r>
            <w:r w:rsidRPr="00526311">
              <w:rPr>
                <w:sz w:val="20"/>
              </w:rPr>
              <w:tab/>
              <w:t>Recursos humanos</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S</w:t>
            </w:r>
            <w:r w:rsidRPr="00526311">
              <w:rPr>
                <w:sz w:val="20"/>
              </w:rPr>
              <w:t>CCR</w:t>
            </w:r>
            <w:r w:rsidRPr="00526311">
              <w:rPr>
                <w:sz w:val="20"/>
              </w:rPr>
              <w:tab/>
              <w:t>Comité Permanente de Derecho de Autor y Derechos Conexos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SCP</w:t>
            </w:r>
            <w:r w:rsidRPr="00526311">
              <w:rPr>
                <w:sz w:val="20"/>
              </w:rPr>
              <w:tab/>
              <w:t>Comité Permanente sobre el Derecho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SCT</w:t>
            </w:r>
            <w:r w:rsidRPr="00526311">
              <w:rPr>
                <w:sz w:val="20"/>
              </w:rPr>
              <w:tab/>
              <w:t>Comité Permanente sobre el Derecho Marcas, Diseños Industriales e Indicaciones Geográficas</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ED0448">
              <w:rPr>
                <w:b/>
                <w:sz w:val="20"/>
              </w:rPr>
              <w:t>T</w:t>
            </w:r>
            <w:r w:rsidRPr="00526311">
              <w:rPr>
                <w:sz w:val="20"/>
              </w:rPr>
              <w:t>APTA</w:t>
            </w:r>
            <w:r w:rsidRPr="00526311">
              <w:rPr>
                <w:sz w:val="20"/>
              </w:rPr>
              <w:tab/>
              <w:t xml:space="preserve">Auxiliar para la traducción de títulos y resúmenes de patentes (siglas del inglés </w:t>
            </w:r>
            <w:r w:rsidRPr="00526311">
              <w:rPr>
                <w:i/>
                <w:sz w:val="20"/>
              </w:rPr>
              <w:t>Translation Assistant for Patent Titles and Abstracts</w:t>
            </w:r>
            <w:r w:rsidRPr="00526311">
              <w:rPr>
                <w:sz w:val="20"/>
              </w:rPr>
              <w:t xml:space="preserve">)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TIC</w:t>
            </w:r>
            <w:r w:rsidRPr="00526311">
              <w:rPr>
                <w:sz w:val="20"/>
              </w:rPr>
              <w:tab/>
              <w:t xml:space="preserve">Tecnologías de la Información y las Comunicaciones </w:t>
            </w:r>
          </w:p>
        </w:tc>
      </w:tr>
      <w:tr w:rsidR="0071404B" w:rsidRPr="00F80D4E" w:rsidTr="002E3193">
        <w:tc>
          <w:tcPr>
            <w:tcW w:w="9498" w:type="dxa"/>
          </w:tcPr>
          <w:p w:rsidR="0071404B" w:rsidRPr="00485CF4" w:rsidRDefault="0071404B" w:rsidP="002E3193">
            <w:pPr>
              <w:spacing w:after="40"/>
              <w:ind w:left="1735" w:hanging="1735"/>
              <w:rPr>
                <w:sz w:val="20"/>
                <w:lang w:val="en-US"/>
              </w:rPr>
            </w:pPr>
            <w:r w:rsidRPr="00485CF4">
              <w:rPr>
                <w:sz w:val="20"/>
                <w:lang w:val="en-US"/>
              </w:rPr>
              <w:t>TIGAR</w:t>
            </w:r>
            <w:r w:rsidRPr="00485CF4">
              <w:rPr>
                <w:sz w:val="20"/>
                <w:lang w:val="en-US"/>
              </w:rPr>
              <w:tab/>
            </w:r>
            <w:r w:rsidRPr="00485CF4">
              <w:rPr>
                <w:i/>
                <w:sz w:val="20"/>
                <w:lang w:val="en-US"/>
              </w:rPr>
              <w:t>Trusted Intermediary Global Accessible Resources</w:t>
            </w:r>
          </w:p>
        </w:tc>
      </w:tr>
      <w:tr w:rsidR="00085356" w:rsidRPr="00085356" w:rsidTr="002E3193">
        <w:tc>
          <w:tcPr>
            <w:tcW w:w="9498" w:type="dxa"/>
          </w:tcPr>
          <w:p w:rsidR="00085356" w:rsidRPr="00085356" w:rsidRDefault="00085356" w:rsidP="002E3193">
            <w:pPr>
              <w:spacing w:after="40"/>
              <w:ind w:left="1735" w:hanging="1735"/>
              <w:rPr>
                <w:sz w:val="20"/>
              </w:rPr>
            </w:pPr>
            <w:r w:rsidRPr="00085356">
              <w:rPr>
                <w:sz w:val="20"/>
              </w:rPr>
              <w:t>T.I.</w:t>
            </w:r>
            <w:r w:rsidRPr="00085356">
              <w:rPr>
                <w:sz w:val="20"/>
              </w:rPr>
              <w:tab/>
              <w:t>Tecnologías de la información</w:t>
            </w:r>
          </w:p>
        </w:tc>
      </w:tr>
      <w:tr w:rsidR="0071404B" w:rsidRPr="00085356" w:rsidTr="002E3193">
        <w:tc>
          <w:tcPr>
            <w:tcW w:w="9498" w:type="dxa"/>
          </w:tcPr>
          <w:p w:rsidR="0071404B" w:rsidRPr="00085356"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U</w:t>
            </w:r>
            <w:r w:rsidRPr="00526311">
              <w:rPr>
                <w:sz w:val="20"/>
              </w:rPr>
              <w:t>E</w:t>
            </w:r>
            <w:r w:rsidRPr="00526311">
              <w:rPr>
                <w:sz w:val="20"/>
              </w:rPr>
              <w:tab/>
              <w:t xml:space="preserve">Unión Europea </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UIT</w:t>
            </w:r>
            <w:r w:rsidRPr="00526311">
              <w:rPr>
                <w:sz w:val="20"/>
              </w:rPr>
              <w:tab/>
              <w:t>Unión Internacional de Telecomunicaciones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UNCTAD</w:t>
            </w:r>
            <w:r w:rsidRPr="00526311">
              <w:rPr>
                <w:sz w:val="20"/>
              </w:rPr>
              <w:tab/>
              <w:t>Conferencia de las Naciones Unidas sobre Comercio y Desarrollo</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UNESCO</w:t>
            </w:r>
            <w:r w:rsidRPr="00526311">
              <w:rPr>
                <w:sz w:val="20"/>
              </w:rPr>
              <w:tab/>
              <w:t>Organización de las Naciones Unidas para la Educación, la Ciencia y la Cultura</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USPTO</w:t>
            </w:r>
            <w:r w:rsidRPr="00526311">
              <w:rPr>
                <w:sz w:val="20"/>
              </w:rPr>
              <w:tab/>
              <w:t>Oficina de Patentes y Marcas de los Estados Unidos de América</w:t>
            </w:r>
          </w:p>
        </w:tc>
      </w:tr>
      <w:tr w:rsidR="0071404B" w:rsidRPr="00526311" w:rsidTr="002E3193">
        <w:tc>
          <w:tcPr>
            <w:tcW w:w="9498" w:type="dxa"/>
          </w:tcPr>
          <w:p w:rsidR="0071404B" w:rsidRPr="00526311" w:rsidRDefault="0071404B" w:rsidP="002E3193">
            <w:pPr>
              <w:spacing w:after="40"/>
              <w:ind w:left="1735" w:hanging="1735"/>
              <w:rPr>
                <w:sz w:val="20"/>
              </w:rPr>
            </w:pPr>
          </w:p>
        </w:tc>
      </w:tr>
      <w:tr w:rsidR="0071404B" w:rsidRPr="00526311" w:rsidTr="002E3193">
        <w:tc>
          <w:tcPr>
            <w:tcW w:w="9498" w:type="dxa"/>
          </w:tcPr>
          <w:p w:rsidR="0071404B" w:rsidRPr="00526311" w:rsidRDefault="0071404B" w:rsidP="002E3193">
            <w:pPr>
              <w:spacing w:after="40"/>
              <w:ind w:left="1735" w:hanging="1735"/>
              <w:rPr>
                <w:sz w:val="20"/>
              </w:rPr>
            </w:pPr>
            <w:r w:rsidRPr="00526311">
              <w:rPr>
                <w:b/>
                <w:sz w:val="20"/>
              </w:rPr>
              <w:t>W</w:t>
            </w:r>
            <w:r w:rsidRPr="00526311">
              <w:rPr>
                <w:sz w:val="20"/>
              </w:rPr>
              <w:t>CC</w:t>
            </w:r>
            <w:r w:rsidRPr="00526311">
              <w:rPr>
                <w:sz w:val="20"/>
              </w:rPr>
              <w:tab/>
            </w:r>
            <w:r w:rsidRPr="00526311">
              <w:rPr>
                <w:i/>
                <w:sz w:val="20"/>
              </w:rPr>
              <w:t>WIPO Copyright Connection</w:t>
            </w:r>
            <w:r w:rsidRPr="00526311">
              <w:rPr>
                <w:sz w:val="20"/>
              </w:rPr>
              <w:t xml:space="preserve"> (Conexión de Derecho de Autor de la OMPI)</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WCT</w:t>
            </w:r>
            <w:r w:rsidRPr="00526311">
              <w:rPr>
                <w:sz w:val="20"/>
              </w:rPr>
              <w:tab/>
              <w:t>Tratado de la OMPI sobre Derecho de Autor</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lastRenderedPageBreak/>
              <w:t>WINS</w:t>
            </w:r>
            <w:r w:rsidRPr="00526311">
              <w:rPr>
                <w:sz w:val="20"/>
              </w:rPr>
              <w:tab/>
              <w:t>Sistema de la OMPI de notificación de consultas</w:t>
            </w:r>
          </w:p>
        </w:tc>
      </w:tr>
      <w:tr w:rsidR="0071404B" w:rsidRPr="00526311" w:rsidTr="002E3193">
        <w:tc>
          <w:tcPr>
            <w:tcW w:w="9498" w:type="dxa"/>
          </w:tcPr>
          <w:p w:rsidR="0071404B" w:rsidRPr="00526311" w:rsidRDefault="0071404B" w:rsidP="00B8059D">
            <w:pPr>
              <w:keepNext/>
              <w:keepLines/>
              <w:spacing w:after="40"/>
              <w:ind w:left="1735" w:hanging="1735"/>
              <w:rPr>
                <w:sz w:val="20"/>
              </w:rPr>
            </w:pPr>
            <w:r w:rsidRPr="00526311">
              <w:rPr>
                <w:sz w:val="20"/>
              </w:rPr>
              <w:t>WIPOCOS</w:t>
            </w:r>
            <w:r w:rsidRPr="00526311">
              <w:rPr>
                <w:sz w:val="20"/>
              </w:rPr>
              <w:tab/>
              <w:t>Programa informático de la OMPI para la gestión colectiva del derecho de autor y los derechos conexos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WPIS</w:t>
            </w:r>
            <w:r w:rsidRPr="00526311">
              <w:rPr>
                <w:sz w:val="20"/>
              </w:rPr>
              <w:tab/>
              <w:t>Servicios de la OMPI de Información en materia de Patentes</w:t>
            </w:r>
          </w:p>
        </w:tc>
      </w:tr>
      <w:tr w:rsidR="0071404B" w:rsidRPr="00526311" w:rsidTr="002E3193">
        <w:tc>
          <w:tcPr>
            <w:tcW w:w="9498" w:type="dxa"/>
          </w:tcPr>
          <w:p w:rsidR="0071404B" w:rsidRPr="00526311" w:rsidRDefault="0071404B" w:rsidP="002E3193">
            <w:pPr>
              <w:spacing w:after="40"/>
              <w:ind w:left="1735" w:hanging="1735"/>
              <w:rPr>
                <w:sz w:val="20"/>
              </w:rPr>
            </w:pPr>
            <w:r w:rsidRPr="00526311">
              <w:rPr>
                <w:sz w:val="20"/>
              </w:rPr>
              <w:t>WPPT</w:t>
            </w:r>
            <w:r w:rsidRPr="00526311">
              <w:rPr>
                <w:sz w:val="20"/>
              </w:rPr>
              <w:tab/>
              <w:t>Tratado de la OMPI sobre Interpretación o Ejecución y Fonogramas</w:t>
            </w:r>
          </w:p>
        </w:tc>
      </w:tr>
    </w:tbl>
    <w:p w:rsidR="0071404B" w:rsidRPr="00526311" w:rsidRDefault="0071404B" w:rsidP="0071404B">
      <w:pPr>
        <w:pStyle w:val="BodyText"/>
        <w:rPr>
          <w:sz w:val="20"/>
        </w:rPr>
      </w:pPr>
    </w:p>
    <w:p w:rsidR="0071404B" w:rsidRPr="00526311" w:rsidRDefault="0071404B" w:rsidP="0071404B">
      <w:pPr>
        <w:pStyle w:val="BodyText"/>
        <w:rPr>
          <w:sz w:val="20"/>
        </w:rPr>
      </w:pPr>
    </w:p>
    <w:p w:rsidR="0071404B" w:rsidRPr="00526311" w:rsidRDefault="0071404B" w:rsidP="0071404B">
      <w:pPr>
        <w:ind w:left="4253"/>
        <w:jc w:val="center"/>
        <w:rPr>
          <w:sz w:val="20"/>
        </w:rPr>
      </w:pPr>
      <w:r w:rsidRPr="00526311">
        <w:rPr>
          <w:color w:val="000000"/>
          <w:sz w:val="20"/>
        </w:rPr>
        <w:t>[Fin del Apéndice IV y del documento]</w:t>
      </w:r>
    </w:p>
    <w:p w:rsidR="003F0A25" w:rsidRPr="00B045E5" w:rsidRDefault="003F0A25">
      <w:pPr>
        <w:rPr>
          <w:sz w:val="20"/>
        </w:rPr>
      </w:pPr>
    </w:p>
    <w:sectPr w:rsidR="003F0A25" w:rsidRPr="00B045E5" w:rsidSect="00C25E4B">
      <w:headerReference w:type="even" r:id="rId200"/>
      <w:headerReference w:type="default" r:id="rId201"/>
      <w:footerReference w:type="even" r:id="rId202"/>
      <w:headerReference w:type="first" r:id="rId203"/>
      <w:footerReference w:type="first" r:id="rId204"/>
      <w:pgSz w:w="11907" w:h="16840" w:code="9"/>
      <w:pgMar w:top="567" w:right="1134" w:bottom="1361"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93A" w:rsidRDefault="008F093A">
      <w:r>
        <w:separator/>
      </w:r>
    </w:p>
  </w:endnote>
  <w:endnote w:type="continuationSeparator" w:id="0">
    <w:p w:rsidR="008F093A" w:rsidRPr="009D30E6" w:rsidRDefault="008F093A" w:rsidP="007E663E">
      <w:pPr>
        <w:rPr>
          <w:sz w:val="17"/>
          <w:szCs w:val="17"/>
        </w:rPr>
      </w:pPr>
      <w:r w:rsidRPr="009D30E6">
        <w:rPr>
          <w:sz w:val="17"/>
          <w:szCs w:val="17"/>
        </w:rPr>
        <w:separator/>
      </w:r>
    </w:p>
    <w:p w:rsidR="008F093A" w:rsidRPr="007E663E" w:rsidRDefault="008F093A" w:rsidP="007E663E">
      <w:pPr>
        <w:spacing w:after="60"/>
        <w:rPr>
          <w:sz w:val="17"/>
          <w:szCs w:val="17"/>
        </w:rPr>
      </w:pPr>
      <w:r>
        <w:rPr>
          <w:sz w:val="17"/>
        </w:rPr>
        <w:t>[Continuación de la nota de la página anterior]</w:t>
      </w:r>
    </w:p>
  </w:endnote>
  <w:endnote w:type="continuationNotice" w:id="1">
    <w:p w:rsidR="008F093A" w:rsidRPr="007E663E" w:rsidRDefault="008F093A"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A712D3" w:rsidRDefault="00F80D4E" w:rsidP="00A712D3">
    <w:pPr>
      <w:pStyle w:val="Footer"/>
      <w:jc w:val="center"/>
    </w:pPr>
    <w:sdt>
      <w:sdtPr>
        <w:id w:val="-1748260511"/>
        <w:docPartObj>
          <w:docPartGallery w:val="Page Numbers (Bottom of Page)"/>
          <w:docPartUnique/>
        </w:docPartObj>
      </w:sdtPr>
      <w:sdtEndPr>
        <w:rPr>
          <w:noProof/>
          <w:sz w:val="20"/>
        </w:rPr>
      </w:sdtEndPr>
      <w:sdtContent>
        <w:r w:rsidR="008F093A" w:rsidRPr="00B26D73">
          <w:rPr>
            <w:sz w:val="20"/>
          </w:rPr>
          <w:fldChar w:fldCharType="begin"/>
        </w:r>
        <w:r w:rsidR="008F093A" w:rsidRPr="00B26D73">
          <w:rPr>
            <w:sz w:val="20"/>
          </w:rPr>
          <w:instrText xml:space="preserve"> PAGE   \* MERGEFORMAT </w:instrText>
        </w:r>
        <w:r w:rsidR="008F093A" w:rsidRPr="00B26D73">
          <w:rPr>
            <w:sz w:val="20"/>
          </w:rPr>
          <w:fldChar w:fldCharType="separate"/>
        </w:r>
        <w:r w:rsidR="008F093A">
          <w:rPr>
            <w:noProof/>
            <w:sz w:val="20"/>
          </w:rPr>
          <w:t>1</w:t>
        </w:r>
        <w:r w:rsidR="008F093A" w:rsidRPr="00B26D73">
          <w:rPr>
            <w:noProof/>
            <w:sz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A712D3" w:rsidRDefault="00F80D4E" w:rsidP="00A712D3">
    <w:pPr>
      <w:pStyle w:val="Footer"/>
      <w:jc w:val="center"/>
      <w:rPr>
        <w:sz w:val="20"/>
      </w:rPr>
    </w:pPr>
    <w:sdt>
      <w:sdtPr>
        <w:id w:val="131142980"/>
        <w:docPartObj>
          <w:docPartGallery w:val="Page Numbers (Bottom of Page)"/>
          <w:docPartUnique/>
        </w:docPartObj>
      </w:sdtPr>
      <w:sdtEndPr>
        <w:rPr>
          <w:noProof/>
          <w:sz w:val="20"/>
        </w:rPr>
      </w:sdtEndPr>
      <w:sdtContent>
        <w:r w:rsidR="008F093A" w:rsidRPr="00A712D3">
          <w:rPr>
            <w:sz w:val="20"/>
          </w:rPr>
          <w:fldChar w:fldCharType="begin"/>
        </w:r>
        <w:r w:rsidR="008F093A" w:rsidRPr="00A712D3">
          <w:rPr>
            <w:sz w:val="20"/>
          </w:rPr>
          <w:instrText xml:space="preserve"> PAGE   \* MERGEFORMAT </w:instrText>
        </w:r>
        <w:r w:rsidR="008F093A" w:rsidRPr="00A712D3">
          <w:rPr>
            <w:sz w:val="20"/>
          </w:rPr>
          <w:fldChar w:fldCharType="separate"/>
        </w:r>
        <w:r>
          <w:rPr>
            <w:noProof/>
            <w:sz w:val="20"/>
          </w:rPr>
          <w:t>84</w:t>
        </w:r>
        <w:r w:rsidR="008F093A" w:rsidRPr="00A712D3">
          <w:rPr>
            <w:noProof/>
            <w:sz w:val="20"/>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A712D3" w:rsidRDefault="00F80D4E" w:rsidP="00A712D3">
    <w:pPr>
      <w:pStyle w:val="Footer"/>
      <w:jc w:val="center"/>
    </w:pPr>
    <w:sdt>
      <w:sdtPr>
        <w:id w:val="131077069"/>
        <w:docPartObj>
          <w:docPartGallery w:val="Page Numbers (Bottom of Page)"/>
          <w:docPartUnique/>
        </w:docPartObj>
      </w:sdtPr>
      <w:sdtEndPr>
        <w:rPr>
          <w:noProof/>
          <w:sz w:val="20"/>
        </w:rPr>
      </w:sdtEndPr>
      <w:sdtContent>
        <w:r w:rsidR="008F093A" w:rsidRPr="00B26D73">
          <w:rPr>
            <w:sz w:val="20"/>
          </w:rPr>
          <w:fldChar w:fldCharType="begin"/>
        </w:r>
        <w:r w:rsidR="008F093A" w:rsidRPr="00B26D73">
          <w:rPr>
            <w:sz w:val="20"/>
          </w:rPr>
          <w:instrText xml:space="preserve"> PAGE   \* MERGEFORMAT </w:instrText>
        </w:r>
        <w:r w:rsidR="008F093A" w:rsidRPr="00B26D73">
          <w:rPr>
            <w:sz w:val="20"/>
          </w:rPr>
          <w:fldChar w:fldCharType="separate"/>
        </w:r>
        <w:r>
          <w:rPr>
            <w:noProof/>
            <w:sz w:val="20"/>
          </w:rPr>
          <w:t>85</w:t>
        </w:r>
        <w:r w:rsidR="008F093A" w:rsidRPr="00B26D73">
          <w:rPr>
            <w:noProof/>
            <w:sz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B26D73" w:rsidRDefault="00F80D4E" w:rsidP="00B26D73">
    <w:pPr>
      <w:pStyle w:val="Footer"/>
      <w:jc w:val="center"/>
      <w:rPr>
        <w:sz w:val="20"/>
      </w:rPr>
    </w:pPr>
    <w:sdt>
      <w:sdtPr>
        <w:id w:val="363251060"/>
        <w:docPartObj>
          <w:docPartGallery w:val="Page Numbers (Bottom of Page)"/>
          <w:docPartUnique/>
        </w:docPartObj>
      </w:sdtPr>
      <w:sdtEndPr>
        <w:rPr>
          <w:noProof/>
          <w:sz w:val="20"/>
        </w:rPr>
      </w:sdtEndPr>
      <w:sdtContent>
        <w:r w:rsidR="008F093A" w:rsidRPr="00B26D73">
          <w:rPr>
            <w:sz w:val="20"/>
          </w:rPr>
          <w:fldChar w:fldCharType="begin"/>
        </w:r>
        <w:r w:rsidR="008F093A" w:rsidRPr="00B26D73">
          <w:rPr>
            <w:sz w:val="20"/>
          </w:rPr>
          <w:instrText xml:space="preserve"> PAGE   \* MERGEFORMAT </w:instrText>
        </w:r>
        <w:r w:rsidR="008F093A" w:rsidRPr="00B26D73">
          <w:rPr>
            <w:sz w:val="20"/>
          </w:rPr>
          <w:fldChar w:fldCharType="separate"/>
        </w:r>
        <w:r>
          <w:rPr>
            <w:noProof/>
            <w:sz w:val="20"/>
          </w:rPr>
          <w:t>1</w:t>
        </w:r>
        <w:r w:rsidR="008F093A" w:rsidRPr="00B26D73">
          <w:rPr>
            <w:noProof/>
            <w:sz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216A2F" w:rsidRDefault="00F80D4E" w:rsidP="00A712D3">
    <w:pPr>
      <w:pStyle w:val="Footer"/>
      <w:jc w:val="center"/>
      <w:rPr>
        <w:sz w:val="20"/>
      </w:rPr>
    </w:pPr>
    <w:sdt>
      <w:sdtPr>
        <w:id w:val="967328084"/>
        <w:docPartObj>
          <w:docPartGallery w:val="Page Numbers (Bottom of Page)"/>
          <w:docPartUnique/>
        </w:docPartObj>
      </w:sdtPr>
      <w:sdtEndPr>
        <w:rPr>
          <w:noProof/>
          <w:sz w:val="20"/>
        </w:rPr>
      </w:sdtEndPr>
      <w:sdtContent>
        <w:r w:rsidR="008F093A" w:rsidRPr="00216A2F">
          <w:rPr>
            <w:sz w:val="20"/>
          </w:rPr>
          <w:fldChar w:fldCharType="begin"/>
        </w:r>
        <w:r w:rsidR="008F093A" w:rsidRPr="00216A2F">
          <w:rPr>
            <w:sz w:val="20"/>
          </w:rPr>
          <w:instrText xml:space="preserve"> PAGE   \* MERGEFORMAT </w:instrText>
        </w:r>
        <w:r w:rsidR="008F093A" w:rsidRPr="00216A2F">
          <w:rPr>
            <w:sz w:val="20"/>
          </w:rPr>
          <w:fldChar w:fldCharType="separate"/>
        </w:r>
        <w:r>
          <w:rPr>
            <w:noProof/>
            <w:sz w:val="20"/>
          </w:rPr>
          <w:t>370</w:t>
        </w:r>
        <w:r w:rsidR="008F093A" w:rsidRPr="00216A2F">
          <w:rPr>
            <w:noProof/>
            <w:sz w:val="20"/>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216A2F" w:rsidRDefault="00F80D4E" w:rsidP="00B26D73">
    <w:pPr>
      <w:pStyle w:val="Footer"/>
      <w:jc w:val="center"/>
      <w:rPr>
        <w:sz w:val="20"/>
      </w:rPr>
    </w:pPr>
    <w:sdt>
      <w:sdtPr>
        <w:id w:val="1935247241"/>
        <w:docPartObj>
          <w:docPartGallery w:val="Page Numbers (Bottom of Page)"/>
          <w:docPartUnique/>
        </w:docPartObj>
      </w:sdtPr>
      <w:sdtEndPr>
        <w:rPr>
          <w:noProof/>
          <w:sz w:val="20"/>
        </w:rPr>
      </w:sdtEndPr>
      <w:sdtContent>
        <w:r w:rsidR="008F093A" w:rsidRPr="00216A2F">
          <w:rPr>
            <w:sz w:val="20"/>
          </w:rPr>
          <w:fldChar w:fldCharType="begin"/>
        </w:r>
        <w:r w:rsidR="008F093A" w:rsidRPr="00216A2F">
          <w:rPr>
            <w:sz w:val="20"/>
          </w:rPr>
          <w:instrText xml:space="preserve"> PAGE   \* MERGEFORMAT </w:instrText>
        </w:r>
        <w:r w:rsidR="008F093A" w:rsidRPr="00216A2F">
          <w:rPr>
            <w:sz w:val="20"/>
          </w:rPr>
          <w:fldChar w:fldCharType="separate"/>
        </w:r>
        <w:r>
          <w:rPr>
            <w:noProof/>
            <w:sz w:val="20"/>
          </w:rPr>
          <w:t>309</w:t>
        </w:r>
        <w:r w:rsidR="008F093A" w:rsidRPr="00216A2F">
          <w:rPr>
            <w:noProof/>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93A" w:rsidRDefault="008F093A">
      <w:r>
        <w:separator/>
      </w:r>
    </w:p>
  </w:footnote>
  <w:footnote w:type="continuationSeparator" w:id="0">
    <w:p w:rsidR="008F093A" w:rsidRPr="009D30E6" w:rsidRDefault="008F093A" w:rsidP="007E663E">
      <w:pPr>
        <w:rPr>
          <w:sz w:val="17"/>
          <w:szCs w:val="17"/>
        </w:rPr>
      </w:pPr>
      <w:r w:rsidRPr="009D30E6">
        <w:rPr>
          <w:sz w:val="17"/>
          <w:szCs w:val="17"/>
        </w:rPr>
        <w:separator/>
      </w:r>
    </w:p>
    <w:p w:rsidR="008F093A" w:rsidRPr="007E663E" w:rsidRDefault="008F093A" w:rsidP="007E663E">
      <w:pPr>
        <w:spacing w:after="60"/>
        <w:rPr>
          <w:sz w:val="17"/>
          <w:szCs w:val="17"/>
        </w:rPr>
      </w:pPr>
      <w:r>
        <w:rPr>
          <w:sz w:val="17"/>
        </w:rPr>
        <w:t>[Continuación de la nota de la página anterior]</w:t>
      </w:r>
    </w:p>
  </w:footnote>
  <w:footnote w:type="continuationNotice" w:id="1">
    <w:p w:rsidR="008F093A" w:rsidRPr="007E663E" w:rsidRDefault="008F093A" w:rsidP="007E663E">
      <w:pPr>
        <w:spacing w:before="60"/>
        <w:jc w:val="right"/>
        <w:rPr>
          <w:sz w:val="17"/>
          <w:szCs w:val="17"/>
        </w:rPr>
      </w:pPr>
      <w:r w:rsidRPr="007E663E">
        <w:rPr>
          <w:sz w:val="17"/>
          <w:szCs w:val="17"/>
        </w:rPr>
        <w:t>[Sigue la nota en la página siguiente]</w:t>
      </w:r>
    </w:p>
  </w:footnote>
  <w:footnote w:id="2">
    <w:p w:rsidR="008F093A" w:rsidRPr="00BB1AFF" w:rsidRDefault="008F093A" w:rsidP="00E020B6">
      <w:pPr>
        <w:pStyle w:val="FootnoteText"/>
      </w:pPr>
      <w:r w:rsidRPr="00AE650F">
        <w:rPr>
          <w:sz w:val="16"/>
          <w:szCs w:val="16"/>
          <w:vertAlign w:val="superscript"/>
        </w:rPr>
        <w:footnoteRef/>
      </w:r>
      <w:r w:rsidRPr="00BB1AFF">
        <w:rPr>
          <w:sz w:val="16"/>
          <w:szCs w:val="16"/>
        </w:rPr>
        <w:t xml:space="preserve"> </w:t>
      </w:r>
      <w:r w:rsidRPr="00091D73">
        <w:rPr>
          <w:sz w:val="16"/>
          <w:szCs w:val="16"/>
        </w:rPr>
        <w:t>Por regla general, cuando los datos relativos al rendimiento se mid</w:t>
      </w:r>
      <w:r>
        <w:rPr>
          <w:sz w:val="16"/>
          <w:szCs w:val="16"/>
        </w:rPr>
        <w:t>a</w:t>
      </w:r>
      <w:r w:rsidRPr="00091D73">
        <w:rPr>
          <w:sz w:val="16"/>
          <w:szCs w:val="16"/>
        </w:rPr>
        <w:t xml:space="preserve">n en variación porcentual (aumento o disminución), y a menos que se indique lo contrario, </w:t>
      </w:r>
      <w:r>
        <w:rPr>
          <w:sz w:val="16"/>
          <w:szCs w:val="16"/>
        </w:rPr>
        <w:t>dich</w:t>
      </w:r>
      <w:r w:rsidRPr="00091D73">
        <w:rPr>
          <w:sz w:val="16"/>
          <w:szCs w:val="16"/>
        </w:rPr>
        <w:t>a variación porcentual resulta</w:t>
      </w:r>
      <w:r>
        <w:rPr>
          <w:sz w:val="16"/>
          <w:szCs w:val="16"/>
        </w:rPr>
        <w:t>rá</w:t>
      </w:r>
      <w:r w:rsidRPr="00091D73">
        <w:rPr>
          <w:sz w:val="16"/>
          <w:szCs w:val="16"/>
        </w:rPr>
        <w:t xml:space="preserve"> de una comparación con el año precedente, es decir, que una variación en 2014 resulta de la comparación con 2013, y una variación en 2015 resulta de la comparación con 2014</w:t>
      </w:r>
      <w:r w:rsidRPr="00BB1AFF">
        <w:rPr>
          <w:sz w:val="16"/>
          <w:szCs w:val="16"/>
        </w:rPr>
        <w:t>.</w:t>
      </w:r>
    </w:p>
  </w:footnote>
  <w:footnote w:id="3">
    <w:p w:rsidR="008F093A" w:rsidRPr="00AA39B4" w:rsidRDefault="008F093A" w:rsidP="00E020B6">
      <w:pPr>
        <w:pStyle w:val="FootnoteText"/>
        <w:rPr>
          <w:sz w:val="16"/>
          <w:szCs w:val="16"/>
        </w:rPr>
      </w:pPr>
      <w:r w:rsidRPr="00BD5BF9">
        <w:rPr>
          <w:rStyle w:val="FootnoteReference"/>
          <w:sz w:val="16"/>
          <w:szCs w:val="16"/>
        </w:rPr>
        <w:footnoteRef/>
      </w:r>
      <w:r w:rsidRPr="00BB1AFF">
        <w:rPr>
          <w:sz w:val="16"/>
          <w:szCs w:val="16"/>
        </w:rPr>
        <w:t xml:space="preserve"> </w:t>
      </w:r>
      <w:r w:rsidRPr="00BB1AFF">
        <w:rPr>
          <w:sz w:val="16"/>
          <w:szCs w:val="16"/>
          <w:lang w:val="es-ES_tradnl"/>
        </w:rPr>
        <w:t>En respuesta a la solicitud</w:t>
      </w:r>
      <w:r>
        <w:rPr>
          <w:sz w:val="16"/>
          <w:szCs w:val="16"/>
          <w:lang w:val="es-ES_tradnl"/>
        </w:rPr>
        <w:t>es</w:t>
      </w:r>
      <w:r w:rsidRPr="00BB1AFF">
        <w:rPr>
          <w:sz w:val="16"/>
          <w:szCs w:val="16"/>
          <w:lang w:val="es-ES_tradnl"/>
        </w:rPr>
        <w:t xml:space="preserve"> formulada</w:t>
      </w:r>
      <w:r>
        <w:rPr>
          <w:sz w:val="16"/>
          <w:szCs w:val="16"/>
          <w:lang w:val="es-ES_tradnl"/>
        </w:rPr>
        <w:t>s</w:t>
      </w:r>
      <w:r w:rsidRPr="00BB1AFF">
        <w:rPr>
          <w:sz w:val="16"/>
          <w:szCs w:val="16"/>
          <w:lang w:val="es-ES_tradnl"/>
        </w:rPr>
        <w:t xml:space="preserve"> por los Estados miembros</w:t>
      </w:r>
      <w:r>
        <w:rPr>
          <w:sz w:val="16"/>
          <w:szCs w:val="16"/>
          <w:lang w:val="es-ES_tradnl"/>
        </w:rPr>
        <w:t>,</w:t>
      </w:r>
      <w:r w:rsidRPr="00BB1AFF">
        <w:rPr>
          <w:sz w:val="16"/>
          <w:szCs w:val="16"/>
          <w:lang w:val="es-ES_tradnl"/>
        </w:rPr>
        <w:t xml:space="preserve"> </w:t>
      </w:r>
      <w:r>
        <w:rPr>
          <w:sz w:val="16"/>
          <w:szCs w:val="16"/>
          <w:lang w:val="es-ES_tradnl"/>
        </w:rPr>
        <w:t xml:space="preserve">se brindó la oportunidad de que en los programas se definieran los objetivos </w:t>
      </w:r>
      <w:r w:rsidRPr="00BB1AFF">
        <w:rPr>
          <w:sz w:val="16"/>
          <w:szCs w:val="16"/>
          <w:lang w:val="es-ES_tradnl"/>
        </w:rPr>
        <w:t xml:space="preserve">que no habían sido definidos en el presupuesto por programas de 2014/15, es decir, </w:t>
      </w:r>
      <w:r w:rsidRPr="00BB1AFF">
        <w:rPr>
          <w:sz w:val="16"/>
          <w:szCs w:val="16"/>
        </w:rPr>
        <w:t>objetivos "por determinar",</w:t>
      </w:r>
      <w:r w:rsidRPr="00BB1AFF">
        <w:rPr>
          <w:sz w:val="16"/>
          <w:szCs w:val="16"/>
          <w:lang w:val="es-ES_tradnl"/>
        </w:rPr>
        <w:t xml:space="preserve"> </w:t>
      </w:r>
      <w:r w:rsidRPr="00BB1AFF">
        <w:rPr>
          <w:sz w:val="16"/>
          <w:szCs w:val="16"/>
        </w:rPr>
        <w:t xml:space="preserve">durante el ejercicio de actualización de las referencias (iniciado el 1 de julio de 2014), utilizando como base los datos de fines de 2013.  Los objetivos no definidos durante ese proceso </w:t>
      </w:r>
      <w:r>
        <w:rPr>
          <w:sz w:val="16"/>
          <w:szCs w:val="16"/>
        </w:rPr>
        <w:t xml:space="preserve">todavía no han sido </w:t>
      </w:r>
      <w:r w:rsidRPr="00BB1AFF">
        <w:rPr>
          <w:sz w:val="16"/>
          <w:szCs w:val="16"/>
        </w:rPr>
        <w:t>defini</w:t>
      </w:r>
      <w:r>
        <w:rPr>
          <w:sz w:val="16"/>
          <w:szCs w:val="16"/>
        </w:rPr>
        <w:t>dos y,</w:t>
      </w:r>
      <w:r w:rsidRPr="00BB1AFF">
        <w:rPr>
          <w:sz w:val="16"/>
          <w:szCs w:val="16"/>
        </w:rPr>
        <w:t xml:space="preserve"> por consiguiente, los datos sobre el </w:t>
      </w:r>
      <w:r>
        <w:rPr>
          <w:sz w:val="16"/>
          <w:szCs w:val="16"/>
        </w:rPr>
        <w:t>ren</w:t>
      </w:r>
      <w:r w:rsidRPr="00BB1AFF">
        <w:rPr>
          <w:sz w:val="16"/>
          <w:szCs w:val="16"/>
        </w:rPr>
        <w:t xml:space="preserve">dimiento figuran como "no mensurables". </w:t>
      </w:r>
    </w:p>
  </w:footnote>
  <w:footnote w:id="4">
    <w:p w:rsidR="008F093A" w:rsidRPr="00650E6F" w:rsidRDefault="008F093A" w:rsidP="006760C1">
      <w:pPr>
        <w:pStyle w:val="FootnoteText"/>
      </w:pPr>
      <w:r w:rsidRPr="00BE0BC5">
        <w:rPr>
          <w:rStyle w:val="FootnoteReference"/>
          <w:sz w:val="16"/>
          <w:szCs w:val="16"/>
        </w:rPr>
        <w:footnoteRef/>
      </w:r>
      <w:r w:rsidRPr="00650E6F">
        <w:t xml:space="preserve"> </w:t>
      </w:r>
      <w:r w:rsidRPr="00650E6F">
        <w:rPr>
          <w:sz w:val="16"/>
          <w:szCs w:val="16"/>
        </w:rPr>
        <w:t xml:space="preserve">A fines de 2015, hubo un total de 29.567 casos de gTLD y 3.520 casos </w:t>
      </w:r>
      <w:r>
        <w:rPr>
          <w:sz w:val="16"/>
          <w:szCs w:val="16"/>
        </w:rPr>
        <w:t xml:space="preserve">de dominios de nivel superior correspondientes a códigos de países </w:t>
      </w:r>
      <w:r w:rsidRPr="00650E6F">
        <w:rPr>
          <w:sz w:val="16"/>
          <w:szCs w:val="16"/>
        </w:rPr>
        <w:t>(ccTLD).</w:t>
      </w:r>
    </w:p>
  </w:footnote>
  <w:footnote w:id="5">
    <w:p w:rsidR="008F093A" w:rsidRPr="00486CC1" w:rsidRDefault="008F093A" w:rsidP="006760C1">
      <w:pPr>
        <w:pStyle w:val="FootnoteText"/>
      </w:pPr>
      <w:r w:rsidRPr="00B527D7">
        <w:rPr>
          <w:sz w:val="16"/>
          <w:szCs w:val="16"/>
          <w:vertAlign w:val="superscript"/>
        </w:rPr>
        <w:footnoteRef/>
      </w:r>
      <w:r w:rsidRPr="00486CC1">
        <w:rPr>
          <w:sz w:val="16"/>
          <w:szCs w:val="16"/>
        </w:rPr>
        <w:t xml:space="preserve"> El aumento del 138% en la demanda de los cursos avanzados a distancia guarda relación con la elevada participación de los CATI, en particular de Marruecos, Madagascar y Sud</w:t>
      </w:r>
      <w:r>
        <w:rPr>
          <w:sz w:val="16"/>
          <w:szCs w:val="16"/>
        </w:rPr>
        <w:t>áfrica</w:t>
      </w:r>
      <w:r w:rsidRPr="00486CC1">
        <w:rPr>
          <w:sz w:val="16"/>
          <w:szCs w:val="16"/>
        </w:rPr>
        <w:t xml:space="preserve">, </w:t>
      </w:r>
      <w:r>
        <w:rPr>
          <w:sz w:val="16"/>
          <w:szCs w:val="16"/>
        </w:rPr>
        <w:t xml:space="preserve">y con el incremento de la disponibilidad de cursos a distancia impartidos en los seis idiomas oficiales de la ONU a fines de </w:t>
      </w:r>
      <w:r w:rsidRPr="00486CC1">
        <w:rPr>
          <w:sz w:val="16"/>
          <w:szCs w:val="16"/>
        </w:rPr>
        <w:t>2015.</w:t>
      </w:r>
      <w:r w:rsidRPr="00486CC1">
        <w:t xml:space="preserve">  </w:t>
      </w:r>
    </w:p>
  </w:footnote>
  <w:footnote w:id="6">
    <w:p w:rsidR="008F093A" w:rsidRPr="00FC30E7" w:rsidRDefault="008F093A" w:rsidP="005439FA">
      <w:pPr>
        <w:autoSpaceDE w:val="0"/>
        <w:autoSpaceDN w:val="0"/>
        <w:adjustRightInd w:val="0"/>
        <w:rPr>
          <w:sz w:val="16"/>
          <w:szCs w:val="16"/>
        </w:rPr>
      </w:pPr>
      <w:r>
        <w:rPr>
          <w:rStyle w:val="FootnoteReference"/>
        </w:rPr>
        <w:footnoteRef/>
      </w:r>
      <w:r w:rsidRPr="00E90752">
        <w:rPr>
          <w:sz w:val="16"/>
          <w:szCs w:val="16"/>
        </w:rPr>
        <w:t>Denominad</w:t>
      </w:r>
      <w:r>
        <w:rPr>
          <w:sz w:val="16"/>
          <w:szCs w:val="16"/>
        </w:rPr>
        <w:t>o</w:t>
      </w:r>
      <w:r w:rsidRPr="00E90752">
        <w:rPr>
          <w:sz w:val="16"/>
          <w:szCs w:val="16"/>
        </w:rPr>
        <w:t xml:space="preserve"> anteriormente </w:t>
      </w:r>
      <w:r w:rsidRPr="00E90752">
        <w:rPr>
          <w:rFonts w:eastAsia="Arial Unicode MS"/>
          <w:sz w:val="16"/>
          <w:szCs w:val="16"/>
        </w:rPr>
        <w:t>Auxiliar para la traducción de títulos y resúmenes de patentes (TAPTA).</w:t>
      </w:r>
    </w:p>
  </w:footnote>
  <w:footnote w:id="7">
    <w:p w:rsidR="008F093A" w:rsidRPr="005E0A7D" w:rsidRDefault="008F093A" w:rsidP="006760C1">
      <w:pPr>
        <w:pStyle w:val="FootnoteText"/>
      </w:pPr>
      <w:r>
        <w:rPr>
          <w:rStyle w:val="FootnoteReference"/>
        </w:rPr>
        <w:footnoteRef/>
      </w:r>
      <w:r w:rsidRPr="005E0A7D">
        <w:t xml:space="preserve"> </w:t>
      </w:r>
      <w:r w:rsidRPr="005E0A7D">
        <w:rPr>
          <w:sz w:val="16"/>
          <w:szCs w:val="16"/>
        </w:rPr>
        <w:t xml:space="preserve">En el </w:t>
      </w:r>
      <w:r>
        <w:rPr>
          <w:sz w:val="16"/>
          <w:szCs w:val="16"/>
        </w:rPr>
        <w:t xml:space="preserve">documento PPR de </w:t>
      </w:r>
      <w:r w:rsidRPr="005E0A7D">
        <w:rPr>
          <w:sz w:val="16"/>
          <w:szCs w:val="16"/>
        </w:rPr>
        <w:t xml:space="preserve">2012/13, </w:t>
      </w:r>
      <w:r>
        <w:rPr>
          <w:sz w:val="16"/>
          <w:szCs w:val="16"/>
        </w:rPr>
        <w:t xml:space="preserve">se indicó la referencia de que en 89 países se publicaron informaciones sobre la campaña anual del Día Mundial de la P.I.  </w:t>
      </w:r>
      <w:r w:rsidRPr="005E0A7D">
        <w:rPr>
          <w:sz w:val="16"/>
          <w:szCs w:val="16"/>
        </w:rPr>
        <w:t>El número real de países en los que se inform</w:t>
      </w:r>
      <w:r>
        <w:rPr>
          <w:sz w:val="16"/>
          <w:szCs w:val="16"/>
        </w:rPr>
        <w:t xml:space="preserve">ó fue de </w:t>
      </w:r>
      <w:r w:rsidRPr="005E0A7D">
        <w:rPr>
          <w:sz w:val="16"/>
          <w:szCs w:val="16"/>
        </w:rPr>
        <w:t>93.</w:t>
      </w:r>
    </w:p>
  </w:footnote>
  <w:footnote w:id="8">
    <w:p w:rsidR="008F093A" w:rsidRPr="00184A06" w:rsidRDefault="008F093A" w:rsidP="00DC1333">
      <w:pPr>
        <w:pStyle w:val="FootnoteText"/>
        <w:rPr>
          <w:sz w:val="16"/>
          <w:szCs w:val="16"/>
        </w:rPr>
      </w:pPr>
      <w:r>
        <w:rPr>
          <w:rStyle w:val="FootnoteReference"/>
        </w:rPr>
        <w:footnoteRef/>
      </w:r>
      <w:r w:rsidRPr="00184A06">
        <w:t xml:space="preserve"> </w:t>
      </w:r>
      <w:r w:rsidRPr="00184A06">
        <w:rPr>
          <w:sz w:val="16"/>
          <w:szCs w:val="16"/>
        </w:rPr>
        <w:t xml:space="preserve">Conforme a lo que se viene haciendo </w:t>
      </w:r>
      <w:r>
        <w:rPr>
          <w:sz w:val="16"/>
          <w:szCs w:val="16"/>
        </w:rPr>
        <w:t>hasta la fecha, se incluye a los países con economías en transición a los fines del presupuesto por programas.</w:t>
      </w:r>
    </w:p>
  </w:footnote>
  <w:footnote w:id="9">
    <w:p w:rsidR="008F093A" w:rsidRPr="00801E65" w:rsidRDefault="008F093A" w:rsidP="00FA423E">
      <w:pPr>
        <w:pStyle w:val="FootnoteText"/>
        <w:rPr>
          <w:sz w:val="16"/>
          <w:szCs w:val="16"/>
        </w:rPr>
      </w:pPr>
      <w:r w:rsidRPr="00801E65">
        <w:rPr>
          <w:rStyle w:val="FootnoteReference"/>
          <w:sz w:val="16"/>
          <w:szCs w:val="16"/>
        </w:rPr>
        <w:footnoteRef/>
      </w:r>
      <w:r w:rsidRPr="00801E65">
        <w:rPr>
          <w:sz w:val="16"/>
          <w:szCs w:val="16"/>
        </w:rPr>
        <w:t xml:space="preserve"> Los datos correspondientes a 2015 resultan de un nuevo método de cálculo del porcentaje de satisfacción.</w:t>
      </w:r>
    </w:p>
  </w:footnote>
  <w:footnote w:id="10">
    <w:p w:rsidR="008F093A" w:rsidRPr="00801E65" w:rsidRDefault="008F093A" w:rsidP="00FA423E">
      <w:pPr>
        <w:pStyle w:val="FootnoteText"/>
        <w:rPr>
          <w:sz w:val="16"/>
          <w:szCs w:val="16"/>
        </w:rPr>
      </w:pPr>
      <w:r w:rsidRPr="00801E65">
        <w:rPr>
          <w:rStyle w:val="FootnoteReference"/>
          <w:sz w:val="16"/>
          <w:szCs w:val="16"/>
        </w:rPr>
        <w:footnoteRef/>
      </w:r>
      <w:r w:rsidRPr="00801E65">
        <w:rPr>
          <w:sz w:val="16"/>
          <w:szCs w:val="16"/>
        </w:rPr>
        <w:t xml:space="preserve"> Informe del 47º período de sesiones de la Asamblea General de la OMPI: </w:t>
      </w:r>
      <w:hyperlink r:id="rId1" w:history="1">
        <w:r w:rsidRPr="00801E65">
          <w:rPr>
            <w:rStyle w:val="Hyperlink"/>
            <w:sz w:val="16"/>
            <w:szCs w:val="16"/>
          </w:rPr>
          <w:t>WO/GA/47/19</w:t>
        </w:r>
      </w:hyperlink>
    </w:p>
  </w:footnote>
  <w:footnote w:id="11">
    <w:p w:rsidR="008F093A" w:rsidRPr="007B2775" w:rsidRDefault="008F093A" w:rsidP="00FA423E">
      <w:pPr>
        <w:pStyle w:val="FootnoteText"/>
        <w:rPr>
          <w:sz w:val="16"/>
          <w:szCs w:val="16"/>
          <w:lang w:val="es-ES_tradnl"/>
        </w:rPr>
      </w:pPr>
      <w:r w:rsidRPr="007B2775">
        <w:rPr>
          <w:rStyle w:val="FootnoteReference"/>
          <w:sz w:val="16"/>
          <w:szCs w:val="16"/>
        </w:rPr>
        <w:footnoteRef/>
      </w:r>
      <w:r>
        <w:rPr>
          <w:sz w:val="16"/>
          <w:szCs w:val="16"/>
          <w:lang w:val="es-ES_tradnl"/>
        </w:rPr>
        <w:t xml:space="preserve"> Corrección</w:t>
      </w:r>
      <w:proofErr w:type="gramStart"/>
      <w:r>
        <w:rPr>
          <w:sz w:val="16"/>
          <w:szCs w:val="16"/>
          <w:lang w:val="es-ES_tradnl"/>
        </w:rPr>
        <w:t>:  E</w:t>
      </w:r>
      <w:r w:rsidRPr="007B2775">
        <w:rPr>
          <w:sz w:val="16"/>
          <w:szCs w:val="16"/>
          <w:lang w:val="es-ES_tradnl"/>
        </w:rPr>
        <w:t>l</w:t>
      </w:r>
      <w:proofErr w:type="gramEnd"/>
      <w:r w:rsidRPr="007B2775">
        <w:rPr>
          <w:sz w:val="16"/>
          <w:szCs w:val="16"/>
          <w:lang w:val="es-ES_tradnl"/>
        </w:rPr>
        <w:t xml:space="preserve"> número de peticiones de comunicación en virtud del Artículo 6</w:t>
      </w:r>
      <w:r w:rsidRPr="007B2775">
        <w:rPr>
          <w:i/>
          <w:sz w:val="16"/>
          <w:szCs w:val="16"/>
          <w:lang w:val="es-ES_tradnl"/>
        </w:rPr>
        <w:t>ter</w:t>
      </w:r>
      <w:r w:rsidRPr="007B2775">
        <w:rPr>
          <w:sz w:val="16"/>
          <w:szCs w:val="16"/>
          <w:lang w:val="es-ES_tradnl"/>
        </w:rPr>
        <w:t xml:space="preserve"> tramitadas en 2012 se elevó en realidad </w:t>
      </w:r>
      <w:r>
        <w:rPr>
          <w:sz w:val="16"/>
          <w:szCs w:val="16"/>
          <w:lang w:val="es-ES_tradnl"/>
        </w:rPr>
        <w:t>a 69</w:t>
      </w:r>
      <w:r w:rsidRPr="007B2775">
        <w:rPr>
          <w:sz w:val="16"/>
          <w:szCs w:val="16"/>
          <w:lang w:val="es-ES_tradnl"/>
        </w:rPr>
        <w:t xml:space="preserve">, tal como se informa en el </w:t>
      </w:r>
      <w:r>
        <w:rPr>
          <w:sz w:val="16"/>
          <w:szCs w:val="16"/>
          <w:lang w:val="es-ES_tradnl"/>
        </w:rPr>
        <w:t>Informe sobre el rendimiento de los programas en</w:t>
      </w:r>
      <w:r w:rsidRPr="007B2775">
        <w:rPr>
          <w:sz w:val="16"/>
          <w:szCs w:val="16"/>
          <w:lang w:val="es-ES_tradnl"/>
        </w:rPr>
        <w:t xml:space="preserve"> 2012/13.</w:t>
      </w:r>
    </w:p>
  </w:footnote>
  <w:footnote w:id="12">
    <w:p w:rsidR="008F093A" w:rsidRPr="007B2775" w:rsidRDefault="008F093A" w:rsidP="00FA423E">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sz w:val="16"/>
          <w:szCs w:val="16"/>
          <w:lang w:val="es-ES_tradnl"/>
        </w:rPr>
        <w:t>:  El</w:t>
      </w:r>
      <w:proofErr w:type="gramEnd"/>
      <w:r w:rsidRPr="007B2775">
        <w:rPr>
          <w:sz w:val="16"/>
          <w:szCs w:val="16"/>
          <w:lang w:val="es-ES_tradnl"/>
        </w:rPr>
        <w:t xml:space="preserve"> número de signos publicados en la base de base de datos sobre el Artículo 6</w:t>
      </w:r>
      <w:r w:rsidRPr="007B2775">
        <w:rPr>
          <w:i/>
          <w:sz w:val="16"/>
          <w:szCs w:val="16"/>
          <w:lang w:val="es-ES_tradnl"/>
        </w:rPr>
        <w:t>ter</w:t>
      </w:r>
      <w:r w:rsidRPr="007B2775">
        <w:rPr>
          <w:sz w:val="16"/>
          <w:szCs w:val="16"/>
          <w:lang w:val="es-ES_tradnl"/>
        </w:rPr>
        <w:t xml:space="preserve"> a finales de 2012 se elevó en realidad </w:t>
      </w:r>
      <w:r>
        <w:rPr>
          <w:sz w:val="16"/>
          <w:szCs w:val="16"/>
          <w:lang w:val="es-ES_tradnl"/>
        </w:rPr>
        <w:t>a 84,</w:t>
      </w:r>
      <w:r w:rsidRPr="007B2775">
        <w:rPr>
          <w:sz w:val="16"/>
          <w:szCs w:val="16"/>
          <w:lang w:val="es-ES_tradnl"/>
        </w:rPr>
        <w:t xml:space="preserve"> tal como se informa en el </w:t>
      </w:r>
      <w:r>
        <w:rPr>
          <w:sz w:val="16"/>
          <w:szCs w:val="16"/>
          <w:lang w:val="es-ES_tradnl"/>
        </w:rPr>
        <w:t>Informe sobre el rendimiento de los programas en</w:t>
      </w:r>
      <w:r w:rsidRPr="007B2775">
        <w:rPr>
          <w:sz w:val="16"/>
          <w:szCs w:val="16"/>
          <w:lang w:val="es-ES_tradnl"/>
        </w:rPr>
        <w:t xml:space="preserve"> 2012/13.</w:t>
      </w:r>
    </w:p>
  </w:footnote>
  <w:footnote w:id="13">
    <w:p w:rsidR="008F093A" w:rsidRPr="007B2775" w:rsidRDefault="008F093A" w:rsidP="00FA423E">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El objetivo se refiere al número de signos publicados durante el bienio 2014/15.</w:t>
      </w:r>
    </w:p>
  </w:footnote>
  <w:footnote w:id="14">
    <w:p w:rsidR="008F093A" w:rsidRPr="002F1170" w:rsidRDefault="008F093A" w:rsidP="00FA423E">
      <w:pPr>
        <w:pStyle w:val="FootnoteText"/>
        <w:rPr>
          <w:sz w:val="16"/>
          <w:szCs w:val="16"/>
        </w:rPr>
      </w:pPr>
      <w:r w:rsidRPr="002F1170">
        <w:rPr>
          <w:rStyle w:val="FootnoteReference"/>
          <w:sz w:val="16"/>
          <w:szCs w:val="16"/>
        </w:rPr>
        <w:footnoteRef/>
      </w:r>
      <w:r w:rsidRPr="002F1170">
        <w:rPr>
          <w:sz w:val="16"/>
          <w:szCs w:val="16"/>
        </w:rPr>
        <w:t xml:space="preserve"> http://www.bakermckenzie.com/intellectualproperty/csh2014/</w:t>
      </w:r>
    </w:p>
  </w:footnote>
  <w:footnote w:id="15">
    <w:p w:rsidR="008F093A" w:rsidRPr="00FC52CF" w:rsidRDefault="008F093A" w:rsidP="00FA423E">
      <w:pPr>
        <w:pStyle w:val="FootnoteText"/>
        <w:rPr>
          <w:sz w:val="16"/>
          <w:szCs w:val="16"/>
        </w:rPr>
      </w:pPr>
      <w:r w:rsidRPr="00FC52CF">
        <w:rPr>
          <w:rStyle w:val="FootnoteReference"/>
          <w:sz w:val="16"/>
          <w:szCs w:val="16"/>
        </w:rPr>
        <w:footnoteRef/>
      </w:r>
      <w:r w:rsidRPr="00FC52CF">
        <w:rPr>
          <w:sz w:val="16"/>
          <w:szCs w:val="16"/>
        </w:rPr>
        <w:t xml:space="preserve"> Corrección</w:t>
      </w:r>
      <w:proofErr w:type="gramStart"/>
      <w:r w:rsidRPr="00FC52CF">
        <w:rPr>
          <w:sz w:val="16"/>
          <w:szCs w:val="16"/>
        </w:rPr>
        <w:t>:  La</w:t>
      </w:r>
      <w:proofErr w:type="gramEnd"/>
      <w:r w:rsidRPr="00FC52CF">
        <w:rPr>
          <w:sz w:val="16"/>
          <w:szCs w:val="16"/>
        </w:rPr>
        <w:t xml:space="preserve"> lista de países mencionada refleja un sistema más sistemático de seguimiento que se puso en práctica en 2015 para supervisar el TAG.  En 2014 Cabo Verde y Etiopía no habían cursado manifestaciones formales de interés, tal como se señaló en el Informe del rendimiento de los programas en 2014.</w:t>
      </w:r>
    </w:p>
  </w:footnote>
  <w:footnote w:id="16">
    <w:p w:rsidR="008F093A" w:rsidRPr="007B2775" w:rsidRDefault="008F093A" w:rsidP="00FA423E">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xml:space="preserve">:  </w:t>
      </w:r>
      <w:r>
        <w:rPr>
          <w:sz w:val="16"/>
          <w:szCs w:val="16"/>
        </w:rPr>
        <w:t>Se</w:t>
      </w:r>
      <w:proofErr w:type="gramEnd"/>
      <w:r>
        <w:rPr>
          <w:sz w:val="16"/>
          <w:szCs w:val="16"/>
        </w:rPr>
        <w:t xml:space="preserve"> había señalado</w:t>
      </w:r>
      <w:r w:rsidRPr="007B2775">
        <w:rPr>
          <w:sz w:val="16"/>
          <w:szCs w:val="16"/>
        </w:rPr>
        <w:t xml:space="preserve"> que </w:t>
      </w:r>
      <w:r>
        <w:rPr>
          <w:sz w:val="16"/>
          <w:szCs w:val="16"/>
        </w:rPr>
        <w:t>había</w:t>
      </w:r>
      <w:r w:rsidRPr="007B2775">
        <w:rPr>
          <w:sz w:val="16"/>
          <w:szCs w:val="16"/>
        </w:rPr>
        <w:t xml:space="preserve"> 18 oficinas de derecho de autor que utilizaban el sistema GDA a fines de 2013.  El número correcto de oficinas </w:t>
      </w:r>
      <w:r>
        <w:rPr>
          <w:sz w:val="16"/>
          <w:szCs w:val="16"/>
        </w:rPr>
        <w:t>era de</w:t>
      </w:r>
      <w:r w:rsidRPr="007B2775">
        <w:rPr>
          <w:sz w:val="16"/>
          <w:szCs w:val="16"/>
        </w:rPr>
        <w:t xml:space="preserve"> 15, </w:t>
      </w:r>
      <w:r>
        <w:rPr>
          <w:sz w:val="16"/>
          <w:szCs w:val="16"/>
        </w:rPr>
        <w:t>lo cual</w:t>
      </w:r>
      <w:r w:rsidRPr="007B2775">
        <w:rPr>
          <w:sz w:val="16"/>
          <w:szCs w:val="16"/>
        </w:rPr>
        <w:t xml:space="preserve"> se ajustaba al objetivo</w:t>
      </w:r>
      <w:r>
        <w:rPr>
          <w:sz w:val="16"/>
          <w:szCs w:val="16"/>
        </w:rPr>
        <w:t xml:space="preserve"> de 15 oficinas</w:t>
      </w:r>
      <w:r w:rsidRPr="007B2775">
        <w:rPr>
          <w:sz w:val="16"/>
          <w:szCs w:val="16"/>
        </w:rPr>
        <w:t xml:space="preserve"> que se había fijado para el bienio 2012/13.</w:t>
      </w:r>
    </w:p>
  </w:footnote>
  <w:footnote w:id="17">
    <w:p w:rsidR="008F093A" w:rsidRPr="007B2775" w:rsidRDefault="008F093A" w:rsidP="00FA423E">
      <w:pPr>
        <w:pStyle w:val="FootnoteText"/>
        <w:rPr>
          <w:sz w:val="16"/>
          <w:szCs w:val="16"/>
        </w:rPr>
      </w:pPr>
      <w:r w:rsidRPr="007B2775">
        <w:rPr>
          <w:rStyle w:val="FootnoteReference"/>
          <w:sz w:val="16"/>
          <w:szCs w:val="16"/>
        </w:rPr>
        <w:footnoteRef/>
      </w:r>
      <w:r w:rsidRPr="007B2775">
        <w:rPr>
          <w:sz w:val="16"/>
          <w:szCs w:val="16"/>
        </w:rPr>
        <w:t xml:space="preserve"> </w:t>
      </w:r>
      <w:hyperlink r:id="rId2" w:history="1">
        <w:r w:rsidRPr="007B2775">
          <w:rPr>
            <w:rStyle w:val="Hyperlink"/>
            <w:sz w:val="16"/>
            <w:szCs w:val="16"/>
          </w:rPr>
          <w:t>http://www.wipo.int/edocs/pubdocs/en/wipo_pub_1043.pdf</w:t>
        </w:r>
      </w:hyperlink>
      <w:r w:rsidRPr="007B2775">
        <w:rPr>
          <w:sz w:val="16"/>
          <w:szCs w:val="16"/>
        </w:rPr>
        <w:t>.</w:t>
      </w:r>
    </w:p>
  </w:footnote>
  <w:footnote w:id="18">
    <w:p w:rsidR="008F093A" w:rsidRPr="007B2775" w:rsidRDefault="008F093A" w:rsidP="00CF11D1">
      <w:pPr>
        <w:pStyle w:val="FootnoteText"/>
        <w:rPr>
          <w:sz w:val="16"/>
          <w:szCs w:val="16"/>
        </w:rPr>
      </w:pPr>
      <w:r w:rsidRPr="00084BC1">
        <w:rPr>
          <w:rStyle w:val="FootnoteReference"/>
          <w:sz w:val="16"/>
          <w:szCs w:val="16"/>
        </w:rPr>
        <w:footnoteRef/>
      </w:r>
      <w:r w:rsidRPr="00084BC1">
        <w:rPr>
          <w:sz w:val="16"/>
          <w:szCs w:val="16"/>
        </w:rPr>
        <w:t xml:space="preserve"> Excepcionalmente</w:t>
      </w:r>
      <w:r w:rsidRPr="007B2775">
        <w:rPr>
          <w:sz w:val="16"/>
          <w:szCs w:val="16"/>
        </w:rPr>
        <w:t>, el objetivo original “Decisiones de los órganos pertinentes del PCT hasta el final de 2015” ha sido modificado para facilitar la evaluación de los progresos realizados en el desarrollo del Sistema del PCT, en sintonía con las recomendaciones de la hoja de ruta del PCT.</w:t>
      </w:r>
    </w:p>
  </w:footnote>
  <w:footnote w:id="19">
    <w:p w:rsidR="008F093A" w:rsidRPr="001E296E" w:rsidRDefault="008F093A" w:rsidP="00CF11D1">
      <w:pPr>
        <w:pStyle w:val="FootnoteText"/>
        <w:rPr>
          <w:sz w:val="16"/>
          <w:szCs w:val="16"/>
        </w:rPr>
      </w:pPr>
      <w:r w:rsidRPr="001E296E">
        <w:rPr>
          <w:rStyle w:val="FootnoteReference"/>
          <w:sz w:val="16"/>
          <w:szCs w:val="16"/>
        </w:rPr>
        <w:footnoteRef/>
      </w:r>
      <w:r w:rsidRPr="001E296E">
        <w:rPr>
          <w:sz w:val="16"/>
          <w:szCs w:val="16"/>
        </w:rPr>
        <w:t xml:space="preserve"> El incremento de los costos unitarios en 2015 se debió</w:t>
      </w:r>
      <w:r>
        <w:rPr>
          <w:sz w:val="16"/>
          <w:szCs w:val="16"/>
        </w:rPr>
        <w:t xml:space="preserve"> tanto</w:t>
      </w:r>
      <w:r w:rsidRPr="001E296E">
        <w:rPr>
          <w:sz w:val="16"/>
          <w:szCs w:val="16"/>
        </w:rPr>
        <w:t xml:space="preserve"> al aumento de los gastos directos e indirectos </w:t>
      </w:r>
      <w:r>
        <w:rPr>
          <w:sz w:val="16"/>
          <w:szCs w:val="16"/>
        </w:rPr>
        <w:t>como</w:t>
      </w:r>
      <w:r w:rsidRPr="001E296E">
        <w:rPr>
          <w:sz w:val="16"/>
          <w:szCs w:val="16"/>
        </w:rPr>
        <w:t xml:space="preserve"> a la disminución del número de solicitudes publicadas en comparación con 2014.  En la sección “Costo unitario de tramitación de las solicitudes”, que figura en el Anexo</w:t>
      </w:r>
      <w:proofErr w:type="gramStart"/>
      <w:r w:rsidRPr="001E296E">
        <w:rPr>
          <w:sz w:val="16"/>
          <w:szCs w:val="16"/>
        </w:rPr>
        <w:t>:  Indicadores</w:t>
      </w:r>
      <w:proofErr w:type="gramEnd"/>
      <w:r w:rsidRPr="001E296E">
        <w:rPr>
          <w:sz w:val="16"/>
          <w:szCs w:val="16"/>
        </w:rPr>
        <w:t xml:space="preserve"> de las operaciones del PCT, se ofrece una explicación más detallada.</w:t>
      </w:r>
    </w:p>
  </w:footnote>
  <w:footnote w:id="20">
    <w:p w:rsidR="008F093A" w:rsidRPr="001E296E" w:rsidRDefault="008F093A" w:rsidP="00CF11D1">
      <w:pPr>
        <w:pStyle w:val="FootnoteText"/>
        <w:rPr>
          <w:sz w:val="16"/>
          <w:szCs w:val="16"/>
        </w:rPr>
      </w:pPr>
      <w:r w:rsidRPr="001E296E">
        <w:rPr>
          <w:rStyle w:val="FootnoteReference"/>
          <w:sz w:val="16"/>
          <w:szCs w:val="16"/>
        </w:rPr>
        <w:footnoteRef/>
      </w:r>
      <w:r w:rsidRPr="001E296E">
        <w:rPr>
          <w:sz w:val="16"/>
          <w:szCs w:val="16"/>
        </w:rPr>
        <w:t xml:space="preserve"> Esta cifra actualizada en relación con el 95,3% que se indicó en el Informe sobre el rendimiento de los programas en 2014 se calculó utilizando los datos más recientes disponibles.</w:t>
      </w:r>
    </w:p>
  </w:footnote>
  <w:footnote w:id="21">
    <w:p w:rsidR="008F093A" w:rsidRPr="007B2775" w:rsidRDefault="008F093A" w:rsidP="00CF11D1">
      <w:pPr>
        <w:tabs>
          <w:tab w:val="left" w:pos="330"/>
        </w:tabs>
        <w:spacing w:after="120"/>
        <w:rPr>
          <w:sz w:val="16"/>
          <w:szCs w:val="16"/>
          <w:lang w:val="es-ES_tradnl"/>
        </w:rPr>
      </w:pPr>
      <w:r w:rsidRPr="007B2775">
        <w:rPr>
          <w:rStyle w:val="FootnoteReference"/>
          <w:sz w:val="16"/>
          <w:szCs w:val="16"/>
        </w:rPr>
        <w:footnoteRef/>
      </w:r>
      <w:r>
        <w:rPr>
          <w:sz w:val="16"/>
          <w:szCs w:val="16"/>
          <w:lang w:val="es-ES_tradnl"/>
        </w:rPr>
        <w:t xml:space="preserve"> </w:t>
      </w:r>
      <w:r w:rsidRPr="007B2775">
        <w:rPr>
          <w:sz w:val="16"/>
          <w:szCs w:val="16"/>
          <w:lang w:val="es-ES_tradnl"/>
        </w:rPr>
        <w:t>Se entiende por ejemplar original una solicitud PCT que, una vez presentada ante una Oficina receptora, es tramitada y remitida por ésta a la Oficina Internacional.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Oficina Internacional, no se ajustan fielmente a las tendencias relativas a la presentación de solicitudes PCT.</w:t>
      </w:r>
    </w:p>
  </w:footnote>
  <w:footnote w:id="22">
    <w:p w:rsidR="008F093A" w:rsidRPr="007B2775" w:rsidRDefault="008F093A" w:rsidP="00CF11D1">
      <w:pPr>
        <w:rPr>
          <w:sz w:val="16"/>
          <w:szCs w:val="16"/>
          <w:lang w:val="es-ES_tradnl"/>
        </w:rPr>
      </w:pPr>
      <w:r w:rsidRPr="007B2775">
        <w:rPr>
          <w:rStyle w:val="FootnoteReference"/>
          <w:sz w:val="16"/>
          <w:szCs w:val="16"/>
        </w:rPr>
        <w:footnoteRef/>
      </w:r>
      <w:r w:rsidRPr="007B2775">
        <w:rPr>
          <w:sz w:val="16"/>
          <w:szCs w:val="16"/>
          <w:lang w:val="es-ES_tradnl"/>
        </w:rPr>
        <w:t xml:space="preserve"> Tras una revisión independiente de los parámetros de rendimiento del Servicio de Sistemas de Información del PCT, su definición se modificó ligeramente con respecto a la que se describe en el presupuesto por programas de </w:t>
      </w:r>
      <w:r w:rsidRPr="007B2775">
        <w:rPr>
          <w:sz w:val="16"/>
          <w:szCs w:val="16"/>
          <w:highlight w:val="white"/>
          <w:lang w:val="es-ES_tradnl"/>
        </w:rPr>
        <w:t>2014/15</w:t>
      </w:r>
    </w:p>
  </w:footnote>
  <w:footnote w:id="23">
    <w:p w:rsidR="008F093A" w:rsidRPr="00D37997" w:rsidRDefault="008F093A" w:rsidP="00CF11D1">
      <w:pPr>
        <w:pStyle w:val="FootnoteText"/>
        <w:rPr>
          <w:sz w:val="16"/>
          <w:szCs w:val="16"/>
          <w:lang w:val="es-ES_tradnl"/>
        </w:rPr>
      </w:pPr>
      <w:r w:rsidRPr="000C22A0">
        <w:rPr>
          <w:rStyle w:val="FootnoteReference"/>
          <w:sz w:val="16"/>
          <w:szCs w:val="16"/>
        </w:rPr>
        <w:footnoteRef/>
      </w:r>
      <w:r w:rsidRPr="00D37997">
        <w:rPr>
          <w:sz w:val="16"/>
          <w:szCs w:val="16"/>
          <w:lang w:val="es-ES_tradnl"/>
        </w:rPr>
        <w:t xml:space="preserve">  Los datos se han actualizado a fin de reflejar las cifras m</w:t>
      </w:r>
      <w:r>
        <w:rPr>
          <w:sz w:val="16"/>
          <w:szCs w:val="16"/>
          <w:lang w:val="es-ES_tradnl"/>
        </w:rPr>
        <w:t xml:space="preserve">ás recientes obtenidas desde que se finalizó el Informe sobre el rendimiento de los programas en </w:t>
      </w:r>
      <w:r w:rsidRPr="00D37997">
        <w:rPr>
          <w:sz w:val="16"/>
          <w:szCs w:val="16"/>
          <w:lang w:val="es-ES_tradnl"/>
        </w:rPr>
        <w:t>2014.</w:t>
      </w:r>
    </w:p>
  </w:footnote>
  <w:footnote w:id="24">
    <w:p w:rsidR="008F093A" w:rsidRPr="00D37997" w:rsidRDefault="008F093A" w:rsidP="00CF11D1">
      <w:pPr>
        <w:pStyle w:val="FootnoteText"/>
        <w:rPr>
          <w:sz w:val="16"/>
          <w:szCs w:val="16"/>
          <w:lang w:val="es-ES_tradnl"/>
        </w:rPr>
      </w:pPr>
      <w:r w:rsidRPr="000C22A0">
        <w:rPr>
          <w:rStyle w:val="FootnoteReference"/>
          <w:sz w:val="16"/>
          <w:szCs w:val="16"/>
        </w:rPr>
        <w:footnoteRef/>
      </w:r>
      <w:r w:rsidRPr="00D37997">
        <w:rPr>
          <w:sz w:val="16"/>
          <w:szCs w:val="16"/>
          <w:lang w:val="es-ES_tradnl"/>
        </w:rPr>
        <w:t xml:space="preserve">  </w:t>
      </w:r>
      <w:r>
        <w:rPr>
          <w:sz w:val="16"/>
          <w:szCs w:val="16"/>
          <w:lang w:val="es-ES_tradnl"/>
        </w:rPr>
        <w:t>Para calcular la</w:t>
      </w:r>
      <w:r w:rsidRPr="00D37997">
        <w:rPr>
          <w:sz w:val="16"/>
          <w:szCs w:val="16"/>
          <w:lang w:val="es-ES_tradnl"/>
        </w:rPr>
        <w:t xml:space="preserve"> cifra actualizada en relación con el 95,3% publicad</w:t>
      </w:r>
      <w:r>
        <w:rPr>
          <w:sz w:val="16"/>
          <w:szCs w:val="16"/>
          <w:lang w:val="es-ES_tradnl"/>
        </w:rPr>
        <w:t>o</w:t>
      </w:r>
      <w:r w:rsidRPr="00D37997">
        <w:rPr>
          <w:sz w:val="16"/>
          <w:szCs w:val="16"/>
          <w:lang w:val="es-ES_tradnl"/>
        </w:rPr>
        <w:t xml:space="preserve"> </w:t>
      </w:r>
      <w:r>
        <w:rPr>
          <w:sz w:val="16"/>
          <w:szCs w:val="16"/>
          <w:lang w:val="es-ES_tradnl"/>
        </w:rPr>
        <w:t>en el Informe sobre el rendimiento de los programas en 2014</w:t>
      </w:r>
      <w:r w:rsidRPr="00D37997">
        <w:rPr>
          <w:sz w:val="16"/>
          <w:szCs w:val="16"/>
          <w:lang w:val="es-ES_tradnl"/>
        </w:rPr>
        <w:t xml:space="preserve"> </w:t>
      </w:r>
      <w:r>
        <w:rPr>
          <w:sz w:val="16"/>
          <w:szCs w:val="16"/>
          <w:lang w:val="es-ES_tradnl"/>
        </w:rPr>
        <w:t>se utilizaron los datos más actualizados</w:t>
      </w:r>
      <w:r w:rsidRPr="00D37997">
        <w:rPr>
          <w:sz w:val="16"/>
          <w:szCs w:val="16"/>
          <w:lang w:val="es-ES_tradnl"/>
        </w:rPr>
        <w:t>.</w:t>
      </w:r>
    </w:p>
  </w:footnote>
  <w:footnote w:id="25">
    <w:p w:rsidR="008F093A" w:rsidRPr="00584C89" w:rsidRDefault="008F093A" w:rsidP="00DC1333">
      <w:pPr>
        <w:pStyle w:val="FootnoteText"/>
        <w:rPr>
          <w:sz w:val="16"/>
          <w:szCs w:val="16"/>
        </w:rPr>
      </w:pPr>
      <w:r w:rsidRPr="00E808CB">
        <w:rPr>
          <w:rStyle w:val="FootnoteReference"/>
          <w:sz w:val="16"/>
          <w:szCs w:val="16"/>
        </w:rPr>
        <w:footnoteRef/>
      </w:r>
      <w:r w:rsidRPr="00584C89">
        <w:rPr>
          <w:sz w:val="16"/>
          <w:szCs w:val="16"/>
        </w:rPr>
        <w:t xml:space="preserve"> Corrección</w:t>
      </w:r>
      <w:proofErr w:type="gramStart"/>
      <w:r w:rsidRPr="00584C89">
        <w:rPr>
          <w:sz w:val="16"/>
          <w:szCs w:val="16"/>
        </w:rPr>
        <w:t>:  El</w:t>
      </w:r>
      <w:proofErr w:type="gramEnd"/>
      <w:r w:rsidRPr="00584C89">
        <w:rPr>
          <w:sz w:val="16"/>
          <w:szCs w:val="16"/>
        </w:rPr>
        <w:t xml:space="preserve"> porcentaje de irregularidades</w:t>
      </w:r>
      <w:r>
        <w:rPr>
          <w:sz w:val="16"/>
          <w:szCs w:val="16"/>
        </w:rPr>
        <w:t xml:space="preserve"> a fines de 2013</w:t>
      </w:r>
      <w:r w:rsidRPr="00584C89">
        <w:rPr>
          <w:sz w:val="16"/>
          <w:szCs w:val="16"/>
        </w:rPr>
        <w:t xml:space="preserve"> </w:t>
      </w:r>
      <w:r>
        <w:rPr>
          <w:sz w:val="16"/>
          <w:szCs w:val="16"/>
        </w:rPr>
        <w:t xml:space="preserve">fue </w:t>
      </w:r>
      <w:r w:rsidRPr="00584C89">
        <w:rPr>
          <w:sz w:val="16"/>
          <w:szCs w:val="16"/>
        </w:rPr>
        <w:t>del 32</w:t>
      </w:r>
      <w:r>
        <w:rPr>
          <w:sz w:val="16"/>
          <w:szCs w:val="16"/>
        </w:rPr>
        <w:t>% y no del 36%,</w:t>
      </w:r>
      <w:r w:rsidRPr="00584C89">
        <w:rPr>
          <w:sz w:val="16"/>
          <w:szCs w:val="16"/>
        </w:rPr>
        <w:t xml:space="preserve"> como se indica en el </w:t>
      </w:r>
      <w:r>
        <w:rPr>
          <w:sz w:val="16"/>
          <w:szCs w:val="16"/>
        </w:rPr>
        <w:t xml:space="preserve">informe sobre el rendimiento de los programas de </w:t>
      </w:r>
      <w:r w:rsidRPr="00584C89">
        <w:rPr>
          <w:sz w:val="16"/>
          <w:szCs w:val="16"/>
        </w:rPr>
        <w:t>2014</w:t>
      </w:r>
      <w:r>
        <w:rPr>
          <w:sz w:val="16"/>
          <w:szCs w:val="16"/>
        </w:rPr>
        <w:t>.</w:t>
      </w:r>
    </w:p>
  </w:footnote>
  <w:footnote w:id="26">
    <w:p w:rsidR="008F093A" w:rsidRPr="007A310A" w:rsidRDefault="008F093A" w:rsidP="00DC1333">
      <w:pPr>
        <w:pStyle w:val="FootnoteText"/>
        <w:rPr>
          <w:sz w:val="16"/>
          <w:szCs w:val="16"/>
        </w:rPr>
      </w:pPr>
      <w:r w:rsidRPr="00E808CB">
        <w:rPr>
          <w:rStyle w:val="FootnoteReference"/>
          <w:sz w:val="16"/>
          <w:szCs w:val="16"/>
        </w:rPr>
        <w:footnoteRef/>
      </w:r>
      <w:r w:rsidRPr="007A310A">
        <w:rPr>
          <w:sz w:val="16"/>
          <w:szCs w:val="16"/>
        </w:rPr>
        <w:t xml:space="preserve"> Corrección</w:t>
      </w:r>
      <w:proofErr w:type="gramStart"/>
      <w:r w:rsidRPr="007A310A">
        <w:rPr>
          <w:sz w:val="16"/>
          <w:szCs w:val="16"/>
        </w:rPr>
        <w:t>:  El</w:t>
      </w:r>
      <w:proofErr w:type="gramEnd"/>
      <w:r w:rsidRPr="007A310A">
        <w:rPr>
          <w:sz w:val="16"/>
          <w:szCs w:val="16"/>
        </w:rPr>
        <w:t xml:space="preserve"> porcentaje de irregularidades a fines de 2012 fue del 32</w:t>
      </w:r>
      <w:r>
        <w:rPr>
          <w:sz w:val="16"/>
          <w:szCs w:val="16"/>
        </w:rPr>
        <w:t>%</w:t>
      </w:r>
      <w:r w:rsidRPr="007A310A">
        <w:rPr>
          <w:sz w:val="16"/>
          <w:szCs w:val="16"/>
        </w:rPr>
        <w:t xml:space="preserve"> y no del 34</w:t>
      </w:r>
      <w:r>
        <w:rPr>
          <w:sz w:val="16"/>
          <w:szCs w:val="16"/>
        </w:rPr>
        <w:t>%,</w:t>
      </w:r>
      <w:r w:rsidRPr="007A310A">
        <w:rPr>
          <w:sz w:val="16"/>
          <w:szCs w:val="16"/>
        </w:rPr>
        <w:t xml:space="preserve"> como se indica </w:t>
      </w:r>
      <w:r w:rsidRPr="00584C89">
        <w:rPr>
          <w:sz w:val="16"/>
          <w:szCs w:val="16"/>
        </w:rPr>
        <w:t xml:space="preserve">en el </w:t>
      </w:r>
      <w:r>
        <w:rPr>
          <w:sz w:val="16"/>
          <w:szCs w:val="16"/>
        </w:rPr>
        <w:t xml:space="preserve">informe sobre el rendimiento de los programas de </w:t>
      </w:r>
      <w:r w:rsidRPr="00584C89">
        <w:rPr>
          <w:sz w:val="16"/>
          <w:szCs w:val="16"/>
        </w:rPr>
        <w:t xml:space="preserve">2014 </w:t>
      </w:r>
      <w:r>
        <w:rPr>
          <w:sz w:val="16"/>
          <w:szCs w:val="16"/>
        </w:rPr>
        <w:t xml:space="preserve">y en el presupuesto por programas del bienio </w:t>
      </w:r>
      <w:r w:rsidRPr="00584C89">
        <w:rPr>
          <w:sz w:val="16"/>
          <w:szCs w:val="16"/>
        </w:rPr>
        <w:t>2014/15</w:t>
      </w:r>
      <w:r w:rsidRPr="007A310A">
        <w:rPr>
          <w:sz w:val="16"/>
          <w:szCs w:val="16"/>
        </w:rPr>
        <w:t>.</w:t>
      </w:r>
    </w:p>
  </w:footnote>
  <w:footnote w:id="27">
    <w:p w:rsidR="008F093A" w:rsidRPr="00EF42DF" w:rsidRDefault="008F093A">
      <w:pPr>
        <w:pStyle w:val="FootnoteText"/>
        <w:rPr>
          <w:sz w:val="16"/>
          <w:szCs w:val="16"/>
        </w:rPr>
      </w:pPr>
      <w:r w:rsidRPr="00287BA8">
        <w:rPr>
          <w:rStyle w:val="FootnoteReference"/>
          <w:sz w:val="16"/>
          <w:szCs w:val="16"/>
        </w:rPr>
        <w:footnoteRef/>
      </w:r>
      <w:r w:rsidRPr="007A310A">
        <w:rPr>
          <w:sz w:val="16"/>
          <w:szCs w:val="16"/>
        </w:rPr>
        <w:t xml:space="preserve"> Corrección</w:t>
      </w:r>
      <w:proofErr w:type="gramStart"/>
      <w:r w:rsidRPr="007A310A">
        <w:rPr>
          <w:sz w:val="16"/>
          <w:szCs w:val="16"/>
        </w:rPr>
        <w:t>:  En</w:t>
      </w:r>
      <w:proofErr w:type="gramEnd"/>
      <w:r w:rsidRPr="007A310A">
        <w:rPr>
          <w:sz w:val="16"/>
          <w:szCs w:val="16"/>
        </w:rPr>
        <w:t xml:space="preserve"> </w:t>
      </w:r>
      <w:r>
        <w:rPr>
          <w:sz w:val="16"/>
          <w:szCs w:val="16"/>
        </w:rPr>
        <w:t>la columna de “Datos sobre el rendimiento” d</w:t>
      </w:r>
      <w:r w:rsidRPr="007A310A">
        <w:rPr>
          <w:sz w:val="16"/>
          <w:szCs w:val="16"/>
        </w:rPr>
        <w:t>el informe sobre rendimiento de los programas de 2014, se indic</w:t>
      </w:r>
      <w:r>
        <w:rPr>
          <w:sz w:val="16"/>
          <w:szCs w:val="16"/>
        </w:rPr>
        <w:t>ó de manera incorrecta que el porcentaje de irregularidades era del 36%</w:t>
      </w:r>
      <w:r w:rsidRPr="007A310A">
        <w:rPr>
          <w:sz w:val="16"/>
          <w:szCs w:val="16"/>
        </w:rPr>
        <w:t xml:space="preserve">.  </w:t>
      </w:r>
      <w:r>
        <w:rPr>
          <w:sz w:val="16"/>
          <w:szCs w:val="16"/>
        </w:rPr>
        <w:t>El porcentaje correcto es el 34%</w:t>
      </w:r>
      <w:r w:rsidRPr="00EF42DF">
        <w:rPr>
          <w:sz w:val="16"/>
          <w:szCs w:val="16"/>
        </w:rPr>
        <w:t>.</w:t>
      </w:r>
    </w:p>
  </w:footnote>
  <w:footnote w:id="28">
    <w:p w:rsidR="008F093A" w:rsidRPr="00EF42DF" w:rsidRDefault="008F093A">
      <w:pPr>
        <w:pStyle w:val="FootnoteText"/>
        <w:rPr>
          <w:sz w:val="16"/>
          <w:szCs w:val="16"/>
        </w:rPr>
      </w:pPr>
      <w:r w:rsidRPr="00D63292">
        <w:rPr>
          <w:rStyle w:val="FootnoteReference"/>
          <w:sz w:val="16"/>
          <w:szCs w:val="16"/>
        </w:rPr>
        <w:footnoteRef/>
      </w:r>
      <w:r w:rsidRPr="00EF42DF">
        <w:rPr>
          <w:sz w:val="16"/>
          <w:szCs w:val="16"/>
        </w:rPr>
        <w:t xml:space="preserve">  </w:t>
      </w:r>
      <w:r>
        <w:rPr>
          <w:sz w:val="16"/>
          <w:szCs w:val="16"/>
        </w:rPr>
        <w:t xml:space="preserve">El objetivo previsto </w:t>
      </w:r>
      <w:r w:rsidRPr="00EF42DF">
        <w:rPr>
          <w:sz w:val="16"/>
          <w:szCs w:val="16"/>
        </w:rPr>
        <w:t>para 2014</w:t>
      </w:r>
      <w:proofErr w:type="gramStart"/>
      <w:r w:rsidRPr="00EF42DF">
        <w:rPr>
          <w:sz w:val="16"/>
          <w:szCs w:val="16"/>
        </w:rPr>
        <w:t xml:space="preserve">: </w:t>
      </w:r>
      <w:r>
        <w:rPr>
          <w:sz w:val="16"/>
          <w:szCs w:val="16"/>
        </w:rPr>
        <w:t xml:space="preserve"> </w:t>
      </w:r>
      <w:r w:rsidRPr="00EF42DF">
        <w:rPr>
          <w:sz w:val="16"/>
          <w:szCs w:val="16"/>
        </w:rPr>
        <w:t>Registros</w:t>
      </w:r>
      <w:proofErr w:type="gramEnd"/>
      <w:r w:rsidRPr="00EF42DF">
        <w:rPr>
          <w:sz w:val="16"/>
          <w:szCs w:val="16"/>
        </w:rPr>
        <w:t xml:space="preserve"> y renovaciones (71.676).</w:t>
      </w:r>
    </w:p>
  </w:footnote>
  <w:footnote w:id="29">
    <w:p w:rsidR="008F093A" w:rsidRPr="00EF42DF" w:rsidRDefault="008F093A">
      <w:pPr>
        <w:pStyle w:val="FootnoteText"/>
      </w:pPr>
      <w:r w:rsidRPr="00EF42DF">
        <w:rPr>
          <w:rStyle w:val="FootnoteReference"/>
          <w:sz w:val="16"/>
          <w:szCs w:val="16"/>
        </w:rPr>
        <w:footnoteRef/>
      </w:r>
      <w:r w:rsidRPr="00EF42DF">
        <w:t xml:space="preserve"> </w:t>
      </w:r>
      <w:r w:rsidRPr="00EF42DF">
        <w:rPr>
          <w:sz w:val="16"/>
          <w:szCs w:val="16"/>
        </w:rPr>
        <w:t xml:space="preserve">La variación porcentual y la </w:t>
      </w:r>
      <w:r>
        <w:rPr>
          <w:sz w:val="16"/>
          <w:szCs w:val="16"/>
        </w:rPr>
        <w:t>clasificación de</w:t>
      </w:r>
      <w:r w:rsidRPr="00EF42DF">
        <w:rPr>
          <w:sz w:val="16"/>
          <w:szCs w:val="16"/>
        </w:rPr>
        <w:t xml:space="preserve"> 2015 se calculan a partir de</w:t>
      </w:r>
      <w:r>
        <w:rPr>
          <w:sz w:val="16"/>
          <w:szCs w:val="16"/>
        </w:rPr>
        <w:t xml:space="preserve">l objetivo previsto para </w:t>
      </w:r>
      <w:r w:rsidRPr="00EF42DF">
        <w:rPr>
          <w:sz w:val="16"/>
          <w:szCs w:val="16"/>
        </w:rPr>
        <w:t>2014</w:t>
      </w:r>
      <w:r>
        <w:rPr>
          <w:sz w:val="16"/>
          <w:szCs w:val="16"/>
        </w:rPr>
        <w:t>, esto es, dando por supuesto que el objetivo previsto para 2014 se haya alcanzado</w:t>
      </w:r>
      <w:r w:rsidRPr="00EF42DF">
        <w:rPr>
          <w:sz w:val="16"/>
          <w:szCs w:val="16"/>
        </w:rPr>
        <w:t xml:space="preserve">.  La variación porcentual real entre 2014 y 2015 indicó un aumento </w:t>
      </w:r>
      <w:r>
        <w:rPr>
          <w:sz w:val="16"/>
          <w:szCs w:val="16"/>
        </w:rPr>
        <w:t xml:space="preserve">del 18% de </w:t>
      </w:r>
      <w:r w:rsidRPr="00EF42DF">
        <w:rPr>
          <w:sz w:val="16"/>
          <w:szCs w:val="16"/>
        </w:rPr>
        <w:t xml:space="preserve">los registros y </w:t>
      </w:r>
      <w:r>
        <w:rPr>
          <w:sz w:val="16"/>
          <w:szCs w:val="16"/>
        </w:rPr>
        <w:t xml:space="preserve">las </w:t>
      </w:r>
      <w:r w:rsidRPr="00EF42DF">
        <w:rPr>
          <w:sz w:val="16"/>
          <w:szCs w:val="16"/>
        </w:rPr>
        <w:t>renovaciones.</w:t>
      </w:r>
    </w:p>
  </w:footnote>
  <w:footnote w:id="30">
    <w:p w:rsidR="008F093A" w:rsidRPr="00806403" w:rsidRDefault="008F093A">
      <w:pPr>
        <w:pStyle w:val="FootnoteText"/>
      </w:pPr>
      <w:r w:rsidRPr="00EF42DF">
        <w:rPr>
          <w:rStyle w:val="FootnoteReference"/>
          <w:sz w:val="16"/>
          <w:szCs w:val="16"/>
        </w:rPr>
        <w:footnoteRef/>
      </w:r>
      <w:r w:rsidRPr="00EF42DF">
        <w:t xml:space="preserve"> </w:t>
      </w:r>
      <w:r w:rsidRPr="00EF42DF">
        <w:rPr>
          <w:sz w:val="16"/>
          <w:szCs w:val="16"/>
        </w:rPr>
        <w:t xml:space="preserve">La variación porcentual y la </w:t>
      </w:r>
      <w:r>
        <w:rPr>
          <w:sz w:val="16"/>
          <w:szCs w:val="16"/>
        </w:rPr>
        <w:t xml:space="preserve">clasificación de </w:t>
      </w:r>
      <w:r w:rsidRPr="00EF42DF">
        <w:rPr>
          <w:sz w:val="16"/>
          <w:szCs w:val="16"/>
        </w:rPr>
        <w:t>2015 se calculan a partir de</w:t>
      </w:r>
      <w:r>
        <w:rPr>
          <w:sz w:val="16"/>
          <w:szCs w:val="16"/>
        </w:rPr>
        <w:t xml:space="preserve">l objetivo previsto para </w:t>
      </w:r>
      <w:r w:rsidRPr="00EF42DF">
        <w:rPr>
          <w:sz w:val="16"/>
          <w:szCs w:val="16"/>
        </w:rPr>
        <w:t>2014</w:t>
      </w:r>
      <w:r>
        <w:rPr>
          <w:sz w:val="16"/>
          <w:szCs w:val="16"/>
        </w:rPr>
        <w:t>, esto es, dando por supuesto que el objetivo previsto para 2014 se haya alcanzado</w:t>
      </w:r>
      <w:r w:rsidRPr="00EF42DF">
        <w:rPr>
          <w:sz w:val="16"/>
          <w:szCs w:val="16"/>
        </w:rPr>
        <w:t xml:space="preserve">.  </w:t>
      </w:r>
      <w:r w:rsidRPr="00806403">
        <w:rPr>
          <w:sz w:val="16"/>
          <w:szCs w:val="16"/>
        </w:rPr>
        <w:t>La variación porcentual real entre 2014 y 2015 indicó un aumento del 0,9</w:t>
      </w:r>
      <w:r>
        <w:rPr>
          <w:sz w:val="16"/>
          <w:szCs w:val="16"/>
        </w:rPr>
        <w:t xml:space="preserve">% </w:t>
      </w:r>
      <w:r w:rsidRPr="00806403">
        <w:rPr>
          <w:sz w:val="16"/>
          <w:szCs w:val="16"/>
        </w:rPr>
        <w:t>de las correcciones.</w:t>
      </w:r>
    </w:p>
  </w:footnote>
  <w:footnote w:id="31">
    <w:p w:rsidR="008F093A" w:rsidRPr="004866BC" w:rsidRDefault="008F093A" w:rsidP="00DC1333">
      <w:pPr>
        <w:pStyle w:val="FootnoteText"/>
      </w:pPr>
      <w:r w:rsidRPr="00EF42DF">
        <w:rPr>
          <w:rStyle w:val="FootnoteReference"/>
          <w:sz w:val="16"/>
          <w:szCs w:val="16"/>
        </w:rPr>
        <w:footnoteRef/>
      </w:r>
      <w:r w:rsidRPr="004866BC">
        <w:rPr>
          <w:sz w:val="16"/>
          <w:szCs w:val="16"/>
        </w:rPr>
        <w:t xml:space="preserve"> </w:t>
      </w:r>
      <w:r w:rsidRPr="00EF42DF">
        <w:rPr>
          <w:sz w:val="16"/>
          <w:szCs w:val="16"/>
          <w:lang w:val="es-ES_tradnl"/>
        </w:rPr>
        <w:t>La escala empleada en 2012 manejaba un conjunto diferente de criterios</w:t>
      </w:r>
      <w:r w:rsidRPr="00EF42DF">
        <w:rPr>
          <w:lang w:val="es-ES_tradnl"/>
        </w:rPr>
        <w:t>.</w:t>
      </w:r>
      <w:r w:rsidRPr="004866BC">
        <w:rPr>
          <w:sz w:val="16"/>
          <w:szCs w:val="16"/>
        </w:rPr>
        <w:t xml:space="preserve">  </w:t>
      </w:r>
      <w:r w:rsidRPr="00EF42DF">
        <w:rPr>
          <w:sz w:val="16"/>
          <w:szCs w:val="16"/>
          <w:lang w:val="es-ES_tradnl"/>
        </w:rPr>
        <w:t xml:space="preserve">Se </w:t>
      </w:r>
      <w:r>
        <w:rPr>
          <w:sz w:val="16"/>
          <w:szCs w:val="16"/>
          <w:lang w:val="es-ES_tradnl"/>
        </w:rPr>
        <w:t xml:space="preserve">afinó </w:t>
      </w:r>
      <w:r w:rsidRPr="00EF42DF">
        <w:rPr>
          <w:sz w:val="16"/>
          <w:szCs w:val="16"/>
          <w:lang w:val="es-ES_tradnl"/>
        </w:rPr>
        <w:t>el conjunto de criterios para 2013 considerando factores más pertinentes.</w:t>
      </w:r>
      <w:r w:rsidRPr="004866BC">
        <w:rPr>
          <w:sz w:val="16"/>
          <w:szCs w:val="16"/>
        </w:rPr>
        <w:t xml:space="preserve">  </w:t>
      </w:r>
      <w:r w:rsidRPr="00EF42DF">
        <w:rPr>
          <w:sz w:val="16"/>
          <w:szCs w:val="16"/>
          <w:lang w:val="es-ES_tradnl"/>
        </w:rPr>
        <w:t xml:space="preserve">Esta modificación explica las diferentes clasificaciones obtenidas para 2013 y 2014 (por ejemplo, 38 y 39 respectivamente) </w:t>
      </w:r>
      <w:r>
        <w:rPr>
          <w:sz w:val="16"/>
          <w:szCs w:val="16"/>
          <w:lang w:val="es-ES_tradnl"/>
        </w:rPr>
        <w:t xml:space="preserve">con respecto a </w:t>
      </w:r>
      <w:r w:rsidRPr="00EF42DF">
        <w:rPr>
          <w:sz w:val="16"/>
          <w:szCs w:val="16"/>
          <w:lang w:val="es-ES_tradnl"/>
        </w:rPr>
        <w:t>2012 (79).</w:t>
      </w:r>
    </w:p>
  </w:footnote>
  <w:footnote w:id="32">
    <w:p w:rsidR="008F093A" w:rsidRPr="000F4512" w:rsidRDefault="008F093A" w:rsidP="00DC1333">
      <w:pPr>
        <w:pStyle w:val="FootnoteText"/>
      </w:pPr>
      <w:r>
        <w:rPr>
          <w:rStyle w:val="FootnoteReference"/>
        </w:rPr>
        <w:footnoteRef/>
      </w:r>
      <w:r w:rsidRPr="000F4512">
        <w:t xml:space="preserve"> </w:t>
      </w:r>
      <w:r>
        <w:rPr>
          <w:sz w:val="16"/>
        </w:rPr>
        <w:t xml:space="preserve">Los </w:t>
      </w:r>
      <w:r w:rsidRPr="000F4512">
        <w:rPr>
          <w:sz w:val="16"/>
        </w:rPr>
        <w:t>gasto</w:t>
      </w:r>
      <w:r>
        <w:rPr>
          <w:sz w:val="16"/>
        </w:rPr>
        <w:t>s</w:t>
      </w:r>
      <w:r w:rsidRPr="000F4512">
        <w:rPr>
          <w:sz w:val="16"/>
        </w:rPr>
        <w:t xml:space="preserve"> relacionado</w:t>
      </w:r>
      <w:r>
        <w:rPr>
          <w:sz w:val="16"/>
        </w:rPr>
        <w:t>s</w:t>
      </w:r>
      <w:r w:rsidRPr="000F4512">
        <w:rPr>
          <w:sz w:val="16"/>
        </w:rPr>
        <w:t xml:space="preserve"> con </w:t>
      </w:r>
      <w:r>
        <w:rPr>
          <w:sz w:val="16"/>
        </w:rPr>
        <w:t xml:space="preserve">la traducción y </w:t>
      </w:r>
      <w:r w:rsidRPr="000F4512">
        <w:rPr>
          <w:sz w:val="16"/>
        </w:rPr>
        <w:t>las innovaciones en materia T.I. de los Sistemas de La Haya y de Lisboa s</w:t>
      </w:r>
      <w:r>
        <w:rPr>
          <w:sz w:val="16"/>
        </w:rPr>
        <w:t>on parte</w:t>
      </w:r>
      <w:r w:rsidRPr="000F4512">
        <w:rPr>
          <w:sz w:val="16"/>
        </w:rPr>
        <w:t xml:space="preserve"> fundamental de</w:t>
      </w:r>
      <w:r>
        <w:rPr>
          <w:sz w:val="16"/>
        </w:rPr>
        <w:t xml:space="preserve">l </w:t>
      </w:r>
      <w:r w:rsidRPr="000F4512">
        <w:rPr>
          <w:sz w:val="16"/>
        </w:rPr>
        <w:t>gasto del Programa 6.  Actualmente no existe una metodología que permita separar estos gastos de los gastos del Sistema de Madrid.</w:t>
      </w:r>
    </w:p>
  </w:footnote>
  <w:footnote w:id="33">
    <w:p w:rsidR="008F093A" w:rsidRPr="00326CF6" w:rsidRDefault="008F093A" w:rsidP="00DC1333">
      <w:pPr>
        <w:pStyle w:val="FootnoteText"/>
      </w:pPr>
      <w:r>
        <w:rPr>
          <w:rStyle w:val="FootnoteReference"/>
        </w:rPr>
        <w:footnoteRef/>
      </w:r>
      <w:r w:rsidRPr="00326CF6">
        <w:t xml:space="preserve"> </w:t>
      </w:r>
      <w:r w:rsidRPr="00326CF6">
        <w:rPr>
          <w:sz w:val="16"/>
        </w:rPr>
        <w:t xml:space="preserve">El Registro de Lisboa fue creado como una unidad presupuestaria independiente </w:t>
      </w:r>
      <w:r>
        <w:rPr>
          <w:sz w:val="16"/>
        </w:rPr>
        <w:t xml:space="preserve">solo a partir de </w:t>
      </w:r>
      <w:r w:rsidRPr="00326CF6">
        <w:rPr>
          <w:sz w:val="16"/>
        </w:rPr>
        <w:t xml:space="preserve">2015.  </w:t>
      </w:r>
      <w:r>
        <w:rPr>
          <w:sz w:val="16"/>
        </w:rPr>
        <w:t>Para lo</w:t>
      </w:r>
      <w:r w:rsidRPr="00326CF6">
        <w:rPr>
          <w:sz w:val="16"/>
        </w:rPr>
        <w:t>s años anteriores a 2015, los gastos del Sistema de Lisboa se incluyen en el costo total de producci</w:t>
      </w:r>
      <w:r>
        <w:rPr>
          <w:sz w:val="16"/>
        </w:rPr>
        <w:t>ón del Sistema de Madrid</w:t>
      </w:r>
      <w:r w:rsidRPr="00326CF6">
        <w:rPr>
          <w:sz w:val="16"/>
        </w:rPr>
        <w:t xml:space="preserve">. </w:t>
      </w:r>
    </w:p>
  </w:footnote>
  <w:footnote w:id="34">
    <w:p w:rsidR="008F093A" w:rsidRPr="006645C1" w:rsidRDefault="008F093A" w:rsidP="00DC1333">
      <w:pPr>
        <w:pStyle w:val="FootnoteText"/>
      </w:pPr>
      <w:r w:rsidRPr="0043175E">
        <w:rPr>
          <w:rStyle w:val="FootnoteReference"/>
        </w:rPr>
        <w:footnoteRef/>
      </w:r>
      <w:r>
        <w:t xml:space="preserve"> </w:t>
      </w:r>
      <w:r w:rsidRPr="006645C1">
        <w:t>Véase el “Volumen total de trabajo” más arriba.</w:t>
      </w:r>
    </w:p>
  </w:footnote>
  <w:footnote w:id="35">
    <w:p w:rsidR="008F093A" w:rsidRPr="00D62B21" w:rsidRDefault="008F093A" w:rsidP="00DC1333">
      <w:pPr>
        <w:pStyle w:val="FootnoteText"/>
        <w:rPr>
          <w:sz w:val="16"/>
          <w:szCs w:val="16"/>
        </w:rPr>
      </w:pPr>
      <w:r w:rsidRPr="007B2775">
        <w:rPr>
          <w:rStyle w:val="FootnoteReference"/>
          <w:sz w:val="16"/>
          <w:szCs w:val="16"/>
        </w:rPr>
        <w:footnoteRef/>
      </w:r>
      <w:r w:rsidRPr="00D62B21">
        <w:rPr>
          <w:sz w:val="16"/>
          <w:szCs w:val="16"/>
        </w:rPr>
        <w:t xml:space="preserve">  </w:t>
      </w:r>
      <w:r w:rsidRPr="00D62B21">
        <w:rPr>
          <w:szCs w:val="18"/>
        </w:rPr>
        <w:t>Véase “Volumen total de trabajo” más arriba.</w:t>
      </w:r>
    </w:p>
  </w:footnote>
  <w:footnote w:id="36">
    <w:p w:rsidR="008F093A" w:rsidRPr="006726F5" w:rsidRDefault="008F093A">
      <w:pPr>
        <w:pStyle w:val="FootnoteText"/>
      </w:pPr>
      <w:r>
        <w:rPr>
          <w:rStyle w:val="FootnoteReference"/>
        </w:rPr>
        <w:footnoteRef/>
      </w:r>
      <w:r w:rsidRPr="006726F5">
        <w:t xml:space="preserve"> </w:t>
      </w:r>
      <w:r>
        <w:rPr>
          <w:sz w:val="16"/>
          <w:szCs w:val="16"/>
        </w:rPr>
        <w:t xml:space="preserve">El Marco de Gestión de la Calidad del Registro de Madrid </w:t>
      </w:r>
      <w:r w:rsidRPr="00437C49">
        <w:rPr>
          <w:sz w:val="16"/>
          <w:szCs w:val="16"/>
        </w:rPr>
        <w:t>está disponible</w:t>
      </w:r>
      <w:r>
        <w:rPr>
          <w:sz w:val="16"/>
          <w:szCs w:val="16"/>
        </w:rPr>
        <w:t>,</w:t>
      </w:r>
      <w:r w:rsidRPr="00437C49">
        <w:rPr>
          <w:sz w:val="16"/>
          <w:szCs w:val="16"/>
        </w:rPr>
        <w:t xml:space="preserve"> previa solicitud a </w:t>
      </w:r>
      <w:hyperlink r:id="rId3" w:history="1">
        <w:r w:rsidRPr="00437C49">
          <w:rPr>
            <w:rStyle w:val="Hyperlink"/>
            <w:sz w:val="16"/>
            <w:szCs w:val="16"/>
          </w:rPr>
          <w:t>madrid.qp@wipo.int</w:t>
        </w:r>
      </w:hyperlink>
      <w:r w:rsidRPr="007F0A8E">
        <w:rPr>
          <w:rStyle w:val="Hyperlink"/>
          <w:sz w:val="16"/>
          <w:szCs w:val="16"/>
          <w:u w:val="none"/>
        </w:rPr>
        <w:t>.</w:t>
      </w:r>
    </w:p>
  </w:footnote>
  <w:footnote w:id="37">
    <w:p w:rsidR="008F093A" w:rsidRPr="007B2775" w:rsidRDefault="008F093A"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sz w:val="16"/>
          <w:szCs w:val="16"/>
          <w:lang w:val="es-ES_tradnl"/>
        </w:rPr>
        <w:t xml:space="preserve">: </w:t>
      </w:r>
      <w:r>
        <w:rPr>
          <w:sz w:val="16"/>
          <w:szCs w:val="16"/>
          <w:lang w:val="es-ES_tradnl"/>
        </w:rPr>
        <w:t xml:space="preserve"> </w:t>
      </w:r>
      <w:r w:rsidRPr="007B2775">
        <w:rPr>
          <w:sz w:val="16"/>
          <w:szCs w:val="16"/>
          <w:lang w:val="es-ES_tradnl"/>
        </w:rPr>
        <w:t>el</w:t>
      </w:r>
      <w:proofErr w:type="gramEnd"/>
      <w:r w:rsidRPr="007B2775">
        <w:rPr>
          <w:sz w:val="16"/>
          <w:szCs w:val="16"/>
          <w:lang w:val="es-ES_tradnl"/>
        </w:rPr>
        <w:t xml:space="preserve"> número real de dibujos y modelos contenidos en 2012 fue de 12.454, y no 12.506 como figura en el presupuesto por programas de 2014/15</w:t>
      </w:r>
      <w:r w:rsidRPr="007B2775">
        <w:rPr>
          <w:color w:val="000000"/>
          <w:sz w:val="16"/>
          <w:szCs w:val="16"/>
          <w:lang w:val="es-ES_tradnl"/>
        </w:rPr>
        <w:t>, ni 11.971 (número de registros interna</w:t>
      </w:r>
      <w:r>
        <w:rPr>
          <w:color w:val="000000"/>
          <w:sz w:val="16"/>
          <w:szCs w:val="16"/>
          <w:lang w:val="es-ES_tradnl"/>
        </w:rPr>
        <w:t xml:space="preserve">cionales en 2012), como figura </w:t>
      </w:r>
      <w:r w:rsidRPr="007B2775">
        <w:rPr>
          <w:color w:val="000000"/>
          <w:sz w:val="16"/>
          <w:szCs w:val="16"/>
          <w:lang w:val="es-ES_tradnl"/>
        </w:rPr>
        <w:t xml:space="preserve">en el </w:t>
      </w:r>
      <w:r>
        <w:rPr>
          <w:color w:val="000000"/>
          <w:sz w:val="16"/>
          <w:szCs w:val="16"/>
          <w:lang w:val="es-ES_tradnl"/>
        </w:rPr>
        <w:t>Informe sobre el rendimiento de los programas en 2012/13.</w:t>
      </w:r>
    </w:p>
  </w:footnote>
  <w:footnote w:id="38">
    <w:p w:rsidR="008F093A" w:rsidRPr="00AA5176" w:rsidRDefault="008F093A">
      <w:pPr>
        <w:pStyle w:val="FootnoteText"/>
        <w:rPr>
          <w:sz w:val="16"/>
          <w:szCs w:val="16"/>
        </w:rPr>
      </w:pPr>
      <w:r w:rsidRPr="00AA5176">
        <w:rPr>
          <w:rStyle w:val="FootnoteReference"/>
          <w:sz w:val="16"/>
          <w:szCs w:val="16"/>
        </w:rPr>
        <w:footnoteRef/>
      </w:r>
      <w:r w:rsidRPr="00AA5176">
        <w:rPr>
          <w:sz w:val="16"/>
          <w:szCs w:val="16"/>
        </w:rPr>
        <w:t xml:space="preserve"> Objetivos para 2014</w:t>
      </w:r>
      <w:proofErr w:type="gramStart"/>
      <w:r w:rsidRPr="00AA5176">
        <w:rPr>
          <w:sz w:val="16"/>
          <w:szCs w:val="16"/>
        </w:rPr>
        <w:t>:  Solicitudes</w:t>
      </w:r>
      <w:proofErr w:type="gramEnd"/>
      <w:r w:rsidRPr="00AA5176">
        <w:rPr>
          <w:sz w:val="16"/>
          <w:szCs w:val="16"/>
        </w:rPr>
        <w:t xml:space="preserve"> (4.004);  Dibujos y modelos contenidos (17.519);  Renovaciones (2.942).</w:t>
      </w:r>
    </w:p>
  </w:footnote>
  <w:footnote w:id="39">
    <w:p w:rsidR="008F093A" w:rsidRPr="0078582D" w:rsidRDefault="008F093A">
      <w:pPr>
        <w:pStyle w:val="FootnoteText"/>
        <w:rPr>
          <w:sz w:val="16"/>
          <w:szCs w:val="16"/>
        </w:rPr>
      </w:pPr>
      <w:r w:rsidRPr="0078582D">
        <w:rPr>
          <w:rStyle w:val="FootnoteReference"/>
          <w:sz w:val="16"/>
          <w:szCs w:val="16"/>
        </w:rPr>
        <w:footnoteRef/>
      </w:r>
      <w:r w:rsidRPr="0078582D">
        <w:rPr>
          <w:sz w:val="16"/>
          <w:szCs w:val="16"/>
        </w:rPr>
        <w:t xml:space="preserve"> Las diferencias de porcentaje y las cuotas para 2015 se calculan a partir de los objetivos para 2014, es decir, dando por sentado que se habían cumplido los objetivos para 2014.  Las diferencias reales de porcentaje entre 2014 y 2015 son las siguientes</w:t>
      </w:r>
      <w:proofErr w:type="gramStart"/>
      <w:r w:rsidRPr="0078582D">
        <w:rPr>
          <w:sz w:val="16"/>
          <w:szCs w:val="16"/>
        </w:rPr>
        <w:t>:  Solicitudes</w:t>
      </w:r>
      <w:proofErr w:type="gramEnd"/>
      <w:r w:rsidRPr="0078582D">
        <w:rPr>
          <w:sz w:val="16"/>
          <w:szCs w:val="16"/>
        </w:rPr>
        <w:t xml:space="preserve"> (41% de aumento);  Dibujos y modelos contenidos (14% de aumento);  Renovaciones (18% de aumento).</w:t>
      </w:r>
    </w:p>
  </w:footnote>
  <w:footnote w:id="40">
    <w:p w:rsidR="008F093A" w:rsidRPr="007B2775" w:rsidRDefault="008F093A"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proofErr w:type="gramStart"/>
      <w:r w:rsidRPr="007B2775">
        <w:rPr>
          <w:color w:val="000000"/>
          <w:sz w:val="16"/>
          <w:szCs w:val="16"/>
          <w:lang w:val="es-ES_tradnl"/>
        </w:rPr>
        <w:t>:  En</w:t>
      </w:r>
      <w:proofErr w:type="gramEnd"/>
      <w:r w:rsidRPr="007B2775">
        <w:rPr>
          <w:color w:val="000000"/>
          <w:sz w:val="16"/>
          <w:szCs w:val="16"/>
          <w:lang w:val="es-ES_tradnl"/>
        </w:rPr>
        <w:t xml:space="preserve"> el </w:t>
      </w:r>
      <w:r>
        <w:rPr>
          <w:color w:val="000000"/>
          <w:sz w:val="16"/>
          <w:szCs w:val="16"/>
          <w:lang w:val="es-ES_tradnl"/>
        </w:rPr>
        <w:t>Informe sobre el rendimiento de los programas en</w:t>
      </w:r>
      <w:r w:rsidRPr="007B2775">
        <w:rPr>
          <w:color w:val="000000"/>
          <w:sz w:val="16"/>
          <w:szCs w:val="16"/>
          <w:lang w:val="es-ES_tradnl"/>
        </w:rPr>
        <w:t xml:space="preserve"> 2012/13 figuran la renovación y la concesión de protección como dos de los procesos automatizados. </w:t>
      </w:r>
      <w:r w:rsidRPr="007B2775">
        <w:rPr>
          <w:sz w:val="16"/>
          <w:szCs w:val="16"/>
          <w:lang w:val="es-ES_tradnl"/>
        </w:rPr>
        <w:t xml:space="preserve"> </w:t>
      </w:r>
      <w:r w:rsidRPr="007B2775">
        <w:rPr>
          <w:color w:val="000000"/>
          <w:sz w:val="16"/>
          <w:szCs w:val="16"/>
          <w:lang w:val="es-ES_tradnl"/>
        </w:rPr>
        <w:t xml:space="preserve">El proceso de concesión de protección no </w:t>
      </w:r>
      <w:r>
        <w:rPr>
          <w:color w:val="000000"/>
          <w:sz w:val="16"/>
          <w:szCs w:val="16"/>
          <w:lang w:val="es-ES_tradnl"/>
        </w:rPr>
        <w:t>era</w:t>
      </w:r>
      <w:r w:rsidRPr="007B2775">
        <w:rPr>
          <w:color w:val="000000"/>
          <w:sz w:val="16"/>
          <w:szCs w:val="16"/>
          <w:lang w:val="es-ES_tradnl"/>
        </w:rPr>
        <w:t xml:space="preserve"> automatizado </w:t>
      </w:r>
      <w:r>
        <w:rPr>
          <w:color w:val="000000"/>
          <w:sz w:val="16"/>
          <w:szCs w:val="16"/>
          <w:lang w:val="es-ES_tradnl"/>
        </w:rPr>
        <w:t>a finales</w:t>
      </w:r>
      <w:r w:rsidRPr="007B2775">
        <w:rPr>
          <w:color w:val="000000"/>
          <w:sz w:val="16"/>
          <w:szCs w:val="16"/>
          <w:lang w:val="es-ES_tradnl"/>
        </w:rPr>
        <w:t xml:space="preserve"> de 2013.</w:t>
      </w:r>
    </w:p>
  </w:footnote>
  <w:footnote w:id="41">
    <w:p w:rsidR="008F093A" w:rsidRPr="00D84DC9" w:rsidRDefault="008F093A">
      <w:pPr>
        <w:pStyle w:val="FootnoteText"/>
        <w:rPr>
          <w:sz w:val="16"/>
          <w:szCs w:val="16"/>
        </w:rPr>
      </w:pPr>
      <w:r w:rsidRPr="00D84DC9">
        <w:rPr>
          <w:rStyle w:val="FootnoteReference"/>
          <w:sz w:val="16"/>
          <w:szCs w:val="16"/>
        </w:rPr>
        <w:footnoteRef/>
      </w:r>
      <w:r w:rsidRPr="00D84DC9">
        <w:rPr>
          <w:sz w:val="16"/>
          <w:szCs w:val="16"/>
        </w:rPr>
        <w:t xml:space="preserve"> Los datos se han actualizado y reflejan las cifras más recientes recabadas desde que se finalizó el Informe sobre el rendimiento de los programas en 2014.</w:t>
      </w:r>
    </w:p>
  </w:footnote>
  <w:footnote w:id="42">
    <w:p w:rsidR="008F093A" w:rsidRPr="00D84DC9" w:rsidRDefault="008F093A" w:rsidP="00DC1333">
      <w:pPr>
        <w:pStyle w:val="FootnoteText"/>
        <w:rPr>
          <w:sz w:val="16"/>
          <w:szCs w:val="16"/>
          <w:lang w:val="es-ES_tradnl"/>
        </w:rPr>
      </w:pPr>
      <w:r w:rsidRPr="00D84DC9">
        <w:rPr>
          <w:rStyle w:val="FootnoteReference"/>
          <w:sz w:val="16"/>
          <w:szCs w:val="16"/>
        </w:rPr>
        <w:footnoteRef/>
      </w:r>
      <w:r w:rsidRPr="00D84DC9">
        <w:rPr>
          <w:sz w:val="16"/>
          <w:szCs w:val="16"/>
          <w:lang w:val="es-ES_tradnl"/>
        </w:rPr>
        <w:t xml:space="preserve"> En los gráficos relativos al costo total de producción y al costo unitario se presenta el gasto relacionado exclusivamente con el Sistema de La Haya como “costos directos” y el gasto en concepto de actividades de apoyo al Sistema como “costos indirectos”.</w:t>
      </w:r>
    </w:p>
  </w:footnote>
  <w:footnote w:id="43">
    <w:p w:rsidR="008F093A" w:rsidRPr="00D84DC9" w:rsidRDefault="008F093A">
      <w:pPr>
        <w:pStyle w:val="FootnoteText"/>
        <w:rPr>
          <w:sz w:val="16"/>
          <w:szCs w:val="16"/>
        </w:rPr>
      </w:pPr>
      <w:r w:rsidRPr="00D84DC9">
        <w:rPr>
          <w:rStyle w:val="FootnoteReference"/>
          <w:sz w:val="16"/>
          <w:szCs w:val="16"/>
        </w:rPr>
        <w:footnoteRef/>
      </w:r>
      <w:r w:rsidRPr="00D84DC9">
        <w:rPr>
          <w:sz w:val="16"/>
          <w:szCs w:val="16"/>
        </w:rPr>
        <w:t xml:space="preserve"> </w:t>
      </w:r>
      <w:r w:rsidRPr="00D84DC9">
        <w:rPr>
          <w:sz w:val="16"/>
          <w:szCs w:val="16"/>
          <w:lang w:val="es-ES_tradnl"/>
        </w:rPr>
        <w:t>El Sistema de Madrid brinda apoyo al Sistema de La Haya, en particular en tareas de traducción y novedades en materia de T.I.  El gasto derivado de estos servicios no se puede distinguir fácilmente del gasto general relacionado con las tareas de traducción y las novedades en materia de T.I. del programa 6 (Sistemas de Madrid y de Lisboa), por lo que no se incluye.</w:t>
      </w:r>
    </w:p>
  </w:footnote>
  <w:footnote w:id="44">
    <w:p w:rsidR="008F093A" w:rsidRPr="00D84DC9" w:rsidRDefault="008F093A">
      <w:pPr>
        <w:pStyle w:val="FootnoteText"/>
        <w:rPr>
          <w:sz w:val="16"/>
          <w:szCs w:val="16"/>
        </w:rPr>
      </w:pPr>
      <w:r w:rsidRPr="00D84DC9">
        <w:rPr>
          <w:rStyle w:val="FootnoteReference"/>
          <w:sz w:val="16"/>
          <w:szCs w:val="16"/>
        </w:rPr>
        <w:footnoteRef/>
      </w:r>
      <w:r w:rsidRPr="00D84DC9">
        <w:rPr>
          <w:sz w:val="16"/>
          <w:szCs w:val="16"/>
        </w:rPr>
        <w:t xml:space="preserve"> La revisión en cuestión se explicó detalladamente en el</w:t>
      </w:r>
      <w:r>
        <w:rPr>
          <w:sz w:val="16"/>
          <w:szCs w:val="16"/>
        </w:rPr>
        <w:t xml:space="preserve"> documento PPR de</w:t>
      </w:r>
      <w:r w:rsidRPr="00D84DC9">
        <w:rPr>
          <w:sz w:val="16"/>
          <w:szCs w:val="16"/>
        </w:rPr>
        <w:t xml:space="preserve"> 2014, e incluía en particular poner en sintonía la metodología de cálculo de los costos directos e indirectos correspondientes al Sistema de La Haya con las metodologías de cálculo de los costos unitarios correspondientes al Sistema del PCT y al de Madrid.</w:t>
      </w:r>
    </w:p>
  </w:footnote>
  <w:footnote w:id="45">
    <w:p w:rsidR="008F093A" w:rsidRPr="00D84DC9" w:rsidRDefault="008F093A" w:rsidP="00DC1333">
      <w:pPr>
        <w:pStyle w:val="FootnoteText"/>
        <w:rPr>
          <w:sz w:val="16"/>
          <w:szCs w:val="16"/>
          <w:lang w:val="es-ES_tradnl"/>
        </w:rPr>
      </w:pPr>
      <w:r w:rsidRPr="00D84DC9">
        <w:rPr>
          <w:rStyle w:val="FootnoteReference"/>
          <w:sz w:val="16"/>
          <w:szCs w:val="16"/>
        </w:rPr>
        <w:footnoteRef/>
      </w:r>
      <w:r w:rsidRPr="00D84DC9">
        <w:rPr>
          <w:sz w:val="16"/>
          <w:szCs w:val="16"/>
          <w:lang w:val="es-ES_tradnl"/>
        </w:rPr>
        <w:t xml:space="preserve"> Véase la relación entre solicitudes y renovaciones en “Volumen total de trabajo”, </w:t>
      </w:r>
      <w:r w:rsidRPr="00D84DC9">
        <w:rPr>
          <w:i/>
          <w:sz w:val="16"/>
          <w:szCs w:val="16"/>
          <w:lang w:val="es-ES_tradnl"/>
        </w:rPr>
        <w:t>supra</w:t>
      </w:r>
      <w:r w:rsidRPr="00D84DC9">
        <w:rPr>
          <w:sz w:val="16"/>
          <w:szCs w:val="16"/>
          <w:lang w:val="es-ES_tradnl"/>
        </w:rPr>
        <w:t>.</w:t>
      </w:r>
    </w:p>
  </w:footnote>
  <w:footnote w:id="46">
    <w:p w:rsidR="008F093A" w:rsidRPr="00D84DC9" w:rsidRDefault="008F093A">
      <w:pPr>
        <w:pStyle w:val="FootnoteText"/>
        <w:rPr>
          <w:sz w:val="16"/>
          <w:szCs w:val="16"/>
        </w:rPr>
      </w:pPr>
      <w:r w:rsidRPr="00D84DC9">
        <w:rPr>
          <w:rStyle w:val="FootnoteReference"/>
          <w:sz w:val="16"/>
          <w:szCs w:val="16"/>
        </w:rPr>
        <w:footnoteRef/>
      </w:r>
      <w:r w:rsidRPr="00D84DC9">
        <w:rPr>
          <w:sz w:val="16"/>
          <w:szCs w:val="16"/>
        </w:rPr>
        <w:t xml:space="preserve"> Los datos se han actualizado y reflejan las cifras más recientes recabadas desde que se finalizó el Informe sobre el rendimiento de los programas en 2014.</w:t>
      </w:r>
    </w:p>
  </w:footnote>
  <w:footnote w:id="47">
    <w:p w:rsidR="008F093A" w:rsidRPr="007B2775" w:rsidRDefault="008F093A" w:rsidP="00DC1333">
      <w:pPr>
        <w:pStyle w:val="FootnoteText"/>
        <w:rPr>
          <w:sz w:val="16"/>
          <w:szCs w:val="16"/>
        </w:rPr>
      </w:pPr>
      <w:r w:rsidRPr="007B2775">
        <w:rPr>
          <w:rStyle w:val="FootnoteReference"/>
          <w:sz w:val="16"/>
          <w:szCs w:val="16"/>
        </w:rPr>
        <w:footnoteRef/>
      </w:r>
      <w:r w:rsidRPr="007B2775">
        <w:rPr>
          <w:sz w:val="16"/>
          <w:szCs w:val="16"/>
        </w:rPr>
        <w:t xml:space="preserve"> </w:t>
      </w:r>
      <w:r w:rsidRPr="00920943">
        <w:rPr>
          <w:sz w:val="16"/>
          <w:szCs w:val="16"/>
        </w:rPr>
        <w:t>http://www.wipo.int/amc/es/rules/</w:t>
      </w:r>
    </w:p>
  </w:footnote>
  <w:footnote w:id="48">
    <w:p w:rsidR="008F093A" w:rsidRDefault="008F093A">
      <w:pPr>
        <w:pStyle w:val="FootnoteText"/>
      </w:pPr>
      <w:r>
        <w:rPr>
          <w:rStyle w:val="FootnoteReference"/>
        </w:rPr>
        <w:footnoteRef/>
      </w:r>
      <w:r>
        <w:t xml:space="preserve"> </w:t>
      </w:r>
      <w:r w:rsidRPr="00BE0BC5">
        <w:rPr>
          <w:sz w:val="16"/>
          <w:szCs w:val="16"/>
        </w:rPr>
        <w:t>http://www.wipo.int/amc-apps/clause-generator/</w:t>
      </w:r>
    </w:p>
  </w:footnote>
  <w:footnote w:id="49">
    <w:p w:rsidR="008F093A" w:rsidRDefault="008F093A">
      <w:pPr>
        <w:pStyle w:val="FootnoteText"/>
      </w:pPr>
      <w:r>
        <w:rPr>
          <w:rStyle w:val="FootnoteReference"/>
        </w:rPr>
        <w:footnoteRef/>
      </w:r>
      <w:r>
        <w:t xml:space="preserve"> </w:t>
      </w:r>
      <w:r>
        <w:rPr>
          <w:sz w:val="16"/>
          <w:szCs w:val="16"/>
        </w:rPr>
        <w:t>A finales de 2015 se habían registrado un total de 29.567 demandas en los gTLD y 3.520</w:t>
      </w:r>
      <w:r w:rsidRPr="000B3C16">
        <w:rPr>
          <w:sz w:val="16"/>
          <w:szCs w:val="16"/>
        </w:rPr>
        <w:t xml:space="preserve"> en los dominios de nivel superior correspondientes a códigos de países </w:t>
      </w:r>
      <w:r>
        <w:rPr>
          <w:sz w:val="16"/>
          <w:szCs w:val="16"/>
        </w:rPr>
        <w:t>(</w:t>
      </w:r>
      <w:r w:rsidRPr="000B3C16">
        <w:rPr>
          <w:sz w:val="16"/>
          <w:szCs w:val="16"/>
        </w:rPr>
        <w:t>ccTLD)</w:t>
      </w:r>
      <w:r>
        <w:rPr>
          <w:sz w:val="16"/>
          <w:szCs w:val="16"/>
        </w:rPr>
        <w:t>.</w:t>
      </w:r>
    </w:p>
  </w:footnote>
  <w:footnote w:id="50">
    <w:p w:rsidR="008F093A" w:rsidRPr="00C231AB" w:rsidRDefault="008F093A">
      <w:pPr>
        <w:pStyle w:val="FootnoteText"/>
        <w:rPr>
          <w:sz w:val="16"/>
          <w:szCs w:val="16"/>
        </w:rPr>
      </w:pPr>
      <w:r>
        <w:rPr>
          <w:rStyle w:val="FootnoteReference"/>
        </w:rPr>
        <w:footnoteRef/>
      </w:r>
      <w:r>
        <w:t xml:space="preserve"> </w:t>
      </w:r>
      <w:r w:rsidRPr="00C231AB">
        <w:rPr>
          <w:sz w:val="16"/>
          <w:szCs w:val="16"/>
        </w:rPr>
        <w:t xml:space="preserve">El número total de ccTLD </w:t>
      </w:r>
      <w:r>
        <w:rPr>
          <w:sz w:val="16"/>
          <w:szCs w:val="16"/>
        </w:rPr>
        <w:t>a</w:t>
      </w:r>
      <w:r w:rsidRPr="00C231AB">
        <w:rPr>
          <w:sz w:val="16"/>
          <w:szCs w:val="16"/>
        </w:rPr>
        <w:t xml:space="preserve"> los que la OMPI ofrece dichos servicios es 71 tras la </w:t>
      </w:r>
      <w:r>
        <w:rPr>
          <w:sz w:val="16"/>
          <w:szCs w:val="16"/>
        </w:rPr>
        <w:t xml:space="preserve">rescisión </w:t>
      </w:r>
      <w:r w:rsidRPr="00C231AB">
        <w:rPr>
          <w:sz w:val="16"/>
          <w:szCs w:val="16"/>
        </w:rPr>
        <w:t>de un administrador en 2015.</w:t>
      </w:r>
    </w:p>
  </w:footnote>
  <w:footnote w:id="51">
    <w:p w:rsidR="008F093A" w:rsidRPr="00247DD5" w:rsidRDefault="008F093A">
      <w:pPr>
        <w:pStyle w:val="FootnoteText"/>
        <w:rPr>
          <w:sz w:val="16"/>
          <w:szCs w:val="16"/>
        </w:rPr>
      </w:pPr>
      <w:r>
        <w:rPr>
          <w:rStyle w:val="FootnoteReference"/>
        </w:rPr>
        <w:footnoteRef/>
      </w:r>
      <w:r>
        <w:t xml:space="preserve"> </w:t>
      </w:r>
      <w:r w:rsidRPr="00247DD5">
        <w:rPr>
          <w:sz w:val="16"/>
          <w:szCs w:val="16"/>
        </w:rPr>
        <w:t>Corrección</w:t>
      </w:r>
      <w:proofErr w:type="gramStart"/>
      <w:r w:rsidRPr="00247DD5">
        <w:rPr>
          <w:sz w:val="16"/>
          <w:szCs w:val="16"/>
        </w:rPr>
        <w:t>:  El</w:t>
      </w:r>
      <w:proofErr w:type="gramEnd"/>
      <w:r w:rsidRPr="00247DD5">
        <w:rPr>
          <w:sz w:val="16"/>
          <w:szCs w:val="16"/>
        </w:rPr>
        <w:t xml:space="preserve"> número total de </w:t>
      </w:r>
      <w:r>
        <w:rPr>
          <w:sz w:val="16"/>
          <w:szCs w:val="16"/>
        </w:rPr>
        <w:t>regímenes adoptados a fines</w:t>
      </w:r>
      <w:r w:rsidRPr="00247DD5">
        <w:rPr>
          <w:sz w:val="16"/>
          <w:szCs w:val="16"/>
        </w:rPr>
        <w:t xml:space="preserve"> de 2013 era 12 y no 10 como se informa en el Informe sobre el rendimiento de los programas en 2012/13 o se refleja en la referencia actualizada del Informe sobre el rendimiento de los programas en 2014.</w:t>
      </w:r>
    </w:p>
  </w:footnote>
  <w:footnote w:id="52">
    <w:p w:rsidR="008F093A" w:rsidRPr="00247DD5" w:rsidRDefault="008F093A">
      <w:pPr>
        <w:pStyle w:val="FootnoteText"/>
        <w:rPr>
          <w:sz w:val="16"/>
          <w:szCs w:val="16"/>
        </w:rPr>
      </w:pPr>
      <w:r>
        <w:rPr>
          <w:rStyle w:val="FootnoteReference"/>
        </w:rPr>
        <w:footnoteRef/>
      </w:r>
      <w:r>
        <w:t xml:space="preserve"> </w:t>
      </w:r>
      <w:r w:rsidRPr="00247DD5">
        <w:rPr>
          <w:sz w:val="16"/>
          <w:szCs w:val="16"/>
        </w:rPr>
        <w:t>Correcc</w:t>
      </w:r>
      <w:r>
        <w:rPr>
          <w:sz w:val="16"/>
          <w:szCs w:val="16"/>
        </w:rPr>
        <w:t>ión</w:t>
      </w:r>
      <w:proofErr w:type="gramStart"/>
      <w:r>
        <w:rPr>
          <w:sz w:val="16"/>
          <w:szCs w:val="16"/>
        </w:rPr>
        <w:t>:  El</w:t>
      </w:r>
      <w:proofErr w:type="gramEnd"/>
      <w:r>
        <w:rPr>
          <w:sz w:val="16"/>
          <w:szCs w:val="16"/>
        </w:rPr>
        <w:t xml:space="preserve"> número total de </w:t>
      </w:r>
      <w:r w:rsidRPr="00247DD5">
        <w:rPr>
          <w:sz w:val="16"/>
          <w:szCs w:val="16"/>
        </w:rPr>
        <w:t xml:space="preserve">procedimientos relativos a los ccTLD </w:t>
      </w:r>
      <w:r>
        <w:rPr>
          <w:sz w:val="16"/>
          <w:szCs w:val="16"/>
        </w:rPr>
        <w:t>a fines</w:t>
      </w:r>
      <w:r w:rsidRPr="00247DD5">
        <w:rPr>
          <w:sz w:val="16"/>
          <w:szCs w:val="16"/>
        </w:rPr>
        <w:t xml:space="preserve"> de 2013 era 2.798 y no 2.788 como se informa en el Informe sobre el rendimiento de los programas en 2012/13 y se refleja en la referencia actualizada del Informe sobre el rendimiento de los programas en 2014.</w:t>
      </w:r>
    </w:p>
  </w:footnote>
  <w:footnote w:id="53">
    <w:p w:rsidR="008F093A" w:rsidRPr="007B2775" w:rsidRDefault="008F093A" w:rsidP="00DC1333">
      <w:pPr>
        <w:pStyle w:val="FootnoteText"/>
        <w:tabs>
          <w:tab w:val="left" w:pos="284"/>
        </w:tabs>
        <w:rPr>
          <w:sz w:val="16"/>
          <w:szCs w:val="16"/>
        </w:rPr>
      </w:pPr>
      <w:r w:rsidRPr="007B2775">
        <w:rPr>
          <w:rStyle w:val="FootnoteReference"/>
          <w:sz w:val="16"/>
          <w:szCs w:val="16"/>
        </w:rPr>
        <w:footnoteRef/>
      </w:r>
      <w:r w:rsidRPr="007B2775">
        <w:rPr>
          <w:sz w:val="16"/>
          <w:szCs w:val="16"/>
        </w:rPr>
        <w:tab/>
      </w:r>
      <w:hyperlink r:id="rId4" w:tooltip="http://www.wipo.int/meetings/en/doc_details.jsp?doc_id=208882" w:history="1">
        <w:r w:rsidRPr="007B2775">
          <w:rPr>
            <w:rStyle w:val="Hyperlink"/>
            <w:sz w:val="16"/>
            <w:szCs w:val="16"/>
          </w:rPr>
          <w:t>http://www.wipo.int/meetings/es/doc_details.jsp?doc_id=208882</w:t>
        </w:r>
      </w:hyperlink>
      <w:r w:rsidRPr="007B2775">
        <w:rPr>
          <w:sz w:val="16"/>
          <w:szCs w:val="16"/>
        </w:rPr>
        <w:t xml:space="preserve">  y</w:t>
      </w:r>
    </w:p>
    <w:p w:rsidR="008F093A" w:rsidRPr="007B2775" w:rsidRDefault="008F093A" w:rsidP="00DC1333">
      <w:pPr>
        <w:pStyle w:val="FootnoteText"/>
        <w:tabs>
          <w:tab w:val="left" w:pos="284"/>
        </w:tabs>
        <w:rPr>
          <w:sz w:val="16"/>
          <w:szCs w:val="16"/>
        </w:rPr>
      </w:pPr>
      <w:r w:rsidRPr="007B2775">
        <w:rPr>
          <w:sz w:val="16"/>
          <w:szCs w:val="16"/>
        </w:rPr>
        <w:tab/>
      </w:r>
      <w:hyperlink r:id="rId5" w:history="1">
        <w:r w:rsidRPr="007B2775">
          <w:rPr>
            <w:rStyle w:val="Hyperlink"/>
            <w:sz w:val="16"/>
            <w:szCs w:val="16"/>
          </w:rPr>
          <w:t>http://www.wipo.int/meetings/es/doc_details.jsp?doc_id=239806</w:t>
        </w:r>
      </w:hyperlink>
      <w:r w:rsidRPr="007B2775">
        <w:rPr>
          <w:sz w:val="16"/>
          <w:szCs w:val="16"/>
        </w:rPr>
        <w:t xml:space="preserve"> </w:t>
      </w:r>
    </w:p>
  </w:footnote>
  <w:footnote w:id="54">
    <w:p w:rsidR="008F093A" w:rsidRPr="00DF672F" w:rsidRDefault="008F093A" w:rsidP="00DC1333">
      <w:pPr>
        <w:pStyle w:val="FootnoteText"/>
      </w:pPr>
      <w:r w:rsidRPr="003B571E">
        <w:rPr>
          <w:rStyle w:val="FootnoteReference"/>
          <w:sz w:val="16"/>
          <w:szCs w:val="16"/>
        </w:rPr>
        <w:footnoteRef/>
      </w:r>
      <w:r w:rsidRPr="00DF672F">
        <w:rPr>
          <w:sz w:val="16"/>
          <w:szCs w:val="16"/>
        </w:rPr>
        <w:t xml:space="preserve"> </w:t>
      </w:r>
      <w:hyperlink r:id="rId6" w:history="1">
        <w:r w:rsidRPr="00DF672F">
          <w:rPr>
            <w:rStyle w:val="Hyperlink"/>
            <w:sz w:val="16"/>
            <w:szCs w:val="16"/>
          </w:rPr>
          <w:t>Evaluación de los programas de formación internacional sobre la P.I. del SIDA.</w:t>
        </w:r>
        <w:r>
          <w:rPr>
            <w:rStyle w:val="Hyperlink"/>
            <w:sz w:val="16"/>
            <w:szCs w:val="16"/>
          </w:rPr>
          <w:t xml:space="preserve"> </w:t>
        </w:r>
      </w:hyperlink>
    </w:p>
  </w:footnote>
  <w:footnote w:id="55">
    <w:p w:rsidR="008F093A" w:rsidRPr="00F81D5D" w:rsidRDefault="008F093A" w:rsidP="00DC1333">
      <w:pPr>
        <w:pStyle w:val="FootnoteText"/>
        <w:rPr>
          <w:sz w:val="16"/>
          <w:szCs w:val="16"/>
        </w:rPr>
      </w:pPr>
      <w:r w:rsidRPr="003B571E">
        <w:rPr>
          <w:rStyle w:val="FootnoteReference"/>
          <w:sz w:val="16"/>
          <w:szCs w:val="16"/>
        </w:rPr>
        <w:footnoteRef/>
      </w:r>
      <w:r w:rsidRPr="00F81D5D">
        <w:rPr>
          <w:sz w:val="16"/>
          <w:szCs w:val="16"/>
        </w:rPr>
        <w:t xml:space="preserve"> </w:t>
      </w:r>
      <w:hyperlink r:id="rId7" w:history="1">
        <w:r w:rsidRPr="00F81D5D">
          <w:rPr>
            <w:rStyle w:val="Hyperlink"/>
            <w:sz w:val="16"/>
            <w:szCs w:val="16"/>
          </w:rPr>
          <w:t>http://www.wipo.int/cooperation/es/south_south/</w:t>
        </w:r>
      </w:hyperlink>
      <w:r w:rsidRPr="00F81D5D">
        <w:rPr>
          <w:sz w:val="16"/>
          <w:szCs w:val="16"/>
        </w:rPr>
        <w:t xml:space="preserve">  </w:t>
      </w:r>
    </w:p>
  </w:footnote>
  <w:footnote w:id="56">
    <w:p w:rsidR="008F093A" w:rsidRPr="0073715F" w:rsidRDefault="008F093A" w:rsidP="00DC1333">
      <w:r w:rsidRPr="003B571E">
        <w:rPr>
          <w:rStyle w:val="FootnoteReference"/>
          <w:sz w:val="16"/>
        </w:rPr>
        <w:footnoteRef/>
      </w:r>
      <w:r w:rsidRPr="0073715F">
        <w:rPr>
          <w:sz w:val="16"/>
        </w:rPr>
        <w:t xml:space="preserve"> El esquema de las actividades del proyecto relativo a la intensificación de la cooperaci</w:t>
      </w:r>
      <w:r>
        <w:rPr>
          <w:sz w:val="16"/>
        </w:rPr>
        <w:t xml:space="preserve">ón Sur-Sur será presentado y examinado en la decimoséptima sesión del CDIP, que se celebrará en abril de </w:t>
      </w:r>
      <w:r w:rsidRPr="0073715F">
        <w:rPr>
          <w:sz w:val="16"/>
        </w:rPr>
        <w:t>2016.</w:t>
      </w:r>
    </w:p>
  </w:footnote>
  <w:footnote w:id="57">
    <w:p w:rsidR="008F093A" w:rsidRPr="00F81D5D" w:rsidRDefault="008F093A">
      <w:pPr>
        <w:pStyle w:val="FootnoteText"/>
        <w:rPr>
          <w:sz w:val="16"/>
          <w:szCs w:val="16"/>
        </w:rPr>
      </w:pPr>
      <w:r w:rsidRPr="003B571E">
        <w:rPr>
          <w:rStyle w:val="FootnoteReference"/>
          <w:sz w:val="16"/>
          <w:szCs w:val="16"/>
        </w:rPr>
        <w:footnoteRef/>
      </w:r>
      <w:r w:rsidRPr="00F81D5D">
        <w:rPr>
          <w:sz w:val="16"/>
          <w:szCs w:val="16"/>
        </w:rPr>
        <w:t xml:space="preserve"> </w:t>
      </w:r>
      <w:hyperlink r:id="rId8" w:history="1">
        <w:r w:rsidRPr="00F81D5D">
          <w:rPr>
            <w:rStyle w:val="Hyperlink"/>
            <w:sz w:val="16"/>
            <w:szCs w:val="16"/>
          </w:rPr>
          <w:t>http://www.wipo.int/edocs/mdocs/mdocs/en/ompi_pi_dak_15/ompi_pi_dak_15_www_319536.pdf</w:t>
        </w:r>
      </w:hyperlink>
      <w:r w:rsidRPr="00F81D5D">
        <w:rPr>
          <w:sz w:val="16"/>
          <w:szCs w:val="16"/>
        </w:rPr>
        <w:t xml:space="preserve"> </w:t>
      </w:r>
    </w:p>
  </w:footnote>
  <w:footnote w:id="58">
    <w:p w:rsidR="008F093A" w:rsidRPr="00F81D5D" w:rsidRDefault="008F093A" w:rsidP="00DC1333">
      <w:pPr>
        <w:pStyle w:val="FootnoteText"/>
        <w:rPr>
          <w:sz w:val="16"/>
          <w:szCs w:val="16"/>
        </w:rPr>
      </w:pPr>
      <w:r w:rsidRPr="003B571E">
        <w:rPr>
          <w:rStyle w:val="FootnoteReference"/>
          <w:sz w:val="16"/>
          <w:szCs w:val="16"/>
        </w:rPr>
        <w:footnoteRef/>
      </w:r>
      <w:r w:rsidRPr="00F81D5D">
        <w:rPr>
          <w:sz w:val="16"/>
          <w:szCs w:val="16"/>
        </w:rPr>
        <w:t xml:space="preserve"> </w:t>
      </w:r>
      <w:hyperlink r:id="rId9" w:history="1">
        <w:r w:rsidRPr="00F81D5D">
          <w:rPr>
            <w:rStyle w:val="Hyperlink"/>
            <w:sz w:val="16"/>
            <w:szCs w:val="16"/>
          </w:rPr>
          <w:t>http://www.wipo.int/export/sites/www/cooperation/es/pdf/ta_manual.pdf</w:t>
        </w:r>
      </w:hyperlink>
      <w:r w:rsidRPr="00F81D5D">
        <w:rPr>
          <w:sz w:val="16"/>
          <w:szCs w:val="16"/>
        </w:rPr>
        <w:t xml:space="preserve"> </w:t>
      </w:r>
    </w:p>
  </w:footnote>
  <w:footnote w:id="59">
    <w:p w:rsidR="008F093A" w:rsidRPr="00451112" w:rsidRDefault="008F093A" w:rsidP="00DC1333">
      <w:pPr>
        <w:pStyle w:val="FootnoteText"/>
      </w:pPr>
      <w:r w:rsidRPr="003B571E">
        <w:rPr>
          <w:rStyle w:val="FootnoteReference"/>
          <w:sz w:val="16"/>
          <w:szCs w:val="16"/>
        </w:rPr>
        <w:footnoteRef/>
      </w:r>
      <w:r w:rsidRPr="00451112">
        <w:rPr>
          <w:sz w:val="16"/>
          <w:szCs w:val="16"/>
        </w:rPr>
        <w:t xml:space="preserve"> Los datos presentados en 2015 reflejan una nueva metodología de c</w:t>
      </w:r>
      <w:r>
        <w:rPr>
          <w:sz w:val="16"/>
          <w:szCs w:val="16"/>
        </w:rPr>
        <w:t>álculo del porcentaje de satisfacción.</w:t>
      </w:r>
    </w:p>
  </w:footnote>
  <w:footnote w:id="60">
    <w:p w:rsidR="008F093A" w:rsidRPr="002873AA" w:rsidRDefault="008F093A" w:rsidP="00DC1333">
      <w:pPr>
        <w:pStyle w:val="FootnoteText"/>
        <w:rPr>
          <w:sz w:val="16"/>
          <w:szCs w:val="16"/>
        </w:rPr>
      </w:pPr>
      <w:r w:rsidRPr="003B571E">
        <w:rPr>
          <w:rStyle w:val="FootnoteReference"/>
          <w:sz w:val="16"/>
          <w:szCs w:val="16"/>
        </w:rPr>
        <w:footnoteRef/>
      </w:r>
      <w:r w:rsidRPr="00AD5551">
        <w:rPr>
          <w:sz w:val="16"/>
          <w:szCs w:val="16"/>
        </w:rPr>
        <w:t xml:space="preserve"> Corrección</w:t>
      </w:r>
      <w:proofErr w:type="gramStart"/>
      <w:r w:rsidRPr="00AD5551">
        <w:rPr>
          <w:sz w:val="16"/>
          <w:szCs w:val="16"/>
        </w:rPr>
        <w:t xml:space="preserve">: </w:t>
      </w:r>
      <w:r>
        <w:rPr>
          <w:sz w:val="16"/>
          <w:szCs w:val="16"/>
        </w:rPr>
        <w:t xml:space="preserve"> </w:t>
      </w:r>
      <w:r w:rsidRPr="00AD5551">
        <w:rPr>
          <w:sz w:val="16"/>
          <w:szCs w:val="16"/>
        </w:rPr>
        <w:t>en</w:t>
      </w:r>
      <w:proofErr w:type="gramEnd"/>
      <w:r w:rsidRPr="00AD5551">
        <w:rPr>
          <w:sz w:val="16"/>
          <w:szCs w:val="16"/>
        </w:rPr>
        <w:t xml:space="preserve"> el </w:t>
      </w:r>
      <w:r>
        <w:rPr>
          <w:sz w:val="16"/>
          <w:szCs w:val="16"/>
        </w:rPr>
        <w:t xml:space="preserve">informe PPR de 2012/13 se informó de que Etiopía había adoptado una política en materia de P.I. en </w:t>
      </w:r>
      <w:r w:rsidRPr="00AD5551">
        <w:rPr>
          <w:sz w:val="16"/>
          <w:szCs w:val="16"/>
        </w:rPr>
        <w:t xml:space="preserve">2012/13.  </w:t>
      </w:r>
      <w:r w:rsidRPr="002873AA">
        <w:rPr>
          <w:sz w:val="16"/>
          <w:szCs w:val="16"/>
        </w:rPr>
        <w:t>Esa política termin</w:t>
      </w:r>
      <w:r>
        <w:rPr>
          <w:sz w:val="16"/>
          <w:szCs w:val="16"/>
        </w:rPr>
        <w:t xml:space="preserve">ó de elaborarse en 2014 para que fuera examinada </w:t>
      </w:r>
      <w:r w:rsidRPr="002873AA">
        <w:rPr>
          <w:sz w:val="16"/>
          <w:szCs w:val="16"/>
        </w:rPr>
        <w:t>en el proceso nacional de aprobaci</w:t>
      </w:r>
      <w:r>
        <w:rPr>
          <w:sz w:val="16"/>
          <w:szCs w:val="16"/>
        </w:rPr>
        <w:t>ón</w:t>
      </w:r>
      <w:r w:rsidRPr="002873AA">
        <w:rPr>
          <w:sz w:val="16"/>
          <w:szCs w:val="16"/>
        </w:rPr>
        <w:t xml:space="preserve">.  </w:t>
      </w:r>
    </w:p>
  </w:footnote>
  <w:footnote w:id="61">
    <w:p w:rsidR="008F093A" w:rsidRPr="008F34B1" w:rsidRDefault="008F093A" w:rsidP="00DC1333">
      <w:pPr>
        <w:pStyle w:val="FootnoteText"/>
        <w:rPr>
          <w:sz w:val="16"/>
          <w:szCs w:val="16"/>
        </w:rPr>
      </w:pPr>
      <w:r w:rsidRPr="003B571E">
        <w:rPr>
          <w:rStyle w:val="FootnoteReference"/>
          <w:sz w:val="16"/>
          <w:szCs w:val="16"/>
        </w:rPr>
        <w:footnoteRef/>
      </w:r>
      <w:r>
        <w:rPr>
          <w:sz w:val="16"/>
          <w:szCs w:val="16"/>
        </w:rPr>
        <w:t xml:space="preserve"> Corrección</w:t>
      </w:r>
      <w:proofErr w:type="gramStart"/>
      <w:r>
        <w:rPr>
          <w:sz w:val="16"/>
          <w:szCs w:val="16"/>
        </w:rPr>
        <w:t>:  en</w:t>
      </w:r>
      <w:proofErr w:type="gramEnd"/>
      <w:r>
        <w:rPr>
          <w:sz w:val="16"/>
          <w:szCs w:val="16"/>
        </w:rPr>
        <w:t xml:space="preserve"> el informe PPR de 2012/13</w:t>
      </w:r>
      <w:r w:rsidRPr="008F34B1">
        <w:rPr>
          <w:sz w:val="16"/>
          <w:szCs w:val="16"/>
        </w:rPr>
        <w:t xml:space="preserve"> se señaló que Túnez estaba en vías de elaborar una estrategi</w:t>
      </w:r>
      <w:r>
        <w:rPr>
          <w:sz w:val="16"/>
          <w:szCs w:val="16"/>
        </w:rPr>
        <w:t>a nacional de P.I. e innovación</w:t>
      </w:r>
      <w:r w:rsidRPr="008F34B1">
        <w:rPr>
          <w:sz w:val="16"/>
          <w:szCs w:val="16"/>
        </w:rPr>
        <w:t>.  Comenzó a deliberarse sobre la posibilidad de elaborar esa est</w:t>
      </w:r>
      <w:r>
        <w:rPr>
          <w:sz w:val="16"/>
          <w:szCs w:val="16"/>
        </w:rPr>
        <w:t>r</w:t>
      </w:r>
      <w:r w:rsidRPr="008F34B1">
        <w:rPr>
          <w:sz w:val="16"/>
          <w:szCs w:val="16"/>
        </w:rPr>
        <w:t xml:space="preserve">ategia, pero </w:t>
      </w:r>
      <w:r>
        <w:rPr>
          <w:sz w:val="16"/>
          <w:szCs w:val="16"/>
        </w:rPr>
        <w:t>el proceso no ha avanza</w:t>
      </w:r>
      <w:r w:rsidRPr="008F34B1">
        <w:rPr>
          <w:sz w:val="16"/>
          <w:szCs w:val="16"/>
        </w:rPr>
        <w:t>do.</w:t>
      </w:r>
    </w:p>
  </w:footnote>
  <w:footnote w:id="62">
    <w:p w:rsidR="008F093A" w:rsidRPr="008F34B1" w:rsidRDefault="008F093A" w:rsidP="00DC1333">
      <w:pPr>
        <w:pStyle w:val="FootnoteText"/>
        <w:rPr>
          <w:sz w:val="16"/>
          <w:szCs w:val="16"/>
        </w:rPr>
      </w:pPr>
      <w:r w:rsidRPr="003B571E">
        <w:rPr>
          <w:rStyle w:val="FootnoteReference"/>
          <w:sz w:val="16"/>
          <w:szCs w:val="16"/>
        </w:rPr>
        <w:footnoteRef/>
      </w:r>
      <w:r>
        <w:rPr>
          <w:sz w:val="16"/>
          <w:szCs w:val="16"/>
        </w:rPr>
        <w:t xml:space="preserve"> Corrección</w:t>
      </w:r>
      <w:proofErr w:type="gramStart"/>
      <w:r>
        <w:rPr>
          <w:sz w:val="16"/>
          <w:szCs w:val="16"/>
        </w:rPr>
        <w:t>:  e</w:t>
      </w:r>
      <w:r w:rsidRPr="008F34B1">
        <w:rPr>
          <w:sz w:val="16"/>
          <w:szCs w:val="16"/>
        </w:rPr>
        <w:t>n</w:t>
      </w:r>
      <w:proofErr w:type="gramEnd"/>
      <w:r w:rsidRPr="008F34B1">
        <w:rPr>
          <w:sz w:val="16"/>
          <w:szCs w:val="16"/>
        </w:rPr>
        <w:t xml:space="preserve"> el informe PPR de </w:t>
      </w:r>
      <w:r>
        <w:rPr>
          <w:sz w:val="16"/>
          <w:szCs w:val="16"/>
        </w:rPr>
        <w:t xml:space="preserve"> 2012</w:t>
      </w:r>
      <w:r w:rsidRPr="008F34B1">
        <w:rPr>
          <w:sz w:val="16"/>
          <w:szCs w:val="16"/>
        </w:rPr>
        <w:t>/</w:t>
      </w:r>
      <w:r>
        <w:rPr>
          <w:sz w:val="16"/>
          <w:szCs w:val="16"/>
        </w:rPr>
        <w:t xml:space="preserve">13 </w:t>
      </w:r>
      <w:r w:rsidRPr="008F34B1">
        <w:rPr>
          <w:sz w:val="16"/>
          <w:szCs w:val="16"/>
        </w:rPr>
        <w:t>se señaló que Argelia estaba en vías de adoptar una estrateg</w:t>
      </w:r>
      <w:r>
        <w:rPr>
          <w:sz w:val="16"/>
          <w:szCs w:val="16"/>
        </w:rPr>
        <w:t xml:space="preserve">ia nacional de P.I.  </w:t>
      </w:r>
      <w:r w:rsidRPr="008F34B1">
        <w:rPr>
          <w:sz w:val="16"/>
          <w:szCs w:val="16"/>
        </w:rPr>
        <w:t xml:space="preserve">La OMPI colaboró con Argelia en la elaboración de un proyecto de estrategia nacional en </w:t>
      </w:r>
      <w:r>
        <w:rPr>
          <w:sz w:val="16"/>
          <w:szCs w:val="16"/>
        </w:rPr>
        <w:t>materia</w:t>
      </w:r>
      <w:r w:rsidRPr="008F34B1">
        <w:rPr>
          <w:sz w:val="16"/>
          <w:szCs w:val="16"/>
        </w:rPr>
        <w:t xml:space="preserve"> de P.I., </w:t>
      </w:r>
      <w:r>
        <w:rPr>
          <w:sz w:val="16"/>
          <w:szCs w:val="16"/>
        </w:rPr>
        <w:t>y ese documento sigue siendo objeto de examen.</w:t>
      </w:r>
    </w:p>
  </w:footnote>
  <w:footnote w:id="63">
    <w:p w:rsidR="008F093A" w:rsidRPr="00F72E9B" w:rsidRDefault="008F093A" w:rsidP="00DC1333">
      <w:pPr>
        <w:pStyle w:val="FootnoteText"/>
        <w:rPr>
          <w:sz w:val="16"/>
          <w:szCs w:val="16"/>
        </w:rPr>
      </w:pPr>
      <w:r w:rsidRPr="003B571E">
        <w:rPr>
          <w:rStyle w:val="FootnoteReference"/>
          <w:sz w:val="16"/>
          <w:szCs w:val="16"/>
        </w:rPr>
        <w:footnoteRef/>
      </w:r>
      <w:r w:rsidRPr="00F72E9B">
        <w:rPr>
          <w:sz w:val="16"/>
          <w:szCs w:val="16"/>
        </w:rPr>
        <w:t xml:space="preserve"> El proceso </w:t>
      </w:r>
      <w:r>
        <w:rPr>
          <w:sz w:val="16"/>
          <w:szCs w:val="16"/>
        </w:rPr>
        <w:t xml:space="preserve">se aplazó </w:t>
      </w:r>
      <w:r w:rsidRPr="00F72E9B">
        <w:rPr>
          <w:sz w:val="16"/>
          <w:szCs w:val="16"/>
        </w:rPr>
        <w:t>debido</w:t>
      </w:r>
      <w:r>
        <w:rPr>
          <w:sz w:val="16"/>
          <w:szCs w:val="16"/>
        </w:rPr>
        <w:t xml:space="preserve"> a cambios estructurales en el G</w:t>
      </w:r>
      <w:r w:rsidRPr="00F72E9B">
        <w:rPr>
          <w:sz w:val="16"/>
          <w:szCs w:val="16"/>
        </w:rPr>
        <w:t>obierno</w:t>
      </w:r>
      <w:r>
        <w:rPr>
          <w:sz w:val="16"/>
          <w:szCs w:val="16"/>
        </w:rPr>
        <w:t>.</w:t>
      </w:r>
    </w:p>
  </w:footnote>
  <w:footnote w:id="64">
    <w:p w:rsidR="008F093A" w:rsidRPr="002873AA" w:rsidRDefault="008F093A">
      <w:pPr>
        <w:pStyle w:val="FootnoteText"/>
        <w:rPr>
          <w:sz w:val="16"/>
          <w:szCs w:val="16"/>
        </w:rPr>
      </w:pPr>
      <w:r w:rsidRPr="00847037">
        <w:rPr>
          <w:rStyle w:val="FootnoteReference"/>
          <w:sz w:val="16"/>
          <w:szCs w:val="16"/>
        </w:rPr>
        <w:footnoteRef/>
      </w:r>
      <w:r w:rsidRPr="00847037">
        <w:rPr>
          <w:sz w:val="16"/>
          <w:szCs w:val="16"/>
        </w:rPr>
        <w:t xml:space="preserve"> El proceso se estancó en 2011.  En 2014 se reanudó un proceso consultivo.</w:t>
      </w:r>
    </w:p>
  </w:footnote>
  <w:footnote w:id="65">
    <w:p w:rsidR="008F093A" w:rsidRPr="00017A5E" w:rsidRDefault="008F093A" w:rsidP="00DC1333">
      <w:pPr>
        <w:pStyle w:val="FootnoteText"/>
        <w:rPr>
          <w:sz w:val="16"/>
          <w:szCs w:val="16"/>
        </w:rPr>
      </w:pPr>
      <w:r w:rsidRPr="003B571E">
        <w:rPr>
          <w:rStyle w:val="FootnoteReference"/>
          <w:sz w:val="16"/>
          <w:szCs w:val="16"/>
        </w:rPr>
        <w:footnoteRef/>
      </w:r>
      <w:r w:rsidRPr="00FD4E4A">
        <w:rPr>
          <w:sz w:val="16"/>
          <w:szCs w:val="16"/>
        </w:rPr>
        <w:t xml:space="preserve"> Corrección</w:t>
      </w:r>
      <w:proofErr w:type="gramStart"/>
      <w:r w:rsidRPr="00FD4E4A">
        <w:rPr>
          <w:sz w:val="16"/>
          <w:szCs w:val="16"/>
        </w:rPr>
        <w:t>:  Bangladesh</w:t>
      </w:r>
      <w:proofErr w:type="gramEnd"/>
      <w:r w:rsidRPr="00FD4E4A">
        <w:rPr>
          <w:sz w:val="16"/>
          <w:szCs w:val="16"/>
        </w:rPr>
        <w:t xml:space="preserve"> está inmerso actualmente en la formulación de su estrategia nacional de P.I. y todavía no la ha </w:t>
      </w:r>
      <w:r w:rsidRPr="00992AF7">
        <w:rPr>
          <w:sz w:val="16"/>
          <w:szCs w:val="16"/>
        </w:rPr>
        <w:t>adoptado, como se inform</w:t>
      </w:r>
      <w:r>
        <w:rPr>
          <w:sz w:val="16"/>
          <w:szCs w:val="16"/>
        </w:rPr>
        <w:t>ó en los</w:t>
      </w:r>
      <w:r w:rsidRPr="00992AF7">
        <w:rPr>
          <w:sz w:val="16"/>
          <w:szCs w:val="16"/>
        </w:rPr>
        <w:t xml:space="preserve"> bienio</w:t>
      </w:r>
      <w:r>
        <w:rPr>
          <w:sz w:val="16"/>
          <w:szCs w:val="16"/>
        </w:rPr>
        <w:t>s</w:t>
      </w:r>
      <w:r w:rsidRPr="00992AF7">
        <w:rPr>
          <w:sz w:val="16"/>
          <w:szCs w:val="16"/>
        </w:rPr>
        <w:t xml:space="preserve"> anterior</w:t>
      </w:r>
      <w:r>
        <w:rPr>
          <w:sz w:val="16"/>
          <w:szCs w:val="16"/>
        </w:rPr>
        <w:t>es</w:t>
      </w:r>
      <w:r w:rsidRPr="00992AF7">
        <w:rPr>
          <w:sz w:val="16"/>
          <w:szCs w:val="16"/>
        </w:rPr>
        <w:t>;  por eso ha sido eliminada de la columna de referencia.</w:t>
      </w:r>
      <w:r>
        <w:rPr>
          <w:sz w:val="16"/>
          <w:szCs w:val="16"/>
        </w:rPr>
        <w:t xml:space="preserve"> </w:t>
      </w:r>
    </w:p>
  </w:footnote>
  <w:footnote w:id="66">
    <w:p w:rsidR="008F093A" w:rsidRPr="00D83355" w:rsidRDefault="008F093A" w:rsidP="00DC1333">
      <w:pPr>
        <w:pStyle w:val="FootnoteText"/>
      </w:pPr>
      <w:r w:rsidRPr="003B571E">
        <w:rPr>
          <w:rStyle w:val="FootnoteReference"/>
          <w:sz w:val="16"/>
          <w:szCs w:val="16"/>
        </w:rPr>
        <w:footnoteRef/>
      </w:r>
      <w:r w:rsidRPr="00D83355">
        <w:t xml:space="preserve"> </w:t>
      </w:r>
      <w:r w:rsidRPr="00D83355">
        <w:rPr>
          <w:sz w:val="16"/>
          <w:szCs w:val="16"/>
        </w:rPr>
        <w:t xml:space="preserve">No hay mecanismos existentes disponibles.  Durante el bienio 2016/17 se elaborará un mecanismo apropiado. </w:t>
      </w:r>
    </w:p>
  </w:footnote>
  <w:footnote w:id="67">
    <w:p w:rsidR="008F093A" w:rsidRPr="006561B2" w:rsidRDefault="008F093A">
      <w:pPr>
        <w:pStyle w:val="FootnoteText"/>
        <w:rPr>
          <w:sz w:val="16"/>
          <w:szCs w:val="16"/>
        </w:rPr>
      </w:pPr>
      <w:r w:rsidRPr="003B571E">
        <w:rPr>
          <w:rStyle w:val="FootnoteReference"/>
          <w:sz w:val="16"/>
          <w:szCs w:val="16"/>
        </w:rPr>
        <w:footnoteRef/>
      </w:r>
      <w:r w:rsidRPr="006561B2">
        <w:rPr>
          <w:sz w:val="16"/>
          <w:szCs w:val="16"/>
        </w:rPr>
        <w:t xml:space="preserve"> </w:t>
      </w:r>
      <w:hyperlink r:id="rId10" w:history="1">
        <w:r w:rsidRPr="006561B2">
          <w:rPr>
            <w:rStyle w:val="Hyperlink"/>
            <w:sz w:val="16"/>
            <w:szCs w:val="16"/>
          </w:rPr>
          <w:t>http://www.wipo.int/edocs/mdocs/africa/en/ompi_pi_dak_15/ompi_pi_dak_15_declaration.pdf</w:t>
        </w:r>
      </w:hyperlink>
      <w:r w:rsidRPr="006561B2">
        <w:rPr>
          <w:sz w:val="16"/>
          <w:szCs w:val="16"/>
        </w:rPr>
        <w:t xml:space="preserve"> </w:t>
      </w:r>
    </w:p>
  </w:footnote>
  <w:footnote w:id="68">
    <w:p w:rsidR="008F093A" w:rsidRPr="0033017A" w:rsidRDefault="008F093A" w:rsidP="00DC1333">
      <w:pPr>
        <w:pStyle w:val="FootnoteText"/>
        <w:rPr>
          <w:sz w:val="16"/>
          <w:szCs w:val="16"/>
        </w:rPr>
      </w:pPr>
      <w:r w:rsidRPr="003B571E">
        <w:rPr>
          <w:rStyle w:val="FootnoteReference"/>
          <w:sz w:val="16"/>
          <w:szCs w:val="16"/>
        </w:rPr>
        <w:footnoteRef/>
      </w:r>
      <w:r w:rsidRPr="0033017A">
        <w:rPr>
          <w:sz w:val="16"/>
          <w:szCs w:val="16"/>
        </w:rPr>
        <w:t xml:space="preserve"> Corrección</w:t>
      </w:r>
      <w:proofErr w:type="gramStart"/>
      <w:r w:rsidRPr="0033017A">
        <w:rPr>
          <w:sz w:val="16"/>
          <w:szCs w:val="16"/>
        </w:rPr>
        <w:t>:  El</w:t>
      </w:r>
      <w:proofErr w:type="gramEnd"/>
      <w:r w:rsidRPr="0033017A">
        <w:rPr>
          <w:sz w:val="16"/>
          <w:szCs w:val="16"/>
        </w:rPr>
        <w:t xml:space="preserve"> programa de películas de animación en torno al foment</w:t>
      </w:r>
      <w:r>
        <w:rPr>
          <w:sz w:val="16"/>
          <w:szCs w:val="16"/>
        </w:rPr>
        <w:t>o</w:t>
      </w:r>
      <w:r w:rsidRPr="0033017A">
        <w:rPr>
          <w:sz w:val="16"/>
          <w:szCs w:val="16"/>
        </w:rPr>
        <w:t xml:space="preserve"> del respeto por la P.I. en colaboración con la Liga de </w:t>
      </w:r>
      <w:r>
        <w:rPr>
          <w:sz w:val="16"/>
          <w:szCs w:val="16"/>
        </w:rPr>
        <w:t xml:space="preserve">los </w:t>
      </w:r>
      <w:r w:rsidRPr="0033017A">
        <w:rPr>
          <w:sz w:val="16"/>
          <w:szCs w:val="16"/>
        </w:rPr>
        <w:t>Estados Árabes</w:t>
      </w:r>
      <w:r>
        <w:rPr>
          <w:sz w:val="16"/>
          <w:szCs w:val="16"/>
        </w:rPr>
        <w:t xml:space="preserve"> (LEA)</w:t>
      </w:r>
      <w:r w:rsidRPr="0033017A">
        <w:rPr>
          <w:sz w:val="16"/>
          <w:szCs w:val="16"/>
        </w:rPr>
        <w:t xml:space="preserve"> sobre el que se inform</w:t>
      </w:r>
      <w:r>
        <w:rPr>
          <w:sz w:val="16"/>
          <w:szCs w:val="16"/>
        </w:rPr>
        <w:t>ó en el PPR de 2014 fue llevado a la práctica en el marco de un memorando de entendimiento con la LEA firmado con antelación al bienio  2014/15</w:t>
      </w:r>
      <w:r w:rsidRPr="0033017A">
        <w:rPr>
          <w:sz w:val="16"/>
          <w:szCs w:val="16"/>
        </w:rPr>
        <w:t>.</w:t>
      </w:r>
    </w:p>
  </w:footnote>
  <w:footnote w:id="69">
    <w:p w:rsidR="008F093A" w:rsidRPr="001F7360" w:rsidRDefault="008F093A">
      <w:pPr>
        <w:pStyle w:val="FootnoteText"/>
      </w:pPr>
      <w:r>
        <w:rPr>
          <w:rStyle w:val="FootnoteReference"/>
        </w:rPr>
        <w:footnoteRef/>
      </w:r>
      <w:r w:rsidRPr="001F7360">
        <w:t xml:space="preserve"> </w:t>
      </w:r>
      <w:r w:rsidRPr="001F7360">
        <w:rPr>
          <w:sz w:val="16"/>
          <w:szCs w:val="16"/>
        </w:rPr>
        <w:t>Corrección</w:t>
      </w:r>
      <w:proofErr w:type="gramStart"/>
      <w:r w:rsidRPr="001F7360">
        <w:rPr>
          <w:sz w:val="16"/>
          <w:szCs w:val="16"/>
        </w:rPr>
        <w:t>:  La</w:t>
      </w:r>
      <w:proofErr w:type="gramEnd"/>
      <w:r w:rsidRPr="001F7360">
        <w:rPr>
          <w:sz w:val="16"/>
          <w:szCs w:val="16"/>
        </w:rPr>
        <w:t xml:space="preserve"> cooperación con la Asociaci</w:t>
      </w:r>
      <w:r w:rsidRPr="001F7360">
        <w:rPr>
          <w:rFonts w:ascii="Tahoma" w:hAnsi="Tahoma" w:cs="Tahoma"/>
          <w:sz w:val="16"/>
          <w:szCs w:val="16"/>
        </w:rPr>
        <w:t>ó</w:t>
      </w:r>
      <w:r w:rsidRPr="001F7360">
        <w:rPr>
          <w:sz w:val="16"/>
          <w:szCs w:val="16"/>
        </w:rPr>
        <w:t>n de Asia Meridional para la Cooperaci</w:t>
      </w:r>
      <w:r w:rsidRPr="001F7360">
        <w:rPr>
          <w:rFonts w:ascii="Tahoma" w:hAnsi="Tahoma" w:cs="Tahoma"/>
          <w:sz w:val="16"/>
          <w:szCs w:val="16"/>
        </w:rPr>
        <w:t>ó</w:t>
      </w:r>
      <w:r w:rsidRPr="001F7360">
        <w:rPr>
          <w:sz w:val="16"/>
          <w:szCs w:val="16"/>
        </w:rPr>
        <w:t>n Regional (SAARC), de la que se informó en el PPR de 2014, fue ejecutada con arreglo a un acuerdo concluido antes del bienio 2014/15.</w:t>
      </w:r>
    </w:p>
  </w:footnote>
  <w:footnote w:id="70">
    <w:p w:rsidR="008F093A" w:rsidRPr="0033017A" w:rsidRDefault="008F093A" w:rsidP="00DC1333">
      <w:pPr>
        <w:tabs>
          <w:tab w:val="left" w:pos="0"/>
        </w:tabs>
        <w:jc w:val="both"/>
        <w:rPr>
          <w:sz w:val="16"/>
          <w:szCs w:val="16"/>
        </w:rPr>
      </w:pPr>
      <w:r w:rsidRPr="003B571E">
        <w:rPr>
          <w:rStyle w:val="FootnoteReference"/>
          <w:sz w:val="16"/>
          <w:szCs w:val="16"/>
        </w:rPr>
        <w:footnoteRef/>
      </w:r>
      <w:r w:rsidRPr="0033017A">
        <w:t xml:space="preserve"> </w:t>
      </w:r>
      <w:r w:rsidRPr="0033017A">
        <w:rPr>
          <w:sz w:val="16"/>
          <w:szCs w:val="16"/>
          <w:lang w:bidi="th-TH"/>
        </w:rPr>
        <w:t xml:space="preserve">i) Proyectos de armonización en la esfera de las patentes y las marcas en América Central junto con la Oficina Europea de Patentes (OEP) y la Oficina Española de Patentes y Marcas (OEPM), y con la colaboración del Instituto Mexicano de </w:t>
      </w:r>
      <w:r>
        <w:rPr>
          <w:sz w:val="16"/>
          <w:szCs w:val="16"/>
          <w:lang w:bidi="th-TH"/>
        </w:rPr>
        <w:t xml:space="preserve">la Propiedad Industrial (IMPI);  </w:t>
      </w:r>
      <w:r w:rsidRPr="0033017A">
        <w:rPr>
          <w:sz w:val="16"/>
          <w:szCs w:val="16"/>
          <w:lang w:bidi="th-TH"/>
        </w:rPr>
        <w:t xml:space="preserve">ii) LATIPAT junto con la OEP y la OEPM;  iii) Proyecto sobre indicaciones geográficas, productos cuyas características se deben a su origen, y desarrollo de marcas, en asociación con el Banco Interamericano de Desarrollo (BID), la </w:t>
      </w:r>
      <w:r w:rsidRPr="00992AF7">
        <w:rPr>
          <w:sz w:val="16"/>
          <w:szCs w:val="16"/>
          <w:lang w:bidi="th-TH"/>
        </w:rPr>
        <w:t>Caribbean Export Development Agency y el Technical Centre for Agricultural and Rural Corporation (CTA);  iv) Oficina Regional de Patentes en los Estados del Caribe con la Administración de Patentes del Caribe;  v) Programa interamericano en el marco del fondo fiduciario;  vi) Colaboración continua sobre la plataforma Regional Entrepreneurial Asset Commercialization Hub (REACH) con el BID y el Young Americas Business Trust (YABT)</w:t>
      </w:r>
    </w:p>
  </w:footnote>
  <w:footnote w:id="71">
    <w:p w:rsidR="008F093A" w:rsidRPr="008C47F8" w:rsidRDefault="008F093A" w:rsidP="00DC1333">
      <w:pPr>
        <w:pStyle w:val="FootnoteText"/>
        <w:rPr>
          <w:sz w:val="16"/>
          <w:szCs w:val="16"/>
        </w:rPr>
      </w:pPr>
      <w:r w:rsidRPr="00FC1471">
        <w:rPr>
          <w:rStyle w:val="FootnoteReference"/>
          <w:sz w:val="16"/>
          <w:szCs w:val="16"/>
          <w:lang w:val="es-ES_tradnl"/>
        </w:rPr>
        <w:footnoteRef/>
      </w:r>
      <w:r w:rsidRPr="00FC1471">
        <w:rPr>
          <w:sz w:val="16"/>
          <w:szCs w:val="16"/>
          <w:lang w:val="es-ES_tradnl"/>
        </w:rPr>
        <w:t xml:space="preserve"> Corrección</w:t>
      </w:r>
      <w:proofErr w:type="gramStart"/>
      <w:r>
        <w:rPr>
          <w:sz w:val="16"/>
          <w:szCs w:val="16"/>
          <w:lang w:val="es-ES_tradnl"/>
        </w:rPr>
        <w:t xml:space="preserve">:  </w:t>
      </w:r>
      <w:r w:rsidRPr="00FC1471">
        <w:rPr>
          <w:sz w:val="16"/>
          <w:szCs w:val="16"/>
          <w:lang w:val="es-ES_tradnl"/>
        </w:rPr>
        <w:t>El</w:t>
      </w:r>
      <w:proofErr w:type="gramEnd"/>
      <w:r w:rsidRPr="00FC1471">
        <w:rPr>
          <w:sz w:val="16"/>
          <w:szCs w:val="16"/>
          <w:lang w:val="es-ES_tradnl"/>
        </w:rPr>
        <w:t xml:space="preserve"> número de p</w:t>
      </w:r>
      <w:r>
        <w:rPr>
          <w:sz w:val="16"/>
          <w:szCs w:val="16"/>
          <w:lang w:val="es-ES_tradnl"/>
        </w:rPr>
        <w:t>articipantes en el Programa de perfeccionamiento p</w:t>
      </w:r>
      <w:r w:rsidRPr="00FC1471">
        <w:rPr>
          <w:sz w:val="16"/>
          <w:szCs w:val="16"/>
          <w:lang w:val="es-ES_tradnl"/>
        </w:rPr>
        <w:t>rofesional en 2014 fue de 226, no 216 como figuraba en el Informe sobre el rendimiento de los programas en 2014.</w:t>
      </w:r>
    </w:p>
  </w:footnote>
  <w:footnote w:id="72">
    <w:p w:rsidR="008F093A" w:rsidRPr="00BF2B66" w:rsidRDefault="008F093A" w:rsidP="00DC1333">
      <w:pPr>
        <w:pStyle w:val="FootnoteText"/>
        <w:rPr>
          <w:sz w:val="16"/>
          <w:szCs w:val="16"/>
        </w:rPr>
      </w:pPr>
      <w:r w:rsidRPr="00F64CE5">
        <w:rPr>
          <w:rStyle w:val="FootnoteReference"/>
          <w:sz w:val="16"/>
          <w:szCs w:val="16"/>
        </w:rPr>
        <w:footnoteRef/>
      </w:r>
      <w:r w:rsidRPr="00BF2B66">
        <w:rPr>
          <w:sz w:val="16"/>
          <w:szCs w:val="16"/>
        </w:rPr>
        <w:t xml:space="preserve"> De los </w:t>
      </w:r>
      <w:r>
        <w:rPr>
          <w:sz w:val="16"/>
          <w:szCs w:val="16"/>
        </w:rPr>
        <w:t>12</w:t>
      </w:r>
      <w:r w:rsidRPr="00BF2B66">
        <w:rPr>
          <w:sz w:val="16"/>
          <w:szCs w:val="16"/>
        </w:rPr>
        <w:t xml:space="preserve"> cursos </w:t>
      </w:r>
      <w:r>
        <w:rPr>
          <w:sz w:val="16"/>
          <w:szCs w:val="16"/>
        </w:rPr>
        <w:t>of</w:t>
      </w:r>
      <w:r w:rsidRPr="00BF2B66">
        <w:rPr>
          <w:sz w:val="16"/>
          <w:szCs w:val="16"/>
        </w:rPr>
        <w:t>icial</w:t>
      </w:r>
      <w:r>
        <w:rPr>
          <w:sz w:val="16"/>
          <w:szCs w:val="16"/>
        </w:rPr>
        <w:t>es</w:t>
      </w:r>
      <w:r w:rsidRPr="00BF2B66">
        <w:rPr>
          <w:sz w:val="16"/>
          <w:szCs w:val="16"/>
        </w:rPr>
        <w:t xml:space="preserve"> </w:t>
      </w:r>
      <w:r>
        <w:rPr>
          <w:sz w:val="16"/>
          <w:szCs w:val="16"/>
        </w:rPr>
        <w:t>ofrecidos en ambos bienios, 11</w:t>
      </w:r>
      <w:r w:rsidRPr="00BF2B66">
        <w:rPr>
          <w:sz w:val="16"/>
          <w:szCs w:val="16"/>
        </w:rPr>
        <w:t xml:space="preserve"> estaban disponibles en los seis </w:t>
      </w:r>
      <w:r>
        <w:rPr>
          <w:sz w:val="16"/>
          <w:szCs w:val="16"/>
        </w:rPr>
        <w:t>idiomas de las NN.UU. y en portugués y uno en tres idiomas de las NN.UU.</w:t>
      </w:r>
    </w:p>
  </w:footnote>
  <w:footnote w:id="73">
    <w:p w:rsidR="008F093A" w:rsidRPr="00BF2B66" w:rsidRDefault="008F093A" w:rsidP="00DC1333">
      <w:pPr>
        <w:pStyle w:val="FootnoteText"/>
        <w:rPr>
          <w:sz w:val="16"/>
          <w:szCs w:val="16"/>
        </w:rPr>
      </w:pPr>
      <w:r w:rsidRPr="00B527D7">
        <w:rPr>
          <w:sz w:val="16"/>
          <w:szCs w:val="16"/>
          <w:vertAlign w:val="superscript"/>
        </w:rPr>
        <w:footnoteRef/>
      </w:r>
      <w:r w:rsidRPr="00BF2B66">
        <w:rPr>
          <w:sz w:val="16"/>
          <w:szCs w:val="16"/>
        </w:rPr>
        <w:t xml:space="preserve"> El aumento del </w:t>
      </w:r>
      <w:r>
        <w:rPr>
          <w:sz w:val="16"/>
          <w:szCs w:val="16"/>
        </w:rPr>
        <w:t xml:space="preserve">138% </w:t>
      </w:r>
      <w:r w:rsidRPr="00BF2B66">
        <w:rPr>
          <w:sz w:val="16"/>
          <w:szCs w:val="16"/>
        </w:rPr>
        <w:t>en la demanda de c</w:t>
      </w:r>
      <w:r>
        <w:rPr>
          <w:sz w:val="16"/>
          <w:szCs w:val="16"/>
        </w:rPr>
        <w:t>ursos de enseñanza a distancia de nivel avanzado</w:t>
      </w:r>
      <w:r w:rsidRPr="00BF2B66">
        <w:rPr>
          <w:sz w:val="16"/>
          <w:szCs w:val="16"/>
        </w:rPr>
        <w:t xml:space="preserve"> est</w:t>
      </w:r>
      <w:r>
        <w:rPr>
          <w:sz w:val="16"/>
          <w:szCs w:val="16"/>
        </w:rPr>
        <w:t>á ligado a la alta participación de los CATI, en particular los de Marruecos, Madagascar y Suráfrica, así como a la disponibilidad adicional de los cursos de enseñanza a distancia en los seis idiomas de las NN.UU. a partir de finales de 2015.</w:t>
      </w:r>
    </w:p>
  </w:footnote>
  <w:footnote w:id="74">
    <w:p w:rsidR="008F093A" w:rsidRPr="00BF2B66" w:rsidRDefault="008F093A" w:rsidP="00DC1333">
      <w:pPr>
        <w:pStyle w:val="FootnoteText"/>
        <w:rPr>
          <w:sz w:val="16"/>
          <w:szCs w:val="16"/>
        </w:rPr>
      </w:pPr>
      <w:r w:rsidRPr="00B9794F">
        <w:rPr>
          <w:sz w:val="16"/>
          <w:szCs w:val="16"/>
          <w:vertAlign w:val="superscript"/>
        </w:rPr>
        <w:footnoteRef/>
      </w:r>
      <w:r w:rsidRPr="00BF2B66">
        <w:rPr>
          <w:sz w:val="16"/>
          <w:szCs w:val="16"/>
        </w:rPr>
        <w:t xml:space="preserve"> </w:t>
      </w:r>
      <w:r w:rsidRPr="007B2775">
        <w:rPr>
          <w:sz w:val="16"/>
          <w:szCs w:val="16"/>
          <w:lang w:val="es-ES_tradnl"/>
        </w:rPr>
        <w:t>El mayor nivel de participación de países de América Latina y el Caribe se debe principalmente a las versiones adaptadas del Curso general sobre P.I. (DL101) en español y portugués.</w:t>
      </w:r>
    </w:p>
  </w:footnote>
  <w:footnote w:id="75">
    <w:p w:rsidR="008F093A" w:rsidRPr="00004DDD" w:rsidRDefault="008F093A" w:rsidP="00DC1333">
      <w:pPr>
        <w:pStyle w:val="FootnoteText"/>
        <w:rPr>
          <w:sz w:val="16"/>
          <w:szCs w:val="16"/>
          <w:lang w:val="es-ES_tradnl"/>
        </w:rPr>
      </w:pPr>
      <w:r w:rsidRPr="00C20768">
        <w:rPr>
          <w:rStyle w:val="FootnoteReference"/>
          <w:sz w:val="16"/>
          <w:szCs w:val="16"/>
        </w:rPr>
        <w:footnoteRef/>
      </w:r>
      <w:r w:rsidRPr="00004DDD">
        <w:rPr>
          <w:sz w:val="16"/>
          <w:szCs w:val="16"/>
        </w:rPr>
        <w:t xml:space="preserve"> Corrección</w:t>
      </w:r>
      <w:proofErr w:type="gramStart"/>
      <w:r w:rsidRPr="00004DDD">
        <w:rPr>
          <w:sz w:val="16"/>
          <w:szCs w:val="16"/>
        </w:rPr>
        <w:t>:</w:t>
      </w:r>
      <w:r>
        <w:rPr>
          <w:sz w:val="16"/>
          <w:szCs w:val="16"/>
        </w:rPr>
        <w:t xml:space="preserve"> </w:t>
      </w:r>
      <w:r w:rsidRPr="00004DDD">
        <w:rPr>
          <w:sz w:val="16"/>
          <w:szCs w:val="16"/>
        </w:rPr>
        <w:t xml:space="preserve"> En</w:t>
      </w:r>
      <w:proofErr w:type="gramEnd"/>
      <w:r w:rsidRPr="00004DDD">
        <w:rPr>
          <w:sz w:val="16"/>
          <w:szCs w:val="16"/>
        </w:rPr>
        <w:t xml:space="preserve"> 2014, los cursos general</w:t>
      </w:r>
      <w:r>
        <w:rPr>
          <w:sz w:val="16"/>
          <w:szCs w:val="16"/>
        </w:rPr>
        <w:t>es</w:t>
      </w:r>
      <w:r w:rsidRPr="00004DDD">
        <w:rPr>
          <w:sz w:val="16"/>
          <w:szCs w:val="16"/>
        </w:rPr>
        <w:t xml:space="preserve"> fueron ofrecidos en 13 idiomas (incluyendo el ingl</w:t>
      </w:r>
      <w:r>
        <w:rPr>
          <w:sz w:val="16"/>
          <w:szCs w:val="16"/>
        </w:rPr>
        <w:t xml:space="preserve">és), no 12 </w:t>
      </w:r>
      <w:r w:rsidRPr="00FC1471">
        <w:rPr>
          <w:sz w:val="16"/>
          <w:szCs w:val="16"/>
          <w:lang w:val="es-ES_tradnl"/>
        </w:rPr>
        <w:t>como figuraba en el Informe sobre el rendimiento de los programas en 2014.</w:t>
      </w:r>
    </w:p>
  </w:footnote>
  <w:footnote w:id="76">
    <w:p w:rsidR="008F093A" w:rsidRPr="005C6982" w:rsidRDefault="008F093A" w:rsidP="00DC1333">
      <w:pPr>
        <w:pStyle w:val="FootnoteText"/>
      </w:pPr>
      <w:r w:rsidRPr="00BD18C1">
        <w:rPr>
          <w:sz w:val="16"/>
          <w:szCs w:val="16"/>
          <w:vertAlign w:val="superscript"/>
        </w:rPr>
        <w:footnoteRef/>
      </w:r>
      <w:r w:rsidRPr="00004DDD">
        <w:rPr>
          <w:sz w:val="16"/>
          <w:szCs w:val="16"/>
        </w:rPr>
        <w:t xml:space="preserve"> Cabe apuntar </w:t>
      </w:r>
      <w:r>
        <w:rPr>
          <w:sz w:val="16"/>
          <w:szCs w:val="16"/>
        </w:rPr>
        <w:t>que en ocasiones el año académico se solapa con el año natural (por ejemplo, los programas van de 2013 a 2014 y de 2014 a 2015).  Por consiguiente, no es posible en este informe establecer una correlación entre el número de nuevos estudiantes y el número de graduados.</w:t>
      </w:r>
    </w:p>
  </w:footnote>
  <w:footnote w:id="77">
    <w:p w:rsidR="008F093A" w:rsidRPr="00F50622" w:rsidRDefault="008F093A" w:rsidP="00DC1333">
      <w:pPr>
        <w:pStyle w:val="FootnoteText"/>
        <w:rPr>
          <w:sz w:val="16"/>
          <w:szCs w:val="16"/>
        </w:rPr>
      </w:pPr>
      <w:r w:rsidRPr="00F50622">
        <w:rPr>
          <w:sz w:val="16"/>
          <w:szCs w:val="16"/>
          <w:vertAlign w:val="superscript"/>
        </w:rPr>
        <w:footnoteRef/>
      </w:r>
      <w:r w:rsidRPr="00F50622">
        <w:rPr>
          <w:sz w:val="16"/>
          <w:szCs w:val="16"/>
          <w:vertAlign w:val="superscript"/>
        </w:rPr>
        <w:t xml:space="preserve"> </w:t>
      </w:r>
      <w:r w:rsidRPr="00F50622">
        <w:rPr>
          <w:sz w:val="16"/>
          <w:szCs w:val="16"/>
        </w:rPr>
        <w:t>En 2014, dejó de impartirse el programa de máster conjunto con la Universidad de Haifa.</w:t>
      </w:r>
    </w:p>
  </w:footnote>
  <w:footnote w:id="78">
    <w:p w:rsidR="008F093A" w:rsidRPr="00FF33BB" w:rsidRDefault="008F093A" w:rsidP="00DC1333">
      <w:pPr>
        <w:pStyle w:val="FootnoteText"/>
        <w:rPr>
          <w:sz w:val="16"/>
          <w:szCs w:val="16"/>
        </w:rPr>
      </w:pPr>
      <w:r w:rsidRPr="00BD18C1">
        <w:rPr>
          <w:rStyle w:val="FootnoteReference"/>
          <w:sz w:val="16"/>
          <w:szCs w:val="16"/>
        </w:rPr>
        <w:footnoteRef/>
      </w:r>
      <w:r w:rsidRPr="00EE7A2C">
        <w:rPr>
          <w:sz w:val="16"/>
          <w:szCs w:val="16"/>
        </w:rPr>
        <w:t xml:space="preserve"> Corrección</w:t>
      </w:r>
      <w:proofErr w:type="gramStart"/>
      <w:r w:rsidRPr="00EE7A2C">
        <w:rPr>
          <w:sz w:val="16"/>
          <w:szCs w:val="16"/>
        </w:rPr>
        <w:t xml:space="preserve">: </w:t>
      </w:r>
      <w:r>
        <w:rPr>
          <w:sz w:val="16"/>
          <w:szCs w:val="16"/>
        </w:rPr>
        <w:t xml:space="preserve"> </w:t>
      </w:r>
      <w:r w:rsidRPr="00EE7A2C">
        <w:rPr>
          <w:sz w:val="16"/>
          <w:szCs w:val="16"/>
        </w:rPr>
        <w:t>Debido</w:t>
      </w:r>
      <w:proofErr w:type="gramEnd"/>
      <w:r w:rsidRPr="00EE7A2C">
        <w:rPr>
          <w:sz w:val="16"/>
          <w:szCs w:val="16"/>
        </w:rPr>
        <w:t xml:space="preserve"> a un error tipogr</w:t>
      </w:r>
      <w:r>
        <w:rPr>
          <w:sz w:val="16"/>
          <w:szCs w:val="16"/>
        </w:rPr>
        <w:t>áfico, la cifra indicada en el Informe sobre el rendimiento de los programas en 2014 era de 247 profesores.</w:t>
      </w:r>
    </w:p>
  </w:footnote>
  <w:footnote w:id="79">
    <w:p w:rsidR="008F093A" w:rsidRPr="008C47F8" w:rsidRDefault="008F093A">
      <w:pPr>
        <w:pStyle w:val="FootnoteText"/>
      </w:pPr>
      <w:r w:rsidRPr="00F64CE5">
        <w:rPr>
          <w:rStyle w:val="FootnoteReference"/>
          <w:sz w:val="16"/>
          <w:szCs w:val="16"/>
        </w:rPr>
        <w:footnoteRef/>
      </w:r>
      <w:r w:rsidRPr="008C47F8">
        <w:rPr>
          <w:sz w:val="16"/>
          <w:szCs w:val="16"/>
        </w:rPr>
        <w:t xml:space="preserve"> </w:t>
      </w:r>
      <w:r w:rsidRPr="007B2775">
        <w:rPr>
          <w:sz w:val="16"/>
          <w:szCs w:val="16"/>
          <w:lang w:val="es-ES_tradnl"/>
        </w:rPr>
        <w:t>Se entenderá por “disponible” que ha sido traducido al idioma y que está en condiciones de ser ofrecido a las oficinas de P.I. asociadas.  Cabe observar que en un año determinado no todos los cursos se ofrecen en todas las versiones en distintos idiomas, en función del momento del año en que una nueva ve</w:t>
      </w:r>
      <w:r>
        <w:rPr>
          <w:sz w:val="16"/>
          <w:szCs w:val="16"/>
          <w:lang w:val="es-ES_tradnl"/>
        </w:rPr>
        <w:t xml:space="preserve">rsión pasa a estar disponible </w:t>
      </w:r>
      <w:r w:rsidRPr="007B2775">
        <w:rPr>
          <w:sz w:val="16"/>
          <w:szCs w:val="16"/>
          <w:lang w:val="es-ES_tradnl"/>
        </w:rPr>
        <w:t>o del nivel de preparación de la oficina de P.I. asociada con la que se imparten los cursos.</w:t>
      </w:r>
    </w:p>
  </w:footnote>
  <w:footnote w:id="80">
    <w:p w:rsidR="008F093A" w:rsidRPr="00AD517C" w:rsidRDefault="008F093A" w:rsidP="00DC1333">
      <w:pPr>
        <w:pStyle w:val="FootnoteText"/>
        <w:rPr>
          <w:sz w:val="16"/>
          <w:szCs w:val="16"/>
        </w:rPr>
      </w:pPr>
      <w:r w:rsidRPr="00AD517C">
        <w:rPr>
          <w:rStyle w:val="FootnoteReference"/>
          <w:sz w:val="16"/>
          <w:szCs w:val="16"/>
        </w:rPr>
        <w:footnoteRef/>
      </w:r>
      <w:r w:rsidRPr="00AD517C">
        <w:rPr>
          <w:sz w:val="16"/>
          <w:szCs w:val="16"/>
        </w:rPr>
        <w:t xml:space="preserve"> La contribución a esta publicación se llevó a cabo en el marco del fondo fiduciario de los EE.UU. para las pymes, que se cerró en el primer trimestre de 2015. </w:t>
      </w:r>
    </w:p>
  </w:footnote>
  <w:footnote w:id="81">
    <w:p w:rsidR="008F093A" w:rsidRPr="00AD517C" w:rsidRDefault="008F093A" w:rsidP="00DC1333">
      <w:pPr>
        <w:pStyle w:val="FootnoteText"/>
        <w:rPr>
          <w:sz w:val="16"/>
          <w:szCs w:val="16"/>
        </w:rPr>
      </w:pPr>
      <w:r w:rsidRPr="00AD517C">
        <w:rPr>
          <w:rStyle w:val="FootnoteReference"/>
          <w:sz w:val="16"/>
          <w:szCs w:val="16"/>
        </w:rPr>
        <w:footnoteRef/>
      </w:r>
      <w:r w:rsidRPr="00AD517C">
        <w:rPr>
          <w:sz w:val="16"/>
          <w:szCs w:val="16"/>
        </w:rPr>
        <w:t xml:space="preserve"> Véase el programa 10.</w:t>
      </w:r>
    </w:p>
  </w:footnote>
  <w:footnote w:id="82">
    <w:p w:rsidR="008F093A" w:rsidRPr="00686A50" w:rsidRDefault="008F093A">
      <w:pPr>
        <w:pStyle w:val="FootnoteText"/>
        <w:rPr>
          <w:sz w:val="16"/>
          <w:szCs w:val="16"/>
        </w:rPr>
      </w:pPr>
      <w:r w:rsidRPr="00686A50">
        <w:rPr>
          <w:rStyle w:val="FootnoteReference"/>
          <w:sz w:val="16"/>
          <w:szCs w:val="16"/>
        </w:rPr>
        <w:footnoteRef/>
      </w:r>
      <w:r w:rsidRPr="00686A50">
        <w:rPr>
          <w:sz w:val="16"/>
          <w:szCs w:val="16"/>
        </w:rPr>
        <w:t xml:space="preserve"> Corrección</w:t>
      </w:r>
      <w:proofErr w:type="gramStart"/>
      <w:r w:rsidRPr="00686A50">
        <w:rPr>
          <w:sz w:val="16"/>
          <w:szCs w:val="16"/>
        </w:rPr>
        <w:t>:  El</w:t>
      </w:r>
      <w:proofErr w:type="gramEnd"/>
      <w:r w:rsidRPr="00686A50">
        <w:rPr>
          <w:sz w:val="16"/>
          <w:szCs w:val="16"/>
        </w:rPr>
        <w:t xml:space="preserve"> número total de</w:t>
      </w:r>
      <w:r>
        <w:rPr>
          <w:sz w:val="16"/>
          <w:szCs w:val="16"/>
        </w:rPr>
        <w:t xml:space="preserve"> modificaciones en 2013 fue 423</w:t>
      </w:r>
      <w:r w:rsidRPr="00686A50">
        <w:rPr>
          <w:sz w:val="16"/>
          <w:szCs w:val="16"/>
        </w:rPr>
        <w:t xml:space="preserve"> tal como se informaba en el Informe sobre el rendimiento de los</w:t>
      </w:r>
      <w:r>
        <w:rPr>
          <w:sz w:val="16"/>
          <w:szCs w:val="16"/>
        </w:rPr>
        <w:t xml:space="preserve"> programas en 2012/13, y no 432</w:t>
      </w:r>
      <w:r w:rsidRPr="00686A50">
        <w:rPr>
          <w:sz w:val="16"/>
          <w:szCs w:val="16"/>
        </w:rPr>
        <w:t xml:space="preserve"> tal como se informaba en el Informe sobre el rendimiento de los programas en 2014.</w:t>
      </w:r>
    </w:p>
  </w:footnote>
  <w:footnote w:id="83">
    <w:p w:rsidR="008F093A" w:rsidRPr="001E2B4B" w:rsidRDefault="008F093A" w:rsidP="00DC1333">
      <w:pPr>
        <w:pStyle w:val="Default"/>
        <w:rPr>
          <w:sz w:val="16"/>
          <w:szCs w:val="16"/>
          <w:lang w:val="es-ES"/>
        </w:rPr>
      </w:pPr>
      <w:r w:rsidRPr="00316356">
        <w:rPr>
          <w:rStyle w:val="FootnoteReference"/>
          <w:rFonts w:eastAsia="Times New Roman" w:cs="Times New Roman"/>
          <w:color w:val="auto"/>
          <w:sz w:val="16"/>
          <w:szCs w:val="16"/>
        </w:rPr>
        <w:footnoteRef/>
      </w:r>
      <w:r w:rsidRPr="001E2B4B">
        <w:rPr>
          <w:sz w:val="16"/>
          <w:szCs w:val="16"/>
          <w:lang w:val="es-ES"/>
        </w:rPr>
        <w:t xml:space="preserve"> Corrección</w:t>
      </w:r>
      <w:proofErr w:type="gramStart"/>
      <w:r w:rsidRPr="001E2B4B">
        <w:rPr>
          <w:sz w:val="16"/>
          <w:szCs w:val="16"/>
          <w:lang w:val="es-ES"/>
        </w:rPr>
        <w:t>:  El</w:t>
      </w:r>
      <w:proofErr w:type="gramEnd"/>
      <w:r w:rsidRPr="001E2B4B">
        <w:rPr>
          <w:sz w:val="16"/>
          <w:szCs w:val="16"/>
          <w:lang w:val="es-ES"/>
        </w:rPr>
        <w:t xml:space="preserve"> número total de modificaciones en 201</w:t>
      </w:r>
      <w:r>
        <w:rPr>
          <w:sz w:val="16"/>
          <w:szCs w:val="16"/>
          <w:lang w:val="es-ES"/>
        </w:rPr>
        <w:t>4</w:t>
      </w:r>
      <w:r w:rsidRPr="001E2B4B">
        <w:rPr>
          <w:sz w:val="16"/>
          <w:szCs w:val="16"/>
          <w:lang w:val="es-ES"/>
        </w:rPr>
        <w:t xml:space="preserve"> fue </w:t>
      </w:r>
      <w:r>
        <w:rPr>
          <w:sz w:val="16"/>
          <w:szCs w:val="16"/>
          <w:lang w:val="es-ES"/>
        </w:rPr>
        <w:t>560</w:t>
      </w:r>
      <w:r w:rsidRPr="001E2B4B">
        <w:rPr>
          <w:sz w:val="16"/>
          <w:szCs w:val="16"/>
          <w:lang w:val="es-ES"/>
        </w:rPr>
        <w:t xml:space="preserve"> y no </w:t>
      </w:r>
      <w:r>
        <w:rPr>
          <w:sz w:val="16"/>
          <w:szCs w:val="16"/>
          <w:lang w:val="es-ES"/>
        </w:rPr>
        <w:t>570</w:t>
      </w:r>
      <w:r w:rsidRPr="001E2B4B">
        <w:rPr>
          <w:sz w:val="16"/>
          <w:szCs w:val="16"/>
          <w:lang w:val="es-ES"/>
        </w:rPr>
        <w:t xml:space="preserve"> tal como se informaba en el Informe sobre el rendimiento de los programas en 2014.</w:t>
      </w:r>
    </w:p>
  </w:footnote>
  <w:footnote w:id="84">
    <w:p w:rsidR="008F093A" w:rsidRPr="007B2775" w:rsidRDefault="008F093A" w:rsidP="00DC1333">
      <w:pPr>
        <w:pStyle w:val="FootnoteText"/>
        <w:rPr>
          <w:sz w:val="16"/>
          <w:szCs w:val="16"/>
        </w:rPr>
      </w:pPr>
      <w:r w:rsidRPr="007B2775">
        <w:rPr>
          <w:rStyle w:val="FootnoteReference"/>
          <w:sz w:val="16"/>
          <w:szCs w:val="16"/>
        </w:rPr>
        <w:footnoteRef/>
      </w:r>
      <w:r w:rsidRPr="007B2775">
        <w:rPr>
          <w:sz w:val="16"/>
          <w:szCs w:val="16"/>
        </w:rPr>
        <w:t xml:space="preserve"> Denominada </w:t>
      </w:r>
      <w:r>
        <w:rPr>
          <w:sz w:val="16"/>
          <w:szCs w:val="16"/>
        </w:rPr>
        <w:t>anteriormente TAPTA (</w:t>
      </w:r>
      <w:r w:rsidRPr="0027772C">
        <w:rPr>
          <w:sz w:val="16"/>
          <w:szCs w:val="16"/>
        </w:rPr>
        <w:t>siglas en inglés correspondientes a Auxiliar para la traducción de títulos y resúmenes de patentes)</w:t>
      </w:r>
      <w:r w:rsidRPr="007B2775">
        <w:rPr>
          <w:sz w:val="16"/>
          <w:szCs w:val="16"/>
        </w:rPr>
        <w:t>.</w:t>
      </w:r>
    </w:p>
  </w:footnote>
  <w:footnote w:id="85">
    <w:p w:rsidR="008F093A" w:rsidRPr="00EC2E15" w:rsidRDefault="008F093A" w:rsidP="00DC1333">
      <w:pPr>
        <w:pStyle w:val="FootnoteText"/>
        <w:rPr>
          <w:sz w:val="16"/>
          <w:szCs w:val="16"/>
        </w:rPr>
      </w:pPr>
      <w:r w:rsidRPr="00EC2E15">
        <w:rPr>
          <w:rStyle w:val="FootnoteReference"/>
          <w:sz w:val="16"/>
          <w:szCs w:val="16"/>
        </w:rPr>
        <w:footnoteRef/>
      </w:r>
      <w:r w:rsidRPr="00EC2E15">
        <w:rPr>
          <w:sz w:val="16"/>
          <w:szCs w:val="16"/>
        </w:rPr>
        <w:t xml:space="preserve">  El número de usuarios hace referencia a “usuarios” únicos y no a “visitantes” únicos, es decir que no se toman en consideración los visitantes que solo miran la página y no efectúan búsquedas, </w:t>
      </w:r>
      <w:r>
        <w:rPr>
          <w:sz w:val="16"/>
          <w:szCs w:val="16"/>
        </w:rPr>
        <w:t>obteniéndose</w:t>
      </w:r>
      <w:r w:rsidRPr="00EC2E15">
        <w:rPr>
          <w:sz w:val="16"/>
          <w:szCs w:val="16"/>
        </w:rPr>
        <w:t xml:space="preserve"> de esta forma una representación más precisa del uso q</w:t>
      </w:r>
      <w:r>
        <w:rPr>
          <w:sz w:val="16"/>
          <w:szCs w:val="16"/>
        </w:rPr>
        <w:t>ue se hace de la base de datos.</w:t>
      </w:r>
    </w:p>
  </w:footnote>
  <w:footnote w:id="86">
    <w:p w:rsidR="008F093A" w:rsidRPr="00F24AC7" w:rsidRDefault="008F093A" w:rsidP="00DC1333">
      <w:pPr>
        <w:pStyle w:val="FootnoteText"/>
        <w:rPr>
          <w:sz w:val="16"/>
          <w:szCs w:val="16"/>
        </w:rPr>
      </w:pPr>
      <w:r w:rsidRPr="00EC2E15">
        <w:rPr>
          <w:rStyle w:val="FootnoteReference"/>
          <w:sz w:val="16"/>
          <w:szCs w:val="16"/>
        </w:rPr>
        <w:footnoteRef/>
      </w:r>
      <w:r w:rsidRPr="00EC2E15">
        <w:rPr>
          <w:sz w:val="16"/>
          <w:szCs w:val="16"/>
        </w:rPr>
        <w:t xml:space="preserve"> Ídem</w:t>
      </w:r>
      <w:r w:rsidRPr="00F24AC7">
        <w:rPr>
          <w:sz w:val="16"/>
          <w:szCs w:val="16"/>
        </w:rPr>
        <w:t>.</w:t>
      </w:r>
    </w:p>
  </w:footnote>
  <w:footnote w:id="87">
    <w:p w:rsidR="008F093A" w:rsidRPr="002F4B91" w:rsidRDefault="008F093A" w:rsidP="00D22903">
      <w:pPr>
        <w:pStyle w:val="FootnoteText"/>
        <w:rPr>
          <w:sz w:val="16"/>
          <w:szCs w:val="16"/>
        </w:rPr>
      </w:pPr>
      <w:r w:rsidRPr="002F4B91">
        <w:rPr>
          <w:rStyle w:val="FootnoteReference"/>
          <w:sz w:val="16"/>
          <w:szCs w:val="16"/>
        </w:rPr>
        <w:footnoteRef/>
      </w:r>
      <w:r w:rsidRPr="002F4B91">
        <w:rPr>
          <w:sz w:val="16"/>
          <w:szCs w:val="16"/>
        </w:rPr>
        <w:t xml:space="preserve"> http://www.wipo.int/tisc/es/search/</w:t>
      </w:r>
    </w:p>
  </w:footnote>
  <w:footnote w:id="88">
    <w:p w:rsidR="008F093A" w:rsidRPr="00F24AC7" w:rsidRDefault="008F093A" w:rsidP="00D22903">
      <w:pPr>
        <w:pStyle w:val="FootnoteText"/>
        <w:rPr>
          <w:sz w:val="16"/>
          <w:szCs w:val="16"/>
        </w:rPr>
      </w:pPr>
      <w:r w:rsidRPr="007B2775">
        <w:rPr>
          <w:rStyle w:val="FootnoteReference"/>
          <w:sz w:val="16"/>
          <w:szCs w:val="16"/>
        </w:rPr>
        <w:footnoteRef/>
      </w:r>
      <w:r w:rsidRPr="00F24AC7">
        <w:rPr>
          <w:sz w:val="16"/>
          <w:szCs w:val="16"/>
        </w:rPr>
        <w:t xml:space="preserve"> http://etisc.wipo.org/ </w:t>
      </w:r>
    </w:p>
  </w:footnote>
  <w:footnote w:id="89">
    <w:p w:rsidR="008F093A" w:rsidRPr="00F24AC7" w:rsidRDefault="008F093A" w:rsidP="00D22903">
      <w:pPr>
        <w:pStyle w:val="FootnoteText"/>
        <w:rPr>
          <w:sz w:val="16"/>
          <w:szCs w:val="16"/>
        </w:rPr>
      </w:pPr>
      <w:r w:rsidRPr="007B2775">
        <w:rPr>
          <w:rStyle w:val="FootnoteReference"/>
          <w:sz w:val="16"/>
          <w:szCs w:val="16"/>
        </w:rPr>
        <w:footnoteRef/>
      </w:r>
      <w:r w:rsidRPr="00F24AC7">
        <w:rPr>
          <w:sz w:val="16"/>
          <w:szCs w:val="16"/>
        </w:rPr>
        <w:t xml:space="preserve"> http://www.wipo.int/tisc/en/etutorial.html</w:t>
      </w:r>
    </w:p>
  </w:footnote>
  <w:footnote w:id="90">
    <w:p w:rsidR="008F093A" w:rsidRPr="00F24AC7" w:rsidRDefault="008F093A" w:rsidP="00D22903">
      <w:pPr>
        <w:pStyle w:val="FootnoteText"/>
        <w:rPr>
          <w:sz w:val="16"/>
          <w:szCs w:val="16"/>
        </w:rPr>
      </w:pPr>
      <w:r w:rsidRPr="007B2775">
        <w:rPr>
          <w:rStyle w:val="FootnoteReference"/>
          <w:sz w:val="16"/>
          <w:szCs w:val="16"/>
        </w:rPr>
        <w:footnoteRef/>
      </w:r>
      <w:r w:rsidRPr="00F24AC7">
        <w:rPr>
          <w:sz w:val="16"/>
          <w:szCs w:val="16"/>
        </w:rPr>
        <w:t xml:space="preserve"> http://www.wipo.int/tisc/fr/etutorial.html</w:t>
      </w:r>
    </w:p>
  </w:footnote>
  <w:footnote w:id="91">
    <w:p w:rsidR="008F093A" w:rsidRPr="00B63893" w:rsidRDefault="008F093A" w:rsidP="00D22903">
      <w:pPr>
        <w:pStyle w:val="FootnoteText"/>
        <w:rPr>
          <w:sz w:val="16"/>
          <w:szCs w:val="16"/>
        </w:rPr>
      </w:pPr>
      <w:r w:rsidRPr="00B63893">
        <w:rPr>
          <w:rStyle w:val="FootnoteReference"/>
          <w:sz w:val="16"/>
          <w:szCs w:val="16"/>
        </w:rPr>
        <w:footnoteRef/>
      </w:r>
      <w:r w:rsidRPr="00B63893">
        <w:rPr>
          <w:sz w:val="16"/>
          <w:szCs w:val="16"/>
        </w:rPr>
        <w:t xml:space="preserve"> http://poldham.github.io/project_files/</w:t>
      </w:r>
    </w:p>
  </w:footnote>
  <w:footnote w:id="92">
    <w:p w:rsidR="008F093A" w:rsidRPr="00690DFF" w:rsidRDefault="008F093A" w:rsidP="00DC1333">
      <w:pPr>
        <w:pStyle w:val="FootnoteText"/>
        <w:rPr>
          <w:sz w:val="16"/>
          <w:szCs w:val="16"/>
        </w:rPr>
      </w:pPr>
      <w:r>
        <w:rPr>
          <w:rStyle w:val="FootnoteReference"/>
        </w:rPr>
        <w:footnoteRef/>
      </w:r>
      <w:r>
        <w:t xml:space="preserve"> </w:t>
      </w:r>
      <w:r w:rsidRPr="00690DFF">
        <w:rPr>
          <w:sz w:val="16"/>
          <w:szCs w:val="16"/>
        </w:rPr>
        <w:t>Se han actualizado las estadísticas de los años precedentes con la información recibida desde la fecha de publicación del último informe.</w:t>
      </w:r>
    </w:p>
  </w:footnote>
  <w:footnote w:id="93">
    <w:p w:rsidR="008F093A" w:rsidRPr="006C0ECA" w:rsidRDefault="008F093A">
      <w:pPr>
        <w:pStyle w:val="FootnoteText"/>
        <w:rPr>
          <w:sz w:val="16"/>
          <w:szCs w:val="16"/>
        </w:rPr>
      </w:pPr>
      <w:r>
        <w:rPr>
          <w:rStyle w:val="FootnoteReference"/>
        </w:rPr>
        <w:footnoteRef/>
      </w:r>
      <w:r>
        <w:t xml:space="preserve"> </w:t>
      </w:r>
      <w:r w:rsidRPr="006C0ECA">
        <w:rPr>
          <w:sz w:val="16"/>
          <w:szCs w:val="16"/>
        </w:rPr>
        <w:t>Corrección</w:t>
      </w:r>
      <w:proofErr w:type="gramStart"/>
      <w:r w:rsidRPr="006C0ECA">
        <w:rPr>
          <w:sz w:val="16"/>
          <w:szCs w:val="16"/>
        </w:rPr>
        <w:t>:  En</w:t>
      </w:r>
      <w:proofErr w:type="gramEnd"/>
      <w:r w:rsidRPr="006C0ECA">
        <w:rPr>
          <w:sz w:val="16"/>
          <w:szCs w:val="16"/>
        </w:rPr>
        <w:t xml:space="preserve"> el Informe sobre el rendimiento de los programas en 2014 la República de Corea se incluyó en el grupo de “Otras” y no en la región de Asia y el Pacífico.</w:t>
      </w:r>
    </w:p>
  </w:footnote>
  <w:footnote w:id="94">
    <w:p w:rsidR="008F093A" w:rsidRDefault="008F093A">
      <w:pPr>
        <w:pStyle w:val="FootnoteText"/>
      </w:pPr>
      <w:r>
        <w:rPr>
          <w:rStyle w:val="FootnoteReference"/>
        </w:rPr>
        <w:footnoteRef/>
      </w:r>
      <w:r>
        <w:t xml:space="preserve"> </w:t>
      </w:r>
      <w:r>
        <w:rPr>
          <w:sz w:val="16"/>
          <w:szCs w:val="16"/>
        </w:rPr>
        <w:t>En junio de 2014</w:t>
      </w:r>
      <w:r w:rsidRPr="006C26D4">
        <w:rPr>
          <w:sz w:val="16"/>
          <w:szCs w:val="16"/>
        </w:rPr>
        <w:t xml:space="preserve"> se puso en marcha una nueva versión del Centro de datos de estadísticas de P.I., por lo que no fue posible rastrear los datos del segundo semestre del año.</w:t>
      </w:r>
    </w:p>
  </w:footnote>
  <w:footnote w:id="95">
    <w:p w:rsidR="008F093A" w:rsidRPr="002B3AE7" w:rsidRDefault="008F093A" w:rsidP="00DC1333">
      <w:pPr>
        <w:pStyle w:val="FootnoteText"/>
        <w:rPr>
          <w:sz w:val="16"/>
          <w:szCs w:val="16"/>
        </w:rPr>
      </w:pPr>
      <w:r w:rsidRPr="002B3AE7">
        <w:rPr>
          <w:rStyle w:val="FootnoteReference"/>
        </w:rPr>
        <w:footnoteRef/>
      </w:r>
      <w:r w:rsidRPr="002B3AE7">
        <w:rPr>
          <w:sz w:val="16"/>
          <w:szCs w:val="16"/>
        </w:rPr>
        <w:t xml:space="preserve"> </w:t>
      </w:r>
      <w:r w:rsidRPr="00A65CD5">
        <w:rPr>
          <w:sz w:val="16"/>
          <w:szCs w:val="16"/>
        </w:rPr>
        <w:t>http://www.wipo.int/econ_stat/es/economics/gii/</w:t>
      </w:r>
    </w:p>
  </w:footnote>
  <w:footnote w:id="96">
    <w:p w:rsidR="008F093A" w:rsidRPr="001F26BB" w:rsidRDefault="008F093A" w:rsidP="00DC1333">
      <w:pPr>
        <w:pStyle w:val="FootnoteText"/>
        <w:rPr>
          <w:sz w:val="16"/>
          <w:szCs w:val="16"/>
        </w:rPr>
      </w:pPr>
      <w:r w:rsidRPr="001F26BB">
        <w:rPr>
          <w:rStyle w:val="FootnoteReference"/>
        </w:rPr>
        <w:footnoteRef/>
      </w:r>
      <w:r w:rsidRPr="001F26BB">
        <w:rPr>
          <w:sz w:val="16"/>
          <w:szCs w:val="16"/>
        </w:rPr>
        <w:t xml:space="preserve"> https://www.globalinnovationindex.org/content/page/GII-Home</w:t>
      </w:r>
    </w:p>
  </w:footnote>
  <w:footnote w:id="97">
    <w:p w:rsidR="008F093A" w:rsidRPr="00A34E52" w:rsidRDefault="008F093A" w:rsidP="00DC1333">
      <w:pPr>
        <w:pStyle w:val="FootnoteText"/>
        <w:rPr>
          <w:sz w:val="16"/>
          <w:szCs w:val="16"/>
        </w:rPr>
      </w:pPr>
      <w:r w:rsidRPr="00A34E52">
        <w:rPr>
          <w:rStyle w:val="FootnoteReference"/>
          <w:sz w:val="16"/>
          <w:szCs w:val="16"/>
        </w:rPr>
        <w:footnoteRef/>
      </w:r>
      <w:r w:rsidRPr="00A34E52">
        <w:rPr>
          <w:sz w:val="16"/>
          <w:szCs w:val="16"/>
        </w:rPr>
        <w:t xml:space="preserve"> http://www.wipo.int/edocs/pubdocs/en/wipo_rep_rfip_2015_1.pdf</w:t>
      </w:r>
    </w:p>
  </w:footnote>
  <w:footnote w:id="98">
    <w:p w:rsidR="008F093A" w:rsidRPr="00205A6C" w:rsidRDefault="008F093A" w:rsidP="00DC1333">
      <w:pPr>
        <w:pStyle w:val="FootnoteText"/>
        <w:jc w:val="both"/>
        <w:rPr>
          <w:sz w:val="16"/>
          <w:szCs w:val="16"/>
        </w:rPr>
      </w:pPr>
      <w:r w:rsidRPr="00FC1857">
        <w:rPr>
          <w:rStyle w:val="FootnoteReference"/>
          <w:sz w:val="16"/>
          <w:szCs w:val="16"/>
        </w:rPr>
        <w:footnoteRef/>
      </w:r>
      <w:r w:rsidRPr="00205A6C">
        <w:t xml:space="preserve"> </w:t>
      </w:r>
      <w:r w:rsidRPr="00205A6C">
        <w:rPr>
          <w:sz w:val="16"/>
          <w:szCs w:val="16"/>
        </w:rPr>
        <w:t>Corrección</w:t>
      </w:r>
      <w:proofErr w:type="gramStart"/>
      <w:r w:rsidRPr="00205A6C">
        <w:rPr>
          <w:sz w:val="16"/>
          <w:szCs w:val="16"/>
        </w:rPr>
        <w:t>:  El</w:t>
      </w:r>
      <w:proofErr w:type="gramEnd"/>
      <w:r w:rsidRPr="00205A6C">
        <w:rPr>
          <w:sz w:val="16"/>
          <w:szCs w:val="16"/>
        </w:rPr>
        <w:t xml:space="preserve"> núme</w:t>
      </w:r>
      <w:r>
        <w:rPr>
          <w:sz w:val="16"/>
          <w:szCs w:val="16"/>
        </w:rPr>
        <w:t>ro real</w:t>
      </w:r>
      <w:r w:rsidRPr="00205A6C">
        <w:rPr>
          <w:sz w:val="16"/>
          <w:szCs w:val="16"/>
        </w:rPr>
        <w:t xml:space="preserve"> de países que participaron en el programa de Premios de la OMPI fue 40</w:t>
      </w:r>
      <w:r>
        <w:rPr>
          <w:sz w:val="16"/>
          <w:szCs w:val="16"/>
        </w:rPr>
        <w:t>,</w:t>
      </w:r>
      <w:r w:rsidRPr="00205A6C">
        <w:rPr>
          <w:sz w:val="16"/>
          <w:szCs w:val="16"/>
        </w:rPr>
        <w:t xml:space="preserve"> y no </w:t>
      </w:r>
      <w:r>
        <w:rPr>
          <w:sz w:val="16"/>
          <w:szCs w:val="16"/>
        </w:rPr>
        <w:t>38 tal como se señaló</w:t>
      </w:r>
      <w:r w:rsidRPr="00205A6C">
        <w:rPr>
          <w:sz w:val="16"/>
          <w:szCs w:val="16"/>
        </w:rPr>
        <w:t xml:space="preserve"> en el Informe sobre el rendimiento de los programas en</w:t>
      </w:r>
      <w:r w:rsidRPr="00205A6C">
        <w:t xml:space="preserve"> </w:t>
      </w:r>
      <w:r w:rsidRPr="00205A6C">
        <w:rPr>
          <w:sz w:val="16"/>
          <w:szCs w:val="16"/>
        </w:rPr>
        <w:t>2014.</w:t>
      </w:r>
    </w:p>
  </w:footnote>
  <w:footnote w:id="99">
    <w:p w:rsidR="008F093A" w:rsidRPr="003B757C" w:rsidRDefault="008F093A">
      <w:pPr>
        <w:pStyle w:val="FootnoteText"/>
        <w:rPr>
          <w:sz w:val="16"/>
          <w:szCs w:val="16"/>
        </w:rPr>
      </w:pPr>
      <w:r>
        <w:rPr>
          <w:rStyle w:val="FootnoteReference"/>
        </w:rPr>
        <w:footnoteRef/>
      </w:r>
      <w:r w:rsidRPr="002A4AC6">
        <w:t xml:space="preserve"> </w:t>
      </w:r>
      <w:r w:rsidRPr="003B757C">
        <w:rPr>
          <w:sz w:val="16"/>
          <w:szCs w:val="16"/>
        </w:rPr>
        <w:t>Las colaboraciones estratégicas consisten en alianzas de naturaleza sistemática y a largo plazo, con inclusión de las que se establezcan por medio de acuerdos de cooperación, y se ocupan de elementos relacionados con fomentar el respeto por la P.I.</w:t>
      </w:r>
    </w:p>
  </w:footnote>
  <w:footnote w:id="100">
    <w:p w:rsidR="008F093A" w:rsidRPr="009679FB" w:rsidRDefault="008F093A" w:rsidP="00DC1333">
      <w:pPr>
        <w:pStyle w:val="FootnoteText"/>
        <w:jc w:val="both"/>
        <w:rPr>
          <w:sz w:val="16"/>
          <w:szCs w:val="16"/>
        </w:rPr>
      </w:pPr>
      <w:r w:rsidRPr="008E2F3F">
        <w:rPr>
          <w:rStyle w:val="FootnoteReference"/>
          <w:sz w:val="16"/>
          <w:szCs w:val="16"/>
        </w:rPr>
        <w:footnoteRef/>
      </w:r>
      <w:r w:rsidRPr="009679FB">
        <w:rPr>
          <w:sz w:val="16"/>
          <w:szCs w:val="16"/>
        </w:rPr>
        <w:t xml:space="preserve"> Corrección</w:t>
      </w:r>
      <w:proofErr w:type="gramStart"/>
      <w:r w:rsidRPr="009679FB">
        <w:rPr>
          <w:sz w:val="16"/>
          <w:szCs w:val="16"/>
        </w:rPr>
        <w:t>:  El</w:t>
      </w:r>
      <w:proofErr w:type="gramEnd"/>
      <w:r w:rsidRPr="009679FB">
        <w:rPr>
          <w:sz w:val="16"/>
          <w:szCs w:val="16"/>
        </w:rPr>
        <w:t xml:space="preserve"> número total de actividades celebradas conjuntamente en 2014 fue en realidad 35</w:t>
      </w:r>
      <w:r>
        <w:rPr>
          <w:sz w:val="16"/>
          <w:szCs w:val="16"/>
        </w:rPr>
        <w:t>,</w:t>
      </w:r>
      <w:r w:rsidRPr="009679FB">
        <w:rPr>
          <w:sz w:val="16"/>
          <w:szCs w:val="16"/>
        </w:rPr>
        <w:t xml:space="preserve"> y no 30 como se </w:t>
      </w:r>
      <w:r>
        <w:rPr>
          <w:sz w:val="16"/>
          <w:szCs w:val="16"/>
        </w:rPr>
        <w:t>señaló</w:t>
      </w:r>
      <w:r w:rsidRPr="00205A6C">
        <w:rPr>
          <w:sz w:val="16"/>
          <w:szCs w:val="16"/>
        </w:rPr>
        <w:t xml:space="preserve"> en el Informe sobre el rendimiento de los programas en</w:t>
      </w:r>
      <w:r w:rsidRPr="00205A6C">
        <w:t xml:space="preserve"> </w:t>
      </w:r>
      <w:r w:rsidRPr="00205A6C">
        <w:rPr>
          <w:sz w:val="16"/>
          <w:szCs w:val="16"/>
        </w:rPr>
        <w:t>2014</w:t>
      </w:r>
      <w:r w:rsidRPr="009679FB">
        <w:rPr>
          <w:sz w:val="16"/>
          <w:szCs w:val="16"/>
        </w:rPr>
        <w:t>.</w:t>
      </w:r>
    </w:p>
  </w:footnote>
  <w:footnote w:id="101">
    <w:p w:rsidR="008F093A" w:rsidRPr="002D5538" w:rsidRDefault="008F093A" w:rsidP="00DC1333">
      <w:pPr>
        <w:pStyle w:val="FootnoteText"/>
        <w:rPr>
          <w:sz w:val="16"/>
          <w:szCs w:val="16"/>
        </w:rPr>
      </w:pPr>
      <w:r w:rsidRPr="008B625F">
        <w:rPr>
          <w:rStyle w:val="FootnoteReference"/>
          <w:sz w:val="16"/>
          <w:szCs w:val="16"/>
        </w:rPr>
        <w:footnoteRef/>
      </w:r>
      <w:r w:rsidRPr="002D5538">
        <w:rPr>
          <w:sz w:val="16"/>
          <w:szCs w:val="16"/>
        </w:rPr>
        <w:t xml:space="preserve"> http://www.wipo.int/export/sites/www/about-wipo/en/oversight/iaod/evaluation/pdf/evaluation_strategic_goal_vi.pdf</w:t>
      </w:r>
    </w:p>
  </w:footnote>
  <w:footnote w:id="102">
    <w:p w:rsidR="008F093A" w:rsidRPr="000D48EE" w:rsidRDefault="008F093A">
      <w:pPr>
        <w:pStyle w:val="FootnoteText"/>
        <w:rPr>
          <w:lang w:val="en-US"/>
        </w:rPr>
      </w:pPr>
      <w:r w:rsidRPr="009A6CA1">
        <w:rPr>
          <w:rStyle w:val="FootnoteReference"/>
          <w:sz w:val="16"/>
          <w:szCs w:val="16"/>
        </w:rPr>
        <w:footnoteRef/>
      </w:r>
      <w:r w:rsidRPr="000D48EE">
        <w:rPr>
          <w:sz w:val="16"/>
          <w:szCs w:val="16"/>
          <w:lang w:val="en-US"/>
        </w:rPr>
        <w:t xml:space="preserve"> Documentos de información sobre desafíos mundiales publicados en el bienio 2014/15:  i) </w:t>
      </w:r>
      <w:hyperlink r:id="rId11" w:history="1">
        <w:r w:rsidRPr="000D48EE">
          <w:rPr>
            <w:rStyle w:val="Hyperlink"/>
            <w:bCs/>
            <w:i/>
            <w:sz w:val="16"/>
            <w:szCs w:val="16"/>
            <w:lang w:val="en-US"/>
          </w:rPr>
          <w:t>The Acceleration of Climate Change and Mitigation Technologies: Intellectual Property Trends in the Renewable Energy Landscape</w:t>
        </w:r>
      </w:hyperlink>
      <w:r w:rsidRPr="000D48EE">
        <w:rPr>
          <w:i/>
          <w:sz w:val="16"/>
          <w:szCs w:val="16"/>
          <w:lang w:val="en-US"/>
        </w:rPr>
        <w:t xml:space="preserve"> </w:t>
      </w:r>
      <w:r w:rsidRPr="000D48EE">
        <w:rPr>
          <w:sz w:val="16"/>
          <w:szCs w:val="16"/>
          <w:lang w:val="en-US"/>
        </w:rPr>
        <w:t>(2014);</w:t>
      </w:r>
      <w:r w:rsidRPr="000D48EE">
        <w:rPr>
          <w:i/>
          <w:sz w:val="16"/>
          <w:szCs w:val="16"/>
          <w:lang w:val="en-US"/>
        </w:rPr>
        <w:t xml:space="preserve"> </w:t>
      </w:r>
      <w:r w:rsidRPr="000D48EE">
        <w:rPr>
          <w:sz w:val="16"/>
          <w:szCs w:val="16"/>
          <w:lang w:val="en-US"/>
        </w:rPr>
        <w:t xml:space="preserve"> ii)</w:t>
      </w:r>
      <w:r w:rsidRPr="000D48EE">
        <w:rPr>
          <w:i/>
          <w:sz w:val="16"/>
          <w:szCs w:val="16"/>
          <w:lang w:val="en-US"/>
        </w:rPr>
        <w:t xml:space="preserve"> </w:t>
      </w:r>
      <w:hyperlink r:id="rId12" w:history="1">
        <w:r w:rsidRPr="000D48EE">
          <w:rPr>
            <w:rStyle w:val="Hyperlink"/>
            <w:bCs/>
            <w:i/>
            <w:sz w:val="16"/>
            <w:szCs w:val="16"/>
            <w:lang w:val="en-US"/>
          </w:rPr>
          <w:t>Incentivizing the Adoption of Green Technology on a Global Scale</w:t>
        </w:r>
      </w:hyperlink>
      <w:r w:rsidRPr="000D48EE">
        <w:rPr>
          <w:i/>
          <w:sz w:val="16"/>
          <w:szCs w:val="16"/>
          <w:lang w:val="en-US"/>
        </w:rPr>
        <w:t xml:space="preserve">, </w:t>
      </w:r>
      <w:r w:rsidRPr="000D48EE">
        <w:rPr>
          <w:sz w:val="16"/>
          <w:szCs w:val="16"/>
          <w:lang w:val="en-US"/>
        </w:rPr>
        <w:t>publicado en la COP20 de la CMNUCC, en Lima (2014);</w:t>
      </w:r>
      <w:r w:rsidRPr="000D48EE">
        <w:rPr>
          <w:i/>
          <w:sz w:val="16"/>
          <w:szCs w:val="16"/>
          <w:lang w:val="en-US"/>
        </w:rPr>
        <w:t xml:space="preserve">  </w:t>
      </w:r>
      <w:r w:rsidRPr="000D48EE">
        <w:rPr>
          <w:sz w:val="16"/>
          <w:szCs w:val="16"/>
          <w:lang w:val="en-US"/>
        </w:rPr>
        <w:t>iii)</w:t>
      </w:r>
      <w:r w:rsidRPr="000D48EE">
        <w:rPr>
          <w:i/>
          <w:sz w:val="16"/>
          <w:szCs w:val="16"/>
          <w:lang w:val="en-US"/>
        </w:rPr>
        <w:t xml:space="preserve"> </w:t>
      </w:r>
      <w:hyperlink r:id="rId13" w:history="1">
        <w:r w:rsidRPr="000D48EE">
          <w:rPr>
            <w:rStyle w:val="Hyperlink"/>
            <w:bCs/>
            <w:i/>
            <w:sz w:val="16"/>
            <w:szCs w:val="16"/>
            <w:lang w:val="en-US"/>
          </w:rPr>
          <w:t>The Changing Landscape of Medical Innovation: How Have Business Models Responded?</w:t>
        </w:r>
      </w:hyperlink>
      <w:r w:rsidRPr="000D48EE">
        <w:rPr>
          <w:i/>
          <w:sz w:val="16"/>
          <w:szCs w:val="16"/>
          <w:lang w:val="en-US"/>
        </w:rPr>
        <w:t xml:space="preserve"> </w:t>
      </w:r>
      <w:r w:rsidRPr="000D48EE">
        <w:rPr>
          <w:sz w:val="16"/>
          <w:szCs w:val="16"/>
          <w:lang w:val="en-US"/>
        </w:rPr>
        <w:t>(2014);</w:t>
      </w:r>
      <w:r w:rsidRPr="000D48EE">
        <w:rPr>
          <w:i/>
          <w:sz w:val="16"/>
          <w:szCs w:val="16"/>
          <w:lang w:val="en-US"/>
        </w:rPr>
        <w:t xml:space="preserve">  </w:t>
      </w:r>
      <w:r w:rsidRPr="000D48EE">
        <w:rPr>
          <w:sz w:val="16"/>
          <w:szCs w:val="16"/>
          <w:lang w:val="en-US"/>
        </w:rPr>
        <w:t>iv)</w:t>
      </w:r>
      <w:r w:rsidRPr="000D48EE">
        <w:rPr>
          <w:i/>
          <w:sz w:val="16"/>
          <w:szCs w:val="16"/>
          <w:lang w:val="en-US"/>
        </w:rPr>
        <w:t xml:space="preserve"> </w:t>
      </w:r>
      <w:hyperlink r:id="rId14" w:history="1">
        <w:r w:rsidRPr="000D48EE">
          <w:rPr>
            <w:rStyle w:val="Hyperlink"/>
            <w:bCs/>
            <w:i/>
            <w:sz w:val="16"/>
            <w:szCs w:val="16"/>
            <w:lang w:val="en-US"/>
          </w:rPr>
          <w:t>Promoting Medical Innovation and Access, Together</w:t>
        </w:r>
      </w:hyperlink>
      <w:r w:rsidRPr="000D48EE">
        <w:rPr>
          <w:i/>
          <w:sz w:val="16"/>
          <w:szCs w:val="16"/>
          <w:lang w:val="en-US"/>
        </w:rPr>
        <w:t xml:space="preserve"> </w:t>
      </w:r>
      <w:r w:rsidRPr="000D48EE">
        <w:rPr>
          <w:sz w:val="16"/>
          <w:szCs w:val="16"/>
          <w:lang w:val="en-US"/>
        </w:rPr>
        <w:t>(2015)</w:t>
      </w:r>
    </w:p>
  </w:footnote>
  <w:footnote w:id="103">
    <w:p w:rsidR="008F093A" w:rsidRPr="000D48EE" w:rsidRDefault="008F093A">
      <w:pPr>
        <w:pStyle w:val="FootnoteText"/>
        <w:rPr>
          <w:lang w:val="en-US"/>
        </w:rPr>
      </w:pPr>
      <w:r w:rsidRPr="009A6CA1">
        <w:rPr>
          <w:rStyle w:val="FootnoteReference"/>
          <w:sz w:val="16"/>
          <w:szCs w:val="16"/>
        </w:rPr>
        <w:footnoteRef/>
      </w:r>
      <w:r w:rsidRPr="000D48EE">
        <w:rPr>
          <w:sz w:val="16"/>
          <w:szCs w:val="16"/>
          <w:lang w:val="en-US"/>
        </w:rPr>
        <w:t xml:space="preserve"> Informes sobre desafíos mundiales publicados en el bienio 2014/15:  i) </w:t>
      </w:r>
      <w:hyperlink r:id="rId15" w:history="1">
        <w:r w:rsidRPr="000D48EE">
          <w:rPr>
            <w:rStyle w:val="Hyperlink"/>
            <w:bCs/>
            <w:sz w:val="16"/>
            <w:szCs w:val="16"/>
            <w:lang w:val="en-US"/>
          </w:rPr>
          <w:t>Renewable Energy Technology: Evolution and Policy Implications – Evidence from Patent Literature</w:t>
        </w:r>
      </w:hyperlink>
      <w:r w:rsidRPr="000D48EE">
        <w:rPr>
          <w:i/>
          <w:iCs/>
          <w:sz w:val="16"/>
          <w:szCs w:val="16"/>
          <w:lang w:val="en-US"/>
        </w:rPr>
        <w:t xml:space="preserve"> </w:t>
      </w:r>
      <w:r w:rsidRPr="000D48EE">
        <w:rPr>
          <w:iCs/>
          <w:sz w:val="16"/>
          <w:szCs w:val="16"/>
          <w:lang w:val="en-US"/>
        </w:rPr>
        <w:t>(2014)</w:t>
      </w:r>
      <w:r w:rsidRPr="000D48EE">
        <w:rPr>
          <w:sz w:val="16"/>
          <w:szCs w:val="16"/>
          <w:lang w:val="en-US"/>
        </w:rPr>
        <w:t xml:space="preserve">;  ii) </w:t>
      </w:r>
      <w:hyperlink r:id="rId16" w:history="1">
        <w:r w:rsidRPr="000D48EE">
          <w:rPr>
            <w:rStyle w:val="Hyperlink"/>
            <w:bCs/>
            <w:i/>
            <w:sz w:val="16"/>
            <w:szCs w:val="16"/>
            <w:lang w:val="en-US"/>
          </w:rPr>
          <w:t>Innovation and Diffusion of Green Technologies: The Role of Intellectual Property and Other Enabling Factors</w:t>
        </w:r>
      </w:hyperlink>
      <w:r w:rsidRPr="000D48EE">
        <w:rPr>
          <w:sz w:val="16"/>
          <w:szCs w:val="16"/>
          <w:lang w:val="en-US"/>
        </w:rPr>
        <w:t xml:space="preserve"> (2015);  iii) </w:t>
      </w:r>
      <w:hyperlink r:id="rId17" w:history="1">
        <w:r w:rsidRPr="000D48EE">
          <w:rPr>
            <w:rStyle w:val="Hyperlink"/>
            <w:i/>
            <w:sz w:val="16"/>
            <w:szCs w:val="16"/>
            <w:lang w:val="en-US"/>
          </w:rPr>
          <w:t>Strategic Review of WIPO Re:Search</w:t>
        </w:r>
      </w:hyperlink>
      <w:r w:rsidRPr="000D48EE">
        <w:rPr>
          <w:sz w:val="16"/>
          <w:szCs w:val="16"/>
          <w:lang w:val="en-US"/>
        </w:rPr>
        <w:t xml:space="preserve"> (2015)</w:t>
      </w:r>
    </w:p>
  </w:footnote>
  <w:footnote w:id="104">
    <w:p w:rsidR="008F093A" w:rsidRPr="009A6CA1" w:rsidRDefault="008F093A" w:rsidP="00DC1333">
      <w:pPr>
        <w:pStyle w:val="FootnoteText"/>
        <w:rPr>
          <w:sz w:val="16"/>
          <w:szCs w:val="16"/>
        </w:rPr>
      </w:pPr>
      <w:r w:rsidRPr="009A6CA1">
        <w:rPr>
          <w:rStyle w:val="FootnoteReference"/>
          <w:sz w:val="16"/>
          <w:szCs w:val="16"/>
        </w:rPr>
        <w:footnoteRef/>
      </w:r>
      <w:r w:rsidRPr="009A6CA1">
        <w:rPr>
          <w:sz w:val="16"/>
          <w:szCs w:val="16"/>
        </w:rPr>
        <w:t xml:space="preserve"> Corrección</w:t>
      </w:r>
      <w:proofErr w:type="gramStart"/>
      <w:r w:rsidRPr="009A6CA1">
        <w:rPr>
          <w:sz w:val="16"/>
          <w:szCs w:val="16"/>
        </w:rPr>
        <w:t>:  el</w:t>
      </w:r>
      <w:proofErr w:type="gramEnd"/>
      <w:r w:rsidRPr="009A6CA1">
        <w:rPr>
          <w:sz w:val="16"/>
          <w:szCs w:val="16"/>
        </w:rPr>
        <w:t xml:space="preserve"> número real de asociados y aportaciones a finales de 2013 fue 36 y 820, respectivamente, frente a 37 y 800, respectivamente, en el Informe sobre el rendimiento de los programas en 2012/13.</w:t>
      </w:r>
    </w:p>
  </w:footnote>
  <w:footnote w:id="105">
    <w:p w:rsidR="008F093A" w:rsidRPr="009A6CA1" w:rsidRDefault="008F093A">
      <w:pPr>
        <w:pStyle w:val="FootnoteText"/>
        <w:rPr>
          <w:sz w:val="16"/>
          <w:szCs w:val="16"/>
        </w:rPr>
      </w:pPr>
      <w:r w:rsidRPr="009A6CA1">
        <w:rPr>
          <w:rStyle w:val="FootnoteReference"/>
          <w:sz w:val="16"/>
          <w:szCs w:val="16"/>
        </w:rPr>
        <w:footnoteRef/>
      </w:r>
      <w:r w:rsidRPr="009A6CA1">
        <w:rPr>
          <w:sz w:val="16"/>
          <w:szCs w:val="16"/>
        </w:rPr>
        <w:t xml:space="preserve"> Corrección</w:t>
      </w:r>
      <w:proofErr w:type="gramStart"/>
      <w:r w:rsidRPr="009A6CA1">
        <w:rPr>
          <w:sz w:val="16"/>
          <w:szCs w:val="16"/>
        </w:rPr>
        <w:t>:  el</w:t>
      </w:r>
      <w:proofErr w:type="gramEnd"/>
      <w:r w:rsidRPr="009A6CA1">
        <w:rPr>
          <w:sz w:val="16"/>
          <w:szCs w:val="16"/>
        </w:rPr>
        <w:t xml:space="preserve"> número total de aportaciones a finales de 2014 fue 1.773, y no 2.050 tal como se informó en el Informe sobre el rendimiento de los programas en 2014.</w:t>
      </w:r>
    </w:p>
  </w:footnote>
  <w:footnote w:id="106">
    <w:p w:rsidR="008F093A" w:rsidRPr="00CA51CD" w:rsidRDefault="008F093A" w:rsidP="00DC1333">
      <w:pPr>
        <w:pStyle w:val="FootnoteText"/>
        <w:rPr>
          <w:sz w:val="16"/>
          <w:szCs w:val="16"/>
        </w:rPr>
      </w:pPr>
      <w:r w:rsidRPr="00CA51CD">
        <w:rPr>
          <w:rStyle w:val="FootnoteReference"/>
          <w:sz w:val="16"/>
          <w:szCs w:val="16"/>
        </w:rPr>
        <w:footnoteRef/>
      </w:r>
      <w:r w:rsidRPr="00CA51CD">
        <w:rPr>
          <w:sz w:val="16"/>
          <w:szCs w:val="16"/>
        </w:rPr>
        <w:t xml:space="preserve"> </w:t>
      </w:r>
      <w:r w:rsidRPr="00CA51CD">
        <w:rPr>
          <w:color w:val="000000"/>
          <w:sz w:val="16"/>
          <w:szCs w:val="16"/>
        </w:rPr>
        <w:t xml:space="preserve">Como en 2013 no se realizó una encuesta sobre la impresión que tienen las partes interesadas acerca de la OMPI, los datos que figuran en el Informe sobre el rendimiento de los programas en 2012/13 fueron extrapolados de la encuesta de </w:t>
      </w:r>
      <w:r w:rsidRPr="00CA51CD">
        <w:rPr>
          <w:sz w:val="16"/>
          <w:szCs w:val="16"/>
        </w:rPr>
        <w:t xml:space="preserve">prestación óptima de servicios </w:t>
      </w:r>
      <w:r w:rsidRPr="00CA51CD">
        <w:rPr>
          <w:color w:val="000000"/>
          <w:sz w:val="16"/>
          <w:szCs w:val="16"/>
        </w:rPr>
        <w:t xml:space="preserve">de la OMPI, que utiliza una metodología diferente y se envía a otro grupo de partes interesadas. </w:t>
      </w:r>
      <w:r w:rsidRPr="00CA51CD">
        <w:rPr>
          <w:sz w:val="16"/>
          <w:szCs w:val="16"/>
        </w:rPr>
        <w:t xml:space="preserve">  </w:t>
      </w:r>
      <w:r w:rsidRPr="00CA51CD">
        <w:rPr>
          <w:color w:val="000000"/>
          <w:sz w:val="16"/>
          <w:szCs w:val="16"/>
        </w:rPr>
        <w:t xml:space="preserve">Por lo tanto, la referencia de base no se puede comparar con los datos de 2014. </w:t>
      </w:r>
      <w:r w:rsidRPr="00CA51CD">
        <w:rPr>
          <w:sz w:val="16"/>
          <w:szCs w:val="16"/>
        </w:rPr>
        <w:t xml:space="preserve"> </w:t>
      </w:r>
    </w:p>
  </w:footnote>
  <w:footnote w:id="107">
    <w:p w:rsidR="008F093A" w:rsidRPr="00CA51CD" w:rsidRDefault="008F093A" w:rsidP="00DC1333">
      <w:pPr>
        <w:pStyle w:val="FootnoteText"/>
        <w:rPr>
          <w:sz w:val="16"/>
          <w:szCs w:val="16"/>
        </w:rPr>
      </w:pPr>
      <w:r w:rsidRPr="00CA51CD">
        <w:rPr>
          <w:rStyle w:val="FootnoteReference"/>
          <w:sz w:val="16"/>
          <w:szCs w:val="16"/>
        </w:rPr>
        <w:footnoteRef/>
      </w:r>
      <w:r w:rsidRPr="00CA51CD">
        <w:rPr>
          <w:sz w:val="16"/>
          <w:szCs w:val="16"/>
        </w:rPr>
        <w:t xml:space="preserve"> </w:t>
      </w:r>
      <w:r w:rsidRPr="00CA51CD">
        <w:rPr>
          <w:color w:val="000000"/>
          <w:sz w:val="16"/>
          <w:szCs w:val="16"/>
        </w:rPr>
        <w:t xml:space="preserve">Los datos de rendimiento de 2014 son comparables con la  referencia original en el presupuesto por programas de 2014/15, es decir el 65%, que se basa en la encuesta sobre la impresión que tienen las partes interesadas acerca de la OMPI, de 2012. </w:t>
      </w:r>
      <w:r w:rsidRPr="00CA51CD">
        <w:rPr>
          <w:sz w:val="16"/>
          <w:szCs w:val="16"/>
        </w:rPr>
        <w:t xml:space="preserve"> </w:t>
      </w:r>
    </w:p>
  </w:footnote>
  <w:footnote w:id="108">
    <w:p w:rsidR="008F093A" w:rsidRPr="008B1CDA" w:rsidRDefault="008F093A" w:rsidP="00DC1333">
      <w:pPr>
        <w:pStyle w:val="FootnoteText"/>
        <w:rPr>
          <w:sz w:val="16"/>
          <w:szCs w:val="16"/>
        </w:rPr>
      </w:pPr>
      <w:r w:rsidRPr="00CA51CD">
        <w:rPr>
          <w:rStyle w:val="FootnoteReference"/>
          <w:sz w:val="16"/>
          <w:szCs w:val="16"/>
        </w:rPr>
        <w:footnoteRef/>
      </w:r>
      <w:r w:rsidRPr="00CA51CD">
        <w:rPr>
          <w:sz w:val="16"/>
          <w:szCs w:val="16"/>
        </w:rPr>
        <w:t xml:space="preserve"> </w:t>
      </w:r>
      <w:r w:rsidRPr="00CA51CD">
        <w:rPr>
          <w:color w:val="000000"/>
          <w:sz w:val="16"/>
          <w:szCs w:val="16"/>
        </w:rPr>
        <w:t xml:space="preserve">En el Informe sobre el rendimiento de los programas en 2012/13, se informó que eran 226 vídeos.  El número real de vídeos a fines de 2013 fue de 228. </w:t>
      </w:r>
      <w:r w:rsidRPr="00CA51CD">
        <w:rPr>
          <w:sz w:val="16"/>
          <w:szCs w:val="16"/>
        </w:rPr>
        <w:t xml:space="preserve"> </w:t>
      </w:r>
      <w:r w:rsidRPr="008B1CDA">
        <w:rPr>
          <w:color w:val="000000"/>
          <w:sz w:val="16"/>
          <w:szCs w:val="16"/>
        </w:rPr>
        <w:t xml:space="preserve">El número medio de visualizaciones se actualizó en consecuencia. </w:t>
      </w:r>
    </w:p>
  </w:footnote>
  <w:footnote w:id="109">
    <w:p w:rsidR="008F093A" w:rsidRPr="0075534B" w:rsidRDefault="008F093A" w:rsidP="001C19F7">
      <w:pPr>
        <w:pStyle w:val="FootnoteText"/>
        <w:rPr>
          <w:sz w:val="16"/>
          <w:szCs w:val="16"/>
        </w:rPr>
      </w:pPr>
      <w:r>
        <w:rPr>
          <w:rStyle w:val="FootnoteReference"/>
        </w:rPr>
        <w:footnoteRef/>
      </w:r>
      <w:r>
        <w:rPr>
          <w:sz w:val="16"/>
        </w:rPr>
        <w:t xml:space="preserve"> A no ser que se indique lo contrario, los cambios porcentuales son con respecto al año anterior;  es decir el cambio porcentual de 2014 es con respecto a 2013 y el cambio porcentual de 2015 es con respecto a 2014.</w:t>
      </w:r>
    </w:p>
  </w:footnote>
  <w:footnote w:id="110">
    <w:p w:rsidR="008F093A" w:rsidRPr="00D2634F" w:rsidRDefault="008F093A" w:rsidP="001C19F7">
      <w:pPr>
        <w:pStyle w:val="FootnoteText"/>
        <w:rPr>
          <w:sz w:val="16"/>
          <w:szCs w:val="16"/>
        </w:rPr>
      </w:pPr>
      <w:r>
        <w:rPr>
          <w:rStyle w:val="FootnoteReference"/>
        </w:rPr>
        <w:footnoteRef/>
      </w:r>
      <w:r>
        <w:rPr>
          <w:sz w:val="16"/>
        </w:rPr>
        <w:t xml:space="preserve"> El cambio porcentual del bienio 2014/15 es con respecto al bienio 2012/13.</w:t>
      </w:r>
    </w:p>
  </w:footnote>
  <w:footnote w:id="111">
    <w:p w:rsidR="008F093A" w:rsidRPr="00502A6A" w:rsidRDefault="008F093A" w:rsidP="001C19F7">
      <w:pPr>
        <w:pStyle w:val="FootnoteText"/>
        <w:rPr>
          <w:sz w:val="16"/>
          <w:szCs w:val="16"/>
        </w:rPr>
      </w:pPr>
      <w:r>
        <w:rPr>
          <w:rStyle w:val="FootnoteReference"/>
        </w:rPr>
        <w:footnoteRef/>
      </w:r>
      <w:r>
        <w:rPr>
          <w:sz w:val="16"/>
        </w:rPr>
        <w:t xml:space="preserve"> En el Informe sobre el rendimiento de los programas en 2014, los datos de este indicador se basaron en cifras estimadas en el momento de su publicación;  en consecuencia cuando era pertinente se han actualizado las cifras a fin de reflejar datos más exactos.</w:t>
      </w:r>
    </w:p>
  </w:footnote>
  <w:footnote w:id="112">
    <w:p w:rsidR="008F093A" w:rsidRPr="00FE1F7F" w:rsidRDefault="008F093A" w:rsidP="001C19F7">
      <w:pPr>
        <w:pStyle w:val="FootnoteText"/>
        <w:rPr>
          <w:sz w:val="16"/>
          <w:szCs w:val="16"/>
        </w:rPr>
      </w:pPr>
      <w:r>
        <w:rPr>
          <w:rStyle w:val="FootnoteReference"/>
        </w:rPr>
        <w:footnoteRef/>
      </w:r>
      <w:r>
        <w:t xml:space="preserve"> </w:t>
      </w:r>
      <w:r>
        <w:rPr>
          <w:sz w:val="16"/>
        </w:rPr>
        <w:t xml:space="preserve">El objetivo para 2014 fue de 354 nuevos registros.  </w:t>
      </w:r>
    </w:p>
  </w:footnote>
  <w:footnote w:id="113">
    <w:p w:rsidR="008F093A" w:rsidRPr="00280A37" w:rsidRDefault="008F093A" w:rsidP="001C19F7">
      <w:pPr>
        <w:pStyle w:val="FootnoteText"/>
      </w:pPr>
      <w:r>
        <w:rPr>
          <w:rStyle w:val="FootnoteReference"/>
        </w:rPr>
        <w:footnoteRef/>
      </w:r>
      <w:r>
        <w:t xml:space="preserve"> </w:t>
      </w:r>
      <w:r>
        <w:rPr>
          <w:sz w:val="16"/>
        </w:rPr>
        <w:t xml:space="preserve">El cambio porcentual durante 2015 se calcula con el objetivo de 2014, es decir, suponiendo que se ha logrado el objetivo de 2014.  </w:t>
      </w:r>
    </w:p>
  </w:footnote>
  <w:footnote w:id="114">
    <w:p w:rsidR="008F093A" w:rsidRPr="00884EFD" w:rsidRDefault="008F093A" w:rsidP="001C19F7">
      <w:pPr>
        <w:pStyle w:val="FootnoteText"/>
      </w:pPr>
      <w:r>
        <w:rPr>
          <w:rStyle w:val="FootnoteReference"/>
        </w:rPr>
        <w:footnoteRef/>
      </w:r>
      <w:r>
        <w:rPr>
          <w:sz w:val="16"/>
        </w:rPr>
        <w:t xml:space="preserve"> Corrección</w:t>
      </w:r>
      <w:proofErr w:type="gramStart"/>
      <w:r>
        <w:rPr>
          <w:sz w:val="16"/>
        </w:rPr>
        <w:t>:  en</w:t>
      </w:r>
      <w:proofErr w:type="gramEnd"/>
      <w:r>
        <w:rPr>
          <w:sz w:val="16"/>
        </w:rPr>
        <w:t xml:space="preserve"> 2014, las renovaciones de la OOS con el Sistema de Madrid fueron 54 y no 56, como se comunicó en el Informe sobre el rendimiento de los programas en 2014.  </w:t>
      </w:r>
    </w:p>
  </w:footnote>
  <w:footnote w:id="115">
    <w:p w:rsidR="008F093A" w:rsidRPr="0063275C" w:rsidRDefault="008F093A" w:rsidP="001C19F7">
      <w:pPr>
        <w:pStyle w:val="FootnoteText"/>
      </w:pPr>
      <w:r>
        <w:rPr>
          <w:rStyle w:val="FootnoteReference"/>
        </w:rPr>
        <w:footnoteRef/>
      </w:r>
      <w:r>
        <w:t xml:space="preserve"> </w:t>
      </w:r>
      <w:r>
        <w:rPr>
          <w:sz w:val="16"/>
        </w:rPr>
        <w:t xml:space="preserve">El cambio porcentual del bienio 2014/15 es con respecto al bienio 2012/13. </w:t>
      </w:r>
    </w:p>
  </w:footnote>
  <w:footnote w:id="116">
    <w:p w:rsidR="008F093A" w:rsidRPr="00144187" w:rsidRDefault="008F093A" w:rsidP="001C19F7">
      <w:pPr>
        <w:pStyle w:val="FootnoteText"/>
        <w:rPr>
          <w:sz w:val="16"/>
          <w:szCs w:val="16"/>
        </w:rPr>
      </w:pPr>
      <w:r>
        <w:rPr>
          <w:rStyle w:val="FootnoteReference"/>
        </w:rPr>
        <w:footnoteRef/>
      </w:r>
      <w:r>
        <w:rPr>
          <w:sz w:val="16"/>
        </w:rPr>
        <w:t xml:space="preserve"> La referencia actualizada a fines de 2013 se ha actualizado para incluir los datos de 2012 a los fines de la comparación del bienio.</w:t>
      </w:r>
    </w:p>
  </w:footnote>
  <w:footnote w:id="117">
    <w:p w:rsidR="008F093A" w:rsidRPr="00FC6FD8" w:rsidRDefault="008F093A" w:rsidP="001C19F7">
      <w:pPr>
        <w:pStyle w:val="FootnoteText"/>
        <w:rPr>
          <w:sz w:val="16"/>
          <w:szCs w:val="16"/>
        </w:rPr>
      </w:pPr>
      <w:r>
        <w:rPr>
          <w:rStyle w:val="FootnoteReference"/>
        </w:rPr>
        <w:footnoteRef/>
      </w:r>
      <w:r>
        <w:rPr>
          <w:sz w:val="16"/>
        </w:rPr>
        <w:t xml:space="preserve"> El objetivo de la OOJ para 2014 es de 15.651.</w:t>
      </w:r>
    </w:p>
  </w:footnote>
  <w:footnote w:id="118">
    <w:p w:rsidR="008F093A" w:rsidRDefault="008F093A" w:rsidP="001C19F7">
      <w:pPr>
        <w:pStyle w:val="FootnoteText"/>
      </w:pPr>
      <w:r>
        <w:rPr>
          <w:rStyle w:val="FootnoteReference"/>
        </w:rPr>
        <w:footnoteRef/>
      </w:r>
      <w:r>
        <w:rPr>
          <w:sz w:val="16"/>
        </w:rPr>
        <w:t xml:space="preserve"> El cambio porcentual durante 2015 se calcula con el objetivo de 2014, es decir, suponiendo que se ha logrado el objetivo de 2014.  </w:t>
      </w:r>
    </w:p>
  </w:footnote>
  <w:footnote w:id="119">
    <w:p w:rsidR="008F093A" w:rsidRPr="00C34000" w:rsidRDefault="008F093A" w:rsidP="001C19F7">
      <w:pPr>
        <w:pStyle w:val="FootnoteText"/>
        <w:rPr>
          <w:sz w:val="16"/>
          <w:szCs w:val="16"/>
        </w:rPr>
      </w:pPr>
      <w:r>
        <w:rPr>
          <w:rStyle w:val="FootnoteReference"/>
        </w:rPr>
        <w:footnoteRef/>
      </w:r>
      <w:r>
        <w:rPr>
          <w:sz w:val="16"/>
        </w:rPr>
        <w:t xml:space="preserve"> El objetivo de la OOJ para 2014 fue de 6.195 visitas a la página.</w:t>
      </w:r>
    </w:p>
  </w:footnote>
  <w:footnote w:id="120">
    <w:p w:rsidR="008F093A" w:rsidRPr="00B478F1" w:rsidRDefault="008F093A" w:rsidP="001C19F7">
      <w:pPr>
        <w:pStyle w:val="FootnoteText"/>
        <w:rPr>
          <w:sz w:val="16"/>
          <w:szCs w:val="16"/>
        </w:rPr>
      </w:pPr>
      <w:r>
        <w:rPr>
          <w:rStyle w:val="FootnoteReference"/>
        </w:rPr>
        <w:footnoteRef/>
      </w:r>
      <w:r>
        <w:rPr>
          <w:sz w:val="16"/>
        </w:rPr>
        <w:t xml:space="preserve"> La página web de la oficina de la OMPI en el Brasil no se creó hasta febrero de 2015.</w:t>
      </w:r>
    </w:p>
  </w:footnote>
  <w:footnote w:id="121">
    <w:p w:rsidR="008F093A" w:rsidRPr="00936487" w:rsidRDefault="008F093A" w:rsidP="001C19F7">
      <w:pPr>
        <w:pStyle w:val="FootnoteText"/>
        <w:rPr>
          <w:sz w:val="16"/>
          <w:szCs w:val="16"/>
        </w:rPr>
      </w:pPr>
      <w:r>
        <w:rPr>
          <w:rStyle w:val="FootnoteReference"/>
        </w:rPr>
        <w:footnoteRef/>
      </w:r>
      <w:r>
        <w:t xml:space="preserve"> </w:t>
      </w:r>
      <w:r>
        <w:rPr>
          <w:sz w:val="16"/>
        </w:rPr>
        <w:t>El cambio porcentual en 2015 se mide con respecto al objetivo de 2014 (6.195 visitas a la página).  El cambio porcentual real medido con respecto al año anterior fue una disminución del 8%.</w:t>
      </w:r>
    </w:p>
  </w:footnote>
  <w:footnote w:id="122">
    <w:p w:rsidR="008F093A" w:rsidRPr="007B2775" w:rsidRDefault="008F093A"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Pr>
          <w:color w:val="000000"/>
          <w:sz w:val="16"/>
          <w:szCs w:val="16"/>
          <w:lang w:val="es-ES_tradnl"/>
        </w:rPr>
        <w:t>L</w:t>
      </w:r>
      <w:r w:rsidRPr="007B2775">
        <w:rPr>
          <w:color w:val="000000"/>
          <w:sz w:val="16"/>
          <w:szCs w:val="16"/>
          <w:lang w:val="es-ES_tradnl"/>
        </w:rPr>
        <w:t xml:space="preserve">a referencia original del presupuesto por programas de 2014/15 </w:t>
      </w:r>
      <w:r>
        <w:rPr>
          <w:color w:val="000000"/>
          <w:sz w:val="16"/>
          <w:szCs w:val="16"/>
          <w:lang w:val="es-ES_tradnl"/>
        </w:rPr>
        <w:t>fue calculada con cifras estimativas correspondientes a mediados de 2013.  Esas cifras han sido ahora actualizadas</w:t>
      </w:r>
      <w:r w:rsidRPr="007B2775">
        <w:rPr>
          <w:color w:val="000000"/>
          <w:sz w:val="16"/>
          <w:szCs w:val="16"/>
          <w:lang w:val="es-ES_tradnl"/>
        </w:rPr>
        <w:t>.</w:t>
      </w:r>
    </w:p>
  </w:footnote>
  <w:footnote w:id="123">
    <w:p w:rsidR="008F093A" w:rsidRPr="007B2775" w:rsidRDefault="008F093A"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La información sobre la encuesta de las Asambleas de la OMPI de 2014 se encuentra disponible en la siguiente dirección: http://www.wipo.int/export/sites/www/about-wipo/es/assemblies/pdf/survey_2014.pdf</w:t>
      </w:r>
    </w:p>
  </w:footnote>
  <w:footnote w:id="124">
    <w:p w:rsidR="008F093A" w:rsidRPr="007B2775" w:rsidRDefault="008F093A"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w:t>
      </w:r>
      <w:r w:rsidRPr="007B2775">
        <w:rPr>
          <w:color w:val="000000"/>
          <w:sz w:val="16"/>
          <w:szCs w:val="16"/>
          <w:lang w:val="es-ES_tradnl"/>
        </w:rPr>
        <w:t xml:space="preserve">Véase también el documento WO/PBC/22/12 sobre el marco de rendición de cuentas de la OMPI. </w:t>
      </w:r>
    </w:p>
  </w:footnote>
  <w:footnote w:id="125">
    <w:p w:rsidR="008F093A" w:rsidRPr="000B7DB0" w:rsidRDefault="008F093A">
      <w:pPr>
        <w:pStyle w:val="FootnoteText"/>
      </w:pPr>
      <w:r>
        <w:rPr>
          <w:rStyle w:val="FootnoteReference"/>
        </w:rPr>
        <w:footnoteRef/>
      </w:r>
      <w:r w:rsidRPr="000B7DB0">
        <w:t xml:space="preserve"> </w:t>
      </w:r>
      <w:r w:rsidRPr="000B7DB0">
        <w:rPr>
          <w:sz w:val="16"/>
          <w:szCs w:val="16"/>
        </w:rPr>
        <w:t xml:space="preserve">21 de 31 programas (67%) respondieron la encuesta de la DSI para validar el PPR </w:t>
      </w:r>
      <w:r>
        <w:rPr>
          <w:sz w:val="16"/>
          <w:szCs w:val="16"/>
        </w:rPr>
        <w:t xml:space="preserve">de </w:t>
      </w:r>
      <w:r w:rsidRPr="000B7DB0">
        <w:rPr>
          <w:sz w:val="16"/>
          <w:szCs w:val="16"/>
        </w:rPr>
        <w:t>2014/15</w:t>
      </w:r>
      <w:r>
        <w:rPr>
          <w:sz w:val="16"/>
          <w:szCs w:val="16"/>
        </w:rPr>
        <w:t>.</w:t>
      </w:r>
    </w:p>
  </w:footnote>
  <w:footnote w:id="126">
    <w:p w:rsidR="008F093A" w:rsidRPr="007B2775" w:rsidRDefault="008F093A" w:rsidP="00DC1333">
      <w:pPr>
        <w:pStyle w:val="FootnoteText"/>
        <w:rPr>
          <w:sz w:val="16"/>
          <w:szCs w:val="16"/>
          <w:lang w:val="es-ES_tradnl"/>
        </w:rPr>
      </w:pPr>
      <w:r w:rsidRPr="007B2775">
        <w:rPr>
          <w:rStyle w:val="FootnoteReference"/>
          <w:sz w:val="16"/>
          <w:szCs w:val="16"/>
        </w:rPr>
        <w:footnoteRef/>
      </w:r>
      <w:r w:rsidRPr="007B2775">
        <w:rPr>
          <w:sz w:val="16"/>
          <w:szCs w:val="16"/>
          <w:lang w:val="es-ES_tradnl"/>
        </w:rPr>
        <w:t xml:space="preserve"> Corrección</w:t>
      </w:r>
      <w:r w:rsidRPr="007B2775">
        <w:rPr>
          <w:color w:val="000000"/>
          <w:sz w:val="16"/>
          <w:szCs w:val="16"/>
          <w:lang w:val="es-ES_tradnl"/>
        </w:rPr>
        <w:t>: En el PPR de 2012/13, se informó de que el 53% de los programas estaban utilizando datos sobre el rendimiento para gestionar el rendimiento del programa.</w:t>
      </w:r>
    </w:p>
  </w:footnote>
  <w:footnote w:id="127">
    <w:p w:rsidR="008F093A" w:rsidRPr="000B7DB0" w:rsidRDefault="008F093A" w:rsidP="000B7DB0">
      <w:pPr>
        <w:pStyle w:val="FootnoteText"/>
      </w:pPr>
      <w:r>
        <w:rPr>
          <w:rStyle w:val="FootnoteReference"/>
        </w:rPr>
        <w:footnoteRef/>
      </w:r>
      <w:r w:rsidRPr="000B7DB0">
        <w:t xml:space="preserve"> </w:t>
      </w:r>
      <w:r w:rsidRPr="000B7DB0">
        <w:rPr>
          <w:sz w:val="16"/>
          <w:szCs w:val="16"/>
        </w:rPr>
        <w:t xml:space="preserve">21 de 31 programas (67%) respondieron la encuesta de la DSI para validar el PPR </w:t>
      </w:r>
      <w:r>
        <w:rPr>
          <w:sz w:val="16"/>
          <w:szCs w:val="16"/>
        </w:rPr>
        <w:t xml:space="preserve">de </w:t>
      </w:r>
      <w:r w:rsidRPr="000B7DB0">
        <w:rPr>
          <w:sz w:val="16"/>
          <w:szCs w:val="16"/>
        </w:rPr>
        <w:t>2014/15</w:t>
      </w:r>
      <w:r>
        <w:rPr>
          <w:sz w:val="16"/>
          <w:szCs w:val="16"/>
        </w:rPr>
        <w:t>.</w:t>
      </w:r>
    </w:p>
  </w:footnote>
  <w:footnote w:id="128">
    <w:p w:rsidR="008F093A" w:rsidRPr="004F034B" w:rsidRDefault="008F093A">
      <w:pPr>
        <w:pStyle w:val="FootnoteText"/>
        <w:rPr>
          <w:lang w:val="fr-FR"/>
        </w:rPr>
      </w:pPr>
      <w:r>
        <w:rPr>
          <w:rStyle w:val="FootnoteReference"/>
        </w:rPr>
        <w:footnoteRef/>
      </w:r>
      <w:r w:rsidRPr="004F034B">
        <w:rPr>
          <w:lang w:val="fr-FR"/>
        </w:rPr>
        <w:t xml:space="preserve"> </w:t>
      </w:r>
      <w:r w:rsidRPr="000B7DB0">
        <w:rPr>
          <w:sz w:val="16"/>
          <w:szCs w:val="16"/>
          <w:lang w:val="fr-FR"/>
        </w:rPr>
        <w:t>Idem.</w:t>
      </w:r>
    </w:p>
  </w:footnote>
  <w:footnote w:id="129">
    <w:p w:rsidR="008F093A" w:rsidRPr="004F034B" w:rsidRDefault="008F093A">
      <w:pPr>
        <w:pStyle w:val="FootnoteText"/>
        <w:rPr>
          <w:sz w:val="16"/>
          <w:szCs w:val="16"/>
          <w:lang w:val="fr-FR"/>
        </w:rPr>
      </w:pPr>
      <w:r w:rsidRPr="009E764A">
        <w:rPr>
          <w:rStyle w:val="FootnoteReference"/>
          <w:sz w:val="16"/>
          <w:szCs w:val="16"/>
        </w:rPr>
        <w:footnoteRef/>
      </w:r>
      <w:r w:rsidRPr="004F034B">
        <w:rPr>
          <w:sz w:val="16"/>
          <w:szCs w:val="16"/>
          <w:lang w:val="fr-FR"/>
        </w:rPr>
        <w:t xml:space="preserve"> http://www.wipo.int/erecruitment/es/</w:t>
      </w:r>
    </w:p>
  </w:footnote>
  <w:footnote w:id="130">
    <w:p w:rsidR="008F093A" w:rsidRPr="00E8051E" w:rsidRDefault="008F093A">
      <w:pPr>
        <w:pStyle w:val="FootnoteText"/>
        <w:rPr>
          <w:sz w:val="16"/>
          <w:szCs w:val="16"/>
        </w:rPr>
      </w:pPr>
      <w:r w:rsidRPr="00E8051E">
        <w:rPr>
          <w:rStyle w:val="FootnoteReference"/>
          <w:sz w:val="16"/>
          <w:szCs w:val="16"/>
        </w:rPr>
        <w:footnoteRef/>
      </w:r>
      <w:r w:rsidRPr="00E8051E">
        <w:rPr>
          <w:sz w:val="16"/>
          <w:szCs w:val="16"/>
        </w:rPr>
        <w:t xml:space="preserve"> Esta cifra se obtiene de la manera siguiente</w:t>
      </w:r>
      <w:proofErr w:type="gramStart"/>
      <w:r w:rsidRPr="00E8051E">
        <w:rPr>
          <w:sz w:val="16"/>
          <w:szCs w:val="16"/>
        </w:rPr>
        <w:t>:  número</w:t>
      </w:r>
      <w:proofErr w:type="gramEnd"/>
      <w:r w:rsidRPr="00E8051E">
        <w:rPr>
          <w:sz w:val="16"/>
          <w:szCs w:val="16"/>
        </w:rPr>
        <w:t xml:space="preserve"> total de días de formación (número de participantes * días de formación) dividido entre el número total de miembros del personal (a 31 de diciembre del año en cuestión).</w:t>
      </w:r>
    </w:p>
  </w:footnote>
  <w:footnote w:id="131">
    <w:p w:rsidR="008F093A" w:rsidRPr="003B6CAD" w:rsidRDefault="008F093A">
      <w:pPr>
        <w:pStyle w:val="FootnoteText"/>
        <w:rPr>
          <w:sz w:val="16"/>
          <w:szCs w:val="16"/>
        </w:rPr>
      </w:pPr>
      <w:r w:rsidRPr="003B6CAD">
        <w:rPr>
          <w:rStyle w:val="FootnoteReference"/>
          <w:sz w:val="16"/>
          <w:szCs w:val="16"/>
        </w:rPr>
        <w:footnoteRef/>
      </w:r>
      <w:r w:rsidRPr="003B6CAD">
        <w:rPr>
          <w:sz w:val="16"/>
          <w:szCs w:val="16"/>
        </w:rPr>
        <w:t xml:space="preserve"> Corrección</w:t>
      </w:r>
      <w:proofErr w:type="gramStart"/>
      <w:r w:rsidRPr="003B6CAD">
        <w:rPr>
          <w:sz w:val="16"/>
          <w:szCs w:val="16"/>
        </w:rPr>
        <w:t>:  La</w:t>
      </w:r>
      <w:proofErr w:type="gramEnd"/>
      <w:r w:rsidRPr="003B6CAD">
        <w:rPr>
          <w:sz w:val="16"/>
          <w:szCs w:val="16"/>
        </w:rPr>
        <w:t xml:space="preserve"> cifra relativa a la duración del proceso de contratación que figura en el Informe sobre el rendimiento de los programas en 2014 (14,7 semanas) se calculó sobre la base de los concursos finalizados por FECHA.  En la cifra actualizada se refleja el cálculo final, una vez finalizados todos los concursos de 2014.</w:t>
      </w:r>
    </w:p>
  </w:footnote>
  <w:footnote w:id="132">
    <w:p w:rsidR="008F093A" w:rsidRPr="003E546D" w:rsidRDefault="008F093A">
      <w:pPr>
        <w:pStyle w:val="FootnoteText"/>
        <w:rPr>
          <w:sz w:val="16"/>
          <w:szCs w:val="16"/>
        </w:rPr>
      </w:pPr>
      <w:r w:rsidRPr="003E546D">
        <w:rPr>
          <w:rStyle w:val="FootnoteReference"/>
          <w:sz w:val="16"/>
          <w:szCs w:val="16"/>
        </w:rPr>
        <w:footnoteRef/>
      </w:r>
      <w:r w:rsidRPr="003E546D">
        <w:rPr>
          <w:sz w:val="16"/>
          <w:szCs w:val="16"/>
        </w:rPr>
        <w:t xml:space="preserve"> La cifra relativa a la duración del proceso de contratación en 2015 refleja los concursos de 201</w:t>
      </w:r>
      <w:r>
        <w:rPr>
          <w:sz w:val="16"/>
          <w:szCs w:val="16"/>
        </w:rPr>
        <w:t>5 finalizados al 19 de abril de </w:t>
      </w:r>
      <w:r w:rsidRPr="003E546D">
        <w:rPr>
          <w:sz w:val="16"/>
          <w:szCs w:val="16"/>
        </w:rPr>
        <w:t>2015.</w:t>
      </w:r>
    </w:p>
  </w:footnote>
  <w:footnote w:id="133">
    <w:p w:rsidR="008F093A" w:rsidRPr="00E9526A" w:rsidRDefault="008F093A" w:rsidP="00DC1333">
      <w:pPr>
        <w:pStyle w:val="FootnoteText"/>
      </w:pPr>
      <w:r w:rsidRPr="0065541F">
        <w:rPr>
          <w:rStyle w:val="FootnoteReference"/>
          <w:sz w:val="16"/>
          <w:szCs w:val="16"/>
        </w:rPr>
        <w:footnoteRef/>
      </w:r>
      <w:r w:rsidRPr="00E9526A">
        <w:rPr>
          <w:sz w:val="16"/>
          <w:szCs w:val="16"/>
        </w:rPr>
        <w:t xml:space="preserve"> </w:t>
      </w:r>
      <w:r w:rsidRPr="00E9526A">
        <w:rPr>
          <w:iCs/>
          <w:sz w:val="16"/>
          <w:szCs w:val="16"/>
        </w:rPr>
        <w:t>Corrección</w:t>
      </w:r>
      <w:proofErr w:type="gramStart"/>
      <w:r w:rsidRPr="00E9526A">
        <w:rPr>
          <w:iCs/>
          <w:sz w:val="16"/>
          <w:szCs w:val="16"/>
        </w:rPr>
        <w:t>:  El</w:t>
      </w:r>
      <w:proofErr w:type="gramEnd"/>
      <w:r w:rsidRPr="00E9526A">
        <w:rPr>
          <w:iCs/>
          <w:sz w:val="16"/>
          <w:szCs w:val="16"/>
        </w:rPr>
        <w:t xml:space="preserve"> </w:t>
      </w:r>
      <w:r w:rsidRPr="00E9526A">
        <w:rPr>
          <w:sz w:val="16"/>
          <w:szCs w:val="16"/>
        </w:rPr>
        <w:t xml:space="preserve">número promedio de días de ausencia por enfermedad por empleado en 2014 fue en realidad </w:t>
      </w:r>
      <w:r w:rsidRPr="00E9526A">
        <w:rPr>
          <w:iCs/>
          <w:sz w:val="16"/>
          <w:szCs w:val="16"/>
        </w:rPr>
        <w:t xml:space="preserve">11,2, </w:t>
      </w:r>
      <w:r>
        <w:rPr>
          <w:iCs/>
          <w:sz w:val="16"/>
          <w:szCs w:val="16"/>
        </w:rPr>
        <w:t xml:space="preserve">lo que refleja las estadísticas más precisas, y no 9 como se informó en el Informe sobre el rendimiento de los programas en </w:t>
      </w:r>
      <w:r w:rsidRPr="00E9526A">
        <w:rPr>
          <w:iCs/>
          <w:sz w:val="16"/>
          <w:szCs w:val="16"/>
        </w:rPr>
        <w:t>2014.</w:t>
      </w:r>
    </w:p>
  </w:footnote>
  <w:footnote w:id="134">
    <w:p w:rsidR="008F093A" w:rsidRPr="005B03BE" w:rsidRDefault="008F093A" w:rsidP="00DC1333">
      <w:pPr>
        <w:pStyle w:val="FootnoteText"/>
        <w:rPr>
          <w:sz w:val="16"/>
          <w:szCs w:val="16"/>
        </w:rPr>
      </w:pPr>
      <w:r w:rsidRPr="005B03BE">
        <w:rPr>
          <w:rStyle w:val="FootnoteReference"/>
          <w:sz w:val="16"/>
          <w:szCs w:val="16"/>
        </w:rPr>
        <w:footnoteRef/>
      </w:r>
      <w:r w:rsidRPr="005B03BE">
        <w:rPr>
          <w:sz w:val="16"/>
          <w:szCs w:val="16"/>
        </w:rPr>
        <w:t xml:space="preserve"> En relación únicamente con los miembros del personal en las categorías profesional y superiores.</w:t>
      </w:r>
    </w:p>
  </w:footnote>
  <w:footnote w:id="135">
    <w:p w:rsidR="008F093A" w:rsidRPr="007B2775" w:rsidRDefault="008F093A" w:rsidP="00DC1333">
      <w:pPr>
        <w:pStyle w:val="FootnoteText"/>
        <w:rPr>
          <w:sz w:val="16"/>
          <w:szCs w:val="16"/>
        </w:rPr>
      </w:pPr>
      <w:r w:rsidRPr="008D349D">
        <w:rPr>
          <w:rStyle w:val="FootnoteReference"/>
        </w:rPr>
        <w:footnoteRef/>
      </w:r>
      <w:r>
        <w:rPr>
          <w:sz w:val="16"/>
          <w:szCs w:val="16"/>
        </w:rPr>
        <w:t xml:space="preserve"> El Comité de Coordinación aún debe llegar a una conclusión respecto de si un sistema oficial debe o no sustituir el acuerdo logrado en 1975 sobre di</w:t>
      </w:r>
      <w:r w:rsidRPr="007B2775">
        <w:rPr>
          <w:sz w:val="16"/>
          <w:szCs w:val="16"/>
        </w:rPr>
        <w:t>stribución geográfica.</w:t>
      </w:r>
    </w:p>
  </w:footnote>
  <w:footnote w:id="136">
    <w:p w:rsidR="008F093A" w:rsidRPr="00BC3B0F" w:rsidRDefault="008F093A">
      <w:pPr>
        <w:pStyle w:val="FootnoteText"/>
        <w:rPr>
          <w:sz w:val="16"/>
          <w:szCs w:val="16"/>
        </w:rPr>
      </w:pPr>
      <w:r w:rsidRPr="00BC3B0F">
        <w:rPr>
          <w:rStyle w:val="FootnoteReference"/>
          <w:sz w:val="16"/>
          <w:szCs w:val="16"/>
        </w:rPr>
        <w:footnoteRef/>
      </w:r>
      <w:r w:rsidRPr="00BC3B0F">
        <w:rPr>
          <w:sz w:val="16"/>
          <w:szCs w:val="16"/>
        </w:rPr>
        <w:t xml:space="preserve"> </w:t>
      </w:r>
      <w:r>
        <w:rPr>
          <w:sz w:val="16"/>
          <w:szCs w:val="16"/>
        </w:rPr>
        <w:t>Para más información, véase el programa 29.</w:t>
      </w:r>
    </w:p>
  </w:footnote>
  <w:footnote w:id="137">
    <w:p w:rsidR="008F093A" w:rsidRPr="007B2775" w:rsidRDefault="008F093A" w:rsidP="00DC1333">
      <w:pPr>
        <w:pStyle w:val="FootnoteText"/>
        <w:rPr>
          <w:sz w:val="16"/>
          <w:szCs w:val="16"/>
        </w:rPr>
      </w:pPr>
      <w:r w:rsidRPr="007B2775">
        <w:rPr>
          <w:rStyle w:val="FootnoteReference"/>
          <w:sz w:val="16"/>
          <w:szCs w:val="16"/>
        </w:rPr>
        <w:footnoteRef/>
      </w:r>
      <w:r w:rsidRPr="007B2775">
        <w:rPr>
          <w:sz w:val="16"/>
          <w:szCs w:val="16"/>
        </w:rPr>
        <w:t xml:space="preserve"> Corrección</w:t>
      </w:r>
      <w:proofErr w:type="gramStart"/>
      <w:r w:rsidRPr="007B2775">
        <w:rPr>
          <w:sz w:val="16"/>
          <w:szCs w:val="16"/>
        </w:rPr>
        <w:t>:  en</w:t>
      </w:r>
      <w:proofErr w:type="gramEnd"/>
      <w:r w:rsidRPr="007B2775">
        <w:rPr>
          <w:sz w:val="16"/>
          <w:szCs w:val="16"/>
        </w:rPr>
        <w:t xml:space="preserve"> el presupuesto por programas </w:t>
      </w:r>
      <w:r>
        <w:rPr>
          <w:sz w:val="16"/>
          <w:szCs w:val="16"/>
        </w:rPr>
        <w:t xml:space="preserve">de </w:t>
      </w:r>
      <w:r w:rsidRPr="007B2775">
        <w:rPr>
          <w:sz w:val="16"/>
          <w:szCs w:val="16"/>
        </w:rPr>
        <w:t>2014/15 se publicó por error la fecha 31 de diciembre de 2013 en lugar de 31 de diciembre de 2015.</w:t>
      </w:r>
    </w:p>
  </w:footnote>
  <w:footnote w:id="138">
    <w:p w:rsidR="008F093A" w:rsidRPr="00677DD2" w:rsidRDefault="008F093A" w:rsidP="00DC1333">
      <w:pPr>
        <w:pStyle w:val="FootnoteText"/>
        <w:rPr>
          <w:sz w:val="16"/>
          <w:szCs w:val="16"/>
        </w:rPr>
      </w:pPr>
      <w:r w:rsidRPr="00677DD2">
        <w:rPr>
          <w:rStyle w:val="FootnoteReference"/>
          <w:sz w:val="16"/>
          <w:szCs w:val="16"/>
        </w:rPr>
        <w:footnoteRef/>
      </w:r>
      <w:r w:rsidRPr="00677DD2">
        <w:rPr>
          <w:sz w:val="16"/>
          <w:szCs w:val="16"/>
        </w:rPr>
        <w:t xml:space="preserve"> </w:t>
      </w:r>
      <w:r>
        <w:rPr>
          <w:sz w:val="16"/>
          <w:szCs w:val="16"/>
        </w:rPr>
        <w:t xml:space="preserve">En el Informe sobre el rendimiento de los programas en 2014:  </w:t>
      </w:r>
      <w:r w:rsidRPr="00677DD2">
        <w:rPr>
          <w:sz w:val="16"/>
          <w:szCs w:val="16"/>
        </w:rPr>
        <w:t>http://www.wipo.int/edocs/mdocs/govbody/es/a_55/a_55_6.pdf</w:t>
      </w:r>
    </w:p>
  </w:footnote>
  <w:footnote w:id="139">
    <w:p w:rsidR="008F093A" w:rsidRPr="0071390F" w:rsidRDefault="008F093A" w:rsidP="00DC1333">
      <w:pPr>
        <w:pStyle w:val="FootnoteText"/>
        <w:rPr>
          <w:sz w:val="16"/>
          <w:szCs w:val="16"/>
        </w:rPr>
      </w:pPr>
      <w:r w:rsidRPr="0071390F">
        <w:rPr>
          <w:rStyle w:val="FootnoteReference"/>
          <w:sz w:val="16"/>
          <w:szCs w:val="16"/>
        </w:rPr>
        <w:footnoteRef/>
      </w:r>
      <w:r w:rsidRPr="0071390F">
        <w:rPr>
          <w:sz w:val="16"/>
          <w:szCs w:val="16"/>
        </w:rPr>
        <w:t xml:space="preserve"> http://www.wipo.int/edocs/mdocs/govbody/en/a_55/a_55_inf_5.pdf </w:t>
      </w:r>
    </w:p>
  </w:footnote>
  <w:footnote w:id="140">
    <w:p w:rsidR="008F093A" w:rsidRPr="0071390F" w:rsidRDefault="008F093A" w:rsidP="00DC1333">
      <w:pPr>
        <w:pStyle w:val="FootnoteText"/>
        <w:rPr>
          <w:sz w:val="16"/>
          <w:szCs w:val="16"/>
        </w:rPr>
      </w:pPr>
      <w:r w:rsidRPr="0071390F">
        <w:rPr>
          <w:rStyle w:val="FootnoteReference"/>
          <w:sz w:val="16"/>
          <w:szCs w:val="16"/>
        </w:rPr>
        <w:footnoteRef/>
      </w:r>
      <w:r w:rsidRPr="0071390F">
        <w:rPr>
          <w:sz w:val="16"/>
          <w:szCs w:val="16"/>
        </w:rPr>
        <w:t xml:space="preserve"> En 2015 se modificó la terminología</w:t>
      </w:r>
      <w:r>
        <w:rPr>
          <w:sz w:val="16"/>
          <w:szCs w:val="16"/>
        </w:rPr>
        <w:t xml:space="preserve"> utilizada en la encuesta del servicio de asistencia con respecto a este indicador del rendimiento.  El término “completamente satisfecho” corresponde al término “muy satisfecho” de la referencia actualizada a fines de 2013</w:t>
      </w:r>
      <w:r w:rsidRPr="0071390F">
        <w:rPr>
          <w:sz w:val="16"/>
          <w:szCs w:val="16"/>
        </w:rPr>
        <w:t>.</w:t>
      </w:r>
    </w:p>
  </w:footnote>
  <w:footnote w:id="141">
    <w:p w:rsidR="008F093A" w:rsidRDefault="008F093A">
      <w:pPr>
        <w:pStyle w:val="FootnoteText"/>
      </w:pPr>
      <w:r>
        <w:rPr>
          <w:rStyle w:val="FootnoteReference"/>
        </w:rPr>
        <w:footnoteRef/>
      </w:r>
      <w:r>
        <w:t xml:space="preserve"> </w:t>
      </w:r>
      <w:hyperlink r:id="rId18" w:history="1">
        <w:r>
          <w:rPr>
            <w:rStyle w:val="Hyperlink"/>
            <w:sz w:val="16"/>
            <w:szCs w:val="16"/>
          </w:rPr>
          <w:t>Informe de la evaluación externa de la calidad de la función de auditoría.</w:t>
        </w:r>
      </w:hyperlink>
    </w:p>
  </w:footnote>
  <w:footnote w:id="142">
    <w:p w:rsidR="008F093A" w:rsidRDefault="008F093A">
      <w:pPr>
        <w:pStyle w:val="FootnoteText"/>
      </w:pPr>
      <w:r>
        <w:rPr>
          <w:rStyle w:val="FootnoteReference"/>
        </w:rPr>
        <w:footnoteRef/>
      </w:r>
      <w:r>
        <w:t xml:space="preserve"> </w:t>
      </w:r>
      <w:hyperlink r:id="rId19" w:history="1">
        <w:r>
          <w:rPr>
            <w:rStyle w:val="Hyperlink"/>
            <w:sz w:val="16"/>
            <w:szCs w:val="16"/>
          </w:rPr>
          <w:t>Informe de la evaluación externa de la calidad de la función de evaluación.</w:t>
        </w:r>
      </w:hyperlink>
    </w:p>
  </w:footnote>
  <w:footnote w:id="143">
    <w:p w:rsidR="008F093A" w:rsidRDefault="008F093A">
      <w:pPr>
        <w:pStyle w:val="FootnoteText"/>
      </w:pPr>
      <w:r>
        <w:rPr>
          <w:rStyle w:val="FootnoteReference"/>
        </w:rPr>
        <w:footnoteRef/>
      </w:r>
      <w:r>
        <w:t xml:space="preserve"> </w:t>
      </w:r>
      <w:hyperlink r:id="rId20" w:history="1">
        <w:r>
          <w:rPr>
            <w:rStyle w:val="Hyperlink"/>
            <w:sz w:val="16"/>
            <w:szCs w:val="16"/>
          </w:rPr>
          <w:t>Informe de la evaluación externa de la calidad de la función de investigación.</w:t>
        </w:r>
      </w:hyperlink>
    </w:p>
  </w:footnote>
  <w:footnote w:id="144">
    <w:p w:rsidR="008F093A" w:rsidRPr="00B5202B" w:rsidRDefault="008F093A">
      <w:pPr>
        <w:pStyle w:val="FootnoteText"/>
        <w:rPr>
          <w:sz w:val="16"/>
          <w:szCs w:val="16"/>
        </w:rPr>
      </w:pPr>
      <w:r>
        <w:rPr>
          <w:rStyle w:val="FootnoteReference"/>
        </w:rPr>
        <w:footnoteRef/>
      </w:r>
      <w:r>
        <w:t xml:space="preserve"> </w:t>
      </w:r>
      <w:r w:rsidRPr="00B5202B">
        <w:rPr>
          <w:sz w:val="16"/>
          <w:szCs w:val="16"/>
        </w:rPr>
        <w:t>Para auditoría, las normas del Instituto de Auditores Internos.  Para evaluación, las normas y las reglas del Grupo de Evaluación de las Naciones Unidas (UNEG).  Para investigación, las Dire</w:t>
      </w:r>
      <w:r>
        <w:rPr>
          <w:sz w:val="16"/>
          <w:szCs w:val="16"/>
        </w:rPr>
        <w:t xml:space="preserve">ctrices uniformes </w:t>
      </w:r>
      <w:r w:rsidRPr="00B5202B">
        <w:rPr>
          <w:sz w:val="16"/>
          <w:szCs w:val="16"/>
        </w:rPr>
        <w:t xml:space="preserve">para las investigaciones de la </w:t>
      </w:r>
      <w:r w:rsidRPr="00B5202B">
        <w:rPr>
          <w:rStyle w:val="preferred"/>
          <w:sz w:val="16"/>
          <w:szCs w:val="16"/>
        </w:rPr>
        <w:t>Conferencia de Investigadores Internacionales.</w:t>
      </w:r>
    </w:p>
  </w:footnote>
  <w:footnote w:id="145">
    <w:p w:rsidR="008F093A" w:rsidRPr="00664FB0" w:rsidRDefault="008F093A">
      <w:pPr>
        <w:pStyle w:val="FootnoteText"/>
        <w:rPr>
          <w:sz w:val="16"/>
          <w:szCs w:val="16"/>
        </w:rPr>
      </w:pPr>
      <w:r>
        <w:rPr>
          <w:rStyle w:val="FootnoteReference"/>
        </w:rPr>
        <w:footnoteRef/>
      </w:r>
      <w:r>
        <w:t xml:space="preserve"> </w:t>
      </w:r>
      <w:r w:rsidRPr="00664FB0">
        <w:rPr>
          <w:sz w:val="16"/>
          <w:szCs w:val="16"/>
        </w:rPr>
        <w:t>Treinta de las 186 recomendaciones provinieron de la evaluación externa de la calidad de las funciones de auditoría y evaluación de la DSI.</w:t>
      </w:r>
    </w:p>
  </w:footnote>
  <w:footnote w:id="146">
    <w:p w:rsidR="008F093A" w:rsidRPr="00232858" w:rsidRDefault="008F093A">
      <w:pPr>
        <w:pStyle w:val="FootnoteText"/>
        <w:rPr>
          <w:sz w:val="16"/>
          <w:szCs w:val="16"/>
        </w:rPr>
      </w:pPr>
      <w:r w:rsidRPr="00232858">
        <w:rPr>
          <w:rStyle w:val="FootnoteReference"/>
          <w:sz w:val="16"/>
          <w:szCs w:val="16"/>
        </w:rPr>
        <w:footnoteRef/>
      </w:r>
      <w:r w:rsidRPr="00232858">
        <w:rPr>
          <w:sz w:val="16"/>
          <w:szCs w:val="16"/>
        </w:rPr>
        <w:t xml:space="preserve"> </w:t>
      </w:r>
      <w:r>
        <w:rPr>
          <w:sz w:val="16"/>
          <w:szCs w:val="16"/>
        </w:rPr>
        <w:t>i) E</w:t>
      </w:r>
      <w:r w:rsidRPr="00232858">
        <w:rPr>
          <w:sz w:val="16"/>
          <w:szCs w:val="16"/>
        </w:rPr>
        <w:t>l Foro Mundial de la UIT en mayo de 2015;  ii) el Centro Internacional para la Seguridad</w:t>
      </w:r>
      <w:r>
        <w:rPr>
          <w:sz w:val="16"/>
          <w:szCs w:val="16"/>
        </w:rPr>
        <w:t xml:space="preserve"> en el Deporte en septiembre de </w:t>
      </w:r>
      <w:r w:rsidRPr="00232858">
        <w:rPr>
          <w:sz w:val="16"/>
          <w:szCs w:val="16"/>
        </w:rPr>
        <w:t>2015;  iii) la inauguración por Suiza del Geneva Water Hub en noviembre de 2015;  iv) la ceremonia de entrega de diplomas federales de los bomberos de Suiza (Ecole latine)</w:t>
      </w:r>
      <w:r>
        <w:rPr>
          <w:sz w:val="16"/>
          <w:szCs w:val="16"/>
        </w:rPr>
        <w:t xml:space="preserve"> en noviembre de 2015, y </w:t>
      </w:r>
      <w:r w:rsidRPr="00232858">
        <w:rPr>
          <w:sz w:val="16"/>
          <w:szCs w:val="16"/>
        </w:rPr>
        <w:t>v) la Reunión Anual de la Organización Internacional para las Migraciones (OIM) en noviembre de 2015.</w:t>
      </w:r>
    </w:p>
  </w:footnote>
  <w:footnote w:id="147">
    <w:p w:rsidR="008F093A" w:rsidRPr="000E29C2" w:rsidRDefault="008F093A">
      <w:pPr>
        <w:pStyle w:val="FootnoteText"/>
        <w:rPr>
          <w:sz w:val="16"/>
          <w:szCs w:val="16"/>
        </w:rPr>
      </w:pPr>
      <w:r w:rsidRPr="000E29C2">
        <w:rPr>
          <w:rStyle w:val="FootnoteReference"/>
          <w:sz w:val="16"/>
          <w:szCs w:val="16"/>
        </w:rPr>
        <w:footnoteRef/>
      </w:r>
      <w:r w:rsidRPr="000E29C2">
        <w:rPr>
          <w:sz w:val="16"/>
          <w:szCs w:val="16"/>
        </w:rPr>
        <w:t xml:space="preserve"> </w:t>
      </w:r>
      <w:r>
        <w:rPr>
          <w:sz w:val="16"/>
          <w:szCs w:val="16"/>
        </w:rPr>
        <w:t>Corrección</w:t>
      </w:r>
      <w:proofErr w:type="gramStart"/>
      <w:r>
        <w:rPr>
          <w:sz w:val="16"/>
          <w:szCs w:val="16"/>
        </w:rPr>
        <w:t>:  La</w:t>
      </w:r>
      <w:proofErr w:type="gramEnd"/>
      <w:r>
        <w:rPr>
          <w:sz w:val="16"/>
          <w:szCs w:val="16"/>
        </w:rPr>
        <w:t xml:space="preserve"> referencia se ha actualizado a fin de reflejar las cifras más recientes.  El costo por página a finales de 2013 era 0,20 francos suizos, y no 0,19 francos suizos como se informó en el Informe sobre el rendimiento de los programas en 2014.</w:t>
      </w:r>
    </w:p>
  </w:footnote>
  <w:footnote w:id="148">
    <w:p w:rsidR="008F093A" w:rsidRPr="00070E13" w:rsidRDefault="008F093A">
      <w:pPr>
        <w:pStyle w:val="FootnoteText"/>
        <w:rPr>
          <w:sz w:val="16"/>
          <w:szCs w:val="16"/>
        </w:rPr>
      </w:pPr>
      <w:r w:rsidRPr="00070E13">
        <w:rPr>
          <w:rStyle w:val="FootnoteReference"/>
          <w:sz w:val="16"/>
          <w:szCs w:val="16"/>
        </w:rPr>
        <w:footnoteRef/>
      </w:r>
      <w:r w:rsidRPr="00070E13">
        <w:rPr>
          <w:sz w:val="16"/>
          <w:szCs w:val="16"/>
        </w:rPr>
        <w:t xml:space="preserve"> </w:t>
      </w:r>
      <w:r w:rsidRPr="00070E13">
        <w:rPr>
          <w:i/>
          <w:sz w:val="16"/>
          <w:szCs w:val="16"/>
        </w:rPr>
        <w:t>Idem</w:t>
      </w:r>
      <w:r>
        <w:rPr>
          <w:sz w:val="16"/>
          <w:szCs w:val="16"/>
        </w:rPr>
        <w:t>.</w:t>
      </w:r>
    </w:p>
  </w:footnote>
  <w:footnote w:id="149">
    <w:p w:rsidR="008F093A" w:rsidRPr="00070E13" w:rsidRDefault="008F093A">
      <w:pPr>
        <w:pStyle w:val="FootnoteText"/>
        <w:rPr>
          <w:sz w:val="16"/>
          <w:szCs w:val="16"/>
        </w:rPr>
      </w:pPr>
      <w:r w:rsidRPr="00070E13">
        <w:rPr>
          <w:rStyle w:val="FootnoteReference"/>
          <w:sz w:val="16"/>
          <w:szCs w:val="16"/>
        </w:rPr>
        <w:footnoteRef/>
      </w:r>
      <w:r w:rsidRPr="00070E13">
        <w:rPr>
          <w:sz w:val="16"/>
          <w:szCs w:val="16"/>
        </w:rPr>
        <w:t xml:space="preserve"> </w:t>
      </w:r>
      <w:r>
        <w:rPr>
          <w:sz w:val="16"/>
          <w:szCs w:val="16"/>
        </w:rPr>
        <w:t>Corrección</w:t>
      </w:r>
      <w:proofErr w:type="gramStart"/>
      <w:r>
        <w:rPr>
          <w:sz w:val="16"/>
          <w:szCs w:val="16"/>
        </w:rPr>
        <w:t>:  La</w:t>
      </w:r>
      <w:proofErr w:type="gramEnd"/>
      <w:r>
        <w:rPr>
          <w:sz w:val="16"/>
          <w:szCs w:val="16"/>
        </w:rPr>
        <w:t xml:space="preserve"> referencia se ha actualizado a fin de reflejar las cifras más recientes.  El costo por página en 2014 fue 0,15 francos suizos, y no 0,14 francos suizos como se informó en el Informe sobre el rendimiento de los programas en 2014.</w:t>
      </w:r>
    </w:p>
  </w:footnote>
  <w:footnote w:id="150">
    <w:p w:rsidR="008F093A" w:rsidRPr="00544449" w:rsidRDefault="008F093A" w:rsidP="00217DBF">
      <w:pPr>
        <w:pStyle w:val="FootnoteText"/>
        <w:rPr>
          <w:sz w:val="16"/>
          <w:szCs w:val="16"/>
          <w:lang w:val="es-ES_tradnl"/>
        </w:rPr>
      </w:pPr>
      <w:r w:rsidRPr="00C50E41">
        <w:rPr>
          <w:rStyle w:val="FootnoteReference"/>
          <w:sz w:val="16"/>
          <w:szCs w:val="16"/>
        </w:rPr>
        <w:footnoteRef/>
      </w:r>
      <w:r w:rsidRPr="00C50E41">
        <w:rPr>
          <w:sz w:val="16"/>
          <w:szCs w:val="16"/>
          <w:lang w:val="es-ES_tradnl"/>
        </w:rPr>
        <w:t xml:space="preserve"> </w:t>
      </w:r>
      <w:r w:rsidRPr="00544449">
        <w:rPr>
          <w:sz w:val="16"/>
          <w:szCs w:val="16"/>
        </w:rPr>
        <w:t>Examen del proceso presupuestario aplicado a los proyectos propuestos por el Comité de Desarrollo y Propiedad Intelectual (CDIP) para dar aplicación a las recomendaciones de la Agenda para el Desarrollo (A/48/5 Rev.)</w:t>
      </w:r>
      <w:r w:rsidRPr="00544449">
        <w:rPr>
          <w:sz w:val="16"/>
          <w:szCs w:val="16"/>
          <w:lang w:val="es-ES_tradnl"/>
        </w:rPr>
        <w:t>.</w:t>
      </w:r>
    </w:p>
  </w:footnote>
  <w:footnote w:id="151">
    <w:p w:rsidR="008F093A" w:rsidRPr="0017760C" w:rsidRDefault="008F093A" w:rsidP="003E311F">
      <w:pPr>
        <w:pStyle w:val="FootnoteText"/>
        <w:rPr>
          <w:sz w:val="16"/>
          <w:szCs w:val="16"/>
        </w:rPr>
      </w:pPr>
      <w:r w:rsidRPr="00FE1AB9">
        <w:rPr>
          <w:rStyle w:val="FootnoteReference"/>
          <w:sz w:val="16"/>
          <w:szCs w:val="16"/>
        </w:rPr>
        <w:footnoteRef/>
      </w:r>
      <w:r w:rsidRPr="0017760C">
        <w:rPr>
          <w:sz w:val="16"/>
          <w:szCs w:val="16"/>
        </w:rPr>
        <w:t xml:space="preserve"> </w:t>
      </w:r>
      <w:r w:rsidRPr="007B2775">
        <w:rPr>
          <w:sz w:val="16"/>
          <w:szCs w:val="16"/>
          <w:lang w:val="es-ES_tradnl"/>
        </w:rPr>
        <w:t>Fecha prevista de finalización</w:t>
      </w:r>
      <w:r>
        <w:rPr>
          <w:color w:val="000000"/>
          <w:sz w:val="16"/>
          <w:szCs w:val="16"/>
        </w:rPr>
        <w:t>:  marzo de</w:t>
      </w:r>
      <w:r w:rsidRPr="0017760C">
        <w:rPr>
          <w:color w:val="000000"/>
          <w:sz w:val="16"/>
          <w:szCs w:val="16"/>
        </w:rPr>
        <w:t xml:space="preserve"> 2016</w:t>
      </w:r>
    </w:p>
  </w:footnote>
  <w:footnote w:id="152">
    <w:p w:rsidR="008F093A" w:rsidRPr="00725EF0" w:rsidRDefault="008F093A" w:rsidP="003E311F">
      <w:pPr>
        <w:pStyle w:val="FootnoteText"/>
        <w:rPr>
          <w:sz w:val="16"/>
          <w:szCs w:val="16"/>
        </w:rPr>
      </w:pPr>
      <w:r w:rsidRPr="006D0FA3">
        <w:rPr>
          <w:rStyle w:val="FootnoteReference"/>
          <w:sz w:val="16"/>
          <w:szCs w:val="16"/>
        </w:rPr>
        <w:footnoteRef/>
      </w:r>
      <w:r w:rsidRPr="00725EF0">
        <w:rPr>
          <w:sz w:val="16"/>
          <w:szCs w:val="16"/>
        </w:rPr>
        <w:t xml:space="preserve"> </w:t>
      </w:r>
      <w:r>
        <w:rPr>
          <w:sz w:val="16"/>
          <w:szCs w:val="16"/>
        </w:rPr>
        <w:t>El Fondo Fiduciario se constituyó de acuerdo con un memorando de entendimiento entre la OMPI y el PNUD firmado en octubre de 2015 y aplicado en el marco de un proyecto conjunto de la Financiadora de Estudios y Proyectos del Brasil</w:t>
      </w:r>
      <w:r w:rsidRPr="00725EF0">
        <w:rPr>
          <w:sz w:val="16"/>
          <w:szCs w:val="16"/>
        </w:rPr>
        <w:t xml:space="preserve"> (FINEP)</w:t>
      </w:r>
      <w:r>
        <w:rPr>
          <w:sz w:val="16"/>
          <w:szCs w:val="16"/>
        </w:rPr>
        <w:t xml:space="preserve"> y el PNUD-Brasil</w:t>
      </w:r>
      <w:r w:rsidRPr="00725EF0">
        <w:rPr>
          <w:sz w:val="16"/>
          <w:szCs w:val="16"/>
        </w:rPr>
        <w:t xml:space="preserve"> (PNUD</w:t>
      </w:r>
      <w:proofErr w:type="gramStart"/>
      <w:r>
        <w:rPr>
          <w:sz w:val="16"/>
          <w:szCs w:val="16"/>
        </w:rPr>
        <w:t xml:space="preserve">:  </w:t>
      </w:r>
      <w:r w:rsidRPr="00725EF0">
        <w:rPr>
          <w:sz w:val="16"/>
          <w:szCs w:val="16"/>
        </w:rPr>
        <w:t>BRA</w:t>
      </w:r>
      <w:proofErr w:type="gramEnd"/>
      <w:r w:rsidRPr="00725EF0">
        <w:rPr>
          <w:sz w:val="16"/>
          <w:szCs w:val="16"/>
        </w:rPr>
        <w:t xml:space="preserve"> 12/001 </w:t>
      </w:r>
      <w:r w:rsidRPr="00725EF0">
        <w:rPr>
          <w:i/>
          <w:sz w:val="16"/>
          <w:szCs w:val="16"/>
        </w:rPr>
        <w:t>Promoção da Inovação para o Desenvolvimento Sustentável</w:t>
      </w:r>
      <w:r w:rsidRPr="00725EF0">
        <w:rPr>
          <w:sz w:val="16"/>
          <w:szCs w:val="16"/>
        </w:rPr>
        <w:t>).</w:t>
      </w:r>
    </w:p>
  </w:footnote>
  <w:footnote w:id="153">
    <w:p w:rsidR="008F093A" w:rsidRPr="00AA34BC" w:rsidRDefault="008F093A" w:rsidP="003E311F">
      <w:pPr>
        <w:pStyle w:val="FootnoteText"/>
        <w:rPr>
          <w:sz w:val="16"/>
          <w:szCs w:val="16"/>
        </w:rPr>
      </w:pPr>
      <w:r w:rsidRPr="00605F17">
        <w:rPr>
          <w:rStyle w:val="FootnoteReference"/>
          <w:sz w:val="16"/>
          <w:szCs w:val="16"/>
        </w:rPr>
        <w:footnoteRef/>
      </w:r>
      <w:r w:rsidRPr="00AA34BC">
        <w:rPr>
          <w:sz w:val="16"/>
          <w:szCs w:val="16"/>
        </w:rPr>
        <w:t xml:space="preserve"> Proyecto </w:t>
      </w:r>
      <w:r>
        <w:rPr>
          <w:sz w:val="16"/>
          <w:szCs w:val="16"/>
        </w:rPr>
        <w:t>comenzado</w:t>
      </w:r>
      <w:r w:rsidRPr="00AA34BC">
        <w:rPr>
          <w:sz w:val="16"/>
          <w:szCs w:val="16"/>
        </w:rPr>
        <w:t xml:space="preserve"> en agosto de 2014.</w:t>
      </w:r>
    </w:p>
  </w:footnote>
  <w:footnote w:id="154">
    <w:p w:rsidR="008F093A" w:rsidRPr="00AA34BC" w:rsidRDefault="008F093A" w:rsidP="003E311F">
      <w:pPr>
        <w:pStyle w:val="FootnoteText"/>
      </w:pPr>
      <w:r w:rsidRPr="00605F17">
        <w:rPr>
          <w:rStyle w:val="FootnoteReference"/>
          <w:sz w:val="16"/>
          <w:szCs w:val="16"/>
        </w:rPr>
        <w:footnoteRef/>
      </w:r>
      <w:r w:rsidRPr="00AA34BC">
        <w:rPr>
          <w:sz w:val="16"/>
          <w:szCs w:val="16"/>
        </w:rPr>
        <w:t xml:space="preserve"> Proyecto </w:t>
      </w:r>
      <w:r>
        <w:rPr>
          <w:sz w:val="16"/>
          <w:szCs w:val="16"/>
        </w:rPr>
        <w:t>comenzado</w:t>
      </w:r>
      <w:r w:rsidRPr="00AA34BC">
        <w:rPr>
          <w:sz w:val="16"/>
          <w:szCs w:val="16"/>
        </w:rPr>
        <w:t xml:space="preserve"> en </w:t>
      </w:r>
      <w:r>
        <w:rPr>
          <w:sz w:val="16"/>
          <w:szCs w:val="16"/>
        </w:rPr>
        <w:t>septiembre</w:t>
      </w:r>
      <w:r w:rsidRPr="00AA34BC">
        <w:rPr>
          <w:sz w:val="16"/>
          <w:szCs w:val="16"/>
        </w:rPr>
        <w:t xml:space="preserve"> de 2014.</w:t>
      </w:r>
    </w:p>
  </w:footnote>
  <w:footnote w:id="155">
    <w:p w:rsidR="008F093A" w:rsidRPr="009E37FC" w:rsidRDefault="008F093A" w:rsidP="003E311F">
      <w:pPr>
        <w:pStyle w:val="FootnoteText"/>
        <w:rPr>
          <w:sz w:val="16"/>
          <w:szCs w:val="16"/>
        </w:rPr>
      </w:pPr>
      <w:r w:rsidRPr="00F150B4">
        <w:rPr>
          <w:rStyle w:val="FootnoteReference"/>
          <w:sz w:val="16"/>
          <w:szCs w:val="16"/>
        </w:rPr>
        <w:footnoteRef/>
      </w:r>
      <w:r w:rsidRPr="009E37FC">
        <w:rPr>
          <w:sz w:val="16"/>
          <w:szCs w:val="16"/>
        </w:rPr>
        <w:t xml:space="preserve"> </w:t>
      </w:r>
      <w:hyperlink r:id="rId21" w:history="1">
        <w:r w:rsidRPr="009E37FC">
          <w:rPr>
            <w:rStyle w:val="Hyperlink"/>
            <w:sz w:val="16"/>
            <w:szCs w:val="16"/>
          </w:rPr>
          <w:t>http://www.wipo.int/publications/en/details.jsp?id=259&amp;plang=EN</w:t>
        </w:r>
      </w:hyperlink>
      <w:r w:rsidRPr="009E37FC">
        <w:rPr>
          <w:rStyle w:val="Strong"/>
          <w:sz w:val="16"/>
          <w:szCs w:val="16"/>
        </w:rPr>
        <w:t xml:space="preserve"> </w:t>
      </w:r>
    </w:p>
  </w:footnote>
  <w:footnote w:id="156">
    <w:p w:rsidR="008F093A" w:rsidRPr="00D672B3" w:rsidRDefault="008F093A" w:rsidP="003E311F">
      <w:pPr>
        <w:pStyle w:val="FootnoteText"/>
      </w:pPr>
      <w:r w:rsidRPr="00152E3E">
        <w:rPr>
          <w:rStyle w:val="FootnoteReference"/>
          <w:sz w:val="16"/>
          <w:szCs w:val="16"/>
        </w:rPr>
        <w:footnoteRef/>
      </w:r>
      <w:r w:rsidRPr="00D672B3">
        <w:rPr>
          <w:sz w:val="16"/>
          <w:szCs w:val="16"/>
        </w:rPr>
        <w:t xml:space="preserve"> </w:t>
      </w:r>
      <w:r>
        <w:rPr>
          <w:sz w:val="16"/>
          <w:szCs w:val="16"/>
        </w:rPr>
        <w:t>En octubre de 2012</w:t>
      </w:r>
      <w:r w:rsidRPr="00D672B3">
        <w:rPr>
          <w:sz w:val="16"/>
          <w:szCs w:val="16"/>
        </w:rPr>
        <w:t xml:space="preserve"> se firmó un memorando </w:t>
      </w:r>
      <w:r>
        <w:rPr>
          <w:sz w:val="16"/>
          <w:szCs w:val="16"/>
        </w:rPr>
        <w:t>por el que se creaba el Fondo F</w:t>
      </w:r>
      <w:r w:rsidRPr="00D672B3">
        <w:rPr>
          <w:sz w:val="16"/>
          <w:szCs w:val="16"/>
        </w:rPr>
        <w:t>iduciario IBERO como instrumento financiero</w:t>
      </w:r>
      <w:r>
        <w:rPr>
          <w:sz w:val="16"/>
          <w:szCs w:val="16"/>
        </w:rPr>
        <w:t xml:space="preserve"> </w:t>
      </w:r>
      <w:r w:rsidRPr="00D672B3">
        <w:rPr>
          <w:sz w:val="16"/>
          <w:szCs w:val="16"/>
        </w:rPr>
        <w:t>del Programa Iberoamericano de propiedad industrial</w:t>
      </w:r>
      <w:r>
        <w:rPr>
          <w:sz w:val="16"/>
          <w:szCs w:val="16"/>
        </w:rPr>
        <w:t>.  El memorando se renovó en octubre de 2015.</w:t>
      </w:r>
    </w:p>
  </w:footnote>
  <w:footnote w:id="157">
    <w:p w:rsidR="008F093A" w:rsidRPr="00D707B5" w:rsidRDefault="008F093A" w:rsidP="003E311F">
      <w:pPr>
        <w:pStyle w:val="FootnoteText"/>
        <w:rPr>
          <w:sz w:val="16"/>
          <w:szCs w:val="16"/>
        </w:rPr>
      </w:pPr>
      <w:r w:rsidRPr="007B0988">
        <w:rPr>
          <w:rStyle w:val="FootnoteReference"/>
          <w:sz w:val="16"/>
          <w:szCs w:val="16"/>
        </w:rPr>
        <w:footnoteRef/>
      </w:r>
      <w:r w:rsidRPr="00D707B5">
        <w:rPr>
          <w:sz w:val="16"/>
          <w:szCs w:val="16"/>
        </w:rPr>
        <w:t xml:space="preserve"> </w:t>
      </w:r>
      <w:r>
        <w:rPr>
          <w:sz w:val="16"/>
          <w:szCs w:val="16"/>
        </w:rPr>
        <w:t>Comenzó en</w:t>
      </w:r>
      <w:r w:rsidRPr="00D707B5">
        <w:rPr>
          <w:sz w:val="16"/>
          <w:szCs w:val="16"/>
        </w:rPr>
        <w:t xml:space="preserve"> junio de 2013.</w:t>
      </w:r>
    </w:p>
  </w:footnote>
  <w:footnote w:id="158">
    <w:p w:rsidR="008F093A" w:rsidRPr="009E37FC" w:rsidRDefault="008F093A" w:rsidP="003E311F">
      <w:pPr>
        <w:pStyle w:val="FootnoteText"/>
        <w:rPr>
          <w:sz w:val="16"/>
          <w:szCs w:val="16"/>
        </w:rPr>
      </w:pPr>
      <w:r w:rsidRPr="007B0988">
        <w:rPr>
          <w:rStyle w:val="FootnoteReference"/>
          <w:sz w:val="16"/>
          <w:szCs w:val="16"/>
        </w:rPr>
        <w:footnoteRef/>
      </w:r>
      <w:r w:rsidRPr="009E37FC">
        <w:rPr>
          <w:sz w:val="16"/>
          <w:szCs w:val="16"/>
        </w:rPr>
        <w:t xml:space="preserve"> </w:t>
      </w:r>
      <w:hyperlink r:id="rId22" w:history="1">
        <w:r w:rsidRPr="009E37FC">
          <w:rPr>
            <w:rStyle w:val="Hyperlink"/>
            <w:sz w:val="16"/>
            <w:szCs w:val="16"/>
          </w:rPr>
          <w:t>http://www.uibm.gov.it/attachments/FINAL%20Guide_for_IP%20Agri-food%20SME%20_Italian_publication_EN_GBA-Jaiya.pdf</w:t>
        </w:r>
      </w:hyperlink>
      <w:r w:rsidRPr="009E37FC">
        <w:rPr>
          <w:sz w:val="16"/>
          <w:szCs w:val="16"/>
        </w:rPr>
        <w:t xml:space="preserve"> </w:t>
      </w:r>
    </w:p>
  </w:footnote>
  <w:footnote w:id="159">
    <w:p w:rsidR="008F093A" w:rsidRPr="00100BA3" w:rsidRDefault="008F093A" w:rsidP="003E311F">
      <w:pPr>
        <w:pStyle w:val="FootnoteText"/>
      </w:pPr>
      <w:r w:rsidRPr="007B0988">
        <w:rPr>
          <w:rStyle w:val="FootnoteReference"/>
          <w:sz w:val="16"/>
          <w:szCs w:val="16"/>
        </w:rPr>
        <w:footnoteRef/>
      </w:r>
      <w:r w:rsidRPr="00100BA3">
        <w:rPr>
          <w:sz w:val="16"/>
          <w:szCs w:val="16"/>
        </w:rPr>
        <w:t xml:space="preserve"> </w:t>
      </w:r>
      <w:r>
        <w:rPr>
          <w:sz w:val="16"/>
          <w:szCs w:val="16"/>
        </w:rPr>
        <w:t>Comenzó en</w:t>
      </w:r>
      <w:r w:rsidRPr="00100BA3">
        <w:rPr>
          <w:sz w:val="16"/>
          <w:szCs w:val="16"/>
        </w:rPr>
        <w:t xml:space="preserve"> marzo de 2014.</w:t>
      </w:r>
    </w:p>
  </w:footnote>
  <w:footnote w:id="160">
    <w:p w:rsidR="008F093A" w:rsidRPr="00100BA3" w:rsidRDefault="008F093A" w:rsidP="003E311F">
      <w:pPr>
        <w:pStyle w:val="FootnoteText"/>
        <w:rPr>
          <w:sz w:val="16"/>
          <w:szCs w:val="16"/>
        </w:rPr>
      </w:pPr>
      <w:r w:rsidRPr="00062D72">
        <w:rPr>
          <w:rStyle w:val="FootnoteReference"/>
          <w:sz w:val="16"/>
          <w:szCs w:val="16"/>
        </w:rPr>
        <w:footnoteRef/>
      </w:r>
      <w:r w:rsidRPr="00100BA3">
        <w:rPr>
          <w:sz w:val="16"/>
          <w:szCs w:val="16"/>
        </w:rPr>
        <w:t xml:space="preserve"> </w:t>
      </w:r>
      <w:r>
        <w:rPr>
          <w:sz w:val="16"/>
          <w:szCs w:val="16"/>
        </w:rPr>
        <w:t>Comenzó en</w:t>
      </w:r>
      <w:r w:rsidRPr="00100BA3">
        <w:rPr>
          <w:sz w:val="16"/>
          <w:szCs w:val="16"/>
        </w:rPr>
        <w:t xml:space="preserve"> octubre de 2014</w:t>
      </w:r>
    </w:p>
  </w:footnote>
  <w:footnote w:id="161">
    <w:p w:rsidR="008F093A" w:rsidRPr="00435F4C" w:rsidRDefault="008F093A" w:rsidP="003E311F">
      <w:pPr>
        <w:pStyle w:val="FootnoteText"/>
      </w:pPr>
      <w:r w:rsidRPr="00062D72">
        <w:rPr>
          <w:rStyle w:val="FootnoteReference"/>
          <w:sz w:val="16"/>
          <w:szCs w:val="16"/>
        </w:rPr>
        <w:footnoteRef/>
      </w:r>
      <w:r w:rsidRPr="00435F4C">
        <w:rPr>
          <w:sz w:val="16"/>
          <w:szCs w:val="16"/>
        </w:rPr>
        <w:t xml:space="preserve"> </w:t>
      </w:r>
      <w:r>
        <w:rPr>
          <w:sz w:val="16"/>
          <w:szCs w:val="16"/>
        </w:rPr>
        <w:t>Comenzó en</w:t>
      </w:r>
      <w:r w:rsidRPr="00435F4C">
        <w:rPr>
          <w:sz w:val="16"/>
          <w:szCs w:val="16"/>
        </w:rPr>
        <w:t xml:space="preserve"> febrero de 2013</w:t>
      </w:r>
    </w:p>
  </w:footnote>
  <w:footnote w:id="162">
    <w:p w:rsidR="008F093A" w:rsidRPr="00435F4C" w:rsidRDefault="008F093A" w:rsidP="003E311F">
      <w:pPr>
        <w:pStyle w:val="FootnoteText"/>
        <w:rPr>
          <w:sz w:val="16"/>
          <w:szCs w:val="16"/>
        </w:rPr>
      </w:pPr>
      <w:r w:rsidRPr="00A12ABB">
        <w:rPr>
          <w:rStyle w:val="FootnoteReference"/>
          <w:sz w:val="16"/>
          <w:szCs w:val="16"/>
        </w:rPr>
        <w:footnoteRef/>
      </w:r>
      <w:r w:rsidRPr="00435F4C">
        <w:rPr>
          <w:sz w:val="16"/>
          <w:szCs w:val="16"/>
        </w:rPr>
        <w:t xml:space="preserve"> </w:t>
      </w:r>
      <w:r>
        <w:rPr>
          <w:sz w:val="16"/>
          <w:szCs w:val="16"/>
        </w:rPr>
        <w:t>Comenzó</w:t>
      </w:r>
      <w:r w:rsidRPr="00435F4C">
        <w:rPr>
          <w:sz w:val="16"/>
          <w:szCs w:val="16"/>
        </w:rPr>
        <w:t xml:space="preserve"> en octubre de 2014.</w:t>
      </w:r>
    </w:p>
  </w:footnote>
  <w:footnote w:id="163">
    <w:p w:rsidR="008F093A" w:rsidRPr="00E71D35" w:rsidRDefault="008F093A" w:rsidP="003E311F">
      <w:pPr>
        <w:pStyle w:val="FootnoteText"/>
        <w:rPr>
          <w:sz w:val="16"/>
          <w:szCs w:val="16"/>
        </w:rPr>
      </w:pPr>
      <w:r w:rsidRPr="003E2937">
        <w:rPr>
          <w:rStyle w:val="FootnoteReference"/>
          <w:sz w:val="16"/>
          <w:szCs w:val="16"/>
        </w:rPr>
        <w:footnoteRef/>
      </w:r>
      <w:r w:rsidRPr="00E71D35">
        <w:rPr>
          <w:sz w:val="16"/>
          <w:szCs w:val="16"/>
        </w:rPr>
        <w:t xml:space="preserve"> Comenzó en diciembre de 2014.</w:t>
      </w:r>
    </w:p>
  </w:footnote>
  <w:footnote w:id="164">
    <w:p w:rsidR="008F093A" w:rsidRPr="00E71D35" w:rsidRDefault="008F093A" w:rsidP="003E311F">
      <w:pPr>
        <w:pStyle w:val="FootnoteText"/>
        <w:rPr>
          <w:sz w:val="16"/>
          <w:szCs w:val="16"/>
        </w:rPr>
      </w:pPr>
      <w:r w:rsidRPr="003E2937">
        <w:rPr>
          <w:rStyle w:val="FootnoteReference"/>
          <w:sz w:val="16"/>
          <w:szCs w:val="16"/>
        </w:rPr>
        <w:footnoteRef/>
      </w:r>
      <w:r w:rsidRPr="00E71D35">
        <w:rPr>
          <w:sz w:val="16"/>
          <w:szCs w:val="16"/>
        </w:rPr>
        <w:t xml:space="preserve"> Comenzó en septiembre de 2014.</w:t>
      </w:r>
    </w:p>
  </w:footnote>
  <w:footnote w:id="165">
    <w:p w:rsidR="008F093A" w:rsidRPr="00386789" w:rsidRDefault="008F093A" w:rsidP="003E311F">
      <w:pPr>
        <w:pStyle w:val="FootnoteText"/>
        <w:rPr>
          <w:sz w:val="16"/>
          <w:szCs w:val="16"/>
        </w:rPr>
      </w:pPr>
      <w:r w:rsidRPr="00386789">
        <w:rPr>
          <w:rStyle w:val="FootnoteReference"/>
          <w:sz w:val="16"/>
          <w:szCs w:val="16"/>
        </w:rPr>
        <w:footnoteRef/>
      </w:r>
      <w:r w:rsidRPr="00386789">
        <w:rPr>
          <w:sz w:val="16"/>
          <w:szCs w:val="16"/>
        </w:rPr>
        <w:t xml:space="preserve"> El fondo fiduciario de México cofinanció también dos actividades en colaboración con el fondo fiduciario de España (véase más abajo).</w:t>
      </w:r>
    </w:p>
  </w:footnote>
  <w:footnote w:id="166">
    <w:p w:rsidR="008F093A" w:rsidRPr="00095A9F" w:rsidRDefault="008F093A" w:rsidP="003E311F">
      <w:pPr>
        <w:pStyle w:val="FootnoteText"/>
        <w:rPr>
          <w:sz w:val="16"/>
          <w:szCs w:val="16"/>
        </w:rPr>
      </w:pPr>
      <w:r w:rsidRPr="00FE196C">
        <w:rPr>
          <w:rStyle w:val="FootnoteReference"/>
          <w:sz w:val="16"/>
          <w:szCs w:val="16"/>
        </w:rPr>
        <w:footnoteRef/>
      </w:r>
      <w:r w:rsidRPr="00095A9F">
        <w:rPr>
          <w:sz w:val="16"/>
          <w:szCs w:val="16"/>
        </w:rPr>
        <w:t xml:space="preserve"> </w:t>
      </w:r>
      <w:r>
        <w:rPr>
          <w:sz w:val="16"/>
          <w:szCs w:val="16"/>
        </w:rPr>
        <w:t>En 2015 se cumplió el 10º Aniversario del fondo fiduciario español.  El Fondo destina su actividad al diseño, planificación y aplicación de proyectos de P.I. para la región de América Latina.  La P.I. es una herramienta que cada vez se tiene más en cuenta en el desarrollo de políticas públicas para promover la innovación, y por tanto la actividad económica en su conjunto, en beneficio de la sociedad.  En este contexto, los objetivos de la cooperación del fondo fiduciario español son i) la promoción del español como idioma tecnológico;  ii) el apoyo al fortalecimiento de las instituciones y la formación de los recursos humanos;  iii) la difusión de P.I. en las pymes y las universidades;  y iv) la modernización de las oficinas de P.I. y el intercambio de experiencias entre ellas para promover la calidad de sus servicios.</w:t>
      </w:r>
    </w:p>
  </w:footnote>
  <w:footnote w:id="167">
    <w:p w:rsidR="008F093A" w:rsidRPr="00386789" w:rsidRDefault="008F093A">
      <w:pPr>
        <w:pStyle w:val="FootnoteText"/>
        <w:rPr>
          <w:sz w:val="16"/>
          <w:szCs w:val="16"/>
        </w:rPr>
      </w:pPr>
      <w:r w:rsidRPr="005871AE">
        <w:rPr>
          <w:rStyle w:val="FootnoteReference"/>
          <w:sz w:val="16"/>
          <w:szCs w:val="16"/>
        </w:rPr>
        <w:footnoteRef/>
      </w:r>
      <w:r w:rsidRPr="00386789">
        <w:rPr>
          <w:sz w:val="16"/>
          <w:szCs w:val="16"/>
        </w:rPr>
        <w:t xml:space="preserve"> Esta actividad fue cofinanciada </w:t>
      </w:r>
      <w:r>
        <w:rPr>
          <w:sz w:val="16"/>
          <w:szCs w:val="16"/>
        </w:rPr>
        <w:t>con el fondo fiduciario de México.</w:t>
      </w:r>
    </w:p>
  </w:footnote>
  <w:footnote w:id="168">
    <w:p w:rsidR="008F093A" w:rsidRPr="005871AE" w:rsidRDefault="008F093A" w:rsidP="003E311F">
      <w:pPr>
        <w:pStyle w:val="FootnoteText"/>
        <w:rPr>
          <w:sz w:val="16"/>
          <w:szCs w:val="16"/>
        </w:rPr>
      </w:pPr>
      <w:r w:rsidRPr="005871AE">
        <w:rPr>
          <w:rStyle w:val="FootnoteReference"/>
          <w:sz w:val="16"/>
          <w:szCs w:val="16"/>
        </w:rPr>
        <w:footnoteRef/>
      </w:r>
      <w:r w:rsidRPr="005871AE">
        <w:rPr>
          <w:sz w:val="16"/>
          <w:szCs w:val="16"/>
        </w:rPr>
        <w:t xml:space="preserve"> </w:t>
      </w:r>
      <w:r w:rsidRPr="00E26DA7">
        <w:rPr>
          <w:sz w:val="16"/>
          <w:szCs w:val="16"/>
        </w:rPr>
        <w:t>Idem.</w:t>
      </w:r>
    </w:p>
  </w:footnote>
  <w:footnote w:id="169">
    <w:p w:rsidR="008F093A" w:rsidRPr="00095A9F" w:rsidRDefault="008F093A" w:rsidP="003E311F">
      <w:pPr>
        <w:pStyle w:val="FootnoteText"/>
        <w:rPr>
          <w:sz w:val="16"/>
          <w:szCs w:val="16"/>
        </w:rPr>
      </w:pPr>
      <w:r w:rsidRPr="00053B5B">
        <w:rPr>
          <w:rStyle w:val="FootnoteReference"/>
          <w:sz w:val="16"/>
          <w:szCs w:val="16"/>
        </w:rPr>
        <w:footnoteRef/>
      </w:r>
      <w:r w:rsidRPr="00095A9F">
        <w:rPr>
          <w:sz w:val="16"/>
          <w:szCs w:val="16"/>
        </w:rPr>
        <w:t xml:space="preserve"> </w:t>
      </w:r>
      <w:r>
        <w:rPr>
          <w:sz w:val="16"/>
          <w:szCs w:val="16"/>
        </w:rPr>
        <w:t>Comenzó en mayo de</w:t>
      </w:r>
      <w:r w:rsidRPr="00095A9F">
        <w:rPr>
          <w:sz w:val="16"/>
          <w:szCs w:val="16"/>
        </w:rPr>
        <w:t xml:space="preserve"> 2014</w:t>
      </w:r>
      <w:r>
        <w:rPr>
          <w:sz w:val="16"/>
          <w:szCs w:val="16"/>
        </w:rPr>
        <w:t xml:space="preserve">.  </w:t>
      </w:r>
      <w:r w:rsidRPr="00095A9F">
        <w:rPr>
          <w:sz w:val="16"/>
          <w:szCs w:val="16"/>
        </w:rPr>
        <w:t>Fecha prevista de finalización</w:t>
      </w:r>
      <w:proofErr w:type="gramStart"/>
      <w:r>
        <w:rPr>
          <w:sz w:val="16"/>
          <w:szCs w:val="16"/>
        </w:rPr>
        <w:t xml:space="preserve">:  </w:t>
      </w:r>
      <w:r w:rsidRPr="00095A9F">
        <w:rPr>
          <w:sz w:val="16"/>
          <w:szCs w:val="16"/>
        </w:rPr>
        <w:t>May</w:t>
      </w:r>
      <w:r>
        <w:rPr>
          <w:sz w:val="16"/>
          <w:szCs w:val="16"/>
        </w:rPr>
        <w:t>o</w:t>
      </w:r>
      <w:proofErr w:type="gramEnd"/>
      <w:r>
        <w:rPr>
          <w:sz w:val="16"/>
          <w:szCs w:val="16"/>
        </w:rPr>
        <w:t xml:space="preserve"> de</w:t>
      </w:r>
      <w:r w:rsidRPr="00095A9F">
        <w:rPr>
          <w:sz w:val="16"/>
          <w:szCs w:val="16"/>
        </w:rPr>
        <w:t xml:space="preserve"> 2016.</w:t>
      </w:r>
    </w:p>
  </w:footnote>
  <w:footnote w:id="170">
    <w:p w:rsidR="008F093A" w:rsidRPr="003E311F" w:rsidRDefault="008F093A" w:rsidP="00CA682E">
      <w:pPr>
        <w:pStyle w:val="FootnoteText"/>
        <w:rPr>
          <w:sz w:val="16"/>
          <w:szCs w:val="16"/>
        </w:rPr>
      </w:pPr>
      <w:r w:rsidRPr="0010212D">
        <w:rPr>
          <w:rStyle w:val="FootnoteReference"/>
          <w:sz w:val="16"/>
          <w:szCs w:val="16"/>
        </w:rPr>
        <w:footnoteRef/>
      </w:r>
      <w:r w:rsidRPr="003E311F">
        <w:rPr>
          <w:sz w:val="16"/>
          <w:szCs w:val="16"/>
        </w:rPr>
        <w:t xml:space="preserve"> http://www.wipo.int/edocs/mdocs/govbody/es/a_51/a_51_16.pdf</w:t>
      </w:r>
    </w:p>
  </w:footnote>
  <w:footnote w:id="171">
    <w:p w:rsidR="008F093A" w:rsidRPr="007A358B" w:rsidRDefault="008F093A" w:rsidP="00CA682E">
      <w:pPr>
        <w:pStyle w:val="FootnoteText"/>
        <w:rPr>
          <w:sz w:val="16"/>
          <w:szCs w:val="16"/>
        </w:rPr>
      </w:pPr>
      <w:r w:rsidRPr="0010212D">
        <w:rPr>
          <w:rStyle w:val="FootnoteReference"/>
          <w:sz w:val="16"/>
          <w:szCs w:val="16"/>
        </w:rPr>
        <w:footnoteRef/>
      </w:r>
      <w:r w:rsidRPr="007A358B">
        <w:rPr>
          <w:sz w:val="16"/>
          <w:szCs w:val="16"/>
        </w:rPr>
        <w:t xml:space="preserve"> http://www.wipo.int/edocs/mdocs/govbody/es/wo_pbc_22/wo_pbc_22_21.pdf</w:t>
      </w:r>
    </w:p>
  </w:footnote>
  <w:footnote w:id="172">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3">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Se efectuará un desglose más detallado por categoría de costo una vez finalice la evaluación de la situación y se defina en su totalidad la solución técnica necesaria.</w:t>
      </w:r>
    </w:p>
  </w:footnote>
  <w:footnote w:id="174">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5">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Dado que la selección del piloto/arquitecto finalizó en diciembre de 2015, el candidato seleccionado se incorporó durante el primer trimestre de 2016.</w:t>
      </w:r>
    </w:p>
  </w:footnote>
  <w:footnote w:id="176">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7">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8">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79">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En 2015, los gravámenes por honorarios pagaderos al arquitecto y los ingenieros ascendieron a 115.000 francos suizos </w:t>
      </w:r>
    </w:p>
  </w:footnote>
  <w:footnote w:id="180">
    <w:p w:rsidR="008F093A" w:rsidRPr="002E3193" w:rsidRDefault="008F093A" w:rsidP="00CA682E">
      <w:pPr>
        <w:pStyle w:val="FootnoteText"/>
        <w:rPr>
          <w:sz w:val="16"/>
          <w:szCs w:val="16"/>
        </w:rPr>
      </w:pPr>
      <w:r w:rsidRPr="0010212D">
        <w:rPr>
          <w:rStyle w:val="FootnoteReference"/>
          <w:sz w:val="16"/>
          <w:szCs w:val="16"/>
        </w:rPr>
        <w:footnoteRef/>
      </w:r>
      <w:r w:rsidRPr="002E3193">
        <w:rPr>
          <w:sz w:val="16"/>
          <w:szCs w:val="16"/>
        </w:rPr>
        <w:t xml:space="preserve"> Ídem</w:t>
      </w:r>
      <w:r w:rsidRPr="002E3193">
        <w:rPr>
          <w:color w:val="808080"/>
          <w:sz w:val="16"/>
          <w:szCs w:val="16"/>
        </w:rPr>
        <w:t>.</w:t>
      </w:r>
    </w:p>
  </w:footnote>
  <w:footnote w:id="181">
    <w:p w:rsidR="008F093A" w:rsidRPr="00734316" w:rsidRDefault="008F093A">
      <w:pPr>
        <w:pStyle w:val="FootnoteText"/>
      </w:pPr>
      <w:r>
        <w:rPr>
          <w:rStyle w:val="FootnoteReference"/>
        </w:rPr>
        <w:footnoteRef/>
      </w:r>
      <w:r w:rsidRPr="00734316">
        <w:t xml:space="preserve"> </w:t>
      </w:r>
      <w:r w:rsidRPr="00734316">
        <w:rPr>
          <w:sz w:val="16"/>
        </w:rPr>
        <w:t xml:space="preserve">Durante la labor preparatoria, se descubrió que la instalación inicial de las ventanas, cuando se construyó el edificio a fines de los años 1970, impedirá que </w:t>
      </w:r>
      <w:r>
        <w:rPr>
          <w:sz w:val="16"/>
        </w:rPr>
        <w:t xml:space="preserve">la extracción </w:t>
      </w:r>
      <w:r w:rsidRPr="00734316">
        <w:rPr>
          <w:sz w:val="16"/>
        </w:rPr>
        <w:t>de las ventanas, previst</w:t>
      </w:r>
      <w:r>
        <w:rPr>
          <w:sz w:val="16"/>
        </w:rPr>
        <w:t>a</w:t>
      </w:r>
      <w:r w:rsidRPr="00734316">
        <w:rPr>
          <w:sz w:val="16"/>
        </w:rPr>
        <w:t xml:space="preserve"> originalmente, ya no será una tarea </w:t>
      </w:r>
      <w:r>
        <w:rPr>
          <w:sz w:val="16"/>
        </w:rPr>
        <w:t xml:space="preserve">técnicamente </w:t>
      </w:r>
      <w:r w:rsidRPr="00734316">
        <w:rPr>
          <w:sz w:val="16"/>
        </w:rPr>
        <w:t>sencilla y sin complicaciones.</w:t>
      </w:r>
    </w:p>
  </w:footnote>
  <w:footnote w:id="182">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 w:id="183">
    <w:p w:rsidR="008F093A" w:rsidRPr="0010212D" w:rsidRDefault="008F093A" w:rsidP="00CA682E">
      <w:pPr>
        <w:pStyle w:val="FootnoteText"/>
        <w:rPr>
          <w:sz w:val="16"/>
          <w:szCs w:val="16"/>
        </w:rPr>
      </w:pPr>
      <w:r w:rsidRPr="0010212D">
        <w:rPr>
          <w:rStyle w:val="FootnoteReference"/>
          <w:sz w:val="16"/>
          <w:szCs w:val="16"/>
        </w:rPr>
        <w:footnoteRef/>
      </w:r>
      <w:r w:rsidRPr="0010212D">
        <w:rPr>
          <w:sz w:val="16"/>
          <w:szCs w:val="16"/>
        </w:rPr>
        <w:t xml:space="preserve"> </w:t>
      </w:r>
      <w:r>
        <w:rPr>
          <w:sz w:val="16"/>
          <w:szCs w:val="16"/>
        </w:rPr>
        <w:t>Cabe señalar que la columna “Gasto real hasta la fecha” de los cuadros sobre utilización de los recursos no incluye gravámenes.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Default="008F093A" w:rsidP="00020713">
    <w:pPr>
      <w:pStyle w:val="Header"/>
      <w:jc w:val="right"/>
    </w:pPr>
    <w:r>
      <w:t>WO/PBC/25/7</w:t>
    </w:r>
  </w:p>
  <w:p w:rsidR="008F093A" w:rsidRDefault="008F093A" w:rsidP="00020713">
    <w:pPr>
      <w:pStyle w:val="Header"/>
      <w:jc w:val="right"/>
      <w:rPr>
        <w:noProof/>
      </w:rPr>
    </w:pPr>
    <w:proofErr w:type="gramStart"/>
    <w:r>
      <w:t>página</w:t>
    </w:r>
    <w:proofErr w:type="gramEnd"/>
    <w:r>
      <w:t xml:space="preserve"> </w:t>
    </w:r>
    <w:r>
      <w:fldChar w:fldCharType="begin"/>
    </w:r>
    <w:r>
      <w:instrText xml:space="preserve"> PAGE   \* MERGEFORMAT </w:instrText>
    </w:r>
    <w:r>
      <w:fldChar w:fldCharType="separate"/>
    </w:r>
    <w:r w:rsidR="00F80D4E">
      <w:rPr>
        <w:noProof/>
      </w:rPr>
      <w:t>2</w:t>
    </w:r>
    <w:r>
      <w:rPr>
        <w:noProof/>
      </w:rPr>
      <w:fldChar w:fldCharType="end"/>
    </w:r>
  </w:p>
  <w:p w:rsidR="008F093A" w:rsidRDefault="008F093A" w:rsidP="0002071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Default="008F093A" w:rsidP="00477D6B">
    <w:pPr>
      <w:jc w:val="right"/>
    </w:pPr>
    <w:bookmarkStart w:id="5" w:name="Code2"/>
    <w:bookmarkEnd w:id="5"/>
    <w:r>
      <w:t>WO/PBC/25/7</w:t>
    </w:r>
  </w:p>
  <w:p w:rsidR="008F093A" w:rsidRDefault="008F093A" w:rsidP="00477D6B">
    <w:pPr>
      <w:jc w:val="right"/>
    </w:pPr>
    <w:proofErr w:type="gramStart"/>
    <w:r>
      <w:t>página</w:t>
    </w:r>
    <w:proofErr w:type="gramEnd"/>
    <w:r>
      <w:t xml:space="preserve"> </w:t>
    </w:r>
    <w:r>
      <w:fldChar w:fldCharType="begin"/>
    </w:r>
    <w:r>
      <w:instrText xml:space="preserve"> PAGE  \* MERGEFORMAT </w:instrText>
    </w:r>
    <w:r>
      <w:fldChar w:fldCharType="separate"/>
    </w:r>
    <w:r>
      <w:rPr>
        <w:noProof/>
      </w:rPr>
      <w:t>1</w:t>
    </w:r>
    <w:r>
      <w:fldChar w:fldCharType="end"/>
    </w:r>
  </w:p>
  <w:p w:rsidR="008F093A" w:rsidRDefault="008F093A"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B26D73" w:rsidRDefault="008F093A">
    <w:pPr>
      <w:pStyle w:val="Header"/>
      <w:rPr>
        <w:b/>
        <w:sz w:val="18"/>
        <w:szCs w:val="18"/>
      </w:rPr>
    </w:pPr>
    <w:r w:rsidRPr="00B26D73">
      <w:rPr>
        <w:b/>
        <w:sz w:val="18"/>
        <w:szCs w:val="18"/>
      </w:rPr>
      <w:t>Informe sobre el rendimiento de los programas en 2014/15</w:t>
    </w:r>
  </w:p>
  <w:p w:rsidR="008F093A" w:rsidRPr="00B26D73" w:rsidRDefault="008F093A">
    <w:pPr>
      <w:pStyle w:val="Header"/>
      <w:rPr>
        <w:b/>
        <w:sz w:val="18"/>
        <w:szCs w:val="18"/>
      </w:rPr>
    </w:pPr>
  </w:p>
  <w:p w:rsidR="008F093A" w:rsidRPr="00B26D73" w:rsidRDefault="008F093A">
    <w:pPr>
      <w:pStyle w:val="Head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B26D73" w:rsidRDefault="008F093A" w:rsidP="00477D6B">
    <w:pPr>
      <w:jc w:val="right"/>
      <w:rPr>
        <w:b/>
        <w:sz w:val="18"/>
        <w:szCs w:val="18"/>
      </w:rPr>
    </w:pPr>
    <w:r w:rsidRPr="002803A3">
      <w:rPr>
        <w:b/>
        <w:sz w:val="18"/>
      </w:rPr>
      <w:t>Informe sobre el rendimiento de los programas en</w:t>
    </w:r>
    <w:r>
      <w:rPr>
        <w:b/>
        <w:sz w:val="18"/>
      </w:rPr>
      <w:t xml:space="preserve"> </w:t>
    </w:r>
    <w:r w:rsidRPr="002803A3">
      <w:rPr>
        <w:b/>
        <w:sz w:val="18"/>
      </w:rPr>
      <w:t>2014/</w:t>
    </w:r>
    <w:r w:rsidRPr="00B26D73">
      <w:rPr>
        <w:b/>
        <w:sz w:val="18"/>
        <w:szCs w:val="18"/>
      </w:rPr>
      <w:t>15</w:t>
    </w:r>
  </w:p>
  <w:p w:rsidR="008F093A" w:rsidRPr="00B26D73" w:rsidRDefault="008F093A" w:rsidP="00477D6B">
    <w:pPr>
      <w:jc w:val="right"/>
      <w:rPr>
        <w:sz w:val="18"/>
        <w:szCs w:val="18"/>
      </w:rPr>
    </w:pPr>
  </w:p>
  <w:p w:rsidR="008F093A" w:rsidRPr="00B26D73" w:rsidRDefault="008F093A" w:rsidP="00477D6B">
    <w:pPr>
      <w:jc w:val="right"/>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Default="008F093A">
    <w:pPr>
      <w:pStyle w:val="Header"/>
    </w:pPr>
  </w:p>
  <w:p w:rsidR="008F093A" w:rsidRDefault="008F09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B26D73" w:rsidRDefault="008F093A">
    <w:pPr>
      <w:pStyle w:val="Header"/>
      <w:rPr>
        <w:b/>
        <w:sz w:val="18"/>
        <w:szCs w:val="18"/>
      </w:rPr>
    </w:pPr>
    <w:r w:rsidRPr="00B26D73">
      <w:rPr>
        <w:b/>
        <w:sz w:val="18"/>
        <w:szCs w:val="18"/>
      </w:rPr>
      <w:t>Informe sobre el rendimiento de los programas en 2014/15</w:t>
    </w:r>
  </w:p>
  <w:p w:rsidR="008F093A" w:rsidRPr="00C25E4B" w:rsidRDefault="008F093A">
    <w:pPr>
      <w:pStyle w:val="Header"/>
      <w:rPr>
        <w:b/>
        <w:sz w:val="18"/>
        <w:szCs w:val="18"/>
      </w:rPr>
    </w:pPr>
    <w:r>
      <w:rPr>
        <w:b/>
        <w:sz w:val="18"/>
        <w:szCs w:val="18"/>
      </w:rPr>
      <w:t>Apéndices</w:t>
    </w:r>
  </w:p>
  <w:p w:rsidR="008F093A" w:rsidRPr="002937CB" w:rsidRDefault="008F093A">
    <w:pPr>
      <w:pStyle w:val="Header"/>
      <w:rPr>
        <w:sz w:val="18"/>
        <w:szCs w:val="18"/>
      </w:rPr>
    </w:pPr>
  </w:p>
  <w:p w:rsidR="008F093A" w:rsidRPr="002937CB" w:rsidRDefault="008F093A">
    <w:pP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2707C1" w:rsidRDefault="008F093A" w:rsidP="002707C1">
    <w:pPr>
      <w:jc w:val="right"/>
      <w:rPr>
        <w:b/>
        <w:sz w:val="18"/>
        <w:szCs w:val="18"/>
      </w:rPr>
    </w:pPr>
    <w:r w:rsidRPr="002707C1">
      <w:rPr>
        <w:b/>
        <w:sz w:val="18"/>
        <w:szCs w:val="18"/>
      </w:rPr>
      <w:t>Informe sobre el rendimiento de los programas en 2014/15</w:t>
    </w:r>
  </w:p>
  <w:p w:rsidR="008F093A" w:rsidRPr="002707C1" w:rsidRDefault="008F093A" w:rsidP="002707C1">
    <w:pPr>
      <w:jc w:val="right"/>
      <w:rPr>
        <w:b/>
        <w:sz w:val="18"/>
        <w:szCs w:val="18"/>
      </w:rPr>
    </w:pPr>
    <w:r w:rsidRPr="002707C1">
      <w:rPr>
        <w:b/>
        <w:sz w:val="18"/>
        <w:szCs w:val="18"/>
      </w:rPr>
      <w:t>Apéndices</w:t>
    </w:r>
  </w:p>
  <w:p w:rsidR="008F093A" w:rsidRPr="00D76DEE" w:rsidRDefault="008F093A" w:rsidP="002707C1">
    <w:pPr>
      <w:jc w:val="right"/>
      <w:rPr>
        <w:sz w:val="18"/>
        <w:szCs w:val="18"/>
      </w:rPr>
    </w:pPr>
  </w:p>
  <w:p w:rsidR="008F093A" w:rsidRPr="00D76DEE" w:rsidRDefault="008F093A" w:rsidP="002937CB">
    <w:pPr>
      <w:jc w:val="right"/>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93A" w:rsidRPr="00C25E4B" w:rsidRDefault="008F093A" w:rsidP="00C25E4B">
    <w:pPr>
      <w:jc w:val="right"/>
      <w:rPr>
        <w:b/>
        <w:sz w:val="18"/>
        <w:szCs w:val="18"/>
      </w:rPr>
    </w:pPr>
    <w:r w:rsidRPr="002803A3">
      <w:rPr>
        <w:b/>
        <w:sz w:val="18"/>
      </w:rPr>
      <w:t xml:space="preserve">Informe sobre el </w:t>
    </w:r>
    <w:r w:rsidRPr="00C25E4B">
      <w:rPr>
        <w:b/>
        <w:sz w:val="18"/>
        <w:szCs w:val="18"/>
      </w:rPr>
      <w:t>rendimiento de los programas en 2014/15</w:t>
    </w:r>
  </w:p>
  <w:p w:rsidR="008F093A" w:rsidRDefault="008F093A" w:rsidP="00C25E4B">
    <w:pPr>
      <w:jc w:val="right"/>
      <w:rPr>
        <w:b/>
        <w:sz w:val="18"/>
        <w:szCs w:val="18"/>
      </w:rPr>
    </w:pPr>
    <w:r w:rsidRPr="00C25E4B">
      <w:rPr>
        <w:b/>
        <w:sz w:val="18"/>
        <w:szCs w:val="18"/>
      </w:rPr>
      <w:t>Apéndices</w:t>
    </w:r>
  </w:p>
  <w:p w:rsidR="008F093A" w:rsidRPr="00216A2F" w:rsidRDefault="008F093A" w:rsidP="002707C1">
    <w:pPr>
      <w:jc w:val="right"/>
      <w:rPr>
        <w:b/>
        <w:sz w:val="18"/>
        <w:szCs w:val="18"/>
      </w:rPr>
    </w:pPr>
  </w:p>
  <w:p w:rsidR="008F093A" w:rsidRPr="00216A2F" w:rsidRDefault="008F093A" w:rsidP="002937CB">
    <w:pP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04F7"/>
    <w:multiLevelType w:val="hybridMultilevel"/>
    <w:tmpl w:val="610EE6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9A214F"/>
    <w:multiLevelType w:val="hybridMultilevel"/>
    <w:tmpl w:val="F65A85A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232E6D"/>
    <w:multiLevelType w:val="hybridMultilevel"/>
    <w:tmpl w:val="B328B0E2"/>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325E3F"/>
    <w:multiLevelType w:val="hybridMultilevel"/>
    <w:tmpl w:val="D6B2F2C6"/>
    <w:lvl w:ilvl="0" w:tplc="2D4AE1C4">
      <w:start w:val="1"/>
      <w:numFmt w:val="bullet"/>
      <w:lvlText w:val="-"/>
      <w:lvlJc w:val="left"/>
      <w:pPr>
        <w:ind w:left="384" w:hanging="360"/>
      </w:pPr>
      <w:rPr>
        <w:rFonts w:ascii="Courier New" w:hAnsi="Courier New"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4">
    <w:nsid w:val="079B6BCD"/>
    <w:multiLevelType w:val="hybridMultilevel"/>
    <w:tmpl w:val="E32E1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F20D78"/>
    <w:multiLevelType w:val="hybridMultilevel"/>
    <w:tmpl w:val="53287F90"/>
    <w:lvl w:ilvl="0" w:tplc="223EE79E">
      <w:start w:val="1"/>
      <w:numFmt w:val="decimal"/>
      <w:lvlText w:val="29.%1"/>
      <w:lvlJc w:val="left"/>
      <w:pPr>
        <w:ind w:left="4613" w:hanging="360"/>
      </w:pPr>
      <w:rPr>
        <w:rFonts w:hint="default"/>
      </w:rPr>
    </w:lvl>
    <w:lvl w:ilvl="1" w:tplc="04090019" w:tentative="1">
      <w:start w:val="1"/>
      <w:numFmt w:val="lowerLetter"/>
      <w:lvlText w:val="%2."/>
      <w:lvlJc w:val="left"/>
      <w:pPr>
        <w:ind w:left="5333" w:hanging="360"/>
      </w:pPr>
    </w:lvl>
    <w:lvl w:ilvl="2" w:tplc="0409001B" w:tentative="1">
      <w:start w:val="1"/>
      <w:numFmt w:val="lowerRoman"/>
      <w:lvlText w:val="%3."/>
      <w:lvlJc w:val="right"/>
      <w:pPr>
        <w:ind w:left="6053" w:hanging="180"/>
      </w:pPr>
    </w:lvl>
    <w:lvl w:ilvl="3" w:tplc="0409000F" w:tentative="1">
      <w:start w:val="1"/>
      <w:numFmt w:val="decimal"/>
      <w:lvlText w:val="%4."/>
      <w:lvlJc w:val="left"/>
      <w:pPr>
        <w:ind w:left="6773" w:hanging="360"/>
      </w:pPr>
    </w:lvl>
    <w:lvl w:ilvl="4" w:tplc="04090019" w:tentative="1">
      <w:start w:val="1"/>
      <w:numFmt w:val="lowerLetter"/>
      <w:lvlText w:val="%5."/>
      <w:lvlJc w:val="left"/>
      <w:pPr>
        <w:ind w:left="7493" w:hanging="360"/>
      </w:pPr>
    </w:lvl>
    <w:lvl w:ilvl="5" w:tplc="0409001B" w:tentative="1">
      <w:start w:val="1"/>
      <w:numFmt w:val="lowerRoman"/>
      <w:lvlText w:val="%6."/>
      <w:lvlJc w:val="right"/>
      <w:pPr>
        <w:ind w:left="8213" w:hanging="180"/>
      </w:pPr>
    </w:lvl>
    <w:lvl w:ilvl="6" w:tplc="0409000F" w:tentative="1">
      <w:start w:val="1"/>
      <w:numFmt w:val="decimal"/>
      <w:lvlText w:val="%7."/>
      <w:lvlJc w:val="left"/>
      <w:pPr>
        <w:ind w:left="8933" w:hanging="360"/>
      </w:pPr>
    </w:lvl>
    <w:lvl w:ilvl="7" w:tplc="04090019" w:tentative="1">
      <w:start w:val="1"/>
      <w:numFmt w:val="lowerLetter"/>
      <w:lvlText w:val="%8."/>
      <w:lvlJc w:val="left"/>
      <w:pPr>
        <w:ind w:left="9653" w:hanging="360"/>
      </w:pPr>
    </w:lvl>
    <w:lvl w:ilvl="8" w:tplc="0409001B" w:tentative="1">
      <w:start w:val="1"/>
      <w:numFmt w:val="lowerRoman"/>
      <w:lvlText w:val="%9."/>
      <w:lvlJc w:val="right"/>
      <w:pPr>
        <w:ind w:left="10373" w:hanging="180"/>
      </w:pPr>
    </w:lvl>
  </w:abstractNum>
  <w:abstractNum w:abstractNumId="6">
    <w:nsid w:val="082B0061"/>
    <w:multiLevelType w:val="hybridMultilevel"/>
    <w:tmpl w:val="4970A34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8362B6D"/>
    <w:multiLevelType w:val="hybridMultilevel"/>
    <w:tmpl w:val="74347372"/>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09BB7A06"/>
    <w:multiLevelType w:val="hybridMultilevel"/>
    <w:tmpl w:val="339EACD6"/>
    <w:lvl w:ilvl="0" w:tplc="04090001">
      <w:start w:val="1"/>
      <w:numFmt w:val="bullet"/>
      <w:lvlText w:val=""/>
      <w:lvlJc w:val="left"/>
      <w:pPr>
        <w:ind w:left="910" w:hanging="360"/>
      </w:pPr>
      <w:rPr>
        <w:rFonts w:ascii="Symbol" w:hAnsi="Symbol" w:hint="default"/>
      </w:rPr>
    </w:lvl>
    <w:lvl w:ilvl="1" w:tplc="04090003" w:tentative="1">
      <w:start w:val="1"/>
      <w:numFmt w:val="bullet"/>
      <w:lvlText w:val="o"/>
      <w:lvlJc w:val="left"/>
      <w:pPr>
        <w:ind w:left="1630" w:hanging="360"/>
      </w:pPr>
      <w:rPr>
        <w:rFonts w:ascii="Courier New" w:hAnsi="Courier New" w:cs="Courier New" w:hint="default"/>
      </w:rPr>
    </w:lvl>
    <w:lvl w:ilvl="2" w:tplc="04090005" w:tentative="1">
      <w:start w:val="1"/>
      <w:numFmt w:val="bullet"/>
      <w:lvlText w:val=""/>
      <w:lvlJc w:val="left"/>
      <w:pPr>
        <w:ind w:left="2350" w:hanging="360"/>
      </w:pPr>
      <w:rPr>
        <w:rFonts w:ascii="Wingdings" w:hAnsi="Wingdings" w:hint="default"/>
      </w:rPr>
    </w:lvl>
    <w:lvl w:ilvl="3" w:tplc="04090001" w:tentative="1">
      <w:start w:val="1"/>
      <w:numFmt w:val="bullet"/>
      <w:lvlText w:val=""/>
      <w:lvlJc w:val="left"/>
      <w:pPr>
        <w:ind w:left="3070" w:hanging="360"/>
      </w:pPr>
      <w:rPr>
        <w:rFonts w:ascii="Symbol" w:hAnsi="Symbol" w:hint="default"/>
      </w:rPr>
    </w:lvl>
    <w:lvl w:ilvl="4" w:tplc="04090003" w:tentative="1">
      <w:start w:val="1"/>
      <w:numFmt w:val="bullet"/>
      <w:lvlText w:val="o"/>
      <w:lvlJc w:val="left"/>
      <w:pPr>
        <w:ind w:left="3790" w:hanging="360"/>
      </w:pPr>
      <w:rPr>
        <w:rFonts w:ascii="Courier New" w:hAnsi="Courier New" w:cs="Courier New" w:hint="default"/>
      </w:rPr>
    </w:lvl>
    <w:lvl w:ilvl="5" w:tplc="04090005" w:tentative="1">
      <w:start w:val="1"/>
      <w:numFmt w:val="bullet"/>
      <w:lvlText w:val=""/>
      <w:lvlJc w:val="left"/>
      <w:pPr>
        <w:ind w:left="4510" w:hanging="360"/>
      </w:pPr>
      <w:rPr>
        <w:rFonts w:ascii="Wingdings" w:hAnsi="Wingdings" w:hint="default"/>
      </w:rPr>
    </w:lvl>
    <w:lvl w:ilvl="6" w:tplc="04090001" w:tentative="1">
      <w:start w:val="1"/>
      <w:numFmt w:val="bullet"/>
      <w:lvlText w:val=""/>
      <w:lvlJc w:val="left"/>
      <w:pPr>
        <w:ind w:left="5230" w:hanging="360"/>
      </w:pPr>
      <w:rPr>
        <w:rFonts w:ascii="Symbol" w:hAnsi="Symbol" w:hint="default"/>
      </w:rPr>
    </w:lvl>
    <w:lvl w:ilvl="7" w:tplc="04090003" w:tentative="1">
      <w:start w:val="1"/>
      <w:numFmt w:val="bullet"/>
      <w:lvlText w:val="o"/>
      <w:lvlJc w:val="left"/>
      <w:pPr>
        <w:ind w:left="5950" w:hanging="360"/>
      </w:pPr>
      <w:rPr>
        <w:rFonts w:ascii="Courier New" w:hAnsi="Courier New" w:cs="Courier New" w:hint="default"/>
      </w:rPr>
    </w:lvl>
    <w:lvl w:ilvl="8" w:tplc="04090005" w:tentative="1">
      <w:start w:val="1"/>
      <w:numFmt w:val="bullet"/>
      <w:lvlText w:val=""/>
      <w:lvlJc w:val="left"/>
      <w:pPr>
        <w:ind w:left="6670" w:hanging="360"/>
      </w:pPr>
      <w:rPr>
        <w:rFonts w:ascii="Wingdings" w:hAnsi="Wingdings" w:hint="default"/>
      </w:rPr>
    </w:lvl>
  </w:abstractNum>
  <w:abstractNum w:abstractNumId="9">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C040EF"/>
    <w:multiLevelType w:val="hybridMultilevel"/>
    <w:tmpl w:val="962A2DD4"/>
    <w:lvl w:ilvl="0" w:tplc="982C6F96">
      <w:start w:val="1"/>
      <w:numFmt w:val="decimal"/>
      <w:lvlText w:val="3.%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04629"/>
    <w:multiLevelType w:val="hybridMultilevel"/>
    <w:tmpl w:val="7ADCD922"/>
    <w:lvl w:ilvl="0" w:tplc="10C2376C">
      <w:start w:val="1"/>
      <w:numFmt w:val="lowerRoman"/>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3">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F11F0D"/>
    <w:multiLevelType w:val="hybridMultilevel"/>
    <w:tmpl w:val="0030893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633D0F"/>
    <w:multiLevelType w:val="hybridMultilevel"/>
    <w:tmpl w:val="7026025C"/>
    <w:lvl w:ilvl="0" w:tplc="B2CE14BE">
      <w:start w:val="5"/>
      <w:numFmt w:val="decimal"/>
      <w:lvlText w:val="%1."/>
      <w:lvlJc w:val="left"/>
      <w:pPr>
        <w:ind w:left="1211"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122B2A50"/>
    <w:multiLevelType w:val="hybridMultilevel"/>
    <w:tmpl w:val="649E93AE"/>
    <w:lvl w:ilvl="0" w:tplc="88408418">
      <w:start w:val="1"/>
      <w:numFmt w:val="decimal"/>
      <w:lvlText w:val="%1."/>
      <w:lvlJc w:val="left"/>
      <w:pPr>
        <w:tabs>
          <w:tab w:val="num" w:pos="709"/>
        </w:tabs>
        <w:ind w:left="142" w:firstLine="0"/>
      </w:pPr>
      <w:rPr>
        <w:rFonts w:hint="default"/>
        <w:b w:val="0"/>
        <w:bCs/>
      </w:rPr>
    </w:lvl>
    <w:lvl w:ilvl="1" w:tplc="58C0532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23F2859"/>
    <w:multiLevelType w:val="hybridMultilevel"/>
    <w:tmpl w:val="85242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2B30DEB"/>
    <w:multiLevelType w:val="hybridMultilevel"/>
    <w:tmpl w:val="78E8EB8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41F0DE2"/>
    <w:multiLevelType w:val="hybridMultilevel"/>
    <w:tmpl w:val="F094F3CA"/>
    <w:lvl w:ilvl="0" w:tplc="48ECDDD2">
      <w:start w:val="1"/>
      <w:numFmt w:val="decimal"/>
      <w:lvlText w:val="23.%1."/>
      <w:lvlJc w:val="left"/>
      <w:pPr>
        <w:ind w:left="928" w:hanging="360"/>
      </w:pPr>
      <w:rPr>
        <w:rFonts w:ascii="Arial" w:hAnsi="Arial" w:cs="Arial" w:hint="default"/>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AE7A95"/>
    <w:multiLevelType w:val="hybridMultilevel"/>
    <w:tmpl w:val="CD4430F2"/>
    <w:lvl w:ilvl="0" w:tplc="3D8C94B4">
      <w:start w:val="1"/>
      <w:numFmt w:val="decimal"/>
      <w:lvlText w:val="1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1E2E61"/>
    <w:multiLevelType w:val="hybridMultilevel"/>
    <w:tmpl w:val="122EBE00"/>
    <w:lvl w:ilvl="0" w:tplc="0A8E2F90">
      <w:start w:val="1"/>
      <w:numFmt w:val="upperRoman"/>
      <w:pStyle w:val="Heading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82D30F0"/>
    <w:multiLevelType w:val="hybridMultilevel"/>
    <w:tmpl w:val="2430CF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A3B7367"/>
    <w:multiLevelType w:val="hybridMultilevel"/>
    <w:tmpl w:val="61BE3338"/>
    <w:lvl w:ilvl="0" w:tplc="0409000F">
      <w:start w:val="1"/>
      <w:numFmt w:val="decimal"/>
      <w:lvlText w:val="%1."/>
      <w:lvlJc w:val="left"/>
      <w:pPr>
        <w:ind w:left="461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3C58AA"/>
    <w:multiLevelType w:val="hybridMultilevel"/>
    <w:tmpl w:val="AC8AD65E"/>
    <w:lvl w:ilvl="0" w:tplc="3D985CDC">
      <w:start w:val="1"/>
      <w:numFmt w:val="decimal"/>
      <w:lvlText w:val="22.%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5E683D"/>
    <w:multiLevelType w:val="hybridMultilevel"/>
    <w:tmpl w:val="54FA731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4">
    <w:nsid w:val="201213CE"/>
    <w:multiLevelType w:val="hybridMultilevel"/>
    <w:tmpl w:val="6D0E47EC"/>
    <w:lvl w:ilvl="0" w:tplc="97763274">
      <w:start w:val="1"/>
      <w:numFmt w:val="decimal"/>
      <w:lvlText w:val="28.%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3A1B2A"/>
    <w:multiLevelType w:val="hybridMultilevel"/>
    <w:tmpl w:val="45B222E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21948C6"/>
    <w:multiLevelType w:val="hybridMultilevel"/>
    <w:tmpl w:val="77C8CEBA"/>
    <w:lvl w:ilvl="0" w:tplc="6D6AF868">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893C17"/>
    <w:multiLevelType w:val="hybridMultilevel"/>
    <w:tmpl w:val="E7E269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6815950"/>
    <w:multiLevelType w:val="hybridMultilevel"/>
    <w:tmpl w:val="807EC6B4"/>
    <w:lvl w:ilvl="0" w:tplc="74043A8E">
      <w:start w:val="1"/>
      <w:numFmt w:val="decimal"/>
      <w:lvlText w:val="18.%1."/>
      <w:lvlJc w:val="left"/>
      <w:pPr>
        <w:ind w:left="36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6885FCA"/>
    <w:multiLevelType w:val="hybridMultilevel"/>
    <w:tmpl w:val="EE0CC2BC"/>
    <w:lvl w:ilvl="0" w:tplc="1AB84846">
      <w:start w:val="1"/>
      <w:numFmt w:val="decimal"/>
      <w:lvlText w:val="12.%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6A3D44"/>
    <w:multiLevelType w:val="hybridMultilevel"/>
    <w:tmpl w:val="9E909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A6D4D63"/>
    <w:multiLevelType w:val="hybridMultilevel"/>
    <w:tmpl w:val="7C0AEBB4"/>
    <w:lvl w:ilvl="0" w:tplc="D61C95E2">
      <w:start w:val="1"/>
      <w:numFmt w:val="decimal"/>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022C2D"/>
    <w:multiLevelType w:val="hybridMultilevel"/>
    <w:tmpl w:val="B5200226"/>
    <w:lvl w:ilvl="0" w:tplc="D92AB576">
      <w:start w:val="1"/>
      <w:numFmt w:val="decimal"/>
      <w:lvlText w:val="16.%1."/>
      <w:lvlJc w:val="left"/>
      <w:pPr>
        <w:ind w:left="786"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nsid w:val="2C64387E"/>
    <w:multiLevelType w:val="hybridMultilevel"/>
    <w:tmpl w:val="8252F564"/>
    <w:lvl w:ilvl="0" w:tplc="01E86E6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D2D4A83"/>
    <w:multiLevelType w:val="hybridMultilevel"/>
    <w:tmpl w:val="6C96249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DA83925"/>
    <w:multiLevelType w:val="hybridMultilevel"/>
    <w:tmpl w:val="74B82C48"/>
    <w:lvl w:ilvl="0" w:tplc="DE560E2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2F5B64AE"/>
    <w:multiLevelType w:val="hybridMultilevel"/>
    <w:tmpl w:val="4630031E"/>
    <w:lvl w:ilvl="0" w:tplc="F6547D62">
      <w:start w:val="1"/>
      <w:numFmt w:val="bullet"/>
      <w:lvlText w:val=""/>
      <w:lvlJc w:val="left"/>
      <w:pPr>
        <w:tabs>
          <w:tab w:val="num" w:pos="720"/>
        </w:tabs>
        <w:ind w:left="720" w:hanging="360"/>
      </w:pPr>
      <w:rPr>
        <w:rFonts w:ascii="Symbol" w:hAnsi="Symbol" w:hint="default"/>
        <w:lang w:val="es-E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34043C20"/>
    <w:multiLevelType w:val="hybridMultilevel"/>
    <w:tmpl w:val="D0422B68"/>
    <w:lvl w:ilvl="0" w:tplc="B1F6C150">
      <w:start w:val="1"/>
      <w:numFmt w:val="decimal"/>
      <w:lvlText w:val="24.%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D26F74"/>
    <w:multiLevelType w:val="hybridMultilevel"/>
    <w:tmpl w:val="1B62C0BC"/>
    <w:lvl w:ilvl="0" w:tplc="0C0A0001">
      <w:start w:val="1"/>
      <w:numFmt w:val="bullet"/>
      <w:lvlText w:val=""/>
      <w:lvlJc w:val="left"/>
      <w:pPr>
        <w:tabs>
          <w:tab w:val="num" w:pos="1353"/>
        </w:tabs>
        <w:ind w:left="1353"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6AE669D"/>
    <w:multiLevelType w:val="hybridMultilevel"/>
    <w:tmpl w:val="BE80B1AC"/>
    <w:lvl w:ilvl="0" w:tplc="A760BC98">
      <w:start w:val="1"/>
      <w:numFmt w:val="decimal"/>
      <w:lvlText w:val="30.%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3E717F"/>
    <w:multiLevelType w:val="hybridMultilevel"/>
    <w:tmpl w:val="22103E1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93D127D"/>
    <w:multiLevelType w:val="hybridMultilevel"/>
    <w:tmpl w:val="92F0AA30"/>
    <w:lvl w:ilvl="0" w:tplc="597C5E86">
      <w:start w:val="1"/>
      <w:numFmt w:val="decimal"/>
      <w:lvlText w:val="20.%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993A49"/>
    <w:multiLevelType w:val="hybridMultilevel"/>
    <w:tmpl w:val="AA5657BA"/>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2">
    <w:nsid w:val="3B9C7EF3"/>
    <w:multiLevelType w:val="hybridMultilevel"/>
    <w:tmpl w:val="BE26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C0307F0"/>
    <w:multiLevelType w:val="hybridMultilevel"/>
    <w:tmpl w:val="BAAC03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3D00797F"/>
    <w:multiLevelType w:val="hybridMultilevel"/>
    <w:tmpl w:val="DB68A52E"/>
    <w:lvl w:ilvl="0" w:tplc="7B0E38C2">
      <w:start w:val="1"/>
      <w:numFmt w:val="lowerRoman"/>
      <w:lvlText w:val="%1)"/>
      <w:lvlJc w:val="left"/>
      <w:pPr>
        <w:ind w:left="720" w:hanging="72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D787645"/>
    <w:multiLevelType w:val="hybridMultilevel"/>
    <w:tmpl w:val="0444E7C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FB24D1A"/>
    <w:multiLevelType w:val="hybridMultilevel"/>
    <w:tmpl w:val="171A8C36"/>
    <w:lvl w:ilvl="0" w:tplc="DE4A5C86">
      <w:start w:val="7"/>
      <w:numFmt w:val="bullet"/>
      <w:lvlText w:val="-"/>
      <w:lvlJc w:val="left"/>
      <w:pPr>
        <w:ind w:left="533" w:hanging="360"/>
      </w:pPr>
      <w:rPr>
        <w:rFonts w:ascii="Arial" w:eastAsia="Times New Roman" w:hAnsi="Arial" w:cs="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67">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00958DF"/>
    <w:multiLevelType w:val="hybridMultilevel"/>
    <w:tmpl w:val="998281DE"/>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44DE445F"/>
    <w:multiLevelType w:val="hybridMultilevel"/>
    <w:tmpl w:val="2E92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0F0827"/>
    <w:multiLevelType w:val="hybridMultilevel"/>
    <w:tmpl w:val="4B58F35E"/>
    <w:lvl w:ilvl="0" w:tplc="01F67F9A">
      <w:start w:val="1"/>
      <w:numFmt w:val="decimal"/>
      <w:lvlText w:val="5.%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A3213F3"/>
    <w:multiLevelType w:val="hybridMultilevel"/>
    <w:tmpl w:val="C9C662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AEF69E5"/>
    <w:multiLevelType w:val="hybridMultilevel"/>
    <w:tmpl w:val="2DEC4222"/>
    <w:lvl w:ilvl="0" w:tplc="BA144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B025F33"/>
    <w:multiLevelType w:val="hybridMultilevel"/>
    <w:tmpl w:val="D8B67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9548F6"/>
    <w:multiLevelType w:val="hybridMultilevel"/>
    <w:tmpl w:val="AF32AE5C"/>
    <w:lvl w:ilvl="0" w:tplc="82DA63D8">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CED5FCF"/>
    <w:multiLevelType w:val="hybridMultilevel"/>
    <w:tmpl w:val="D960B3DA"/>
    <w:lvl w:ilvl="0" w:tplc="D22C8A48">
      <w:start w:val="1"/>
      <w:numFmt w:val="decimal"/>
      <w:lvlText w:val="11.%1."/>
      <w:lvlJc w:val="left"/>
      <w:pPr>
        <w:ind w:left="6173"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2">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55707975"/>
    <w:multiLevelType w:val="hybridMultilevel"/>
    <w:tmpl w:val="91FAA220"/>
    <w:lvl w:ilvl="0" w:tplc="22B84796">
      <w:start w:val="20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641547C"/>
    <w:multiLevelType w:val="hybridMultilevel"/>
    <w:tmpl w:val="939C39E4"/>
    <w:lvl w:ilvl="0" w:tplc="E4FC18EC">
      <w:start w:val="1"/>
      <w:numFmt w:val="decimal"/>
      <w:lvlText w:val="19.%1."/>
      <w:lvlJc w:val="left"/>
      <w:pPr>
        <w:ind w:left="163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6F411C0"/>
    <w:multiLevelType w:val="hybridMultilevel"/>
    <w:tmpl w:val="F032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370B29"/>
    <w:multiLevelType w:val="hybridMultilevel"/>
    <w:tmpl w:val="208604A8"/>
    <w:lvl w:ilvl="0" w:tplc="9FF03A6E">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A232C8B"/>
    <w:multiLevelType w:val="hybridMultilevel"/>
    <w:tmpl w:val="6A5812B8"/>
    <w:lvl w:ilvl="0" w:tplc="75FA6534">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C16756D"/>
    <w:multiLevelType w:val="hybridMultilevel"/>
    <w:tmpl w:val="6CB6133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D123CD6"/>
    <w:multiLevelType w:val="hybridMultilevel"/>
    <w:tmpl w:val="5C104AD8"/>
    <w:lvl w:ilvl="0" w:tplc="87009630">
      <w:start w:val="6"/>
      <w:numFmt w:val="bullet"/>
      <w:lvlText w:val="-"/>
      <w:lvlJc w:val="left"/>
      <w:pPr>
        <w:ind w:left="731" w:hanging="360"/>
      </w:pPr>
      <w:rPr>
        <w:rFonts w:ascii="Arial" w:eastAsia="Times New Roman" w:hAnsi="Arial" w:cs="Aria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93">
    <w:nsid w:val="5D80317F"/>
    <w:multiLevelType w:val="hybridMultilevel"/>
    <w:tmpl w:val="1D06B1D4"/>
    <w:lvl w:ilvl="0" w:tplc="A8CE5B4A">
      <w:start w:val="7"/>
      <w:numFmt w:val="decimal"/>
      <w:lvlText w:val="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5E274D19"/>
    <w:multiLevelType w:val="hybridMultilevel"/>
    <w:tmpl w:val="42C60096"/>
    <w:lvl w:ilvl="0" w:tplc="2A984D40">
      <w:start w:val="1"/>
      <w:numFmt w:val="decimal"/>
      <w:lvlText w:val="4.%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5">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4055856"/>
    <w:multiLevelType w:val="hybridMultilevel"/>
    <w:tmpl w:val="DB52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71966A3"/>
    <w:multiLevelType w:val="hybridMultilevel"/>
    <w:tmpl w:val="FD984FA8"/>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677D720E"/>
    <w:multiLevelType w:val="hybridMultilevel"/>
    <w:tmpl w:val="656AF4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68321D13"/>
    <w:multiLevelType w:val="hybridMultilevel"/>
    <w:tmpl w:val="C0CCE232"/>
    <w:lvl w:ilvl="0" w:tplc="A250513C">
      <w:start w:val="1"/>
      <w:numFmt w:val="decimal"/>
      <w:lvlText w:val="31.%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938645E"/>
    <w:multiLevelType w:val="multilevel"/>
    <w:tmpl w:val="D9FAEA6C"/>
    <w:lvl w:ilvl="0">
      <w:start w:val="70"/>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5">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B643B61"/>
    <w:multiLevelType w:val="hybridMultilevel"/>
    <w:tmpl w:val="EB2C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BAE3F18"/>
    <w:multiLevelType w:val="hybridMultilevel"/>
    <w:tmpl w:val="180A8A3A"/>
    <w:lvl w:ilvl="0" w:tplc="3342BADC">
      <w:start w:val="1"/>
      <w:numFmt w:val="decimal"/>
      <w:lvlText w:val="25.%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1146A48"/>
    <w:multiLevelType w:val="hybridMultilevel"/>
    <w:tmpl w:val="32DC7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nsid w:val="72475227"/>
    <w:multiLevelType w:val="hybridMultilevel"/>
    <w:tmpl w:val="BEF8ACD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14">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4397032"/>
    <w:multiLevelType w:val="hybridMultilevel"/>
    <w:tmpl w:val="CE3EC29C"/>
    <w:lvl w:ilvl="0" w:tplc="92A6757A">
      <w:start w:val="1"/>
      <w:numFmt w:val="decimal"/>
      <w:lvlText w:val="6.%1."/>
      <w:lvlJc w:val="left"/>
      <w:pPr>
        <w:ind w:left="810" w:hanging="360"/>
      </w:pPr>
      <w:rPr>
        <w:rFonts w:ascii="Arial" w:hAnsi="Arial" w:cs="Arial" w:hint="default"/>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7">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588458B"/>
    <w:multiLevelType w:val="multilevel"/>
    <w:tmpl w:val="305C8AE8"/>
    <w:lvl w:ilvl="0">
      <w:start w:val="9"/>
      <w:numFmt w:val="decimal"/>
      <w:lvlText w:val="%1."/>
      <w:lvlJc w:val="left"/>
      <w:pPr>
        <w:ind w:left="360" w:hanging="360"/>
      </w:pPr>
      <w:rPr>
        <w:rFonts w:hint="default"/>
      </w:rPr>
    </w:lvl>
    <w:lvl w:ilvl="1">
      <w:start w:val="1"/>
      <w:numFmt w:val="decimal"/>
      <w:lvlText w:val="%1.%2."/>
      <w:lvlJc w:val="left"/>
      <w:pPr>
        <w:ind w:left="0" w:firstLine="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nsid w:val="75D11C28"/>
    <w:multiLevelType w:val="multilevel"/>
    <w:tmpl w:val="16B6A0AC"/>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eastAsia="Times New Roman"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0">
    <w:nsid w:val="769221F0"/>
    <w:multiLevelType w:val="hybridMultilevel"/>
    <w:tmpl w:val="7D6E639C"/>
    <w:lvl w:ilvl="0" w:tplc="C108D220">
      <w:start w:val="1"/>
      <w:numFmt w:val="decimal"/>
      <w:lvlText w:val="2.%1."/>
      <w:lvlJc w:val="left"/>
      <w:pPr>
        <w:ind w:left="720" w:hanging="360"/>
      </w:pPr>
      <w:rPr>
        <w:rFonts w:hint="default"/>
        <w:lang w:val="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7054D63"/>
    <w:multiLevelType w:val="hybridMultilevel"/>
    <w:tmpl w:val="0002C35E"/>
    <w:lvl w:ilvl="0" w:tplc="717C3A64">
      <w:start w:val="1"/>
      <w:numFmt w:val="decimal"/>
      <w:lvlText w:val="27.%1."/>
      <w:lvlJc w:val="left"/>
      <w:pPr>
        <w:ind w:left="644"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77850D78"/>
    <w:multiLevelType w:val="hybridMultilevel"/>
    <w:tmpl w:val="87B0E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78A5226F"/>
    <w:multiLevelType w:val="hybridMultilevel"/>
    <w:tmpl w:val="8EE4259C"/>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A9C0334"/>
    <w:multiLevelType w:val="hybridMultilevel"/>
    <w:tmpl w:val="8AA8C8DE"/>
    <w:lvl w:ilvl="0" w:tplc="29AAD54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7B9F54BC"/>
    <w:multiLevelType w:val="hybridMultilevel"/>
    <w:tmpl w:val="79AA0386"/>
    <w:lvl w:ilvl="0" w:tplc="24621A76">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BEA236F"/>
    <w:multiLevelType w:val="hybridMultilevel"/>
    <w:tmpl w:val="B7DC0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C226849"/>
    <w:multiLevelType w:val="hybridMultilevel"/>
    <w:tmpl w:val="662656A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C2F76DB"/>
    <w:multiLevelType w:val="hybridMultilevel"/>
    <w:tmpl w:val="16CE34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D916864"/>
    <w:multiLevelType w:val="hybridMultilevel"/>
    <w:tmpl w:val="2D3EFF02"/>
    <w:lvl w:ilvl="0" w:tplc="B3C03EE4">
      <w:start w:val="1"/>
      <w:numFmt w:val="decimal"/>
      <w:lvlText w:val="10.%1."/>
      <w:lvlJc w:val="left"/>
      <w:pPr>
        <w:ind w:left="3960" w:hanging="360"/>
      </w:pPr>
      <w:rPr>
        <w:rFonts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2">
    <w:nsid w:val="7E0549AC"/>
    <w:multiLevelType w:val="hybridMultilevel"/>
    <w:tmpl w:val="220EC26C"/>
    <w:lvl w:ilvl="0" w:tplc="04090001">
      <w:start w:val="1"/>
      <w:numFmt w:val="bullet"/>
      <w:lvlText w:val=""/>
      <w:lvlJc w:val="left"/>
      <w:pPr>
        <w:ind w:left="892" w:hanging="360"/>
      </w:pPr>
      <w:rPr>
        <w:rFonts w:ascii="Symbol" w:hAnsi="Symbol"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33">
    <w:nsid w:val="7E8D34AF"/>
    <w:multiLevelType w:val="hybridMultilevel"/>
    <w:tmpl w:val="3BF46F1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0"/>
  </w:num>
  <w:num w:numId="2">
    <w:abstractNumId w:val="33"/>
  </w:num>
  <w:num w:numId="3">
    <w:abstractNumId w:val="23"/>
  </w:num>
  <w:num w:numId="4">
    <w:abstractNumId w:val="97"/>
  </w:num>
  <w:num w:numId="5">
    <w:abstractNumId w:val="113"/>
  </w:num>
  <w:num w:numId="6">
    <w:abstractNumId w:val="104"/>
  </w:num>
  <w:num w:numId="7">
    <w:abstractNumId w:val="117"/>
  </w:num>
  <w:num w:numId="8">
    <w:abstractNumId w:val="111"/>
  </w:num>
  <w:num w:numId="9">
    <w:abstractNumId w:val="46"/>
  </w:num>
  <w:num w:numId="10">
    <w:abstractNumId w:val="45"/>
  </w:num>
  <w:num w:numId="11">
    <w:abstractNumId w:val="120"/>
  </w:num>
  <w:num w:numId="12">
    <w:abstractNumId w:val="93"/>
  </w:num>
  <w:num w:numId="13">
    <w:abstractNumId w:val="52"/>
  </w:num>
  <w:num w:numId="14">
    <w:abstractNumId w:val="11"/>
  </w:num>
  <w:num w:numId="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9"/>
  </w:num>
  <w:num w:numId="17">
    <w:abstractNumId w:val="72"/>
  </w:num>
  <w:num w:numId="18">
    <w:abstractNumId w:val="76"/>
  </w:num>
  <w:num w:numId="19">
    <w:abstractNumId w:val="54"/>
  </w:num>
  <w:num w:numId="20">
    <w:abstractNumId w:val="96"/>
  </w:num>
  <w:num w:numId="21">
    <w:abstractNumId w:val="16"/>
  </w:num>
  <w:num w:numId="22">
    <w:abstractNumId w:val="105"/>
  </w:num>
  <w:num w:numId="23">
    <w:abstractNumId w:val="8"/>
  </w:num>
  <w:num w:numId="24">
    <w:abstractNumId w:val="116"/>
  </w:num>
  <w:num w:numId="25">
    <w:abstractNumId w:val="31"/>
  </w:num>
  <w:num w:numId="26">
    <w:abstractNumId w:val="9"/>
  </w:num>
  <w:num w:numId="27">
    <w:abstractNumId w:val="35"/>
  </w:num>
  <w:num w:numId="28">
    <w:abstractNumId w:val="36"/>
  </w:num>
  <w:num w:numId="29">
    <w:abstractNumId w:val="27"/>
  </w:num>
  <w:num w:numId="30">
    <w:abstractNumId w:val="50"/>
  </w:num>
  <w:num w:numId="31">
    <w:abstractNumId w:val="110"/>
  </w:num>
  <w:num w:numId="32">
    <w:abstractNumId w:val="57"/>
  </w:num>
  <w:num w:numId="33">
    <w:abstractNumId w:val="115"/>
  </w:num>
  <w:num w:numId="34">
    <w:abstractNumId w:val="134"/>
  </w:num>
  <w:num w:numId="35">
    <w:abstractNumId w:val="89"/>
  </w:num>
  <w:num w:numId="36">
    <w:abstractNumId w:val="77"/>
  </w:num>
  <w:num w:numId="37">
    <w:abstractNumId w:val="17"/>
  </w:num>
  <w:num w:numId="38">
    <w:abstractNumId w:val="106"/>
  </w:num>
  <w:num w:numId="39">
    <w:abstractNumId w:val="103"/>
  </w:num>
  <w:num w:numId="40">
    <w:abstractNumId w:val="127"/>
  </w:num>
  <w:num w:numId="41">
    <w:abstractNumId w:val="41"/>
  </w:num>
  <w:num w:numId="42">
    <w:abstractNumId w:val="62"/>
  </w:num>
  <w:num w:numId="43">
    <w:abstractNumId w:val="98"/>
  </w:num>
  <w:num w:numId="44">
    <w:abstractNumId w:val="86"/>
  </w:num>
  <w:num w:numId="45">
    <w:abstractNumId w:val="123"/>
  </w:num>
  <w:num w:numId="46">
    <w:abstractNumId w:val="71"/>
  </w:num>
  <w:num w:numId="47">
    <w:abstractNumId w:val="4"/>
  </w:num>
  <w:num w:numId="48">
    <w:abstractNumId w:val="15"/>
  </w:num>
  <w:num w:numId="49">
    <w:abstractNumId w:val="37"/>
  </w:num>
  <w:num w:numId="50">
    <w:abstractNumId w:val="101"/>
  </w:num>
  <w:num w:numId="51">
    <w:abstractNumId w:val="79"/>
  </w:num>
  <w:num w:numId="52">
    <w:abstractNumId w:val="112"/>
  </w:num>
  <w:num w:numId="53">
    <w:abstractNumId w:val="118"/>
  </w:num>
  <w:num w:numId="54">
    <w:abstractNumId w:val="61"/>
  </w:num>
  <w:num w:numId="55">
    <w:abstractNumId w:val="99"/>
  </w:num>
  <w:num w:numId="56">
    <w:abstractNumId w:val="131"/>
  </w:num>
  <w:num w:numId="57">
    <w:abstractNumId w:val="7"/>
  </w:num>
  <w:num w:numId="58">
    <w:abstractNumId w:val="95"/>
  </w:num>
  <w:num w:numId="59">
    <w:abstractNumId w:val="81"/>
  </w:num>
  <w:num w:numId="60">
    <w:abstractNumId w:val="83"/>
  </w:num>
  <w:num w:numId="61">
    <w:abstractNumId w:val="75"/>
  </w:num>
  <w:num w:numId="62">
    <w:abstractNumId w:val="91"/>
  </w:num>
  <w:num w:numId="63">
    <w:abstractNumId w:val="58"/>
  </w:num>
  <w:num w:numId="64">
    <w:abstractNumId w:val="60"/>
  </w:num>
  <w:num w:numId="65">
    <w:abstractNumId w:val="19"/>
  </w:num>
  <w:num w:numId="66">
    <w:abstractNumId w:val="2"/>
  </w:num>
  <w:num w:numId="67">
    <w:abstractNumId w:val="55"/>
  </w:num>
  <w:num w:numId="68">
    <w:abstractNumId w:val="70"/>
  </w:num>
  <w:num w:numId="69">
    <w:abstractNumId w:val="133"/>
  </w:num>
  <w:num w:numId="70">
    <w:abstractNumId w:val="30"/>
  </w:num>
  <w:num w:numId="71">
    <w:abstractNumId w:val="40"/>
  </w:num>
  <w:num w:numId="72">
    <w:abstractNumId w:val="122"/>
  </w:num>
  <w:num w:numId="73">
    <w:abstractNumId w:val="43"/>
  </w:num>
  <w:num w:numId="74">
    <w:abstractNumId w:val="126"/>
  </w:num>
  <w:num w:numId="75">
    <w:abstractNumId w:val="87"/>
  </w:num>
  <w:num w:numId="76">
    <w:abstractNumId w:val="44"/>
  </w:num>
  <w:num w:numId="77">
    <w:abstractNumId w:val="92"/>
  </w:num>
  <w:num w:numId="78">
    <w:abstractNumId w:val="12"/>
  </w:num>
  <w:num w:numId="79">
    <w:abstractNumId w:val="100"/>
  </w:num>
  <w:num w:numId="80">
    <w:abstractNumId w:val="22"/>
  </w:num>
  <w:num w:numId="81">
    <w:abstractNumId w:val="3"/>
  </w:num>
  <w:num w:numId="82">
    <w:abstractNumId w:val="38"/>
  </w:num>
  <w:num w:numId="83">
    <w:abstractNumId w:val="84"/>
  </w:num>
  <w:num w:numId="84">
    <w:abstractNumId w:val="88"/>
  </w:num>
  <w:num w:numId="85">
    <w:abstractNumId w:val="39"/>
  </w:num>
  <w:num w:numId="86">
    <w:abstractNumId w:val="63"/>
  </w:num>
  <w:num w:numId="87">
    <w:abstractNumId w:val="29"/>
  </w:num>
  <w:num w:numId="88">
    <w:abstractNumId w:val="85"/>
  </w:num>
  <w:num w:numId="89">
    <w:abstractNumId w:val="124"/>
  </w:num>
  <w:num w:numId="90">
    <w:abstractNumId w:val="1"/>
  </w:num>
  <w:num w:numId="91">
    <w:abstractNumId w:val="73"/>
  </w:num>
  <w:num w:numId="92">
    <w:abstractNumId w:val="42"/>
  </w:num>
  <w:num w:numId="93">
    <w:abstractNumId w:val="69"/>
  </w:num>
  <w:num w:numId="94">
    <w:abstractNumId w:val="59"/>
  </w:num>
  <w:num w:numId="95">
    <w:abstractNumId w:val="74"/>
  </w:num>
  <w:num w:numId="96">
    <w:abstractNumId w:val="24"/>
  </w:num>
  <w:num w:numId="97">
    <w:abstractNumId w:val="102"/>
  </w:num>
  <w:num w:numId="98">
    <w:abstractNumId w:val="32"/>
  </w:num>
  <w:num w:numId="99">
    <w:abstractNumId w:val="47"/>
  </w:num>
  <w:num w:numId="100">
    <w:abstractNumId w:val="109"/>
  </w:num>
  <w:num w:numId="101">
    <w:abstractNumId w:val="108"/>
  </w:num>
  <w:num w:numId="102">
    <w:abstractNumId w:val="28"/>
  </w:num>
  <w:num w:numId="103">
    <w:abstractNumId w:val="20"/>
  </w:num>
  <w:num w:numId="104">
    <w:abstractNumId w:val="132"/>
  </w:num>
  <w:num w:numId="105">
    <w:abstractNumId w:val="14"/>
  </w:num>
  <w:num w:numId="106">
    <w:abstractNumId w:val="51"/>
  </w:num>
  <w:num w:numId="107">
    <w:abstractNumId w:val="82"/>
  </w:num>
  <w:num w:numId="108">
    <w:abstractNumId w:val="21"/>
  </w:num>
  <w:num w:numId="109">
    <w:abstractNumId w:val="53"/>
  </w:num>
  <w:num w:numId="110">
    <w:abstractNumId w:val="107"/>
  </w:num>
  <w:num w:numId="111">
    <w:abstractNumId w:val="66"/>
  </w:num>
  <w:num w:numId="112">
    <w:abstractNumId w:val="6"/>
  </w:num>
  <w:num w:numId="113">
    <w:abstractNumId w:val="0"/>
  </w:num>
  <w:num w:numId="114">
    <w:abstractNumId w:val="68"/>
  </w:num>
  <w:num w:numId="115">
    <w:abstractNumId w:val="121"/>
  </w:num>
  <w:num w:numId="116">
    <w:abstractNumId w:val="65"/>
  </w:num>
  <w:num w:numId="117">
    <w:abstractNumId w:val="49"/>
  </w:num>
  <w:num w:numId="118">
    <w:abstractNumId w:val="34"/>
  </w:num>
  <w:num w:numId="119">
    <w:abstractNumId w:val="26"/>
  </w:num>
  <w:num w:numId="120">
    <w:abstractNumId w:val="5"/>
  </w:num>
  <w:num w:numId="121">
    <w:abstractNumId w:val="125"/>
  </w:num>
  <w:num w:numId="122">
    <w:abstractNumId w:val="119"/>
  </w:num>
  <w:num w:numId="123">
    <w:abstractNumId w:val="56"/>
  </w:num>
  <w:num w:numId="124">
    <w:abstractNumId w:val="48"/>
  </w:num>
  <w:num w:numId="125">
    <w:abstractNumId w:val="67"/>
  </w:num>
  <w:num w:numId="126">
    <w:abstractNumId w:val="25"/>
  </w:num>
  <w:num w:numId="127">
    <w:abstractNumId w:val="10"/>
  </w:num>
  <w:num w:numId="128">
    <w:abstractNumId w:val="90"/>
  </w:num>
  <w:num w:numId="129">
    <w:abstractNumId w:val="13"/>
  </w:num>
  <w:num w:numId="130">
    <w:abstractNumId w:val="78"/>
  </w:num>
  <w:num w:numId="131">
    <w:abstractNumId w:val="130"/>
  </w:num>
  <w:num w:numId="132">
    <w:abstractNumId w:val="64"/>
  </w:num>
  <w:num w:numId="133">
    <w:abstractNumId w:val="128"/>
  </w:num>
  <w:num w:numId="134">
    <w:abstractNumId w:val="119"/>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35">
    <w:abstractNumId w:val="119"/>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36">
    <w:abstractNumId w:val="18"/>
  </w:num>
  <w:num w:numId="137">
    <w:abstractNumId w:val="11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9B0"/>
    <w:rsid w:val="00010686"/>
    <w:rsid w:val="00013B5C"/>
    <w:rsid w:val="00020713"/>
    <w:rsid w:val="00022991"/>
    <w:rsid w:val="00025F0F"/>
    <w:rsid w:val="00030630"/>
    <w:rsid w:val="00033210"/>
    <w:rsid w:val="00044D62"/>
    <w:rsid w:val="00044DA1"/>
    <w:rsid w:val="00052915"/>
    <w:rsid w:val="000575E9"/>
    <w:rsid w:val="000610E2"/>
    <w:rsid w:val="00061314"/>
    <w:rsid w:val="0006462C"/>
    <w:rsid w:val="00072E16"/>
    <w:rsid w:val="00073105"/>
    <w:rsid w:val="0007460F"/>
    <w:rsid w:val="00081DA8"/>
    <w:rsid w:val="00085356"/>
    <w:rsid w:val="00091D73"/>
    <w:rsid w:val="00096D64"/>
    <w:rsid w:val="000A1176"/>
    <w:rsid w:val="000A7B34"/>
    <w:rsid w:val="000B53F0"/>
    <w:rsid w:val="000B7DB0"/>
    <w:rsid w:val="000C6F77"/>
    <w:rsid w:val="000D2B1B"/>
    <w:rsid w:val="000D43F6"/>
    <w:rsid w:val="000D5101"/>
    <w:rsid w:val="000E3BB3"/>
    <w:rsid w:val="000F06D0"/>
    <w:rsid w:val="000F09B8"/>
    <w:rsid w:val="000F0E45"/>
    <w:rsid w:val="000F5E56"/>
    <w:rsid w:val="000F7345"/>
    <w:rsid w:val="0010230A"/>
    <w:rsid w:val="00106631"/>
    <w:rsid w:val="001102B0"/>
    <w:rsid w:val="00116E63"/>
    <w:rsid w:val="00117447"/>
    <w:rsid w:val="001212FD"/>
    <w:rsid w:val="00123A02"/>
    <w:rsid w:val="00124954"/>
    <w:rsid w:val="001362EE"/>
    <w:rsid w:val="001402C5"/>
    <w:rsid w:val="00152CEA"/>
    <w:rsid w:val="0016546D"/>
    <w:rsid w:val="001663DE"/>
    <w:rsid w:val="00171C8A"/>
    <w:rsid w:val="001832A6"/>
    <w:rsid w:val="001836E6"/>
    <w:rsid w:val="00194A15"/>
    <w:rsid w:val="00197920"/>
    <w:rsid w:val="001A0CD7"/>
    <w:rsid w:val="001B1AEE"/>
    <w:rsid w:val="001B204E"/>
    <w:rsid w:val="001B6C4E"/>
    <w:rsid w:val="001B7EC6"/>
    <w:rsid w:val="001C1881"/>
    <w:rsid w:val="001C19F7"/>
    <w:rsid w:val="001C282E"/>
    <w:rsid w:val="001C4C52"/>
    <w:rsid w:val="001D713A"/>
    <w:rsid w:val="001E561A"/>
    <w:rsid w:val="001F0F1A"/>
    <w:rsid w:val="001F3376"/>
    <w:rsid w:val="001F364D"/>
    <w:rsid w:val="001F3850"/>
    <w:rsid w:val="001F4714"/>
    <w:rsid w:val="001F6F86"/>
    <w:rsid w:val="001F7360"/>
    <w:rsid w:val="001F740E"/>
    <w:rsid w:val="002005BB"/>
    <w:rsid w:val="0020225E"/>
    <w:rsid w:val="00211983"/>
    <w:rsid w:val="00212829"/>
    <w:rsid w:val="00216A2F"/>
    <w:rsid w:val="00217DBF"/>
    <w:rsid w:val="00221F0B"/>
    <w:rsid w:val="00224863"/>
    <w:rsid w:val="002254BB"/>
    <w:rsid w:val="002279AC"/>
    <w:rsid w:val="0023015B"/>
    <w:rsid w:val="00230C85"/>
    <w:rsid w:val="00235CFE"/>
    <w:rsid w:val="0023753C"/>
    <w:rsid w:val="00242DDD"/>
    <w:rsid w:val="002441A5"/>
    <w:rsid w:val="0025030B"/>
    <w:rsid w:val="002522AB"/>
    <w:rsid w:val="002634C4"/>
    <w:rsid w:val="00263762"/>
    <w:rsid w:val="002640BF"/>
    <w:rsid w:val="00264980"/>
    <w:rsid w:val="002671EB"/>
    <w:rsid w:val="002707C1"/>
    <w:rsid w:val="002734A6"/>
    <w:rsid w:val="002765A1"/>
    <w:rsid w:val="00276C89"/>
    <w:rsid w:val="00285417"/>
    <w:rsid w:val="002913F7"/>
    <w:rsid w:val="002937CB"/>
    <w:rsid w:val="002964D9"/>
    <w:rsid w:val="002A52D5"/>
    <w:rsid w:val="002A7AE9"/>
    <w:rsid w:val="002B202E"/>
    <w:rsid w:val="002C5835"/>
    <w:rsid w:val="002D0ED1"/>
    <w:rsid w:val="002D601A"/>
    <w:rsid w:val="002E0F47"/>
    <w:rsid w:val="002E3193"/>
    <w:rsid w:val="002E4C74"/>
    <w:rsid w:val="002E5EBD"/>
    <w:rsid w:val="002E6163"/>
    <w:rsid w:val="002F4E68"/>
    <w:rsid w:val="002F59D5"/>
    <w:rsid w:val="002F6F3C"/>
    <w:rsid w:val="00306938"/>
    <w:rsid w:val="003070E7"/>
    <w:rsid w:val="00320578"/>
    <w:rsid w:val="00320744"/>
    <w:rsid w:val="003244B6"/>
    <w:rsid w:val="003327C4"/>
    <w:rsid w:val="00346F22"/>
    <w:rsid w:val="00354647"/>
    <w:rsid w:val="00354FB6"/>
    <w:rsid w:val="0036610D"/>
    <w:rsid w:val="00367F29"/>
    <w:rsid w:val="00377273"/>
    <w:rsid w:val="00377FD8"/>
    <w:rsid w:val="003845C1"/>
    <w:rsid w:val="00386789"/>
    <w:rsid w:val="00387287"/>
    <w:rsid w:val="00391528"/>
    <w:rsid w:val="00391B20"/>
    <w:rsid w:val="003A04BC"/>
    <w:rsid w:val="003A075B"/>
    <w:rsid w:val="003B1330"/>
    <w:rsid w:val="003B33EE"/>
    <w:rsid w:val="003C4FE0"/>
    <w:rsid w:val="003C545F"/>
    <w:rsid w:val="003E311F"/>
    <w:rsid w:val="003E48F1"/>
    <w:rsid w:val="003E6C4C"/>
    <w:rsid w:val="003F0A25"/>
    <w:rsid w:val="003F2ABD"/>
    <w:rsid w:val="003F347A"/>
    <w:rsid w:val="003F4FD4"/>
    <w:rsid w:val="003F70BF"/>
    <w:rsid w:val="00403D2C"/>
    <w:rsid w:val="0041245E"/>
    <w:rsid w:val="004224C0"/>
    <w:rsid w:val="00423E3E"/>
    <w:rsid w:val="00427AF4"/>
    <w:rsid w:val="00427C67"/>
    <w:rsid w:val="00431ECD"/>
    <w:rsid w:val="004334DE"/>
    <w:rsid w:val="004341AB"/>
    <w:rsid w:val="00435151"/>
    <w:rsid w:val="00436644"/>
    <w:rsid w:val="00445008"/>
    <w:rsid w:val="00447371"/>
    <w:rsid w:val="0045231F"/>
    <w:rsid w:val="00457F9E"/>
    <w:rsid w:val="0046015D"/>
    <w:rsid w:val="004647DA"/>
    <w:rsid w:val="004662B3"/>
    <w:rsid w:val="0046793F"/>
    <w:rsid w:val="00477808"/>
    <w:rsid w:val="00477D6B"/>
    <w:rsid w:val="00482816"/>
    <w:rsid w:val="00491BE7"/>
    <w:rsid w:val="00497281"/>
    <w:rsid w:val="004A6C37"/>
    <w:rsid w:val="004A71AB"/>
    <w:rsid w:val="004C50F9"/>
    <w:rsid w:val="004D5FE5"/>
    <w:rsid w:val="004D675E"/>
    <w:rsid w:val="004E145B"/>
    <w:rsid w:val="004E297D"/>
    <w:rsid w:val="004E335D"/>
    <w:rsid w:val="004E5843"/>
    <w:rsid w:val="004E6672"/>
    <w:rsid w:val="004F034B"/>
    <w:rsid w:val="004F719D"/>
    <w:rsid w:val="0050778F"/>
    <w:rsid w:val="005159AD"/>
    <w:rsid w:val="00521D25"/>
    <w:rsid w:val="00522969"/>
    <w:rsid w:val="00523D2E"/>
    <w:rsid w:val="00531B02"/>
    <w:rsid w:val="005332F0"/>
    <w:rsid w:val="00534A9F"/>
    <w:rsid w:val="005439FA"/>
    <w:rsid w:val="00545F60"/>
    <w:rsid w:val="0055013B"/>
    <w:rsid w:val="00552EB9"/>
    <w:rsid w:val="00553792"/>
    <w:rsid w:val="00553C52"/>
    <w:rsid w:val="00557183"/>
    <w:rsid w:val="00563065"/>
    <w:rsid w:val="005647B1"/>
    <w:rsid w:val="00571B99"/>
    <w:rsid w:val="00571FB5"/>
    <w:rsid w:val="00575F5A"/>
    <w:rsid w:val="00577332"/>
    <w:rsid w:val="00583DBE"/>
    <w:rsid w:val="005871AE"/>
    <w:rsid w:val="00592880"/>
    <w:rsid w:val="005968DC"/>
    <w:rsid w:val="005A3359"/>
    <w:rsid w:val="005A3674"/>
    <w:rsid w:val="005A3C0D"/>
    <w:rsid w:val="005B449B"/>
    <w:rsid w:val="005B5C20"/>
    <w:rsid w:val="005B7A99"/>
    <w:rsid w:val="005C708A"/>
    <w:rsid w:val="005E31E1"/>
    <w:rsid w:val="005E4BCB"/>
    <w:rsid w:val="005E5FB4"/>
    <w:rsid w:val="005E7D72"/>
    <w:rsid w:val="005F0E8E"/>
    <w:rsid w:val="005F1818"/>
    <w:rsid w:val="005F786D"/>
    <w:rsid w:val="005F7E58"/>
    <w:rsid w:val="00600ABE"/>
    <w:rsid w:val="00600C3C"/>
    <w:rsid w:val="00601AF5"/>
    <w:rsid w:val="00601F77"/>
    <w:rsid w:val="00605827"/>
    <w:rsid w:val="00612B56"/>
    <w:rsid w:val="006172D1"/>
    <w:rsid w:val="00622B91"/>
    <w:rsid w:val="006319EF"/>
    <w:rsid w:val="00635CF4"/>
    <w:rsid w:val="00637A6A"/>
    <w:rsid w:val="00640EC9"/>
    <w:rsid w:val="00644672"/>
    <w:rsid w:val="00656CD9"/>
    <w:rsid w:val="00665467"/>
    <w:rsid w:val="00675021"/>
    <w:rsid w:val="006760C1"/>
    <w:rsid w:val="0068415A"/>
    <w:rsid w:val="0068591B"/>
    <w:rsid w:val="00696204"/>
    <w:rsid w:val="006A06C6"/>
    <w:rsid w:val="006A358E"/>
    <w:rsid w:val="006A49D9"/>
    <w:rsid w:val="006B15B0"/>
    <w:rsid w:val="006B1CAE"/>
    <w:rsid w:val="006B439D"/>
    <w:rsid w:val="006B7C66"/>
    <w:rsid w:val="006C0874"/>
    <w:rsid w:val="006E0D66"/>
    <w:rsid w:val="006E408E"/>
    <w:rsid w:val="006E48FE"/>
    <w:rsid w:val="006E741C"/>
    <w:rsid w:val="0071404B"/>
    <w:rsid w:val="007224C8"/>
    <w:rsid w:val="007252A0"/>
    <w:rsid w:val="007329AC"/>
    <w:rsid w:val="00734316"/>
    <w:rsid w:val="00751675"/>
    <w:rsid w:val="00763A09"/>
    <w:rsid w:val="00765F6C"/>
    <w:rsid w:val="007771F8"/>
    <w:rsid w:val="00777FF3"/>
    <w:rsid w:val="00785404"/>
    <w:rsid w:val="00790DD3"/>
    <w:rsid w:val="007944F2"/>
    <w:rsid w:val="00794BE2"/>
    <w:rsid w:val="007A104A"/>
    <w:rsid w:val="007A358B"/>
    <w:rsid w:val="007A3DFF"/>
    <w:rsid w:val="007A3EB7"/>
    <w:rsid w:val="007A73C0"/>
    <w:rsid w:val="007B1DE4"/>
    <w:rsid w:val="007B71FE"/>
    <w:rsid w:val="007C5F41"/>
    <w:rsid w:val="007D21BF"/>
    <w:rsid w:val="007D557F"/>
    <w:rsid w:val="007D781E"/>
    <w:rsid w:val="007E1551"/>
    <w:rsid w:val="007E52A9"/>
    <w:rsid w:val="007E663E"/>
    <w:rsid w:val="007F0A8E"/>
    <w:rsid w:val="007F16A3"/>
    <w:rsid w:val="00801E65"/>
    <w:rsid w:val="00805317"/>
    <w:rsid w:val="00807DE6"/>
    <w:rsid w:val="00815082"/>
    <w:rsid w:val="00836C51"/>
    <w:rsid w:val="00865911"/>
    <w:rsid w:val="00871CBF"/>
    <w:rsid w:val="00872371"/>
    <w:rsid w:val="008764EF"/>
    <w:rsid w:val="00876FDE"/>
    <w:rsid w:val="00877647"/>
    <w:rsid w:val="008802E6"/>
    <w:rsid w:val="008827B3"/>
    <w:rsid w:val="0088395E"/>
    <w:rsid w:val="0088432B"/>
    <w:rsid w:val="008854D8"/>
    <w:rsid w:val="00887662"/>
    <w:rsid w:val="008A37B3"/>
    <w:rsid w:val="008A5245"/>
    <w:rsid w:val="008A591C"/>
    <w:rsid w:val="008A5A93"/>
    <w:rsid w:val="008B0CA7"/>
    <w:rsid w:val="008B1CDA"/>
    <w:rsid w:val="008B1E1D"/>
    <w:rsid w:val="008B2CC1"/>
    <w:rsid w:val="008C30EE"/>
    <w:rsid w:val="008C6B61"/>
    <w:rsid w:val="008D3934"/>
    <w:rsid w:val="008E6BD6"/>
    <w:rsid w:val="008F093A"/>
    <w:rsid w:val="008F7A06"/>
    <w:rsid w:val="008F7CBE"/>
    <w:rsid w:val="009025C4"/>
    <w:rsid w:val="0090731E"/>
    <w:rsid w:val="009111DF"/>
    <w:rsid w:val="00925CC6"/>
    <w:rsid w:val="00927579"/>
    <w:rsid w:val="00940E23"/>
    <w:rsid w:val="00945BAD"/>
    <w:rsid w:val="00946285"/>
    <w:rsid w:val="00952700"/>
    <w:rsid w:val="0095318C"/>
    <w:rsid w:val="00955456"/>
    <w:rsid w:val="00962522"/>
    <w:rsid w:val="009642E7"/>
    <w:rsid w:val="00966335"/>
    <w:rsid w:val="00966A22"/>
    <w:rsid w:val="00972F03"/>
    <w:rsid w:val="00976611"/>
    <w:rsid w:val="00976A34"/>
    <w:rsid w:val="00976D8A"/>
    <w:rsid w:val="00980908"/>
    <w:rsid w:val="009818DA"/>
    <w:rsid w:val="00991FD6"/>
    <w:rsid w:val="0099649E"/>
    <w:rsid w:val="009A0C8B"/>
    <w:rsid w:val="009A26F2"/>
    <w:rsid w:val="009B427C"/>
    <w:rsid w:val="009B6241"/>
    <w:rsid w:val="009C4D7F"/>
    <w:rsid w:val="009C715D"/>
    <w:rsid w:val="009D014D"/>
    <w:rsid w:val="009D2603"/>
    <w:rsid w:val="009E21EB"/>
    <w:rsid w:val="009E4D02"/>
    <w:rsid w:val="00A013AC"/>
    <w:rsid w:val="00A10255"/>
    <w:rsid w:val="00A16FC0"/>
    <w:rsid w:val="00A200C3"/>
    <w:rsid w:val="00A32C9E"/>
    <w:rsid w:val="00A40ECD"/>
    <w:rsid w:val="00A426DF"/>
    <w:rsid w:val="00A45DE5"/>
    <w:rsid w:val="00A51E37"/>
    <w:rsid w:val="00A53BE5"/>
    <w:rsid w:val="00A556A6"/>
    <w:rsid w:val="00A62586"/>
    <w:rsid w:val="00A712D3"/>
    <w:rsid w:val="00A76BB3"/>
    <w:rsid w:val="00A85E4D"/>
    <w:rsid w:val="00A93217"/>
    <w:rsid w:val="00AB4380"/>
    <w:rsid w:val="00AB613D"/>
    <w:rsid w:val="00AC0166"/>
    <w:rsid w:val="00AC067A"/>
    <w:rsid w:val="00AC0ED9"/>
    <w:rsid w:val="00AD1B58"/>
    <w:rsid w:val="00AD2971"/>
    <w:rsid w:val="00AD72C1"/>
    <w:rsid w:val="00AE71B4"/>
    <w:rsid w:val="00AE7953"/>
    <w:rsid w:val="00AE7F20"/>
    <w:rsid w:val="00AF611B"/>
    <w:rsid w:val="00B010F4"/>
    <w:rsid w:val="00B045E5"/>
    <w:rsid w:val="00B11230"/>
    <w:rsid w:val="00B11F08"/>
    <w:rsid w:val="00B26D73"/>
    <w:rsid w:val="00B341B9"/>
    <w:rsid w:val="00B573D2"/>
    <w:rsid w:val="00B65A0A"/>
    <w:rsid w:val="00B67CDC"/>
    <w:rsid w:val="00B72D36"/>
    <w:rsid w:val="00B772EB"/>
    <w:rsid w:val="00B8059D"/>
    <w:rsid w:val="00B84891"/>
    <w:rsid w:val="00B86C7F"/>
    <w:rsid w:val="00B86DF9"/>
    <w:rsid w:val="00B90D95"/>
    <w:rsid w:val="00B92C68"/>
    <w:rsid w:val="00BA6940"/>
    <w:rsid w:val="00BC047C"/>
    <w:rsid w:val="00BC05F0"/>
    <w:rsid w:val="00BC2324"/>
    <w:rsid w:val="00BC4164"/>
    <w:rsid w:val="00BD1313"/>
    <w:rsid w:val="00BD2DCC"/>
    <w:rsid w:val="00BE5A79"/>
    <w:rsid w:val="00BE5B8C"/>
    <w:rsid w:val="00BF5A44"/>
    <w:rsid w:val="00C02442"/>
    <w:rsid w:val="00C25E4B"/>
    <w:rsid w:val="00C350CD"/>
    <w:rsid w:val="00C510BD"/>
    <w:rsid w:val="00C5705E"/>
    <w:rsid w:val="00C631AD"/>
    <w:rsid w:val="00C65E58"/>
    <w:rsid w:val="00C74007"/>
    <w:rsid w:val="00C74E82"/>
    <w:rsid w:val="00C759D0"/>
    <w:rsid w:val="00C876E1"/>
    <w:rsid w:val="00C90559"/>
    <w:rsid w:val="00C9083C"/>
    <w:rsid w:val="00C93D96"/>
    <w:rsid w:val="00CA2251"/>
    <w:rsid w:val="00CA2B81"/>
    <w:rsid w:val="00CA3FFA"/>
    <w:rsid w:val="00CA607A"/>
    <w:rsid w:val="00CA60DC"/>
    <w:rsid w:val="00CA682E"/>
    <w:rsid w:val="00CB2530"/>
    <w:rsid w:val="00CC201A"/>
    <w:rsid w:val="00CC3B44"/>
    <w:rsid w:val="00CC4B01"/>
    <w:rsid w:val="00CD0095"/>
    <w:rsid w:val="00CD5A79"/>
    <w:rsid w:val="00CE5FE1"/>
    <w:rsid w:val="00CF11C7"/>
    <w:rsid w:val="00CF11D1"/>
    <w:rsid w:val="00CF7775"/>
    <w:rsid w:val="00D02BF6"/>
    <w:rsid w:val="00D1366A"/>
    <w:rsid w:val="00D17E49"/>
    <w:rsid w:val="00D22903"/>
    <w:rsid w:val="00D25674"/>
    <w:rsid w:val="00D34131"/>
    <w:rsid w:val="00D43E25"/>
    <w:rsid w:val="00D451D0"/>
    <w:rsid w:val="00D54193"/>
    <w:rsid w:val="00D56C7C"/>
    <w:rsid w:val="00D62430"/>
    <w:rsid w:val="00D71B4D"/>
    <w:rsid w:val="00D723CE"/>
    <w:rsid w:val="00D72FB9"/>
    <w:rsid w:val="00D76DEE"/>
    <w:rsid w:val="00D90289"/>
    <w:rsid w:val="00D93D55"/>
    <w:rsid w:val="00DA11AF"/>
    <w:rsid w:val="00DA28C1"/>
    <w:rsid w:val="00DA2936"/>
    <w:rsid w:val="00DA3508"/>
    <w:rsid w:val="00DB2C7F"/>
    <w:rsid w:val="00DB431E"/>
    <w:rsid w:val="00DB4459"/>
    <w:rsid w:val="00DB4480"/>
    <w:rsid w:val="00DB741A"/>
    <w:rsid w:val="00DC1333"/>
    <w:rsid w:val="00DC2D40"/>
    <w:rsid w:val="00DC4C60"/>
    <w:rsid w:val="00DC7783"/>
    <w:rsid w:val="00DD172C"/>
    <w:rsid w:val="00DD1DD9"/>
    <w:rsid w:val="00DD24B5"/>
    <w:rsid w:val="00DD5AB6"/>
    <w:rsid w:val="00DD65E7"/>
    <w:rsid w:val="00DD6D33"/>
    <w:rsid w:val="00DF1348"/>
    <w:rsid w:val="00DF2B66"/>
    <w:rsid w:val="00E0079A"/>
    <w:rsid w:val="00E020B6"/>
    <w:rsid w:val="00E046BA"/>
    <w:rsid w:val="00E11BBF"/>
    <w:rsid w:val="00E11BE1"/>
    <w:rsid w:val="00E16464"/>
    <w:rsid w:val="00E2024C"/>
    <w:rsid w:val="00E26DA7"/>
    <w:rsid w:val="00E31619"/>
    <w:rsid w:val="00E34ABF"/>
    <w:rsid w:val="00E37C27"/>
    <w:rsid w:val="00E444DA"/>
    <w:rsid w:val="00E45C84"/>
    <w:rsid w:val="00E504E5"/>
    <w:rsid w:val="00E77382"/>
    <w:rsid w:val="00E80502"/>
    <w:rsid w:val="00E92486"/>
    <w:rsid w:val="00EA25FC"/>
    <w:rsid w:val="00EA6A94"/>
    <w:rsid w:val="00EB12D2"/>
    <w:rsid w:val="00EB152E"/>
    <w:rsid w:val="00EB45DE"/>
    <w:rsid w:val="00EB7A3E"/>
    <w:rsid w:val="00EC0C5E"/>
    <w:rsid w:val="00EC2771"/>
    <w:rsid w:val="00EC401A"/>
    <w:rsid w:val="00ED0448"/>
    <w:rsid w:val="00ED4FF2"/>
    <w:rsid w:val="00ED7781"/>
    <w:rsid w:val="00EE330E"/>
    <w:rsid w:val="00EF106E"/>
    <w:rsid w:val="00EF530A"/>
    <w:rsid w:val="00EF5483"/>
    <w:rsid w:val="00EF6622"/>
    <w:rsid w:val="00F00024"/>
    <w:rsid w:val="00F0395B"/>
    <w:rsid w:val="00F16E4D"/>
    <w:rsid w:val="00F171B5"/>
    <w:rsid w:val="00F35363"/>
    <w:rsid w:val="00F41723"/>
    <w:rsid w:val="00F41D85"/>
    <w:rsid w:val="00F46605"/>
    <w:rsid w:val="00F52927"/>
    <w:rsid w:val="00F55408"/>
    <w:rsid w:val="00F638E9"/>
    <w:rsid w:val="00F66152"/>
    <w:rsid w:val="00F71118"/>
    <w:rsid w:val="00F754C4"/>
    <w:rsid w:val="00F8003C"/>
    <w:rsid w:val="00F80845"/>
    <w:rsid w:val="00F80D4E"/>
    <w:rsid w:val="00F84474"/>
    <w:rsid w:val="00F919B0"/>
    <w:rsid w:val="00F92092"/>
    <w:rsid w:val="00F92690"/>
    <w:rsid w:val="00FA0F0D"/>
    <w:rsid w:val="00FA2249"/>
    <w:rsid w:val="00FA2BC6"/>
    <w:rsid w:val="00FA35A3"/>
    <w:rsid w:val="00FA423E"/>
    <w:rsid w:val="00FB31BE"/>
    <w:rsid w:val="00FD069A"/>
    <w:rsid w:val="00FD124C"/>
    <w:rsid w:val="00FD230B"/>
    <w:rsid w:val="00FD59D1"/>
    <w:rsid w:val="00FE22B8"/>
    <w:rsid w:val="00FE45CF"/>
    <w:rsid w:val="00FF3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numPr>
        <w:numId w:val="3"/>
      </w:numPr>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rsid w:val="00A32C9E"/>
    <w:rPr>
      <w:sz w:val="18"/>
    </w:rPr>
  </w:style>
  <w:style w:type="paragraph" w:styleId="EndnoteText">
    <w:name w:val="endnote text"/>
    <w:basedOn w:val="Normal"/>
    <w:link w:val="EndnoteTextChar"/>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rsid w:val="00A32C9E"/>
    <w:pPr>
      <w:numPr>
        <w:numId w:val="1"/>
      </w:numPr>
    </w:pPr>
  </w:style>
  <w:style w:type="paragraph" w:customStyle="1" w:styleId="ONUME">
    <w:name w:val="ONUM E"/>
    <w:basedOn w:val="BodyText"/>
    <w:link w:val="ONUMEChar"/>
    <w:rsid w:val="00A32C9E"/>
  </w:style>
  <w:style w:type="paragraph" w:customStyle="1" w:styleId="ONUMFS">
    <w:name w:val="ONUM FS"/>
    <w:basedOn w:val="BodyText"/>
    <w:rsid w:val="00A32C9E"/>
    <w:pPr>
      <w:numPr>
        <w:numId w:val="2"/>
      </w:numPr>
    </w:pPr>
  </w:style>
  <w:style w:type="paragraph" w:styleId="Salutation">
    <w:name w:val="Salutation"/>
    <w:basedOn w:val="Normal"/>
    <w:next w:val="Normal"/>
    <w:link w:val="SalutationChar"/>
    <w:rsid w:val="00A32C9E"/>
  </w:style>
  <w:style w:type="paragraph" w:styleId="Signature">
    <w:name w:val="Signature"/>
    <w:basedOn w:val="Normal"/>
    <w:link w:val="SignatureChar"/>
    <w:rsid w:val="00A32C9E"/>
    <w:pPr>
      <w:ind w:left="5250"/>
    </w:pPr>
  </w:style>
  <w:style w:type="paragraph" w:customStyle="1" w:styleId="DecisionInvitingPara">
    <w:name w:val="Decision Inviting Para."/>
    <w:basedOn w:val="Normal"/>
    <w:link w:val="DecisionInvitingParaChar"/>
    <w:rsid w:val="00966335"/>
    <w:pPr>
      <w:spacing w:after="120" w:line="260" w:lineRule="exact"/>
      <w:ind w:left="5534"/>
    </w:pPr>
    <w:rPr>
      <w:rFonts w:eastAsia="Times New Roman" w:cs="Times New Roman"/>
      <w:i/>
      <w:sz w:val="20"/>
      <w:lang w:val="en-US" w:eastAsia="en-US"/>
    </w:rPr>
  </w:style>
  <w:style w:type="paragraph" w:styleId="ListParagraph">
    <w:name w:val="List Paragraph"/>
    <w:basedOn w:val="Normal"/>
    <w:uiPriority w:val="34"/>
    <w:qFormat/>
    <w:rsid w:val="00966335"/>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966335"/>
    <w:rPr>
      <w:rFonts w:ascii="Arial" w:hAnsi="Arial"/>
      <w:i/>
    </w:rPr>
  </w:style>
  <w:style w:type="character" w:customStyle="1" w:styleId="ONUMEChar">
    <w:name w:val="ONUM E Char"/>
    <w:link w:val="ONUME"/>
    <w:locked/>
    <w:rsid w:val="00966335"/>
    <w:rPr>
      <w:rFonts w:ascii="Arial" w:eastAsia="SimSun" w:hAnsi="Arial" w:cs="Arial"/>
      <w:sz w:val="22"/>
      <w:lang w:val="es-ES" w:eastAsia="zh-CN"/>
    </w:rPr>
  </w:style>
  <w:style w:type="character" w:customStyle="1" w:styleId="FooterChar">
    <w:name w:val="Footer Char"/>
    <w:basedOn w:val="DefaultParagraphFont"/>
    <w:link w:val="Footer"/>
    <w:uiPriority w:val="99"/>
    <w:rsid w:val="00B26D73"/>
    <w:rPr>
      <w:rFonts w:ascii="Arial" w:eastAsia="SimSun" w:hAnsi="Arial" w:cs="Arial"/>
      <w:sz w:val="22"/>
      <w:lang w:val="es-ES" w:eastAsia="zh-CN"/>
    </w:rPr>
  </w:style>
  <w:style w:type="character" w:styleId="FootnoteReference">
    <w:name w:val="footnote reference"/>
    <w:aliases w:val="Footnote"/>
    <w:uiPriority w:val="99"/>
    <w:rsid w:val="00A712D3"/>
    <w:rPr>
      <w:vertAlign w:val="superscript"/>
    </w:rPr>
  </w:style>
  <w:style w:type="character" w:customStyle="1" w:styleId="FootnoteTextChar">
    <w:name w:val="Footnote Text Char"/>
    <w:link w:val="FootnoteText"/>
    <w:uiPriority w:val="99"/>
    <w:locked/>
    <w:rsid w:val="00A712D3"/>
    <w:rPr>
      <w:rFonts w:ascii="Arial" w:eastAsia="SimSun" w:hAnsi="Arial" w:cs="Arial"/>
      <w:sz w:val="18"/>
      <w:lang w:val="es-ES" w:eastAsia="zh-CN"/>
    </w:rPr>
  </w:style>
  <w:style w:type="character" w:customStyle="1" w:styleId="HeaderChar">
    <w:name w:val="Header Char"/>
    <w:basedOn w:val="DefaultParagraphFont"/>
    <w:link w:val="Header"/>
    <w:uiPriority w:val="99"/>
    <w:rsid w:val="00A712D3"/>
    <w:rPr>
      <w:rFonts w:ascii="Arial" w:eastAsia="SimSun" w:hAnsi="Arial" w:cs="Arial"/>
      <w:sz w:val="22"/>
      <w:lang w:val="es-ES" w:eastAsia="zh-CN"/>
    </w:rPr>
  </w:style>
  <w:style w:type="character" w:customStyle="1" w:styleId="Heading1Char">
    <w:name w:val="Heading 1 Char"/>
    <w:basedOn w:val="DefaultParagraphFont"/>
    <w:link w:val="Heading1"/>
    <w:rsid w:val="00A712D3"/>
    <w:rPr>
      <w:rFonts w:ascii="Arial" w:eastAsia="SimSun" w:hAnsi="Arial" w:cs="Arial"/>
      <w:b/>
      <w:bCs/>
      <w:caps/>
      <w:kern w:val="32"/>
      <w:sz w:val="22"/>
      <w:szCs w:val="32"/>
      <w:lang w:val="es-ES" w:eastAsia="zh-CN"/>
    </w:rPr>
  </w:style>
  <w:style w:type="table" w:styleId="TableGrid">
    <w:name w:val="Table Grid"/>
    <w:basedOn w:val="TableNormal"/>
    <w:uiPriority w:val="59"/>
    <w:rsid w:val="00267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2671EB"/>
    <w:pPr>
      <w:spacing w:after="160" w:line="240" w:lineRule="exact"/>
    </w:pPr>
    <w:rPr>
      <w:rFonts w:ascii="Verdana" w:eastAsia="Times New Roman" w:hAnsi="Verdana" w:cs="Times New Roman"/>
      <w:sz w:val="20"/>
      <w:lang w:val="en-GB" w:eastAsia="en-US"/>
    </w:rPr>
  </w:style>
  <w:style w:type="character" w:customStyle="1" w:styleId="BodyTextChar">
    <w:name w:val="Body Text Char"/>
    <w:link w:val="BodyText"/>
    <w:rsid w:val="002671EB"/>
    <w:rPr>
      <w:rFonts w:ascii="Arial" w:eastAsia="SimSun" w:hAnsi="Arial" w:cs="Arial"/>
      <w:sz w:val="22"/>
      <w:lang w:val="es-ES" w:eastAsia="zh-CN"/>
    </w:rPr>
  </w:style>
  <w:style w:type="paragraph" w:styleId="BodyTextIndent">
    <w:name w:val="Body Text Indent"/>
    <w:basedOn w:val="Normal"/>
    <w:link w:val="BodyTextIndentChar"/>
    <w:rsid w:val="002671EB"/>
    <w:pPr>
      <w:ind w:left="567"/>
    </w:pPr>
    <w:rPr>
      <w:rFonts w:eastAsia="Times New Roman" w:cs="Times New Roman"/>
      <w:sz w:val="20"/>
      <w:lang w:val="en-US" w:eastAsia="en-US"/>
    </w:rPr>
  </w:style>
  <w:style w:type="character" w:customStyle="1" w:styleId="BodyTextIndentChar">
    <w:name w:val="Body Text Indent Char"/>
    <w:basedOn w:val="DefaultParagraphFont"/>
    <w:link w:val="BodyTextIndent"/>
    <w:rsid w:val="002671EB"/>
    <w:rPr>
      <w:rFonts w:ascii="Arial" w:hAnsi="Arial"/>
    </w:rPr>
  </w:style>
  <w:style w:type="character" w:styleId="PageNumber">
    <w:name w:val="page number"/>
    <w:basedOn w:val="DefaultParagraphFont"/>
    <w:rsid w:val="002671EB"/>
  </w:style>
  <w:style w:type="character" w:customStyle="1" w:styleId="CharChar">
    <w:name w:val="Char Char"/>
    <w:locked/>
    <w:rsid w:val="002671EB"/>
    <w:rPr>
      <w:rFonts w:ascii="Arial" w:hAnsi="Arial" w:cs="Times New Roman"/>
      <w:lang w:val="en-US" w:eastAsia="en-US" w:bidi="ar-SA"/>
    </w:rPr>
  </w:style>
  <w:style w:type="character" w:styleId="Hyperlink">
    <w:name w:val="Hyperlink"/>
    <w:uiPriority w:val="99"/>
    <w:rsid w:val="002671EB"/>
    <w:rPr>
      <w:color w:val="000099"/>
      <w:u w:val="single"/>
    </w:rPr>
  </w:style>
  <w:style w:type="paragraph" w:styleId="BalloonText">
    <w:name w:val="Balloon Text"/>
    <w:basedOn w:val="Normal"/>
    <w:link w:val="BalloonTextChar"/>
    <w:uiPriority w:val="99"/>
    <w:rsid w:val="002671EB"/>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rsid w:val="002671EB"/>
    <w:rPr>
      <w:rFonts w:ascii="Tahoma" w:hAnsi="Tahoma" w:cs="Tahoma"/>
      <w:sz w:val="16"/>
      <w:szCs w:val="16"/>
    </w:rPr>
  </w:style>
  <w:style w:type="paragraph" w:customStyle="1" w:styleId="CarCar">
    <w:name w:val="Car Car"/>
    <w:basedOn w:val="Normal"/>
    <w:rsid w:val="002671EB"/>
    <w:pPr>
      <w:spacing w:after="160" w:line="240" w:lineRule="exact"/>
    </w:pPr>
    <w:rPr>
      <w:rFonts w:ascii="Verdana" w:eastAsia="Times New Roman" w:hAnsi="Verdana" w:cs="Times New Roman"/>
      <w:sz w:val="20"/>
      <w:lang w:val="en-GB" w:eastAsia="en-US"/>
    </w:rPr>
  </w:style>
  <w:style w:type="character" w:styleId="CommentReference">
    <w:name w:val="annotation reference"/>
    <w:uiPriority w:val="99"/>
    <w:rsid w:val="002671EB"/>
    <w:rPr>
      <w:sz w:val="16"/>
      <w:szCs w:val="16"/>
    </w:rPr>
  </w:style>
  <w:style w:type="paragraph" w:styleId="CommentSubject">
    <w:name w:val="annotation subject"/>
    <w:basedOn w:val="CommentText"/>
    <w:next w:val="CommentText"/>
    <w:link w:val="CommentSubjectChar"/>
    <w:uiPriority w:val="99"/>
    <w:rsid w:val="002671EB"/>
    <w:rPr>
      <w:rFonts w:eastAsia="Times New Roman" w:cs="Times New Roman"/>
      <w:b/>
      <w:bCs/>
      <w:sz w:val="20"/>
      <w:lang w:val="en-US" w:eastAsia="en-US"/>
    </w:rPr>
  </w:style>
  <w:style w:type="character" w:customStyle="1" w:styleId="CommentTextChar">
    <w:name w:val="Comment Text Char"/>
    <w:basedOn w:val="DefaultParagraphFont"/>
    <w:link w:val="CommentText"/>
    <w:uiPriority w:val="99"/>
    <w:rsid w:val="002671EB"/>
    <w:rPr>
      <w:rFonts w:ascii="Arial" w:eastAsia="SimSun" w:hAnsi="Arial" w:cs="Arial"/>
      <w:sz w:val="18"/>
      <w:lang w:val="es-ES" w:eastAsia="zh-CN"/>
    </w:rPr>
  </w:style>
  <w:style w:type="character" w:customStyle="1" w:styleId="CommentSubjectChar">
    <w:name w:val="Comment Subject Char"/>
    <w:basedOn w:val="CommentTextChar"/>
    <w:link w:val="CommentSubject"/>
    <w:uiPriority w:val="99"/>
    <w:rsid w:val="002671EB"/>
    <w:rPr>
      <w:rFonts w:ascii="Arial" w:eastAsia="SimSun" w:hAnsi="Arial" w:cs="Arial"/>
      <w:b/>
      <w:bCs/>
      <w:sz w:val="18"/>
      <w:lang w:val="es-ES" w:eastAsia="zh-CN"/>
    </w:rPr>
  </w:style>
  <w:style w:type="paragraph" w:customStyle="1" w:styleId="Default">
    <w:name w:val="Default"/>
    <w:rsid w:val="002671EB"/>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2671EB"/>
    <w:rPr>
      <w:rFonts w:ascii="Arial" w:hAnsi="Arial"/>
      <w:lang w:val="en-US" w:eastAsia="en-US" w:bidi="ar-SA"/>
    </w:rPr>
  </w:style>
  <w:style w:type="paragraph" w:styleId="TOC2">
    <w:name w:val="toc 2"/>
    <w:basedOn w:val="Normal"/>
    <w:next w:val="Normal"/>
    <w:autoRedefine/>
    <w:uiPriority w:val="39"/>
    <w:qFormat/>
    <w:rsid w:val="00DD5AB6"/>
    <w:pPr>
      <w:tabs>
        <w:tab w:val="left" w:pos="1560"/>
        <w:tab w:val="right" w:leader="dot" w:pos="9498"/>
      </w:tabs>
      <w:ind w:left="1560" w:right="-143" w:hanging="1360"/>
    </w:pPr>
    <w:rPr>
      <w:rFonts w:asciiTheme="minorHAnsi" w:eastAsia="Times New Roman" w:hAnsiTheme="minorHAnsi" w:cs="Times New Roman"/>
      <w:smallCaps/>
      <w:sz w:val="20"/>
      <w:lang w:val="en-US" w:eastAsia="en-US"/>
    </w:rPr>
  </w:style>
  <w:style w:type="paragraph" w:styleId="TOC1">
    <w:name w:val="toc 1"/>
    <w:basedOn w:val="Normal"/>
    <w:next w:val="Normal"/>
    <w:autoRedefine/>
    <w:uiPriority w:val="39"/>
    <w:qFormat/>
    <w:rsid w:val="00211983"/>
    <w:pPr>
      <w:tabs>
        <w:tab w:val="left" w:pos="426"/>
        <w:tab w:val="right" w:leader="dot" w:pos="9498"/>
      </w:tabs>
      <w:spacing w:before="120" w:after="120"/>
      <w:ind w:left="426" w:right="-143" w:hanging="426"/>
    </w:pPr>
    <w:rPr>
      <w:rFonts w:asciiTheme="minorHAnsi" w:eastAsia="Times New Roman" w:hAnsiTheme="minorHAnsi" w:cs="Times New Roman"/>
      <w:bCs/>
      <w:caps/>
      <w:noProof/>
      <w:szCs w:val="22"/>
      <w:lang w:val="en-US" w:eastAsia="en-US"/>
    </w:rPr>
  </w:style>
  <w:style w:type="paragraph" w:customStyle="1" w:styleId="Indicators">
    <w:name w:val="Indicators"/>
    <w:basedOn w:val="Normal"/>
    <w:link w:val="IndicatorsChar"/>
    <w:rsid w:val="002671EB"/>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2671EB"/>
    <w:rPr>
      <w:rFonts w:ascii="Arial" w:hAnsi="Arial"/>
    </w:rPr>
  </w:style>
  <w:style w:type="paragraph" w:customStyle="1" w:styleId="preparedby">
    <w:name w:val="prepared by"/>
    <w:basedOn w:val="Normal"/>
    <w:next w:val="Normal"/>
    <w:rsid w:val="002671EB"/>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2671EB"/>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2671EB"/>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Language">
    <w:name w:val="Language"/>
    <w:basedOn w:val="Normal"/>
    <w:next w:val="Normal"/>
    <w:autoRedefine/>
    <w:rsid w:val="002671EB"/>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2671EB"/>
    <w:pPr>
      <w:spacing w:before="300" w:after="0"/>
    </w:pPr>
  </w:style>
  <w:style w:type="paragraph" w:customStyle="1" w:styleId="Meetingtitle">
    <w:name w:val="Meeting title"/>
    <w:basedOn w:val="Normal"/>
    <w:next w:val="Sessiontitle"/>
    <w:rsid w:val="002671EB"/>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2671EB"/>
    <w:pPr>
      <w:spacing w:after="0"/>
    </w:pPr>
    <w:rPr>
      <w:sz w:val="24"/>
    </w:rPr>
  </w:style>
  <w:style w:type="paragraph" w:customStyle="1" w:styleId="Meetingdateplace">
    <w:name w:val="Meeting date &amp; place"/>
    <w:basedOn w:val="Sessiontitle"/>
    <w:next w:val="Documenttitle"/>
    <w:rsid w:val="002671EB"/>
    <w:rPr>
      <w:lang w:val="en-US"/>
    </w:rPr>
  </w:style>
  <w:style w:type="character" w:customStyle="1" w:styleId="CharChar3">
    <w:name w:val="Char Char3"/>
    <w:rsid w:val="002671EB"/>
    <w:rPr>
      <w:rFonts w:ascii="Arial" w:hAnsi="Arial"/>
      <w:lang w:val="en-US" w:eastAsia="en-US" w:bidi="ar-SA"/>
    </w:rPr>
  </w:style>
  <w:style w:type="paragraph" w:styleId="BlockText">
    <w:name w:val="Block Text"/>
    <w:basedOn w:val="Normal"/>
    <w:rsid w:val="002671EB"/>
    <w:pPr>
      <w:spacing w:before="60" w:after="60"/>
      <w:ind w:left="266" w:right="142"/>
    </w:pPr>
    <w:rPr>
      <w:rFonts w:eastAsia="Times New Roman" w:cs="Times New Roman"/>
      <w:lang w:val="en-US" w:eastAsia="en-US"/>
    </w:rPr>
  </w:style>
  <w:style w:type="paragraph" w:customStyle="1" w:styleId="BoxText1">
    <w:name w:val="Box Text1"/>
    <w:basedOn w:val="Normal"/>
    <w:rsid w:val="002671EB"/>
    <w:pPr>
      <w:ind w:left="284"/>
    </w:pPr>
    <w:rPr>
      <w:rFonts w:eastAsia="Times New Roman" w:cs="Times New Roman"/>
      <w:snapToGrid w:val="0"/>
      <w:lang w:val="en-US" w:eastAsia="en-US"/>
    </w:rPr>
  </w:style>
  <w:style w:type="paragraph" w:customStyle="1" w:styleId="Normal1">
    <w:name w:val="Normal+1"/>
    <w:basedOn w:val="Normal"/>
    <w:next w:val="Normal"/>
    <w:rsid w:val="002671EB"/>
    <w:pPr>
      <w:autoSpaceDE w:val="0"/>
      <w:autoSpaceDN w:val="0"/>
      <w:adjustRightInd w:val="0"/>
    </w:pPr>
    <w:rPr>
      <w:rFonts w:eastAsia="Times New Roman" w:cs="Times New Roman"/>
      <w:sz w:val="20"/>
      <w:szCs w:val="24"/>
      <w:lang w:val="en-US" w:eastAsia="en-US"/>
    </w:rPr>
  </w:style>
  <w:style w:type="paragraph" w:styleId="NormalWeb">
    <w:name w:val="Normal (Web)"/>
    <w:basedOn w:val="Normal"/>
    <w:uiPriority w:val="99"/>
    <w:rsid w:val="002671EB"/>
    <w:pPr>
      <w:spacing w:before="100" w:beforeAutospacing="1" w:after="100" w:afterAutospacing="1"/>
    </w:pPr>
    <w:rPr>
      <w:rFonts w:eastAsia="Times New Roman"/>
      <w:sz w:val="18"/>
      <w:szCs w:val="18"/>
      <w:lang w:val="en-US" w:eastAsia="en-US"/>
    </w:rPr>
  </w:style>
  <w:style w:type="paragraph" w:styleId="BodyText2">
    <w:name w:val="Body Text 2"/>
    <w:basedOn w:val="Normal"/>
    <w:link w:val="BodyText2Char"/>
    <w:rsid w:val="002671EB"/>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2671EB"/>
    <w:rPr>
      <w:rFonts w:ascii="Arial" w:hAnsi="Arial"/>
      <w:szCs w:val="24"/>
    </w:rPr>
  </w:style>
  <w:style w:type="character" w:customStyle="1" w:styleId="CharChar4">
    <w:name w:val="Char Char4"/>
    <w:rsid w:val="002671EB"/>
    <w:rPr>
      <w:rFonts w:ascii="Arial" w:hAnsi="Arial"/>
      <w:lang w:val="en-US" w:eastAsia="en-US" w:bidi="ar-SA"/>
    </w:rPr>
  </w:style>
  <w:style w:type="character" w:styleId="FollowedHyperlink">
    <w:name w:val="FollowedHyperlink"/>
    <w:rsid w:val="002671EB"/>
    <w:rPr>
      <w:color w:val="606420"/>
      <w:u w:val="single"/>
    </w:rPr>
  </w:style>
  <w:style w:type="paragraph" w:customStyle="1" w:styleId="Meetingplacedate">
    <w:name w:val="Meeting place &amp; date"/>
    <w:basedOn w:val="Sessiontitle"/>
    <w:next w:val="Documenttitle"/>
    <w:rsid w:val="002671EB"/>
    <w:rPr>
      <w:lang w:val="en-US"/>
    </w:rPr>
  </w:style>
  <w:style w:type="character" w:customStyle="1" w:styleId="CharChar6">
    <w:name w:val="Char Char6"/>
    <w:rsid w:val="002671EB"/>
    <w:rPr>
      <w:rFonts w:ascii="Arial" w:hAnsi="Arial"/>
      <w:lang w:val="en-US" w:eastAsia="en-US" w:bidi="ar-SA"/>
    </w:rPr>
  </w:style>
  <w:style w:type="character" w:customStyle="1" w:styleId="Novruzova">
    <w:name w:val="Novruzova"/>
    <w:semiHidden/>
    <w:rsid w:val="002671EB"/>
    <w:rPr>
      <w:rFonts w:ascii="Arial" w:hAnsi="Arial" w:cs="Arial"/>
      <w:color w:val="000080"/>
      <w:sz w:val="20"/>
      <w:szCs w:val="20"/>
    </w:rPr>
  </w:style>
  <w:style w:type="character" w:customStyle="1" w:styleId="description">
    <w:name w:val="description"/>
    <w:basedOn w:val="DefaultParagraphFont"/>
    <w:rsid w:val="002671EB"/>
  </w:style>
  <w:style w:type="paragraph" w:customStyle="1" w:styleId="FreeFormA">
    <w:name w:val="Free Form A"/>
    <w:rsid w:val="002671EB"/>
    <w:rPr>
      <w:rFonts w:ascii="Helvetica" w:eastAsia="ヒラギノ角ゴ Pro W3" w:hAnsi="Helvetica"/>
      <w:color w:val="000000"/>
      <w:sz w:val="24"/>
    </w:rPr>
  </w:style>
  <w:style w:type="paragraph" w:customStyle="1" w:styleId="Char">
    <w:name w:val="Char 字元 字元"/>
    <w:basedOn w:val="Normal"/>
    <w:rsid w:val="002671EB"/>
    <w:pPr>
      <w:spacing w:after="160" w:line="240" w:lineRule="exact"/>
    </w:pPr>
    <w:rPr>
      <w:rFonts w:ascii="Verdana" w:eastAsia="PMingLiU" w:hAnsi="Verdana" w:cs="Times New Roman"/>
      <w:sz w:val="20"/>
      <w:lang w:val="en-US" w:eastAsia="en-US"/>
    </w:rPr>
  </w:style>
  <w:style w:type="character" w:customStyle="1" w:styleId="underline">
    <w:name w:val="underline"/>
    <w:rsid w:val="002671EB"/>
    <w:rPr>
      <w:u w:val="single"/>
    </w:rPr>
  </w:style>
  <w:style w:type="paragraph" w:customStyle="1" w:styleId="FreeForm">
    <w:name w:val="Free Form"/>
    <w:rsid w:val="002671EB"/>
    <w:rPr>
      <w:rFonts w:eastAsia="ヒラギノ角ゴ Pro W3"/>
      <w:color w:val="000000"/>
    </w:rPr>
  </w:style>
  <w:style w:type="paragraph" w:customStyle="1" w:styleId="Heading2A">
    <w:name w:val="Heading 2 A"/>
    <w:next w:val="Normal"/>
    <w:rsid w:val="002671EB"/>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2671EB"/>
    <w:rPr>
      <w:rFonts w:ascii="Arial" w:hAnsi="Arial"/>
      <w:sz w:val="16"/>
    </w:rPr>
  </w:style>
  <w:style w:type="character" w:styleId="PlaceholderText">
    <w:name w:val="Placeholder Text"/>
    <w:basedOn w:val="DefaultParagraphFont"/>
    <w:uiPriority w:val="99"/>
    <w:semiHidden/>
    <w:rsid w:val="002671EB"/>
    <w:rPr>
      <w:color w:val="808080"/>
    </w:rPr>
  </w:style>
  <w:style w:type="character" w:customStyle="1" w:styleId="Style5">
    <w:name w:val="Style5"/>
    <w:basedOn w:val="DefaultParagraphFont"/>
    <w:uiPriority w:val="99"/>
    <w:rsid w:val="002671EB"/>
    <w:rPr>
      <w:rFonts w:asciiTheme="minorHAnsi" w:hAnsiTheme="minorHAnsi"/>
      <w:sz w:val="20"/>
    </w:rPr>
  </w:style>
  <w:style w:type="paragraph" w:styleId="Revision">
    <w:name w:val="Revision"/>
    <w:hidden/>
    <w:uiPriority w:val="99"/>
    <w:semiHidden/>
    <w:rsid w:val="002671EB"/>
    <w:rPr>
      <w:rFonts w:ascii="Arial" w:hAnsi="Arial"/>
      <w:szCs w:val="24"/>
    </w:rPr>
  </w:style>
  <w:style w:type="paragraph" w:styleId="TOCHeading">
    <w:name w:val="TOC Heading"/>
    <w:basedOn w:val="Heading1"/>
    <w:next w:val="Normal"/>
    <w:uiPriority w:val="39"/>
    <w:unhideWhenUsed/>
    <w:qFormat/>
    <w:rsid w:val="002671EB"/>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8F093A"/>
    <w:pPr>
      <w:tabs>
        <w:tab w:val="left" w:pos="1712"/>
        <w:tab w:val="right" w:leader="dot" w:pos="9498"/>
      </w:tabs>
      <w:ind w:left="1701" w:right="-143" w:hanging="1301"/>
    </w:pPr>
    <w:rPr>
      <w:rFonts w:asciiTheme="minorHAnsi" w:eastAsia="Times New Roman" w:hAnsiTheme="minorHAnsi" w:cs="Times New Roman"/>
      <w:i/>
      <w:iCs/>
      <w:noProof/>
      <w:sz w:val="20"/>
      <w:lang w:val="fr-FR" w:eastAsia="en-US"/>
    </w:rPr>
  </w:style>
  <w:style w:type="paragraph" w:styleId="TOC4">
    <w:name w:val="toc 4"/>
    <w:basedOn w:val="Normal"/>
    <w:next w:val="Normal"/>
    <w:autoRedefine/>
    <w:uiPriority w:val="39"/>
    <w:rsid w:val="002671EB"/>
    <w:pPr>
      <w:ind w:left="600"/>
    </w:pPr>
    <w:rPr>
      <w:rFonts w:asciiTheme="minorHAnsi" w:eastAsia="Times New Roman" w:hAnsiTheme="minorHAnsi" w:cs="Times New Roman"/>
      <w:sz w:val="18"/>
      <w:szCs w:val="18"/>
      <w:lang w:val="en-US" w:eastAsia="en-US"/>
    </w:rPr>
  </w:style>
  <w:style w:type="paragraph" w:styleId="TOC5">
    <w:name w:val="toc 5"/>
    <w:basedOn w:val="Normal"/>
    <w:next w:val="Normal"/>
    <w:autoRedefine/>
    <w:rsid w:val="002671EB"/>
    <w:pPr>
      <w:ind w:left="800"/>
    </w:pPr>
    <w:rPr>
      <w:rFonts w:asciiTheme="minorHAnsi" w:eastAsia="Times New Roman" w:hAnsiTheme="minorHAnsi" w:cs="Times New Roman"/>
      <w:sz w:val="18"/>
      <w:szCs w:val="18"/>
      <w:lang w:val="en-US" w:eastAsia="en-US"/>
    </w:rPr>
  </w:style>
  <w:style w:type="paragraph" w:styleId="TOC6">
    <w:name w:val="toc 6"/>
    <w:basedOn w:val="Normal"/>
    <w:next w:val="Normal"/>
    <w:autoRedefine/>
    <w:rsid w:val="002671EB"/>
    <w:pPr>
      <w:ind w:left="1000"/>
    </w:pPr>
    <w:rPr>
      <w:rFonts w:asciiTheme="minorHAnsi" w:eastAsia="Times New Roman" w:hAnsiTheme="minorHAnsi" w:cs="Times New Roman"/>
      <w:sz w:val="18"/>
      <w:szCs w:val="18"/>
      <w:lang w:val="en-US" w:eastAsia="en-US"/>
    </w:rPr>
  </w:style>
  <w:style w:type="paragraph" w:styleId="TOC7">
    <w:name w:val="toc 7"/>
    <w:basedOn w:val="Normal"/>
    <w:next w:val="Normal"/>
    <w:autoRedefine/>
    <w:rsid w:val="002671EB"/>
    <w:pPr>
      <w:ind w:left="1200"/>
    </w:pPr>
    <w:rPr>
      <w:rFonts w:asciiTheme="minorHAnsi" w:eastAsia="Times New Roman" w:hAnsiTheme="minorHAnsi" w:cs="Times New Roman"/>
      <w:sz w:val="18"/>
      <w:szCs w:val="18"/>
      <w:lang w:val="en-US" w:eastAsia="en-US"/>
    </w:rPr>
  </w:style>
  <w:style w:type="paragraph" w:styleId="TOC8">
    <w:name w:val="toc 8"/>
    <w:basedOn w:val="Normal"/>
    <w:next w:val="Normal"/>
    <w:autoRedefine/>
    <w:rsid w:val="002671EB"/>
    <w:pPr>
      <w:ind w:left="1400"/>
    </w:pPr>
    <w:rPr>
      <w:rFonts w:asciiTheme="minorHAnsi" w:eastAsia="Times New Roman" w:hAnsiTheme="minorHAnsi" w:cs="Times New Roman"/>
      <w:sz w:val="18"/>
      <w:szCs w:val="18"/>
      <w:lang w:val="en-US" w:eastAsia="en-US"/>
    </w:rPr>
  </w:style>
  <w:style w:type="paragraph" w:styleId="TOC9">
    <w:name w:val="toc 9"/>
    <w:basedOn w:val="Normal"/>
    <w:next w:val="Normal"/>
    <w:autoRedefine/>
    <w:rsid w:val="002671EB"/>
    <w:pPr>
      <w:ind w:left="1600"/>
    </w:pPr>
    <w:rPr>
      <w:rFonts w:asciiTheme="minorHAnsi" w:eastAsia="Times New Roman" w:hAnsiTheme="minorHAnsi" w:cs="Times New Roman"/>
      <w:sz w:val="18"/>
      <w:szCs w:val="18"/>
      <w:lang w:val="en-US" w:eastAsia="en-US"/>
    </w:rPr>
  </w:style>
  <w:style w:type="character" w:customStyle="1" w:styleId="Heading2Char">
    <w:name w:val="Heading 2 Char"/>
    <w:link w:val="Heading2"/>
    <w:rsid w:val="002671EB"/>
    <w:rPr>
      <w:rFonts w:ascii="Arial" w:eastAsia="SimSun" w:hAnsi="Arial" w:cs="Arial"/>
      <w:bCs/>
      <w:iCs/>
      <w:caps/>
      <w:sz w:val="22"/>
      <w:szCs w:val="28"/>
      <w:lang w:val="es-ES" w:eastAsia="zh-CN"/>
    </w:rPr>
  </w:style>
  <w:style w:type="paragraph" w:styleId="PlainText">
    <w:name w:val="Plain Text"/>
    <w:basedOn w:val="Normal"/>
    <w:link w:val="PlainTextChar"/>
    <w:uiPriority w:val="99"/>
    <w:rsid w:val="002671EB"/>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2671EB"/>
    <w:rPr>
      <w:rFonts w:ascii="Courier New" w:eastAsia="SimSun" w:hAnsi="Courier New" w:cs="Courier New"/>
      <w:color w:val="0000FF"/>
      <w:lang w:eastAsia="zh-CN"/>
    </w:rPr>
  </w:style>
  <w:style w:type="character" w:customStyle="1" w:styleId="Heading3Char">
    <w:name w:val="Heading 3 Char"/>
    <w:basedOn w:val="DefaultParagraphFont"/>
    <w:link w:val="Heading3"/>
    <w:rsid w:val="002671EB"/>
    <w:rPr>
      <w:rFonts w:ascii="Arial" w:eastAsia="SimSun" w:hAnsi="Arial" w:cs="Arial"/>
      <w:bCs/>
      <w:sz w:val="22"/>
      <w:szCs w:val="26"/>
      <w:u w:val="single"/>
      <w:lang w:val="es-ES" w:eastAsia="zh-CN"/>
    </w:rPr>
  </w:style>
  <w:style w:type="paragraph" w:customStyle="1" w:styleId="StyleHeading3BoldNounderline">
    <w:name w:val="Style Heading 3 + Bold No underline"/>
    <w:basedOn w:val="Heading3"/>
    <w:rsid w:val="002671EB"/>
    <w:rPr>
      <w:i/>
      <w:u w:val="none"/>
      <w:lang w:val="en-US" w:eastAsia="en-US"/>
    </w:rPr>
  </w:style>
  <w:style w:type="paragraph" w:customStyle="1" w:styleId="Style1">
    <w:name w:val="Style1"/>
    <w:basedOn w:val="Normal"/>
    <w:qFormat/>
    <w:rsid w:val="002671EB"/>
    <w:pPr>
      <w:numPr>
        <w:numId w:val="7"/>
      </w:numPr>
    </w:pPr>
    <w:rPr>
      <w:rFonts w:eastAsia="Times New Roman" w:cs="Times New Roman"/>
      <w:sz w:val="20"/>
      <w:szCs w:val="24"/>
      <w:lang w:val="en-US" w:eastAsia="en-US"/>
    </w:rPr>
  </w:style>
  <w:style w:type="character" w:customStyle="1" w:styleId="SalutationChar">
    <w:name w:val="Salutation Char"/>
    <w:basedOn w:val="DefaultParagraphFont"/>
    <w:link w:val="Salutation"/>
    <w:rsid w:val="002671EB"/>
    <w:rPr>
      <w:rFonts w:ascii="Arial" w:eastAsia="SimSun" w:hAnsi="Arial" w:cs="Arial"/>
      <w:sz w:val="22"/>
      <w:lang w:val="es-ES" w:eastAsia="zh-CN"/>
    </w:rPr>
  </w:style>
  <w:style w:type="character" w:customStyle="1" w:styleId="SignatureChar">
    <w:name w:val="Signature Char"/>
    <w:basedOn w:val="DefaultParagraphFont"/>
    <w:link w:val="Signature"/>
    <w:rsid w:val="002671EB"/>
    <w:rPr>
      <w:rFonts w:ascii="Arial" w:eastAsia="SimSun" w:hAnsi="Arial" w:cs="Arial"/>
      <w:sz w:val="22"/>
      <w:lang w:val="es-ES" w:eastAsia="zh-CN"/>
    </w:rPr>
  </w:style>
  <w:style w:type="character" w:customStyle="1" w:styleId="EndnoteTextChar">
    <w:name w:val="Endnote Text Char"/>
    <w:basedOn w:val="DefaultParagraphFont"/>
    <w:link w:val="EndnoteText"/>
    <w:rsid w:val="002671EB"/>
    <w:rPr>
      <w:rFonts w:ascii="Arial" w:eastAsia="SimSun" w:hAnsi="Arial" w:cs="Arial"/>
      <w:sz w:val="18"/>
      <w:lang w:val="es-ES" w:eastAsia="zh-CN"/>
    </w:rPr>
  </w:style>
  <w:style w:type="character" w:customStyle="1" w:styleId="st">
    <w:name w:val="st"/>
    <w:basedOn w:val="DefaultParagraphFont"/>
    <w:rsid w:val="002671EB"/>
  </w:style>
  <w:style w:type="paragraph" w:styleId="NoSpacing">
    <w:name w:val="No Spacing"/>
    <w:uiPriority w:val="1"/>
    <w:qFormat/>
    <w:rsid w:val="002671EB"/>
    <w:rPr>
      <w:rFonts w:asciiTheme="minorHAnsi" w:eastAsiaTheme="minorHAnsi" w:hAnsiTheme="minorHAnsi" w:cstheme="minorBidi"/>
      <w:sz w:val="22"/>
      <w:szCs w:val="22"/>
    </w:rPr>
  </w:style>
  <w:style w:type="paragraph" w:customStyle="1" w:styleId="StyleStyleHeading3ComplexItalicLatin12pt">
    <w:name w:val="Style Style Heading 3 + (Complex) Italic + (Latin) 12 pt"/>
    <w:basedOn w:val="Normal"/>
    <w:link w:val="StyleStyleHeading3ComplexItalicLatin12ptChar"/>
    <w:rsid w:val="002671EB"/>
    <w:pPr>
      <w:keepNext/>
      <w:tabs>
        <w:tab w:val="left" w:pos="1985"/>
      </w:tabs>
      <w:outlineLvl w:val="2"/>
    </w:pPr>
    <w:rPr>
      <w:rFonts w:eastAsia="Times New Roman" w:cs="Times New Roman"/>
      <w:b/>
      <w:iCs/>
      <w:caps/>
      <w:sz w:val="20"/>
      <w:szCs w:val="22"/>
      <w:lang w:val="en-US" w:eastAsia="en-US"/>
    </w:rPr>
  </w:style>
  <w:style w:type="character" w:customStyle="1" w:styleId="StyleStyleHeading3ComplexItalicLatin12ptChar">
    <w:name w:val="Style Style Heading 3 + (Complex) Italic + (Latin) 12 pt Char"/>
    <w:basedOn w:val="DefaultParagraphFont"/>
    <w:link w:val="StyleStyleHeading3ComplexItalicLatin12pt"/>
    <w:rsid w:val="002671EB"/>
    <w:rPr>
      <w:rFonts w:ascii="Arial" w:hAnsi="Arial"/>
      <w:b/>
      <w:iCs/>
      <w:caps/>
      <w:szCs w:val="22"/>
    </w:rPr>
  </w:style>
  <w:style w:type="paragraph" w:customStyle="1" w:styleId="Test">
    <w:name w:val="Test"/>
    <w:basedOn w:val="Normal"/>
    <w:qFormat/>
    <w:rsid w:val="002671EB"/>
    <w:pPr>
      <w:numPr>
        <w:numId w:val="8"/>
      </w:numPr>
    </w:pPr>
    <w:rPr>
      <w:rFonts w:eastAsiaTheme="minorHAnsi"/>
      <w:szCs w:val="22"/>
      <w:lang w:val="en-US" w:eastAsia="en-US"/>
    </w:rPr>
  </w:style>
  <w:style w:type="paragraph" w:customStyle="1" w:styleId="StyleHeading214ptAuto">
    <w:name w:val="Style Heading 2 + 14 pt Auto"/>
    <w:basedOn w:val="Heading2"/>
    <w:rsid w:val="002671EB"/>
    <w:pPr>
      <w:keepNext w:val="0"/>
      <w:widowControl w:val="0"/>
      <w:tabs>
        <w:tab w:val="num" w:pos="567"/>
      </w:tabs>
      <w:spacing w:before="0" w:after="0" w:line="300" w:lineRule="atLeast"/>
      <w:ind w:left="567" w:hanging="567"/>
      <w:jc w:val="center"/>
    </w:pPr>
    <w:rPr>
      <w:rFonts w:ascii="Arial Bold" w:eastAsia="Times New Roman" w:hAnsi="Arial Bold" w:cs="Times New Roman"/>
      <w:b/>
      <w:sz w:val="24"/>
      <w:lang w:val="en-GB" w:eastAsia="da-DK"/>
    </w:rPr>
  </w:style>
  <w:style w:type="character" w:customStyle="1" w:styleId="preferred">
    <w:name w:val="preferred"/>
    <w:basedOn w:val="DefaultParagraphFont"/>
    <w:rsid w:val="00B84891"/>
  </w:style>
  <w:style w:type="character" w:styleId="EndnoteReference">
    <w:name w:val="endnote reference"/>
    <w:basedOn w:val="DefaultParagraphFont"/>
    <w:uiPriority w:val="99"/>
    <w:unhideWhenUsed/>
    <w:rsid w:val="0095318C"/>
    <w:rPr>
      <w:vertAlign w:val="superscript"/>
    </w:rPr>
  </w:style>
  <w:style w:type="character" w:styleId="HTMLCite">
    <w:name w:val="HTML Cite"/>
    <w:basedOn w:val="DefaultParagraphFont"/>
    <w:uiPriority w:val="99"/>
    <w:unhideWhenUsed/>
    <w:rsid w:val="0095318C"/>
    <w:rPr>
      <w:i/>
      <w:iCs/>
    </w:rPr>
  </w:style>
  <w:style w:type="character" w:customStyle="1" w:styleId="admitted">
    <w:name w:val="admitted"/>
    <w:basedOn w:val="DefaultParagraphFont"/>
    <w:rsid w:val="00221F0B"/>
  </w:style>
  <w:style w:type="character" w:styleId="Strong">
    <w:name w:val="Strong"/>
    <w:basedOn w:val="DefaultParagraphFont"/>
    <w:uiPriority w:val="22"/>
    <w:qFormat/>
    <w:rsid w:val="00EB45DE"/>
    <w:rPr>
      <w:b/>
      <w:bCs/>
    </w:rPr>
  </w:style>
  <w:style w:type="paragraph" w:customStyle="1" w:styleId="StyleHeading3ComplexItalic">
    <w:name w:val="Style Heading 3 + (Complex) Italic"/>
    <w:basedOn w:val="Heading3"/>
    <w:link w:val="StyleHeading3ComplexItalicChar"/>
    <w:rsid w:val="00EB45DE"/>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EB45DE"/>
    <w:rPr>
      <w:rFonts w:ascii="Arial" w:hAnsi="Arial" w:cs="Arial"/>
      <w:b/>
      <w:iCs/>
      <w:caps/>
      <w:sz w:val="22"/>
      <w:szCs w:val="22"/>
    </w:rPr>
  </w:style>
  <w:style w:type="character" w:customStyle="1" w:styleId="Heading4Char">
    <w:name w:val="Heading 4 Char"/>
    <w:basedOn w:val="DefaultParagraphFont"/>
    <w:link w:val="Heading4"/>
    <w:rsid w:val="00EB45DE"/>
    <w:rPr>
      <w:rFonts w:ascii="Arial" w:eastAsia="SimSun" w:hAnsi="Arial" w:cs="Arial"/>
      <w:bCs/>
      <w:i/>
      <w:sz w:val="22"/>
      <w:szCs w:val="28"/>
      <w:lang w:val="es-ES" w:eastAsia="zh-CN"/>
    </w:rPr>
  </w:style>
  <w:style w:type="character" w:customStyle="1" w:styleId="hps">
    <w:name w:val="hps"/>
    <w:basedOn w:val="DefaultParagraphFont"/>
    <w:rsid w:val="00EB45DE"/>
  </w:style>
  <w:style w:type="paragraph" w:customStyle="1" w:styleId="Normal-table">
    <w:name w:val="Normal-table"/>
    <w:rsid w:val="00EB45DE"/>
    <w:rPr>
      <w:rFonts w:ascii="Arial" w:eastAsia="Batang" w:hAnsi="Arial"/>
    </w:rPr>
  </w:style>
  <w:style w:type="paragraph" w:customStyle="1" w:styleId="CharCharCharChar2">
    <w:name w:val="Char Char Char Char2"/>
    <w:basedOn w:val="Normal"/>
    <w:rsid w:val="00EB45DE"/>
    <w:pPr>
      <w:spacing w:after="160" w:line="240" w:lineRule="exact"/>
    </w:pPr>
    <w:rPr>
      <w:rFonts w:ascii="Verdana" w:eastAsia="Times New Roman" w:hAnsi="Verdana" w:cs="Times New Roman"/>
      <w:sz w:val="20"/>
      <w:lang w:val="en-GB" w:eastAsia="en-US"/>
    </w:rPr>
  </w:style>
  <w:style w:type="paragraph" w:customStyle="1" w:styleId="CharCharCharChar1">
    <w:name w:val="Char Char Char Char1"/>
    <w:basedOn w:val="Normal"/>
    <w:rsid w:val="00EB45DE"/>
    <w:pPr>
      <w:spacing w:after="160" w:line="240" w:lineRule="exact"/>
    </w:pPr>
    <w:rPr>
      <w:rFonts w:ascii="Verdana" w:eastAsia="Times New Roman" w:hAnsi="Verdana" w:cs="Times New Roman"/>
      <w:sz w:val="20"/>
      <w:lang w:val="en-GB" w:eastAsia="en-US"/>
    </w:rPr>
  </w:style>
  <w:style w:type="character" w:customStyle="1" w:styleId="CharChar1">
    <w:name w:val="Char Char1"/>
    <w:locked/>
    <w:rsid w:val="00EB45DE"/>
    <w:rPr>
      <w:rFonts w:ascii="Arial" w:hAnsi="Arial" w:cs="Times New Roman"/>
      <w:lang w:val="en-US" w:eastAsia="en-US" w:bidi="ar-SA"/>
    </w:rPr>
  </w:style>
  <w:style w:type="paragraph" w:customStyle="1" w:styleId="CarCar1">
    <w:name w:val="Car Car1"/>
    <w:basedOn w:val="Normal"/>
    <w:rsid w:val="00EB45DE"/>
    <w:pPr>
      <w:spacing w:after="160" w:line="240" w:lineRule="exact"/>
    </w:pPr>
    <w:rPr>
      <w:rFonts w:ascii="Verdana" w:eastAsia="Times New Roman" w:hAnsi="Verdana" w:cs="Times New Roman"/>
      <w:sz w:val="20"/>
      <w:lang w:val="en-GB" w:eastAsia="en-US"/>
    </w:rPr>
  </w:style>
  <w:style w:type="character" w:customStyle="1" w:styleId="CharChar21">
    <w:name w:val="Char Char21"/>
    <w:rsid w:val="00EB45DE"/>
    <w:rPr>
      <w:rFonts w:ascii="Arial" w:hAnsi="Arial"/>
      <w:lang w:val="en-US" w:eastAsia="en-US" w:bidi="ar-SA"/>
    </w:rPr>
  </w:style>
  <w:style w:type="character" w:customStyle="1" w:styleId="CharChar31">
    <w:name w:val="Char Char31"/>
    <w:rsid w:val="00EB45DE"/>
    <w:rPr>
      <w:rFonts w:ascii="Arial" w:hAnsi="Arial"/>
      <w:lang w:val="en-US" w:eastAsia="en-US" w:bidi="ar-SA"/>
    </w:rPr>
  </w:style>
  <w:style w:type="character" w:customStyle="1" w:styleId="CharChar41">
    <w:name w:val="Char Char41"/>
    <w:rsid w:val="00EB45DE"/>
    <w:rPr>
      <w:rFonts w:ascii="Arial" w:hAnsi="Arial"/>
      <w:lang w:val="en-US" w:eastAsia="en-US" w:bidi="ar-SA"/>
    </w:rPr>
  </w:style>
  <w:style w:type="character" w:customStyle="1" w:styleId="CharChar61">
    <w:name w:val="Char Char61"/>
    <w:rsid w:val="00EB45DE"/>
    <w:rPr>
      <w:rFonts w:ascii="Arial" w:hAnsi="Arial"/>
      <w:lang w:val="en-US" w:eastAsia="en-US" w:bidi="ar-SA"/>
    </w:rPr>
  </w:style>
  <w:style w:type="paragraph" w:customStyle="1" w:styleId="Char1">
    <w:name w:val="Char 字元 字元1"/>
    <w:basedOn w:val="Normal"/>
    <w:rsid w:val="00EB45DE"/>
    <w:pPr>
      <w:spacing w:after="160" w:line="240" w:lineRule="exact"/>
    </w:pPr>
    <w:rPr>
      <w:rFonts w:ascii="Verdana" w:eastAsia="PMingLiU" w:hAnsi="Verdana" w:cs="Times New Roman"/>
      <w:sz w:val="20"/>
      <w:lang w:val="en-US" w:eastAsia="en-US"/>
    </w:rPr>
  </w:style>
  <w:style w:type="table" w:customStyle="1" w:styleId="TableGrid1">
    <w:name w:val="Table Grid1"/>
    <w:basedOn w:val="TableNormal"/>
    <w:next w:val="TableGrid"/>
    <w:uiPriority w:val="59"/>
    <w:rsid w:val="00EB45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EB45DE"/>
    <w:pPr>
      <w:ind w:left="4536"/>
      <w:jc w:val="center"/>
    </w:pPr>
    <w:rPr>
      <w:rFonts w:ascii="Times New Roman" w:eastAsia="Times New Roman" w:hAnsi="Times New Roman" w:cs="Times New Roman"/>
      <w:sz w:val="24"/>
      <w:lang w:val="en-US" w:eastAsia="en-US"/>
    </w:rPr>
  </w:style>
  <w:style w:type="numbering" w:customStyle="1" w:styleId="NoList1">
    <w:name w:val="No List1"/>
    <w:next w:val="NoList"/>
    <w:uiPriority w:val="99"/>
    <w:semiHidden/>
    <w:unhideWhenUsed/>
    <w:rsid w:val="00CA682E"/>
  </w:style>
  <w:style w:type="table" w:customStyle="1" w:styleId="TableGrid2">
    <w:name w:val="Table Grid2"/>
    <w:basedOn w:val="TableNormal"/>
    <w:next w:val="TableGrid"/>
    <w:rsid w:val="00CA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d">
    <w:name w:val="std"/>
    <w:basedOn w:val="Normal"/>
    <w:rsid w:val="003E311F"/>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numPr>
        <w:numId w:val="3"/>
      </w:numPr>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link w:val="Heading4Char"/>
    <w:qFormat/>
    <w:rsid w:val="00A32C9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uiPriority w:val="99"/>
    <w:rsid w:val="00A32C9E"/>
    <w:rPr>
      <w:sz w:val="18"/>
    </w:rPr>
  </w:style>
  <w:style w:type="paragraph" w:styleId="EndnoteText">
    <w:name w:val="endnote text"/>
    <w:basedOn w:val="Normal"/>
    <w:link w:val="EndnoteTextChar"/>
    <w:rsid w:val="00A32C9E"/>
    <w:rPr>
      <w:sz w:val="18"/>
    </w:rPr>
  </w:style>
  <w:style w:type="paragraph" w:styleId="Footer">
    <w:name w:val="footer"/>
    <w:basedOn w:val="Normal"/>
    <w:link w:val="FooterChar"/>
    <w:uiPriority w:val="99"/>
    <w:rsid w:val="00A32C9E"/>
    <w:pPr>
      <w:tabs>
        <w:tab w:val="center" w:pos="4320"/>
        <w:tab w:val="right" w:pos="8640"/>
      </w:tabs>
    </w:pPr>
  </w:style>
  <w:style w:type="paragraph" w:styleId="FootnoteText">
    <w:name w:val="footnote text"/>
    <w:basedOn w:val="Normal"/>
    <w:link w:val="FootnoteTextChar"/>
    <w:uiPriority w:val="99"/>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rsid w:val="00A32C9E"/>
    <w:pPr>
      <w:numPr>
        <w:numId w:val="1"/>
      </w:numPr>
    </w:pPr>
  </w:style>
  <w:style w:type="paragraph" w:customStyle="1" w:styleId="ONUME">
    <w:name w:val="ONUM E"/>
    <w:basedOn w:val="BodyText"/>
    <w:link w:val="ONUMEChar"/>
    <w:rsid w:val="00A32C9E"/>
  </w:style>
  <w:style w:type="paragraph" w:customStyle="1" w:styleId="ONUMFS">
    <w:name w:val="ONUM FS"/>
    <w:basedOn w:val="BodyText"/>
    <w:rsid w:val="00A32C9E"/>
    <w:pPr>
      <w:numPr>
        <w:numId w:val="2"/>
      </w:numPr>
    </w:pPr>
  </w:style>
  <w:style w:type="paragraph" w:styleId="Salutation">
    <w:name w:val="Salutation"/>
    <w:basedOn w:val="Normal"/>
    <w:next w:val="Normal"/>
    <w:link w:val="SalutationChar"/>
    <w:rsid w:val="00A32C9E"/>
  </w:style>
  <w:style w:type="paragraph" w:styleId="Signature">
    <w:name w:val="Signature"/>
    <w:basedOn w:val="Normal"/>
    <w:link w:val="SignatureChar"/>
    <w:rsid w:val="00A32C9E"/>
    <w:pPr>
      <w:ind w:left="5250"/>
    </w:pPr>
  </w:style>
  <w:style w:type="paragraph" w:customStyle="1" w:styleId="DecisionInvitingPara">
    <w:name w:val="Decision Inviting Para."/>
    <w:basedOn w:val="Normal"/>
    <w:link w:val="DecisionInvitingParaChar"/>
    <w:rsid w:val="00966335"/>
    <w:pPr>
      <w:spacing w:after="120" w:line="260" w:lineRule="exact"/>
      <w:ind w:left="5534"/>
    </w:pPr>
    <w:rPr>
      <w:rFonts w:eastAsia="Times New Roman" w:cs="Times New Roman"/>
      <w:i/>
      <w:sz w:val="20"/>
      <w:lang w:val="en-US" w:eastAsia="en-US"/>
    </w:rPr>
  </w:style>
  <w:style w:type="paragraph" w:styleId="ListParagraph">
    <w:name w:val="List Paragraph"/>
    <w:basedOn w:val="Normal"/>
    <w:uiPriority w:val="34"/>
    <w:qFormat/>
    <w:rsid w:val="00966335"/>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966335"/>
    <w:rPr>
      <w:rFonts w:ascii="Arial" w:hAnsi="Arial"/>
      <w:i/>
    </w:rPr>
  </w:style>
  <w:style w:type="character" w:customStyle="1" w:styleId="ONUMEChar">
    <w:name w:val="ONUM E Char"/>
    <w:link w:val="ONUME"/>
    <w:locked/>
    <w:rsid w:val="00966335"/>
    <w:rPr>
      <w:rFonts w:ascii="Arial" w:eastAsia="SimSun" w:hAnsi="Arial" w:cs="Arial"/>
      <w:sz w:val="22"/>
      <w:lang w:val="es-ES" w:eastAsia="zh-CN"/>
    </w:rPr>
  </w:style>
  <w:style w:type="character" w:customStyle="1" w:styleId="FooterChar">
    <w:name w:val="Footer Char"/>
    <w:basedOn w:val="DefaultParagraphFont"/>
    <w:link w:val="Footer"/>
    <w:uiPriority w:val="99"/>
    <w:rsid w:val="00B26D73"/>
    <w:rPr>
      <w:rFonts w:ascii="Arial" w:eastAsia="SimSun" w:hAnsi="Arial" w:cs="Arial"/>
      <w:sz w:val="22"/>
      <w:lang w:val="es-ES" w:eastAsia="zh-CN"/>
    </w:rPr>
  </w:style>
  <w:style w:type="character" w:styleId="FootnoteReference">
    <w:name w:val="footnote reference"/>
    <w:aliases w:val="Footnote"/>
    <w:uiPriority w:val="99"/>
    <w:rsid w:val="00A712D3"/>
    <w:rPr>
      <w:vertAlign w:val="superscript"/>
    </w:rPr>
  </w:style>
  <w:style w:type="character" w:customStyle="1" w:styleId="FootnoteTextChar">
    <w:name w:val="Footnote Text Char"/>
    <w:link w:val="FootnoteText"/>
    <w:uiPriority w:val="99"/>
    <w:locked/>
    <w:rsid w:val="00A712D3"/>
    <w:rPr>
      <w:rFonts w:ascii="Arial" w:eastAsia="SimSun" w:hAnsi="Arial" w:cs="Arial"/>
      <w:sz w:val="18"/>
      <w:lang w:val="es-ES" w:eastAsia="zh-CN"/>
    </w:rPr>
  </w:style>
  <w:style w:type="character" w:customStyle="1" w:styleId="HeaderChar">
    <w:name w:val="Header Char"/>
    <w:basedOn w:val="DefaultParagraphFont"/>
    <w:link w:val="Header"/>
    <w:uiPriority w:val="99"/>
    <w:rsid w:val="00A712D3"/>
    <w:rPr>
      <w:rFonts w:ascii="Arial" w:eastAsia="SimSun" w:hAnsi="Arial" w:cs="Arial"/>
      <w:sz w:val="22"/>
      <w:lang w:val="es-ES" w:eastAsia="zh-CN"/>
    </w:rPr>
  </w:style>
  <w:style w:type="character" w:customStyle="1" w:styleId="Heading1Char">
    <w:name w:val="Heading 1 Char"/>
    <w:basedOn w:val="DefaultParagraphFont"/>
    <w:link w:val="Heading1"/>
    <w:rsid w:val="00A712D3"/>
    <w:rPr>
      <w:rFonts w:ascii="Arial" w:eastAsia="SimSun" w:hAnsi="Arial" w:cs="Arial"/>
      <w:b/>
      <w:bCs/>
      <w:caps/>
      <w:kern w:val="32"/>
      <w:sz w:val="22"/>
      <w:szCs w:val="32"/>
      <w:lang w:val="es-ES" w:eastAsia="zh-CN"/>
    </w:rPr>
  </w:style>
  <w:style w:type="table" w:styleId="TableGrid">
    <w:name w:val="Table Grid"/>
    <w:basedOn w:val="TableNormal"/>
    <w:uiPriority w:val="59"/>
    <w:rsid w:val="00267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2671EB"/>
    <w:pPr>
      <w:spacing w:after="160" w:line="240" w:lineRule="exact"/>
    </w:pPr>
    <w:rPr>
      <w:rFonts w:ascii="Verdana" w:eastAsia="Times New Roman" w:hAnsi="Verdana" w:cs="Times New Roman"/>
      <w:sz w:val="20"/>
      <w:lang w:val="en-GB" w:eastAsia="en-US"/>
    </w:rPr>
  </w:style>
  <w:style w:type="character" w:customStyle="1" w:styleId="BodyTextChar">
    <w:name w:val="Body Text Char"/>
    <w:link w:val="BodyText"/>
    <w:rsid w:val="002671EB"/>
    <w:rPr>
      <w:rFonts w:ascii="Arial" w:eastAsia="SimSun" w:hAnsi="Arial" w:cs="Arial"/>
      <w:sz w:val="22"/>
      <w:lang w:val="es-ES" w:eastAsia="zh-CN"/>
    </w:rPr>
  </w:style>
  <w:style w:type="paragraph" w:styleId="BodyTextIndent">
    <w:name w:val="Body Text Indent"/>
    <w:basedOn w:val="Normal"/>
    <w:link w:val="BodyTextIndentChar"/>
    <w:rsid w:val="002671EB"/>
    <w:pPr>
      <w:ind w:left="567"/>
    </w:pPr>
    <w:rPr>
      <w:rFonts w:eastAsia="Times New Roman" w:cs="Times New Roman"/>
      <w:sz w:val="20"/>
      <w:lang w:val="en-US" w:eastAsia="en-US"/>
    </w:rPr>
  </w:style>
  <w:style w:type="character" w:customStyle="1" w:styleId="BodyTextIndentChar">
    <w:name w:val="Body Text Indent Char"/>
    <w:basedOn w:val="DefaultParagraphFont"/>
    <w:link w:val="BodyTextIndent"/>
    <w:rsid w:val="002671EB"/>
    <w:rPr>
      <w:rFonts w:ascii="Arial" w:hAnsi="Arial"/>
    </w:rPr>
  </w:style>
  <w:style w:type="character" w:styleId="PageNumber">
    <w:name w:val="page number"/>
    <w:basedOn w:val="DefaultParagraphFont"/>
    <w:rsid w:val="002671EB"/>
  </w:style>
  <w:style w:type="character" w:customStyle="1" w:styleId="CharChar">
    <w:name w:val="Char Char"/>
    <w:locked/>
    <w:rsid w:val="002671EB"/>
    <w:rPr>
      <w:rFonts w:ascii="Arial" w:hAnsi="Arial" w:cs="Times New Roman"/>
      <w:lang w:val="en-US" w:eastAsia="en-US" w:bidi="ar-SA"/>
    </w:rPr>
  </w:style>
  <w:style w:type="character" w:styleId="Hyperlink">
    <w:name w:val="Hyperlink"/>
    <w:uiPriority w:val="99"/>
    <w:rsid w:val="002671EB"/>
    <w:rPr>
      <w:color w:val="000099"/>
      <w:u w:val="single"/>
    </w:rPr>
  </w:style>
  <w:style w:type="paragraph" w:styleId="BalloonText">
    <w:name w:val="Balloon Text"/>
    <w:basedOn w:val="Normal"/>
    <w:link w:val="BalloonTextChar"/>
    <w:uiPriority w:val="99"/>
    <w:rsid w:val="002671EB"/>
    <w:rPr>
      <w:rFonts w:ascii="Tahoma" w:eastAsia="Times New Roman" w:hAnsi="Tahoma" w:cs="Tahoma"/>
      <w:sz w:val="16"/>
      <w:szCs w:val="16"/>
      <w:lang w:val="en-US" w:eastAsia="en-US"/>
    </w:rPr>
  </w:style>
  <w:style w:type="character" w:customStyle="1" w:styleId="BalloonTextChar">
    <w:name w:val="Balloon Text Char"/>
    <w:basedOn w:val="DefaultParagraphFont"/>
    <w:link w:val="BalloonText"/>
    <w:uiPriority w:val="99"/>
    <w:rsid w:val="002671EB"/>
    <w:rPr>
      <w:rFonts w:ascii="Tahoma" w:hAnsi="Tahoma" w:cs="Tahoma"/>
      <w:sz w:val="16"/>
      <w:szCs w:val="16"/>
    </w:rPr>
  </w:style>
  <w:style w:type="paragraph" w:customStyle="1" w:styleId="CarCar">
    <w:name w:val="Car Car"/>
    <w:basedOn w:val="Normal"/>
    <w:rsid w:val="002671EB"/>
    <w:pPr>
      <w:spacing w:after="160" w:line="240" w:lineRule="exact"/>
    </w:pPr>
    <w:rPr>
      <w:rFonts w:ascii="Verdana" w:eastAsia="Times New Roman" w:hAnsi="Verdana" w:cs="Times New Roman"/>
      <w:sz w:val="20"/>
      <w:lang w:val="en-GB" w:eastAsia="en-US"/>
    </w:rPr>
  </w:style>
  <w:style w:type="character" w:styleId="CommentReference">
    <w:name w:val="annotation reference"/>
    <w:uiPriority w:val="99"/>
    <w:rsid w:val="002671EB"/>
    <w:rPr>
      <w:sz w:val="16"/>
      <w:szCs w:val="16"/>
    </w:rPr>
  </w:style>
  <w:style w:type="paragraph" w:styleId="CommentSubject">
    <w:name w:val="annotation subject"/>
    <w:basedOn w:val="CommentText"/>
    <w:next w:val="CommentText"/>
    <w:link w:val="CommentSubjectChar"/>
    <w:uiPriority w:val="99"/>
    <w:rsid w:val="002671EB"/>
    <w:rPr>
      <w:rFonts w:eastAsia="Times New Roman" w:cs="Times New Roman"/>
      <w:b/>
      <w:bCs/>
      <w:sz w:val="20"/>
      <w:lang w:val="en-US" w:eastAsia="en-US"/>
    </w:rPr>
  </w:style>
  <w:style w:type="character" w:customStyle="1" w:styleId="CommentTextChar">
    <w:name w:val="Comment Text Char"/>
    <w:basedOn w:val="DefaultParagraphFont"/>
    <w:link w:val="CommentText"/>
    <w:uiPriority w:val="99"/>
    <w:rsid w:val="002671EB"/>
    <w:rPr>
      <w:rFonts w:ascii="Arial" w:eastAsia="SimSun" w:hAnsi="Arial" w:cs="Arial"/>
      <w:sz w:val="18"/>
      <w:lang w:val="es-ES" w:eastAsia="zh-CN"/>
    </w:rPr>
  </w:style>
  <w:style w:type="character" w:customStyle="1" w:styleId="CommentSubjectChar">
    <w:name w:val="Comment Subject Char"/>
    <w:basedOn w:val="CommentTextChar"/>
    <w:link w:val="CommentSubject"/>
    <w:uiPriority w:val="99"/>
    <w:rsid w:val="002671EB"/>
    <w:rPr>
      <w:rFonts w:ascii="Arial" w:eastAsia="SimSun" w:hAnsi="Arial" w:cs="Arial"/>
      <w:b/>
      <w:bCs/>
      <w:sz w:val="18"/>
      <w:lang w:val="es-ES" w:eastAsia="zh-CN"/>
    </w:rPr>
  </w:style>
  <w:style w:type="paragraph" w:customStyle="1" w:styleId="Default">
    <w:name w:val="Default"/>
    <w:rsid w:val="002671EB"/>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2671EB"/>
    <w:rPr>
      <w:rFonts w:ascii="Arial" w:hAnsi="Arial"/>
      <w:lang w:val="en-US" w:eastAsia="en-US" w:bidi="ar-SA"/>
    </w:rPr>
  </w:style>
  <w:style w:type="paragraph" w:styleId="TOC2">
    <w:name w:val="toc 2"/>
    <w:basedOn w:val="Normal"/>
    <w:next w:val="Normal"/>
    <w:autoRedefine/>
    <w:uiPriority w:val="39"/>
    <w:qFormat/>
    <w:rsid w:val="00DD5AB6"/>
    <w:pPr>
      <w:tabs>
        <w:tab w:val="left" w:pos="1560"/>
        <w:tab w:val="right" w:leader="dot" w:pos="9498"/>
      </w:tabs>
      <w:ind w:left="1560" w:right="-143" w:hanging="1360"/>
    </w:pPr>
    <w:rPr>
      <w:rFonts w:asciiTheme="minorHAnsi" w:eastAsia="Times New Roman" w:hAnsiTheme="minorHAnsi" w:cs="Times New Roman"/>
      <w:smallCaps/>
      <w:sz w:val="20"/>
      <w:lang w:val="en-US" w:eastAsia="en-US"/>
    </w:rPr>
  </w:style>
  <w:style w:type="paragraph" w:styleId="TOC1">
    <w:name w:val="toc 1"/>
    <w:basedOn w:val="Normal"/>
    <w:next w:val="Normal"/>
    <w:autoRedefine/>
    <w:uiPriority w:val="39"/>
    <w:qFormat/>
    <w:rsid w:val="00211983"/>
    <w:pPr>
      <w:tabs>
        <w:tab w:val="left" w:pos="426"/>
        <w:tab w:val="right" w:leader="dot" w:pos="9498"/>
      </w:tabs>
      <w:spacing w:before="120" w:after="120"/>
      <w:ind w:left="426" w:right="-143" w:hanging="426"/>
    </w:pPr>
    <w:rPr>
      <w:rFonts w:asciiTheme="minorHAnsi" w:eastAsia="Times New Roman" w:hAnsiTheme="minorHAnsi" w:cs="Times New Roman"/>
      <w:bCs/>
      <w:caps/>
      <w:noProof/>
      <w:szCs w:val="22"/>
      <w:lang w:val="en-US" w:eastAsia="en-US"/>
    </w:rPr>
  </w:style>
  <w:style w:type="paragraph" w:customStyle="1" w:styleId="Indicators">
    <w:name w:val="Indicators"/>
    <w:basedOn w:val="Normal"/>
    <w:link w:val="IndicatorsChar"/>
    <w:rsid w:val="002671EB"/>
    <w:pPr>
      <w:spacing w:before="120"/>
      <w:ind w:left="284" w:right="170"/>
    </w:pPr>
    <w:rPr>
      <w:rFonts w:eastAsia="Times New Roman" w:cs="Times New Roman"/>
      <w:sz w:val="20"/>
      <w:lang w:val="en-US" w:eastAsia="en-US"/>
    </w:rPr>
  </w:style>
  <w:style w:type="character" w:customStyle="1" w:styleId="IndicatorsChar">
    <w:name w:val="Indicators Char"/>
    <w:link w:val="Indicators"/>
    <w:rsid w:val="002671EB"/>
    <w:rPr>
      <w:rFonts w:ascii="Arial" w:hAnsi="Arial"/>
    </w:rPr>
  </w:style>
  <w:style w:type="paragraph" w:customStyle="1" w:styleId="preparedby">
    <w:name w:val="prepared by"/>
    <w:basedOn w:val="Normal"/>
    <w:next w:val="Normal"/>
    <w:rsid w:val="002671EB"/>
    <w:pPr>
      <w:spacing w:after="480" w:line="260" w:lineRule="exact"/>
      <w:ind w:left="1021"/>
    </w:pPr>
    <w:rPr>
      <w:rFonts w:eastAsia="Times New Roman" w:cs="Times New Roman"/>
      <w:i/>
      <w:sz w:val="20"/>
      <w:lang w:val="en-US" w:eastAsia="en-US"/>
    </w:rPr>
  </w:style>
  <w:style w:type="paragraph" w:customStyle="1" w:styleId="Documenttitle">
    <w:name w:val="Document title"/>
    <w:basedOn w:val="Normal"/>
    <w:rsid w:val="002671EB"/>
    <w:pPr>
      <w:spacing w:before="1200" w:after="120" w:line="260" w:lineRule="exact"/>
      <w:ind w:left="1021"/>
    </w:pPr>
    <w:rPr>
      <w:rFonts w:eastAsia="Times New Roman" w:cs="Times New Roman"/>
      <w:b/>
      <w:caps/>
      <w:sz w:val="20"/>
      <w:lang w:val="en-US" w:eastAsia="en-US"/>
    </w:rPr>
  </w:style>
  <w:style w:type="paragraph" w:customStyle="1" w:styleId="MeetinglanguageDate">
    <w:name w:val="Meeting language &amp; Date"/>
    <w:basedOn w:val="Normal"/>
    <w:next w:val="Meetingtitle"/>
    <w:rsid w:val="002671EB"/>
    <w:pPr>
      <w:spacing w:after="1680" w:line="160" w:lineRule="exact"/>
      <w:ind w:left="1021"/>
      <w:contextualSpacing/>
      <w:jc w:val="right"/>
    </w:pPr>
    <w:rPr>
      <w:rFonts w:ascii="Arial Black" w:eastAsia="Times New Roman" w:hAnsi="Arial Black" w:cs="Times New Roman"/>
      <w:b/>
      <w:caps/>
      <w:sz w:val="15"/>
      <w:lang w:val="fr-FR" w:eastAsia="en-US"/>
    </w:rPr>
  </w:style>
  <w:style w:type="paragraph" w:customStyle="1" w:styleId="Language">
    <w:name w:val="Language"/>
    <w:basedOn w:val="Normal"/>
    <w:next w:val="Normal"/>
    <w:autoRedefine/>
    <w:rsid w:val="002671EB"/>
    <w:pPr>
      <w:spacing w:after="120" w:line="340" w:lineRule="atLeast"/>
      <w:ind w:left="1021"/>
      <w:jc w:val="right"/>
    </w:pPr>
    <w:rPr>
      <w:rFonts w:eastAsia="Times New Roman" w:cs="Times New Roman"/>
      <w:b/>
      <w:caps/>
      <w:sz w:val="40"/>
      <w:lang w:val="pt-BR" w:eastAsia="en-US"/>
    </w:rPr>
  </w:style>
  <w:style w:type="paragraph" w:customStyle="1" w:styleId="MeetingCode">
    <w:name w:val="Meeting Code"/>
    <w:basedOn w:val="MeetinglanguageDate"/>
    <w:rsid w:val="002671EB"/>
    <w:pPr>
      <w:spacing w:before="300" w:after="0"/>
    </w:pPr>
  </w:style>
  <w:style w:type="paragraph" w:customStyle="1" w:styleId="Meetingtitle">
    <w:name w:val="Meeting title"/>
    <w:basedOn w:val="Normal"/>
    <w:next w:val="Sessiontitle"/>
    <w:rsid w:val="002671EB"/>
    <w:pPr>
      <w:spacing w:after="360" w:line="336" w:lineRule="exact"/>
      <w:ind w:left="1021"/>
    </w:pPr>
    <w:rPr>
      <w:rFonts w:eastAsia="Times New Roman" w:cs="Times New Roman"/>
      <w:b/>
      <w:sz w:val="28"/>
      <w:lang w:val="fr-FR" w:eastAsia="en-US"/>
    </w:rPr>
  </w:style>
  <w:style w:type="paragraph" w:customStyle="1" w:styleId="Sessiontitle">
    <w:name w:val="Session title"/>
    <w:basedOn w:val="Meetingtitle"/>
    <w:next w:val="Meetingdateplace"/>
    <w:rsid w:val="002671EB"/>
    <w:pPr>
      <w:spacing w:after="0"/>
    </w:pPr>
    <w:rPr>
      <w:sz w:val="24"/>
    </w:rPr>
  </w:style>
  <w:style w:type="paragraph" w:customStyle="1" w:styleId="Meetingdateplace">
    <w:name w:val="Meeting date &amp; place"/>
    <w:basedOn w:val="Sessiontitle"/>
    <w:next w:val="Documenttitle"/>
    <w:rsid w:val="002671EB"/>
    <w:rPr>
      <w:lang w:val="en-US"/>
    </w:rPr>
  </w:style>
  <w:style w:type="character" w:customStyle="1" w:styleId="CharChar3">
    <w:name w:val="Char Char3"/>
    <w:rsid w:val="002671EB"/>
    <w:rPr>
      <w:rFonts w:ascii="Arial" w:hAnsi="Arial"/>
      <w:lang w:val="en-US" w:eastAsia="en-US" w:bidi="ar-SA"/>
    </w:rPr>
  </w:style>
  <w:style w:type="paragraph" w:styleId="BlockText">
    <w:name w:val="Block Text"/>
    <w:basedOn w:val="Normal"/>
    <w:rsid w:val="002671EB"/>
    <w:pPr>
      <w:spacing w:before="60" w:after="60"/>
      <w:ind w:left="266" w:right="142"/>
    </w:pPr>
    <w:rPr>
      <w:rFonts w:eastAsia="Times New Roman" w:cs="Times New Roman"/>
      <w:lang w:val="en-US" w:eastAsia="en-US"/>
    </w:rPr>
  </w:style>
  <w:style w:type="paragraph" w:customStyle="1" w:styleId="BoxText1">
    <w:name w:val="Box Text1"/>
    <w:basedOn w:val="Normal"/>
    <w:rsid w:val="002671EB"/>
    <w:pPr>
      <w:ind w:left="284"/>
    </w:pPr>
    <w:rPr>
      <w:rFonts w:eastAsia="Times New Roman" w:cs="Times New Roman"/>
      <w:snapToGrid w:val="0"/>
      <w:lang w:val="en-US" w:eastAsia="en-US"/>
    </w:rPr>
  </w:style>
  <w:style w:type="paragraph" w:customStyle="1" w:styleId="Normal1">
    <w:name w:val="Normal+1"/>
    <w:basedOn w:val="Normal"/>
    <w:next w:val="Normal"/>
    <w:rsid w:val="002671EB"/>
    <w:pPr>
      <w:autoSpaceDE w:val="0"/>
      <w:autoSpaceDN w:val="0"/>
      <w:adjustRightInd w:val="0"/>
    </w:pPr>
    <w:rPr>
      <w:rFonts w:eastAsia="Times New Roman" w:cs="Times New Roman"/>
      <w:sz w:val="20"/>
      <w:szCs w:val="24"/>
      <w:lang w:val="en-US" w:eastAsia="en-US"/>
    </w:rPr>
  </w:style>
  <w:style w:type="paragraph" w:styleId="NormalWeb">
    <w:name w:val="Normal (Web)"/>
    <w:basedOn w:val="Normal"/>
    <w:uiPriority w:val="99"/>
    <w:rsid w:val="002671EB"/>
    <w:pPr>
      <w:spacing w:before="100" w:beforeAutospacing="1" w:after="100" w:afterAutospacing="1"/>
    </w:pPr>
    <w:rPr>
      <w:rFonts w:eastAsia="Times New Roman"/>
      <w:sz w:val="18"/>
      <w:szCs w:val="18"/>
      <w:lang w:val="en-US" w:eastAsia="en-US"/>
    </w:rPr>
  </w:style>
  <w:style w:type="paragraph" w:styleId="BodyText2">
    <w:name w:val="Body Text 2"/>
    <w:basedOn w:val="Normal"/>
    <w:link w:val="BodyText2Char"/>
    <w:rsid w:val="002671EB"/>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2671EB"/>
    <w:rPr>
      <w:rFonts w:ascii="Arial" w:hAnsi="Arial"/>
      <w:szCs w:val="24"/>
    </w:rPr>
  </w:style>
  <w:style w:type="character" w:customStyle="1" w:styleId="CharChar4">
    <w:name w:val="Char Char4"/>
    <w:rsid w:val="002671EB"/>
    <w:rPr>
      <w:rFonts w:ascii="Arial" w:hAnsi="Arial"/>
      <w:lang w:val="en-US" w:eastAsia="en-US" w:bidi="ar-SA"/>
    </w:rPr>
  </w:style>
  <w:style w:type="character" w:styleId="FollowedHyperlink">
    <w:name w:val="FollowedHyperlink"/>
    <w:rsid w:val="002671EB"/>
    <w:rPr>
      <w:color w:val="606420"/>
      <w:u w:val="single"/>
    </w:rPr>
  </w:style>
  <w:style w:type="paragraph" w:customStyle="1" w:styleId="Meetingplacedate">
    <w:name w:val="Meeting place &amp; date"/>
    <w:basedOn w:val="Sessiontitle"/>
    <w:next w:val="Documenttitle"/>
    <w:rsid w:val="002671EB"/>
    <w:rPr>
      <w:lang w:val="en-US"/>
    </w:rPr>
  </w:style>
  <w:style w:type="character" w:customStyle="1" w:styleId="CharChar6">
    <w:name w:val="Char Char6"/>
    <w:rsid w:val="002671EB"/>
    <w:rPr>
      <w:rFonts w:ascii="Arial" w:hAnsi="Arial"/>
      <w:lang w:val="en-US" w:eastAsia="en-US" w:bidi="ar-SA"/>
    </w:rPr>
  </w:style>
  <w:style w:type="character" w:customStyle="1" w:styleId="Novruzova">
    <w:name w:val="Novruzova"/>
    <w:semiHidden/>
    <w:rsid w:val="002671EB"/>
    <w:rPr>
      <w:rFonts w:ascii="Arial" w:hAnsi="Arial" w:cs="Arial"/>
      <w:color w:val="000080"/>
      <w:sz w:val="20"/>
      <w:szCs w:val="20"/>
    </w:rPr>
  </w:style>
  <w:style w:type="character" w:customStyle="1" w:styleId="description">
    <w:name w:val="description"/>
    <w:basedOn w:val="DefaultParagraphFont"/>
    <w:rsid w:val="002671EB"/>
  </w:style>
  <w:style w:type="paragraph" w:customStyle="1" w:styleId="FreeFormA">
    <w:name w:val="Free Form A"/>
    <w:rsid w:val="002671EB"/>
    <w:rPr>
      <w:rFonts w:ascii="Helvetica" w:eastAsia="ヒラギノ角ゴ Pro W3" w:hAnsi="Helvetica"/>
      <w:color w:val="000000"/>
      <w:sz w:val="24"/>
    </w:rPr>
  </w:style>
  <w:style w:type="paragraph" w:customStyle="1" w:styleId="Char">
    <w:name w:val="Char 字元 字元"/>
    <w:basedOn w:val="Normal"/>
    <w:rsid w:val="002671EB"/>
    <w:pPr>
      <w:spacing w:after="160" w:line="240" w:lineRule="exact"/>
    </w:pPr>
    <w:rPr>
      <w:rFonts w:ascii="Verdana" w:eastAsia="PMingLiU" w:hAnsi="Verdana" w:cs="Times New Roman"/>
      <w:sz w:val="20"/>
      <w:lang w:val="en-US" w:eastAsia="en-US"/>
    </w:rPr>
  </w:style>
  <w:style w:type="character" w:customStyle="1" w:styleId="underline">
    <w:name w:val="underline"/>
    <w:rsid w:val="002671EB"/>
    <w:rPr>
      <w:u w:val="single"/>
    </w:rPr>
  </w:style>
  <w:style w:type="paragraph" w:customStyle="1" w:styleId="FreeForm">
    <w:name w:val="Free Form"/>
    <w:rsid w:val="002671EB"/>
    <w:rPr>
      <w:rFonts w:eastAsia="ヒラギノ角ゴ Pro W3"/>
      <w:color w:val="000000"/>
    </w:rPr>
  </w:style>
  <w:style w:type="paragraph" w:customStyle="1" w:styleId="Heading2A">
    <w:name w:val="Heading 2 A"/>
    <w:next w:val="Normal"/>
    <w:rsid w:val="002671EB"/>
    <w:pPr>
      <w:keepNext/>
      <w:tabs>
        <w:tab w:val="left" w:pos="567"/>
        <w:tab w:val="right" w:pos="9072"/>
      </w:tabs>
      <w:ind w:left="1701" w:hanging="1701"/>
      <w:outlineLvl w:val="1"/>
    </w:pPr>
    <w:rPr>
      <w:rFonts w:ascii="Arial Bold" w:eastAsia="ヒラギノ角ゴ Pro W3" w:hAnsi="Arial Bold"/>
      <w:color w:val="000000"/>
      <w:sz w:val="22"/>
    </w:rPr>
  </w:style>
  <w:style w:type="paragraph" w:customStyle="1" w:styleId="Normal-Header">
    <w:name w:val="Normal-Header"/>
    <w:rsid w:val="002671EB"/>
    <w:rPr>
      <w:rFonts w:ascii="Arial" w:hAnsi="Arial"/>
      <w:sz w:val="16"/>
    </w:rPr>
  </w:style>
  <w:style w:type="character" w:styleId="PlaceholderText">
    <w:name w:val="Placeholder Text"/>
    <w:basedOn w:val="DefaultParagraphFont"/>
    <w:uiPriority w:val="99"/>
    <w:semiHidden/>
    <w:rsid w:val="002671EB"/>
    <w:rPr>
      <w:color w:val="808080"/>
    </w:rPr>
  </w:style>
  <w:style w:type="character" w:customStyle="1" w:styleId="Style5">
    <w:name w:val="Style5"/>
    <w:basedOn w:val="DefaultParagraphFont"/>
    <w:uiPriority w:val="99"/>
    <w:rsid w:val="002671EB"/>
    <w:rPr>
      <w:rFonts w:asciiTheme="minorHAnsi" w:hAnsiTheme="minorHAnsi"/>
      <w:sz w:val="20"/>
    </w:rPr>
  </w:style>
  <w:style w:type="paragraph" w:styleId="Revision">
    <w:name w:val="Revision"/>
    <w:hidden/>
    <w:uiPriority w:val="99"/>
    <w:semiHidden/>
    <w:rsid w:val="002671EB"/>
    <w:rPr>
      <w:rFonts w:ascii="Arial" w:hAnsi="Arial"/>
      <w:szCs w:val="24"/>
    </w:rPr>
  </w:style>
  <w:style w:type="paragraph" w:styleId="TOCHeading">
    <w:name w:val="TOC Heading"/>
    <w:basedOn w:val="Heading1"/>
    <w:next w:val="Normal"/>
    <w:uiPriority w:val="39"/>
    <w:unhideWhenUsed/>
    <w:qFormat/>
    <w:rsid w:val="002671EB"/>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3">
    <w:name w:val="toc 3"/>
    <w:basedOn w:val="Normal"/>
    <w:next w:val="Normal"/>
    <w:autoRedefine/>
    <w:uiPriority w:val="39"/>
    <w:unhideWhenUsed/>
    <w:qFormat/>
    <w:rsid w:val="008F093A"/>
    <w:pPr>
      <w:tabs>
        <w:tab w:val="left" w:pos="1712"/>
        <w:tab w:val="right" w:leader="dot" w:pos="9498"/>
      </w:tabs>
      <w:ind w:left="1701" w:right="-143" w:hanging="1301"/>
    </w:pPr>
    <w:rPr>
      <w:rFonts w:asciiTheme="minorHAnsi" w:eastAsia="Times New Roman" w:hAnsiTheme="minorHAnsi" w:cs="Times New Roman"/>
      <w:i/>
      <w:iCs/>
      <w:noProof/>
      <w:sz w:val="20"/>
      <w:lang w:val="fr-FR" w:eastAsia="en-US"/>
    </w:rPr>
  </w:style>
  <w:style w:type="paragraph" w:styleId="TOC4">
    <w:name w:val="toc 4"/>
    <w:basedOn w:val="Normal"/>
    <w:next w:val="Normal"/>
    <w:autoRedefine/>
    <w:uiPriority w:val="39"/>
    <w:rsid w:val="002671EB"/>
    <w:pPr>
      <w:ind w:left="600"/>
    </w:pPr>
    <w:rPr>
      <w:rFonts w:asciiTheme="minorHAnsi" w:eastAsia="Times New Roman" w:hAnsiTheme="minorHAnsi" w:cs="Times New Roman"/>
      <w:sz w:val="18"/>
      <w:szCs w:val="18"/>
      <w:lang w:val="en-US" w:eastAsia="en-US"/>
    </w:rPr>
  </w:style>
  <w:style w:type="paragraph" w:styleId="TOC5">
    <w:name w:val="toc 5"/>
    <w:basedOn w:val="Normal"/>
    <w:next w:val="Normal"/>
    <w:autoRedefine/>
    <w:rsid w:val="002671EB"/>
    <w:pPr>
      <w:ind w:left="800"/>
    </w:pPr>
    <w:rPr>
      <w:rFonts w:asciiTheme="minorHAnsi" w:eastAsia="Times New Roman" w:hAnsiTheme="minorHAnsi" w:cs="Times New Roman"/>
      <w:sz w:val="18"/>
      <w:szCs w:val="18"/>
      <w:lang w:val="en-US" w:eastAsia="en-US"/>
    </w:rPr>
  </w:style>
  <w:style w:type="paragraph" w:styleId="TOC6">
    <w:name w:val="toc 6"/>
    <w:basedOn w:val="Normal"/>
    <w:next w:val="Normal"/>
    <w:autoRedefine/>
    <w:rsid w:val="002671EB"/>
    <w:pPr>
      <w:ind w:left="1000"/>
    </w:pPr>
    <w:rPr>
      <w:rFonts w:asciiTheme="minorHAnsi" w:eastAsia="Times New Roman" w:hAnsiTheme="minorHAnsi" w:cs="Times New Roman"/>
      <w:sz w:val="18"/>
      <w:szCs w:val="18"/>
      <w:lang w:val="en-US" w:eastAsia="en-US"/>
    </w:rPr>
  </w:style>
  <w:style w:type="paragraph" w:styleId="TOC7">
    <w:name w:val="toc 7"/>
    <w:basedOn w:val="Normal"/>
    <w:next w:val="Normal"/>
    <w:autoRedefine/>
    <w:rsid w:val="002671EB"/>
    <w:pPr>
      <w:ind w:left="1200"/>
    </w:pPr>
    <w:rPr>
      <w:rFonts w:asciiTheme="minorHAnsi" w:eastAsia="Times New Roman" w:hAnsiTheme="minorHAnsi" w:cs="Times New Roman"/>
      <w:sz w:val="18"/>
      <w:szCs w:val="18"/>
      <w:lang w:val="en-US" w:eastAsia="en-US"/>
    </w:rPr>
  </w:style>
  <w:style w:type="paragraph" w:styleId="TOC8">
    <w:name w:val="toc 8"/>
    <w:basedOn w:val="Normal"/>
    <w:next w:val="Normal"/>
    <w:autoRedefine/>
    <w:rsid w:val="002671EB"/>
    <w:pPr>
      <w:ind w:left="1400"/>
    </w:pPr>
    <w:rPr>
      <w:rFonts w:asciiTheme="minorHAnsi" w:eastAsia="Times New Roman" w:hAnsiTheme="minorHAnsi" w:cs="Times New Roman"/>
      <w:sz w:val="18"/>
      <w:szCs w:val="18"/>
      <w:lang w:val="en-US" w:eastAsia="en-US"/>
    </w:rPr>
  </w:style>
  <w:style w:type="paragraph" w:styleId="TOC9">
    <w:name w:val="toc 9"/>
    <w:basedOn w:val="Normal"/>
    <w:next w:val="Normal"/>
    <w:autoRedefine/>
    <w:rsid w:val="002671EB"/>
    <w:pPr>
      <w:ind w:left="1600"/>
    </w:pPr>
    <w:rPr>
      <w:rFonts w:asciiTheme="minorHAnsi" w:eastAsia="Times New Roman" w:hAnsiTheme="minorHAnsi" w:cs="Times New Roman"/>
      <w:sz w:val="18"/>
      <w:szCs w:val="18"/>
      <w:lang w:val="en-US" w:eastAsia="en-US"/>
    </w:rPr>
  </w:style>
  <w:style w:type="character" w:customStyle="1" w:styleId="Heading2Char">
    <w:name w:val="Heading 2 Char"/>
    <w:link w:val="Heading2"/>
    <w:rsid w:val="002671EB"/>
    <w:rPr>
      <w:rFonts w:ascii="Arial" w:eastAsia="SimSun" w:hAnsi="Arial" w:cs="Arial"/>
      <w:bCs/>
      <w:iCs/>
      <w:caps/>
      <w:sz w:val="22"/>
      <w:szCs w:val="28"/>
      <w:lang w:val="es-ES" w:eastAsia="zh-CN"/>
    </w:rPr>
  </w:style>
  <w:style w:type="paragraph" w:styleId="PlainText">
    <w:name w:val="Plain Text"/>
    <w:basedOn w:val="Normal"/>
    <w:link w:val="PlainTextChar"/>
    <w:uiPriority w:val="99"/>
    <w:rsid w:val="002671EB"/>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2671EB"/>
    <w:rPr>
      <w:rFonts w:ascii="Courier New" w:eastAsia="SimSun" w:hAnsi="Courier New" w:cs="Courier New"/>
      <w:color w:val="0000FF"/>
      <w:lang w:eastAsia="zh-CN"/>
    </w:rPr>
  </w:style>
  <w:style w:type="character" w:customStyle="1" w:styleId="Heading3Char">
    <w:name w:val="Heading 3 Char"/>
    <w:basedOn w:val="DefaultParagraphFont"/>
    <w:link w:val="Heading3"/>
    <w:rsid w:val="002671EB"/>
    <w:rPr>
      <w:rFonts w:ascii="Arial" w:eastAsia="SimSun" w:hAnsi="Arial" w:cs="Arial"/>
      <w:bCs/>
      <w:sz w:val="22"/>
      <w:szCs w:val="26"/>
      <w:u w:val="single"/>
      <w:lang w:val="es-ES" w:eastAsia="zh-CN"/>
    </w:rPr>
  </w:style>
  <w:style w:type="paragraph" w:customStyle="1" w:styleId="StyleHeading3BoldNounderline">
    <w:name w:val="Style Heading 3 + Bold No underline"/>
    <w:basedOn w:val="Heading3"/>
    <w:rsid w:val="002671EB"/>
    <w:rPr>
      <w:i/>
      <w:u w:val="none"/>
      <w:lang w:val="en-US" w:eastAsia="en-US"/>
    </w:rPr>
  </w:style>
  <w:style w:type="paragraph" w:customStyle="1" w:styleId="Style1">
    <w:name w:val="Style1"/>
    <w:basedOn w:val="Normal"/>
    <w:qFormat/>
    <w:rsid w:val="002671EB"/>
    <w:pPr>
      <w:numPr>
        <w:numId w:val="7"/>
      </w:numPr>
    </w:pPr>
    <w:rPr>
      <w:rFonts w:eastAsia="Times New Roman" w:cs="Times New Roman"/>
      <w:sz w:val="20"/>
      <w:szCs w:val="24"/>
      <w:lang w:val="en-US" w:eastAsia="en-US"/>
    </w:rPr>
  </w:style>
  <w:style w:type="character" w:customStyle="1" w:styleId="SalutationChar">
    <w:name w:val="Salutation Char"/>
    <w:basedOn w:val="DefaultParagraphFont"/>
    <w:link w:val="Salutation"/>
    <w:rsid w:val="002671EB"/>
    <w:rPr>
      <w:rFonts w:ascii="Arial" w:eastAsia="SimSun" w:hAnsi="Arial" w:cs="Arial"/>
      <w:sz w:val="22"/>
      <w:lang w:val="es-ES" w:eastAsia="zh-CN"/>
    </w:rPr>
  </w:style>
  <w:style w:type="character" w:customStyle="1" w:styleId="SignatureChar">
    <w:name w:val="Signature Char"/>
    <w:basedOn w:val="DefaultParagraphFont"/>
    <w:link w:val="Signature"/>
    <w:rsid w:val="002671EB"/>
    <w:rPr>
      <w:rFonts w:ascii="Arial" w:eastAsia="SimSun" w:hAnsi="Arial" w:cs="Arial"/>
      <w:sz w:val="22"/>
      <w:lang w:val="es-ES" w:eastAsia="zh-CN"/>
    </w:rPr>
  </w:style>
  <w:style w:type="character" w:customStyle="1" w:styleId="EndnoteTextChar">
    <w:name w:val="Endnote Text Char"/>
    <w:basedOn w:val="DefaultParagraphFont"/>
    <w:link w:val="EndnoteText"/>
    <w:rsid w:val="002671EB"/>
    <w:rPr>
      <w:rFonts w:ascii="Arial" w:eastAsia="SimSun" w:hAnsi="Arial" w:cs="Arial"/>
      <w:sz w:val="18"/>
      <w:lang w:val="es-ES" w:eastAsia="zh-CN"/>
    </w:rPr>
  </w:style>
  <w:style w:type="character" w:customStyle="1" w:styleId="st">
    <w:name w:val="st"/>
    <w:basedOn w:val="DefaultParagraphFont"/>
    <w:rsid w:val="002671EB"/>
  </w:style>
  <w:style w:type="paragraph" w:styleId="NoSpacing">
    <w:name w:val="No Spacing"/>
    <w:uiPriority w:val="1"/>
    <w:qFormat/>
    <w:rsid w:val="002671EB"/>
    <w:rPr>
      <w:rFonts w:asciiTheme="minorHAnsi" w:eastAsiaTheme="minorHAnsi" w:hAnsiTheme="minorHAnsi" w:cstheme="minorBidi"/>
      <w:sz w:val="22"/>
      <w:szCs w:val="22"/>
    </w:rPr>
  </w:style>
  <w:style w:type="paragraph" w:customStyle="1" w:styleId="StyleStyleHeading3ComplexItalicLatin12pt">
    <w:name w:val="Style Style Heading 3 + (Complex) Italic + (Latin) 12 pt"/>
    <w:basedOn w:val="Normal"/>
    <w:link w:val="StyleStyleHeading3ComplexItalicLatin12ptChar"/>
    <w:rsid w:val="002671EB"/>
    <w:pPr>
      <w:keepNext/>
      <w:tabs>
        <w:tab w:val="left" w:pos="1985"/>
      </w:tabs>
      <w:outlineLvl w:val="2"/>
    </w:pPr>
    <w:rPr>
      <w:rFonts w:eastAsia="Times New Roman" w:cs="Times New Roman"/>
      <w:b/>
      <w:iCs/>
      <w:caps/>
      <w:sz w:val="20"/>
      <w:szCs w:val="22"/>
      <w:lang w:val="en-US" w:eastAsia="en-US"/>
    </w:rPr>
  </w:style>
  <w:style w:type="character" w:customStyle="1" w:styleId="StyleStyleHeading3ComplexItalicLatin12ptChar">
    <w:name w:val="Style Style Heading 3 + (Complex) Italic + (Latin) 12 pt Char"/>
    <w:basedOn w:val="DefaultParagraphFont"/>
    <w:link w:val="StyleStyleHeading3ComplexItalicLatin12pt"/>
    <w:rsid w:val="002671EB"/>
    <w:rPr>
      <w:rFonts w:ascii="Arial" w:hAnsi="Arial"/>
      <w:b/>
      <w:iCs/>
      <w:caps/>
      <w:szCs w:val="22"/>
    </w:rPr>
  </w:style>
  <w:style w:type="paragraph" w:customStyle="1" w:styleId="Test">
    <w:name w:val="Test"/>
    <w:basedOn w:val="Normal"/>
    <w:qFormat/>
    <w:rsid w:val="002671EB"/>
    <w:pPr>
      <w:numPr>
        <w:numId w:val="8"/>
      </w:numPr>
    </w:pPr>
    <w:rPr>
      <w:rFonts w:eastAsiaTheme="minorHAnsi"/>
      <w:szCs w:val="22"/>
      <w:lang w:val="en-US" w:eastAsia="en-US"/>
    </w:rPr>
  </w:style>
  <w:style w:type="paragraph" w:customStyle="1" w:styleId="StyleHeading214ptAuto">
    <w:name w:val="Style Heading 2 + 14 pt Auto"/>
    <w:basedOn w:val="Heading2"/>
    <w:rsid w:val="002671EB"/>
    <w:pPr>
      <w:keepNext w:val="0"/>
      <w:widowControl w:val="0"/>
      <w:tabs>
        <w:tab w:val="num" w:pos="567"/>
      </w:tabs>
      <w:spacing w:before="0" w:after="0" w:line="300" w:lineRule="atLeast"/>
      <w:ind w:left="567" w:hanging="567"/>
      <w:jc w:val="center"/>
    </w:pPr>
    <w:rPr>
      <w:rFonts w:ascii="Arial Bold" w:eastAsia="Times New Roman" w:hAnsi="Arial Bold" w:cs="Times New Roman"/>
      <w:b/>
      <w:sz w:val="24"/>
      <w:lang w:val="en-GB" w:eastAsia="da-DK"/>
    </w:rPr>
  </w:style>
  <w:style w:type="character" w:customStyle="1" w:styleId="preferred">
    <w:name w:val="preferred"/>
    <w:basedOn w:val="DefaultParagraphFont"/>
    <w:rsid w:val="00B84891"/>
  </w:style>
  <w:style w:type="character" w:styleId="EndnoteReference">
    <w:name w:val="endnote reference"/>
    <w:basedOn w:val="DefaultParagraphFont"/>
    <w:uiPriority w:val="99"/>
    <w:unhideWhenUsed/>
    <w:rsid w:val="0095318C"/>
    <w:rPr>
      <w:vertAlign w:val="superscript"/>
    </w:rPr>
  </w:style>
  <w:style w:type="character" w:styleId="HTMLCite">
    <w:name w:val="HTML Cite"/>
    <w:basedOn w:val="DefaultParagraphFont"/>
    <w:uiPriority w:val="99"/>
    <w:unhideWhenUsed/>
    <w:rsid w:val="0095318C"/>
    <w:rPr>
      <w:i/>
      <w:iCs/>
    </w:rPr>
  </w:style>
  <w:style w:type="character" w:customStyle="1" w:styleId="admitted">
    <w:name w:val="admitted"/>
    <w:basedOn w:val="DefaultParagraphFont"/>
    <w:rsid w:val="00221F0B"/>
  </w:style>
  <w:style w:type="character" w:styleId="Strong">
    <w:name w:val="Strong"/>
    <w:basedOn w:val="DefaultParagraphFont"/>
    <w:uiPriority w:val="22"/>
    <w:qFormat/>
    <w:rsid w:val="00EB45DE"/>
    <w:rPr>
      <w:b/>
      <w:bCs/>
    </w:rPr>
  </w:style>
  <w:style w:type="paragraph" w:customStyle="1" w:styleId="StyleHeading3ComplexItalic">
    <w:name w:val="Style Heading 3 + (Complex) Italic"/>
    <w:basedOn w:val="Heading3"/>
    <w:link w:val="StyleHeading3ComplexItalicChar"/>
    <w:rsid w:val="00EB45DE"/>
    <w:pPr>
      <w:tabs>
        <w:tab w:val="left" w:pos="1985"/>
      </w:tabs>
      <w:spacing w:before="0" w:after="0"/>
    </w:pPr>
    <w:rPr>
      <w:rFonts w:eastAsia="Times New Roman"/>
      <w:b/>
      <w:bCs w:val="0"/>
      <w:iCs/>
      <w:caps/>
      <w:szCs w:val="22"/>
      <w:u w:val="none"/>
      <w:lang w:val="en-US" w:eastAsia="en-US"/>
    </w:rPr>
  </w:style>
  <w:style w:type="character" w:customStyle="1" w:styleId="StyleHeading3ComplexItalicChar">
    <w:name w:val="Style Heading 3 + (Complex) Italic Char"/>
    <w:link w:val="StyleHeading3ComplexItalic"/>
    <w:rsid w:val="00EB45DE"/>
    <w:rPr>
      <w:rFonts w:ascii="Arial" w:hAnsi="Arial" w:cs="Arial"/>
      <w:b/>
      <w:iCs/>
      <w:caps/>
      <w:sz w:val="22"/>
      <w:szCs w:val="22"/>
    </w:rPr>
  </w:style>
  <w:style w:type="character" w:customStyle="1" w:styleId="Heading4Char">
    <w:name w:val="Heading 4 Char"/>
    <w:basedOn w:val="DefaultParagraphFont"/>
    <w:link w:val="Heading4"/>
    <w:rsid w:val="00EB45DE"/>
    <w:rPr>
      <w:rFonts w:ascii="Arial" w:eastAsia="SimSun" w:hAnsi="Arial" w:cs="Arial"/>
      <w:bCs/>
      <w:i/>
      <w:sz w:val="22"/>
      <w:szCs w:val="28"/>
      <w:lang w:val="es-ES" w:eastAsia="zh-CN"/>
    </w:rPr>
  </w:style>
  <w:style w:type="character" w:customStyle="1" w:styleId="hps">
    <w:name w:val="hps"/>
    <w:basedOn w:val="DefaultParagraphFont"/>
    <w:rsid w:val="00EB45DE"/>
  </w:style>
  <w:style w:type="paragraph" w:customStyle="1" w:styleId="Normal-table">
    <w:name w:val="Normal-table"/>
    <w:rsid w:val="00EB45DE"/>
    <w:rPr>
      <w:rFonts w:ascii="Arial" w:eastAsia="Batang" w:hAnsi="Arial"/>
    </w:rPr>
  </w:style>
  <w:style w:type="paragraph" w:customStyle="1" w:styleId="CharCharCharChar2">
    <w:name w:val="Char Char Char Char2"/>
    <w:basedOn w:val="Normal"/>
    <w:rsid w:val="00EB45DE"/>
    <w:pPr>
      <w:spacing w:after="160" w:line="240" w:lineRule="exact"/>
    </w:pPr>
    <w:rPr>
      <w:rFonts w:ascii="Verdana" w:eastAsia="Times New Roman" w:hAnsi="Verdana" w:cs="Times New Roman"/>
      <w:sz w:val="20"/>
      <w:lang w:val="en-GB" w:eastAsia="en-US"/>
    </w:rPr>
  </w:style>
  <w:style w:type="paragraph" w:customStyle="1" w:styleId="CharCharCharChar1">
    <w:name w:val="Char Char Char Char1"/>
    <w:basedOn w:val="Normal"/>
    <w:rsid w:val="00EB45DE"/>
    <w:pPr>
      <w:spacing w:after="160" w:line="240" w:lineRule="exact"/>
    </w:pPr>
    <w:rPr>
      <w:rFonts w:ascii="Verdana" w:eastAsia="Times New Roman" w:hAnsi="Verdana" w:cs="Times New Roman"/>
      <w:sz w:val="20"/>
      <w:lang w:val="en-GB" w:eastAsia="en-US"/>
    </w:rPr>
  </w:style>
  <w:style w:type="character" w:customStyle="1" w:styleId="CharChar1">
    <w:name w:val="Char Char1"/>
    <w:locked/>
    <w:rsid w:val="00EB45DE"/>
    <w:rPr>
      <w:rFonts w:ascii="Arial" w:hAnsi="Arial" w:cs="Times New Roman"/>
      <w:lang w:val="en-US" w:eastAsia="en-US" w:bidi="ar-SA"/>
    </w:rPr>
  </w:style>
  <w:style w:type="paragraph" w:customStyle="1" w:styleId="CarCar1">
    <w:name w:val="Car Car1"/>
    <w:basedOn w:val="Normal"/>
    <w:rsid w:val="00EB45DE"/>
    <w:pPr>
      <w:spacing w:after="160" w:line="240" w:lineRule="exact"/>
    </w:pPr>
    <w:rPr>
      <w:rFonts w:ascii="Verdana" w:eastAsia="Times New Roman" w:hAnsi="Verdana" w:cs="Times New Roman"/>
      <w:sz w:val="20"/>
      <w:lang w:val="en-GB" w:eastAsia="en-US"/>
    </w:rPr>
  </w:style>
  <w:style w:type="character" w:customStyle="1" w:styleId="CharChar21">
    <w:name w:val="Char Char21"/>
    <w:rsid w:val="00EB45DE"/>
    <w:rPr>
      <w:rFonts w:ascii="Arial" w:hAnsi="Arial"/>
      <w:lang w:val="en-US" w:eastAsia="en-US" w:bidi="ar-SA"/>
    </w:rPr>
  </w:style>
  <w:style w:type="character" w:customStyle="1" w:styleId="CharChar31">
    <w:name w:val="Char Char31"/>
    <w:rsid w:val="00EB45DE"/>
    <w:rPr>
      <w:rFonts w:ascii="Arial" w:hAnsi="Arial"/>
      <w:lang w:val="en-US" w:eastAsia="en-US" w:bidi="ar-SA"/>
    </w:rPr>
  </w:style>
  <w:style w:type="character" w:customStyle="1" w:styleId="CharChar41">
    <w:name w:val="Char Char41"/>
    <w:rsid w:val="00EB45DE"/>
    <w:rPr>
      <w:rFonts w:ascii="Arial" w:hAnsi="Arial"/>
      <w:lang w:val="en-US" w:eastAsia="en-US" w:bidi="ar-SA"/>
    </w:rPr>
  </w:style>
  <w:style w:type="character" w:customStyle="1" w:styleId="CharChar61">
    <w:name w:val="Char Char61"/>
    <w:rsid w:val="00EB45DE"/>
    <w:rPr>
      <w:rFonts w:ascii="Arial" w:hAnsi="Arial"/>
      <w:lang w:val="en-US" w:eastAsia="en-US" w:bidi="ar-SA"/>
    </w:rPr>
  </w:style>
  <w:style w:type="paragraph" w:customStyle="1" w:styleId="Char1">
    <w:name w:val="Char 字元 字元1"/>
    <w:basedOn w:val="Normal"/>
    <w:rsid w:val="00EB45DE"/>
    <w:pPr>
      <w:spacing w:after="160" w:line="240" w:lineRule="exact"/>
    </w:pPr>
    <w:rPr>
      <w:rFonts w:ascii="Verdana" w:eastAsia="PMingLiU" w:hAnsi="Verdana" w:cs="Times New Roman"/>
      <w:sz w:val="20"/>
      <w:lang w:val="en-US" w:eastAsia="en-US"/>
    </w:rPr>
  </w:style>
  <w:style w:type="table" w:customStyle="1" w:styleId="TableGrid1">
    <w:name w:val="Table Grid1"/>
    <w:basedOn w:val="TableNormal"/>
    <w:next w:val="TableGrid"/>
    <w:uiPriority w:val="59"/>
    <w:rsid w:val="00EB45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Normal"/>
    <w:rsid w:val="00EB45DE"/>
    <w:pPr>
      <w:ind w:left="4536"/>
      <w:jc w:val="center"/>
    </w:pPr>
    <w:rPr>
      <w:rFonts w:ascii="Times New Roman" w:eastAsia="Times New Roman" w:hAnsi="Times New Roman" w:cs="Times New Roman"/>
      <w:sz w:val="24"/>
      <w:lang w:val="en-US" w:eastAsia="en-US"/>
    </w:rPr>
  </w:style>
  <w:style w:type="numbering" w:customStyle="1" w:styleId="NoList1">
    <w:name w:val="No List1"/>
    <w:next w:val="NoList"/>
    <w:uiPriority w:val="99"/>
    <w:semiHidden/>
    <w:unhideWhenUsed/>
    <w:rsid w:val="00CA682E"/>
  </w:style>
  <w:style w:type="table" w:customStyle="1" w:styleId="TableGrid2">
    <w:name w:val="Table Grid2"/>
    <w:basedOn w:val="TableNormal"/>
    <w:next w:val="TableGrid"/>
    <w:rsid w:val="00CA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d">
    <w:name w:val="std"/>
    <w:basedOn w:val="Normal"/>
    <w:rsid w:val="003E311F"/>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6.emf"/><Relationship Id="rId21" Type="http://schemas.openxmlformats.org/officeDocument/2006/relationships/image" Target="media/image10.emf"/><Relationship Id="rId42" Type="http://schemas.openxmlformats.org/officeDocument/2006/relationships/image" Target="media/image31.emf"/><Relationship Id="rId63" Type="http://schemas.openxmlformats.org/officeDocument/2006/relationships/image" Target="media/image52.emf"/><Relationship Id="rId84" Type="http://schemas.openxmlformats.org/officeDocument/2006/relationships/image" Target="media/image73.emf"/><Relationship Id="rId138" Type="http://schemas.openxmlformats.org/officeDocument/2006/relationships/image" Target="media/image127.emf"/><Relationship Id="rId159" Type="http://schemas.openxmlformats.org/officeDocument/2006/relationships/image" Target="media/image148.emf"/><Relationship Id="rId170" Type="http://schemas.openxmlformats.org/officeDocument/2006/relationships/image" Target="media/image158.emf"/><Relationship Id="rId191" Type="http://schemas.openxmlformats.org/officeDocument/2006/relationships/image" Target="media/image179.emf"/><Relationship Id="rId205"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96.emf"/><Relationship Id="rId11" Type="http://schemas.openxmlformats.org/officeDocument/2006/relationships/header" Target="header2.xm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102" Type="http://schemas.openxmlformats.org/officeDocument/2006/relationships/image" Target="media/image91.emf"/><Relationship Id="rId123" Type="http://schemas.openxmlformats.org/officeDocument/2006/relationships/image" Target="media/image112.emf"/><Relationship Id="rId128" Type="http://schemas.openxmlformats.org/officeDocument/2006/relationships/image" Target="media/image117.emf"/><Relationship Id="rId144" Type="http://schemas.openxmlformats.org/officeDocument/2006/relationships/image" Target="media/image133.emf"/><Relationship Id="rId149" Type="http://schemas.openxmlformats.org/officeDocument/2006/relationships/image" Target="media/image138.emf"/><Relationship Id="rId5" Type="http://schemas.openxmlformats.org/officeDocument/2006/relationships/settings" Target="settings.xml"/><Relationship Id="rId90" Type="http://schemas.openxmlformats.org/officeDocument/2006/relationships/image" Target="media/image79.emf"/><Relationship Id="rId95" Type="http://schemas.openxmlformats.org/officeDocument/2006/relationships/image" Target="media/image84.emf"/><Relationship Id="rId160" Type="http://schemas.openxmlformats.org/officeDocument/2006/relationships/hyperlink" Target="http://www.wipo.int/meetings/en/details.jsp?meeting_id=35262" TargetMode="External"/><Relationship Id="rId165" Type="http://schemas.openxmlformats.org/officeDocument/2006/relationships/image" Target="media/image153.emf"/><Relationship Id="rId181" Type="http://schemas.openxmlformats.org/officeDocument/2006/relationships/image" Target="media/image169.emf"/><Relationship Id="rId186" Type="http://schemas.openxmlformats.org/officeDocument/2006/relationships/image" Target="media/image174.emf"/><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2.emf"/><Relationship Id="rId48" Type="http://schemas.openxmlformats.org/officeDocument/2006/relationships/image" Target="media/image37.emf"/><Relationship Id="rId64" Type="http://schemas.openxmlformats.org/officeDocument/2006/relationships/image" Target="media/image53.emf"/><Relationship Id="rId69" Type="http://schemas.openxmlformats.org/officeDocument/2006/relationships/image" Target="media/image58.emf"/><Relationship Id="rId113" Type="http://schemas.openxmlformats.org/officeDocument/2006/relationships/image" Target="media/image102.emf"/><Relationship Id="rId118" Type="http://schemas.openxmlformats.org/officeDocument/2006/relationships/image" Target="media/image107.emf"/><Relationship Id="rId134" Type="http://schemas.openxmlformats.org/officeDocument/2006/relationships/image" Target="media/image123.emf"/><Relationship Id="rId139" Type="http://schemas.openxmlformats.org/officeDocument/2006/relationships/image" Target="media/image128.emf"/><Relationship Id="rId80" Type="http://schemas.openxmlformats.org/officeDocument/2006/relationships/image" Target="media/image69.emf"/><Relationship Id="rId85" Type="http://schemas.openxmlformats.org/officeDocument/2006/relationships/image" Target="media/image74.emf"/><Relationship Id="rId150" Type="http://schemas.openxmlformats.org/officeDocument/2006/relationships/image" Target="media/image139.emf"/><Relationship Id="rId155" Type="http://schemas.openxmlformats.org/officeDocument/2006/relationships/image" Target="media/image144.emf"/><Relationship Id="rId171" Type="http://schemas.openxmlformats.org/officeDocument/2006/relationships/image" Target="media/image159.emf"/><Relationship Id="rId176" Type="http://schemas.openxmlformats.org/officeDocument/2006/relationships/image" Target="media/image164.emf"/><Relationship Id="rId192" Type="http://schemas.openxmlformats.org/officeDocument/2006/relationships/image" Target="media/image180.emf"/><Relationship Id="rId197" Type="http://schemas.openxmlformats.org/officeDocument/2006/relationships/footer" Target="footer3.xml"/><Relationship Id="rId206" Type="http://schemas.openxmlformats.org/officeDocument/2006/relationships/theme" Target="theme/theme1.xml"/><Relationship Id="rId201" Type="http://schemas.openxmlformats.org/officeDocument/2006/relationships/header" Target="header7.xml"/><Relationship Id="rId12" Type="http://schemas.openxmlformats.org/officeDocument/2006/relationships/footer" Target="footer1.xml"/><Relationship Id="rId17" Type="http://schemas.openxmlformats.org/officeDocument/2006/relationships/image" Target="media/image6.emf"/><Relationship Id="rId33" Type="http://schemas.openxmlformats.org/officeDocument/2006/relationships/image" Target="media/image22.emf"/><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2.emf"/><Relationship Id="rId108" Type="http://schemas.openxmlformats.org/officeDocument/2006/relationships/image" Target="media/image97.emf"/><Relationship Id="rId124" Type="http://schemas.openxmlformats.org/officeDocument/2006/relationships/image" Target="media/image113.emf"/><Relationship Id="rId129" Type="http://schemas.openxmlformats.org/officeDocument/2006/relationships/image" Target="media/image118.emf"/><Relationship Id="rId54" Type="http://schemas.openxmlformats.org/officeDocument/2006/relationships/image" Target="media/image43.emf"/><Relationship Id="rId70" Type="http://schemas.openxmlformats.org/officeDocument/2006/relationships/image" Target="media/image59.emf"/><Relationship Id="rId75" Type="http://schemas.openxmlformats.org/officeDocument/2006/relationships/image" Target="media/image64.emf"/><Relationship Id="rId91" Type="http://schemas.openxmlformats.org/officeDocument/2006/relationships/image" Target="media/image80.emf"/><Relationship Id="rId96" Type="http://schemas.openxmlformats.org/officeDocument/2006/relationships/image" Target="media/image85.emf"/><Relationship Id="rId140" Type="http://schemas.openxmlformats.org/officeDocument/2006/relationships/image" Target="media/image129.emf"/><Relationship Id="rId145" Type="http://schemas.openxmlformats.org/officeDocument/2006/relationships/image" Target="media/image134.emf"/><Relationship Id="rId161" Type="http://schemas.openxmlformats.org/officeDocument/2006/relationships/image" Target="media/image149.emf"/><Relationship Id="rId166" Type="http://schemas.openxmlformats.org/officeDocument/2006/relationships/image" Target="media/image154.emf"/><Relationship Id="rId182" Type="http://schemas.openxmlformats.org/officeDocument/2006/relationships/image" Target="media/image170.emf"/><Relationship Id="rId187" Type="http://schemas.openxmlformats.org/officeDocument/2006/relationships/image" Target="media/image175.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8.emf"/><Relationship Id="rId114" Type="http://schemas.openxmlformats.org/officeDocument/2006/relationships/image" Target="media/image103.emf"/><Relationship Id="rId119" Type="http://schemas.openxmlformats.org/officeDocument/2006/relationships/image" Target="media/image108.emf"/><Relationship Id="rId44" Type="http://schemas.openxmlformats.org/officeDocument/2006/relationships/image" Target="media/image33.emf"/><Relationship Id="rId60" Type="http://schemas.openxmlformats.org/officeDocument/2006/relationships/image" Target="media/image49.emf"/><Relationship Id="rId65" Type="http://schemas.openxmlformats.org/officeDocument/2006/relationships/image" Target="media/image54.emf"/><Relationship Id="rId81" Type="http://schemas.openxmlformats.org/officeDocument/2006/relationships/image" Target="media/image70.emf"/><Relationship Id="rId86" Type="http://schemas.openxmlformats.org/officeDocument/2006/relationships/image" Target="media/image75.emf"/><Relationship Id="rId130" Type="http://schemas.openxmlformats.org/officeDocument/2006/relationships/image" Target="media/image119.emf"/><Relationship Id="rId135" Type="http://schemas.openxmlformats.org/officeDocument/2006/relationships/image" Target="media/image124.png"/><Relationship Id="rId151" Type="http://schemas.openxmlformats.org/officeDocument/2006/relationships/image" Target="media/image140.emf"/><Relationship Id="rId156" Type="http://schemas.openxmlformats.org/officeDocument/2006/relationships/image" Target="media/image145.emf"/><Relationship Id="rId177" Type="http://schemas.openxmlformats.org/officeDocument/2006/relationships/image" Target="media/image165.emf"/><Relationship Id="rId198" Type="http://schemas.openxmlformats.org/officeDocument/2006/relationships/header" Target="header5.xml"/><Relationship Id="rId172" Type="http://schemas.openxmlformats.org/officeDocument/2006/relationships/image" Target="media/image160.emf"/><Relationship Id="rId193" Type="http://schemas.openxmlformats.org/officeDocument/2006/relationships/image" Target="media/image181.emf"/><Relationship Id="rId202" Type="http://schemas.openxmlformats.org/officeDocument/2006/relationships/footer" Target="footer5.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image" Target="media/image9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97" Type="http://schemas.openxmlformats.org/officeDocument/2006/relationships/image" Target="media/image86.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4.emf"/><Relationship Id="rId141" Type="http://schemas.openxmlformats.org/officeDocument/2006/relationships/image" Target="media/image130.emf"/><Relationship Id="rId146" Type="http://schemas.openxmlformats.org/officeDocument/2006/relationships/image" Target="media/image135.emf"/><Relationship Id="rId167" Type="http://schemas.openxmlformats.org/officeDocument/2006/relationships/image" Target="media/image155.emf"/><Relationship Id="rId188" Type="http://schemas.openxmlformats.org/officeDocument/2006/relationships/image" Target="media/image176.emf"/><Relationship Id="rId7" Type="http://schemas.openxmlformats.org/officeDocument/2006/relationships/footnotes" Target="footnotes.xml"/><Relationship Id="rId71" Type="http://schemas.openxmlformats.org/officeDocument/2006/relationships/image" Target="media/image60.emf"/><Relationship Id="rId92" Type="http://schemas.openxmlformats.org/officeDocument/2006/relationships/image" Target="media/image81.emf"/><Relationship Id="rId162" Type="http://schemas.openxmlformats.org/officeDocument/2006/relationships/image" Target="media/image150.emf"/><Relationship Id="rId183" Type="http://schemas.openxmlformats.org/officeDocument/2006/relationships/image" Target="media/image171.emf"/><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emf"/><Relationship Id="rId87" Type="http://schemas.openxmlformats.org/officeDocument/2006/relationships/image" Target="media/image76.emf"/><Relationship Id="rId110" Type="http://schemas.openxmlformats.org/officeDocument/2006/relationships/image" Target="media/image99.emf"/><Relationship Id="rId115" Type="http://schemas.openxmlformats.org/officeDocument/2006/relationships/image" Target="media/image104.emf"/><Relationship Id="rId131" Type="http://schemas.openxmlformats.org/officeDocument/2006/relationships/image" Target="media/image120.emf"/><Relationship Id="rId136" Type="http://schemas.openxmlformats.org/officeDocument/2006/relationships/image" Target="media/image125.emf"/><Relationship Id="rId157" Type="http://schemas.openxmlformats.org/officeDocument/2006/relationships/image" Target="media/image146.emf"/><Relationship Id="rId178" Type="http://schemas.openxmlformats.org/officeDocument/2006/relationships/image" Target="media/image166.emf"/><Relationship Id="rId61" Type="http://schemas.openxmlformats.org/officeDocument/2006/relationships/image" Target="media/image50.emf"/><Relationship Id="rId82" Type="http://schemas.openxmlformats.org/officeDocument/2006/relationships/image" Target="media/image71.emf"/><Relationship Id="rId152" Type="http://schemas.openxmlformats.org/officeDocument/2006/relationships/image" Target="media/image141.emf"/><Relationship Id="rId173" Type="http://schemas.openxmlformats.org/officeDocument/2006/relationships/image" Target="media/image161.emf"/><Relationship Id="rId194" Type="http://schemas.openxmlformats.org/officeDocument/2006/relationships/header" Target="header3.xml"/><Relationship Id="rId199" Type="http://schemas.openxmlformats.org/officeDocument/2006/relationships/footer" Target="footer4.xml"/><Relationship Id="rId203" Type="http://schemas.openxmlformats.org/officeDocument/2006/relationships/header" Target="header8.xml"/><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emf"/><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6.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image" Target="media/image115.emf"/><Relationship Id="rId147" Type="http://schemas.openxmlformats.org/officeDocument/2006/relationships/image" Target="media/image136.emf"/><Relationship Id="rId168" Type="http://schemas.openxmlformats.org/officeDocument/2006/relationships/image" Target="media/image156.emf"/><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1.emf"/><Relationship Id="rId93" Type="http://schemas.openxmlformats.org/officeDocument/2006/relationships/image" Target="media/image82.emf"/><Relationship Id="rId98" Type="http://schemas.openxmlformats.org/officeDocument/2006/relationships/image" Target="media/image87.emf"/><Relationship Id="rId121" Type="http://schemas.openxmlformats.org/officeDocument/2006/relationships/image" Target="media/image110.emf"/><Relationship Id="rId142" Type="http://schemas.openxmlformats.org/officeDocument/2006/relationships/image" Target="media/image131.emf"/><Relationship Id="rId163" Type="http://schemas.openxmlformats.org/officeDocument/2006/relationships/image" Target="media/image151.emf"/><Relationship Id="rId184" Type="http://schemas.openxmlformats.org/officeDocument/2006/relationships/image" Target="media/image172.emf"/><Relationship Id="rId189" Type="http://schemas.openxmlformats.org/officeDocument/2006/relationships/image" Target="media/image177.emf"/><Relationship Id="rId3" Type="http://schemas.openxmlformats.org/officeDocument/2006/relationships/styles" Target="styles.xml"/><Relationship Id="rId25" Type="http://schemas.openxmlformats.org/officeDocument/2006/relationships/image" Target="media/image14.emf"/><Relationship Id="rId46" Type="http://schemas.openxmlformats.org/officeDocument/2006/relationships/image" Target="media/image35.emf"/><Relationship Id="rId67" Type="http://schemas.openxmlformats.org/officeDocument/2006/relationships/image" Target="media/image56.emf"/><Relationship Id="rId116" Type="http://schemas.openxmlformats.org/officeDocument/2006/relationships/image" Target="media/image105.emf"/><Relationship Id="rId137" Type="http://schemas.openxmlformats.org/officeDocument/2006/relationships/image" Target="media/image126.emf"/><Relationship Id="rId158" Type="http://schemas.openxmlformats.org/officeDocument/2006/relationships/image" Target="media/image147.emf"/><Relationship Id="rId20" Type="http://schemas.openxmlformats.org/officeDocument/2006/relationships/image" Target="media/image9.emf"/><Relationship Id="rId41" Type="http://schemas.openxmlformats.org/officeDocument/2006/relationships/image" Target="media/image30.emf"/><Relationship Id="rId62" Type="http://schemas.openxmlformats.org/officeDocument/2006/relationships/image" Target="media/image51.emf"/><Relationship Id="rId83" Type="http://schemas.openxmlformats.org/officeDocument/2006/relationships/image" Target="media/image72.emf"/><Relationship Id="rId88" Type="http://schemas.openxmlformats.org/officeDocument/2006/relationships/image" Target="media/image77.emf"/><Relationship Id="rId111" Type="http://schemas.openxmlformats.org/officeDocument/2006/relationships/image" Target="media/image100.emf"/><Relationship Id="rId132" Type="http://schemas.openxmlformats.org/officeDocument/2006/relationships/image" Target="media/image121.png"/><Relationship Id="rId153" Type="http://schemas.openxmlformats.org/officeDocument/2006/relationships/image" Target="media/image142.emf"/><Relationship Id="rId174" Type="http://schemas.openxmlformats.org/officeDocument/2006/relationships/image" Target="media/image162.emf"/><Relationship Id="rId179" Type="http://schemas.openxmlformats.org/officeDocument/2006/relationships/image" Target="media/image167.emf"/><Relationship Id="rId195" Type="http://schemas.openxmlformats.org/officeDocument/2006/relationships/header" Target="header4.xml"/><Relationship Id="rId190" Type="http://schemas.openxmlformats.org/officeDocument/2006/relationships/image" Target="media/image178.emf"/><Relationship Id="rId204" Type="http://schemas.openxmlformats.org/officeDocument/2006/relationships/footer" Target="footer6.xml"/><Relationship Id="rId15" Type="http://schemas.openxmlformats.org/officeDocument/2006/relationships/image" Target="media/image4.emf"/><Relationship Id="rId36" Type="http://schemas.openxmlformats.org/officeDocument/2006/relationships/image" Target="media/image25.emf"/><Relationship Id="rId57" Type="http://schemas.openxmlformats.org/officeDocument/2006/relationships/image" Target="media/image46.emf"/><Relationship Id="rId106" Type="http://schemas.openxmlformats.org/officeDocument/2006/relationships/image" Target="media/image95.emf"/><Relationship Id="rId127" Type="http://schemas.openxmlformats.org/officeDocument/2006/relationships/image" Target="media/image116.emf"/><Relationship Id="rId10" Type="http://schemas.openxmlformats.org/officeDocument/2006/relationships/header" Target="header1.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2.emf"/><Relationship Id="rId78" Type="http://schemas.openxmlformats.org/officeDocument/2006/relationships/image" Target="media/image67.emf"/><Relationship Id="rId94" Type="http://schemas.openxmlformats.org/officeDocument/2006/relationships/image" Target="media/image83.emf"/><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143" Type="http://schemas.openxmlformats.org/officeDocument/2006/relationships/image" Target="media/image132.emf"/><Relationship Id="rId148" Type="http://schemas.openxmlformats.org/officeDocument/2006/relationships/image" Target="media/image137.emf"/><Relationship Id="rId164" Type="http://schemas.openxmlformats.org/officeDocument/2006/relationships/image" Target="media/image152.emf"/><Relationship Id="rId169" Type="http://schemas.openxmlformats.org/officeDocument/2006/relationships/image" Target="media/image157.emf"/><Relationship Id="rId185" Type="http://schemas.openxmlformats.org/officeDocument/2006/relationships/image" Target="media/image173.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8.emf"/><Relationship Id="rId26" Type="http://schemas.openxmlformats.org/officeDocument/2006/relationships/image" Target="media/image15.emf"/><Relationship Id="rId47" Type="http://schemas.openxmlformats.org/officeDocument/2006/relationships/image" Target="media/image36.emf"/><Relationship Id="rId68" Type="http://schemas.openxmlformats.org/officeDocument/2006/relationships/image" Target="media/image57.emf"/><Relationship Id="rId89" Type="http://schemas.openxmlformats.org/officeDocument/2006/relationships/image" Target="media/image78.emf"/><Relationship Id="rId112" Type="http://schemas.openxmlformats.org/officeDocument/2006/relationships/image" Target="media/image101.emf"/><Relationship Id="rId133" Type="http://schemas.openxmlformats.org/officeDocument/2006/relationships/image" Target="media/image122.png"/><Relationship Id="rId154" Type="http://schemas.openxmlformats.org/officeDocument/2006/relationships/image" Target="media/image143.emf"/><Relationship Id="rId175" Type="http://schemas.openxmlformats.org/officeDocument/2006/relationships/image" Target="media/image163.emf"/><Relationship Id="rId196" Type="http://schemas.openxmlformats.org/officeDocument/2006/relationships/footer" Target="footer2.xml"/><Relationship Id="rId200"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edocs/mdocs/mdocs/en/ompi_pi_dak_15/ompi_pi_dak_15_www_319536.pdf" TargetMode="External"/><Relationship Id="rId13" Type="http://schemas.openxmlformats.org/officeDocument/2006/relationships/hyperlink" Target="http://www.wipo.int/publications/en/details.jsp?id=3893&amp;plang=EN" TargetMode="External"/><Relationship Id="rId18" Type="http://schemas.openxmlformats.org/officeDocument/2006/relationships/hyperlink" Target="http://www.wipo.int/about-wipo/en/oversight/iaod/pdf/qa_report.pdf" TargetMode="External"/><Relationship Id="rId3" Type="http://schemas.openxmlformats.org/officeDocument/2006/relationships/hyperlink" Target="file:///\\Wipogvafs01\DAT2\ORGLAN\SHARED\LANS%20New\Archivo\Fernando%20Puchol\39474\madrid.qp@wipo.int" TargetMode="External"/><Relationship Id="rId21" Type="http://schemas.openxmlformats.org/officeDocument/2006/relationships/hyperlink" Target="http://www.wipo.int/publications/en/details.jsp?id=259&amp;plang=EN" TargetMode="External"/><Relationship Id="rId7" Type="http://schemas.openxmlformats.org/officeDocument/2006/relationships/hyperlink" Target="http://www.wipo.int/cooperation/es/south_south/" TargetMode="External"/><Relationship Id="rId12" Type="http://schemas.openxmlformats.org/officeDocument/2006/relationships/hyperlink" Target="http://www.wipo.int/publications/en/details.jsp?id=3912&amp;plang=EN" TargetMode="External"/><Relationship Id="rId17" Type="http://schemas.openxmlformats.org/officeDocument/2006/relationships/hyperlink" Target="http://www.wipo.int/export/sites/www/research/en/docs/wipo_research_external_review.pdf" TargetMode="External"/><Relationship Id="rId2" Type="http://schemas.openxmlformats.org/officeDocument/2006/relationships/hyperlink" Target="http://www.wipo.int/edocs/pubdocs/en/wipo_pub_1043.pdf" TargetMode="External"/><Relationship Id="rId16" Type="http://schemas.openxmlformats.org/officeDocument/2006/relationships/hyperlink" Target="http://www.wipo.int/publications/en/details.jsp?id=3924&amp;plang=EN" TargetMode="External"/><Relationship Id="rId20" Type="http://schemas.openxmlformats.org/officeDocument/2006/relationships/hyperlink" Target="http://www.wipo.int/about-wipo/en/oversight/pdf/external_quality_assessment_wipo_investigation_function.pdf" TargetMode="External"/><Relationship Id="rId1" Type="http://schemas.openxmlformats.org/officeDocument/2006/relationships/hyperlink" Target="http://www.wipo.int/meetings/en/doc_details.jsp?doc_id=327197" TargetMode="External"/><Relationship Id="rId6" Type="http://schemas.openxmlformats.org/officeDocument/2006/relationships/hyperlink" Target="http://www.sida.se/English/publications/Publication_database/publications-by-year1/2015/march/evaluation-of-sidas-international-training-programmes-in-intellectual-property---final-report/" TargetMode="External"/><Relationship Id="rId11" Type="http://schemas.openxmlformats.org/officeDocument/2006/relationships/hyperlink" Target="http://www.wipo.int/publications/en/details.jsp?id=3887&amp;plang=EN" TargetMode="External"/><Relationship Id="rId5" Type="http://schemas.openxmlformats.org/officeDocument/2006/relationships/hyperlink" Target="http://www.wipo.int/meetings/es/doc_details.jsp?doc_id=239806" TargetMode="External"/><Relationship Id="rId15" Type="http://schemas.openxmlformats.org/officeDocument/2006/relationships/hyperlink" Target="http://www.wipo.int/publications/en/details.jsp?id=3891&amp;plang=EN" TargetMode="External"/><Relationship Id="rId10" Type="http://schemas.openxmlformats.org/officeDocument/2006/relationships/hyperlink" Target="http://www.wipo.int/edocs/mdocs/africa/en/ompi_pi_dak_15/ompi_pi_dak_15_declaration.pdf" TargetMode="External"/><Relationship Id="rId19" Type="http://schemas.openxmlformats.org/officeDocument/2006/relationships/hyperlink" Target="http://www.wipo.int/about-wipo/en/oversight/iaod/pdf/eqa_report.pdf" TargetMode="External"/><Relationship Id="rId4" Type="http://schemas.openxmlformats.org/officeDocument/2006/relationships/hyperlink" Target="http://www.wipo.int/meetings/es/doc_details.jsp?doc_id=208882" TargetMode="External"/><Relationship Id="rId9" Type="http://schemas.openxmlformats.org/officeDocument/2006/relationships/hyperlink" Target="http://www.wipo.int/export/sites/www/cooperation/es/pdf/ta_manual.pdf" TargetMode="External"/><Relationship Id="rId14" Type="http://schemas.openxmlformats.org/officeDocument/2006/relationships/hyperlink" Target="http://www.wipo.int/publications/en/details.jsp?id=3990&amp;plang=EN" TargetMode="External"/><Relationship Id="rId22" Type="http://schemas.openxmlformats.org/officeDocument/2006/relationships/hyperlink" Target="http://www.uibm.gov.it/attachments/FINAL%20Guide_for_IP%20Agri-food%20SME%20_Italian_publication_EN_GBA-Jaiy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5%20(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5D7E3-68EC-4802-9F7D-620AC1A30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25 (S)</Template>
  <TotalTime>0</TotalTime>
  <Pages>372</Pages>
  <Words>146744</Words>
  <Characters>836444</Characters>
  <Application>Microsoft Office Word</Application>
  <DocSecurity>4</DocSecurity>
  <Lines>6970</Lines>
  <Paragraphs>1962</Paragraphs>
  <ScaleCrop>false</ScaleCrop>
  <HeadingPairs>
    <vt:vector size="2" baseType="variant">
      <vt:variant>
        <vt:lpstr>Title</vt:lpstr>
      </vt:variant>
      <vt:variant>
        <vt:i4>1</vt:i4>
      </vt:variant>
    </vt:vector>
  </HeadingPairs>
  <TitlesOfParts>
    <vt:vector size="1" baseType="lpstr">
      <vt:lpstr>WO/PBC/25/7</vt:lpstr>
    </vt:vector>
  </TitlesOfParts>
  <Company>WIPO</Company>
  <LinksUpToDate>false</LinksUpToDate>
  <CharactersWithSpaces>981226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WO/PBC/25/7</dc:title>
  <dc:creator>CEVALLOS DUQUE Nilo</dc:creator>
  <cp:lastModifiedBy>NETTER Iza</cp:lastModifiedBy>
  <cp:revision>2</cp:revision>
  <cp:lastPrinted>2016-07-01T12:46:00Z</cp:lastPrinted>
  <dcterms:created xsi:type="dcterms:W3CDTF">2016-07-04T08:54:00Z</dcterms:created>
  <dcterms:modified xsi:type="dcterms:W3CDTF">2016-07-04T08:54:00Z</dcterms:modified>
</cp:coreProperties>
</file>