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86B9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86B9B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86B9B" w:rsidRDefault="004E5843" w:rsidP="00AB613D">
            <w:r w:rsidRPr="00E86B9B">
              <w:rPr>
                <w:noProof/>
                <w:lang w:val="en-US" w:eastAsia="en-US"/>
              </w:rPr>
              <w:drawing>
                <wp:inline distT="0" distB="0" distL="0" distR="0" wp14:anchorId="2BDA432F" wp14:editId="6F50352B">
                  <wp:extent cx="1856105" cy="1323975"/>
                  <wp:effectExtent l="0" t="0" r="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86B9B" w:rsidRDefault="00E504E5" w:rsidP="00AB613D">
            <w:pPr>
              <w:jc w:val="right"/>
            </w:pPr>
            <w:r w:rsidRPr="00E86B9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86B9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86B9B" w:rsidRDefault="004E5843" w:rsidP="004E58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6B9B"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="00FB06FD" w:rsidRPr="00E86B9B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E86B9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86B9B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6B9B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FB06FD" w:rsidRPr="00E86B9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E86B9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86B9B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6B9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86B9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FB06FD" w:rsidRPr="00E86B9B">
              <w:rPr>
                <w:rFonts w:ascii="Arial Black" w:hAnsi="Arial Black"/>
                <w:caps/>
                <w:sz w:val="15"/>
              </w:rPr>
              <w:t>7 DE JULIO DE 2016</w:t>
            </w:r>
          </w:p>
        </w:tc>
      </w:tr>
    </w:tbl>
    <w:p w:rsidR="008B2CC1" w:rsidRPr="00E86B9B" w:rsidRDefault="008B2CC1" w:rsidP="008B2CC1"/>
    <w:p w:rsidR="008B2CC1" w:rsidRPr="00E86B9B" w:rsidRDefault="008B2CC1" w:rsidP="008B2CC1"/>
    <w:p w:rsidR="008B2CC1" w:rsidRPr="00E86B9B" w:rsidRDefault="008B2CC1" w:rsidP="008B2CC1"/>
    <w:p w:rsidR="008B2CC1" w:rsidRPr="00E86B9B" w:rsidRDefault="008B2CC1" w:rsidP="008B2CC1"/>
    <w:p w:rsidR="008B2CC1" w:rsidRPr="00E86B9B" w:rsidRDefault="008B2CC1" w:rsidP="008B2CC1"/>
    <w:p w:rsidR="00B67CDC" w:rsidRPr="00E86B9B" w:rsidRDefault="004E5843" w:rsidP="00B67CDC">
      <w:pPr>
        <w:rPr>
          <w:b/>
          <w:sz w:val="28"/>
          <w:szCs w:val="28"/>
        </w:rPr>
      </w:pPr>
      <w:r w:rsidRPr="00E86B9B">
        <w:rPr>
          <w:b/>
          <w:sz w:val="28"/>
          <w:szCs w:val="28"/>
        </w:rPr>
        <w:t>Comité del Programa y Presupuesto</w:t>
      </w:r>
    </w:p>
    <w:p w:rsidR="003845C1" w:rsidRPr="00E86B9B" w:rsidRDefault="003845C1" w:rsidP="003845C1"/>
    <w:p w:rsidR="003845C1" w:rsidRPr="00E86B9B" w:rsidRDefault="003845C1" w:rsidP="003845C1"/>
    <w:p w:rsidR="00B67CDC" w:rsidRPr="00E86B9B" w:rsidRDefault="004E5843" w:rsidP="00B67CDC">
      <w:pPr>
        <w:rPr>
          <w:b/>
          <w:sz w:val="24"/>
          <w:szCs w:val="24"/>
        </w:rPr>
      </w:pPr>
      <w:r w:rsidRPr="00E86B9B">
        <w:rPr>
          <w:b/>
          <w:sz w:val="24"/>
          <w:szCs w:val="24"/>
        </w:rPr>
        <w:t>Vigesimoquinta s</w:t>
      </w:r>
      <w:r w:rsidR="00B67CDC" w:rsidRPr="00E86B9B">
        <w:rPr>
          <w:b/>
          <w:sz w:val="24"/>
          <w:szCs w:val="24"/>
        </w:rPr>
        <w:t>esión</w:t>
      </w:r>
    </w:p>
    <w:p w:rsidR="00B67CDC" w:rsidRPr="00E86B9B" w:rsidRDefault="004E5843" w:rsidP="00B67CDC">
      <w:pPr>
        <w:rPr>
          <w:b/>
          <w:sz w:val="24"/>
          <w:szCs w:val="24"/>
        </w:rPr>
      </w:pPr>
      <w:r w:rsidRPr="00E86B9B">
        <w:rPr>
          <w:b/>
          <w:sz w:val="24"/>
          <w:szCs w:val="24"/>
        </w:rPr>
        <w:t>Ginebra, 29 de agosto a 2 de septiembre de 2016</w:t>
      </w:r>
    </w:p>
    <w:p w:rsidR="008B2CC1" w:rsidRPr="00E86B9B" w:rsidRDefault="008B2CC1" w:rsidP="008B2CC1"/>
    <w:p w:rsidR="008B2CC1" w:rsidRPr="00E86B9B" w:rsidRDefault="008B2CC1" w:rsidP="008B2CC1"/>
    <w:p w:rsidR="008B2CC1" w:rsidRPr="00E86B9B" w:rsidRDefault="008B2CC1" w:rsidP="008B2CC1"/>
    <w:p w:rsidR="001B435F" w:rsidRPr="00E86B9B" w:rsidRDefault="007E709E" w:rsidP="001B435F">
      <w:pPr>
        <w:rPr>
          <w:caps/>
          <w:sz w:val="24"/>
        </w:rPr>
      </w:pPr>
      <w:bookmarkStart w:id="3" w:name="TitleOfDoc"/>
      <w:bookmarkEnd w:id="3"/>
      <w:r w:rsidRPr="00E86B9B">
        <w:rPr>
          <w:caps/>
          <w:sz w:val="24"/>
        </w:rPr>
        <w:t xml:space="preserve">informe </w:t>
      </w:r>
      <w:r w:rsidR="001B435F" w:rsidRPr="00E86B9B">
        <w:rPr>
          <w:caps/>
          <w:sz w:val="24"/>
        </w:rPr>
        <w:t xml:space="preserve">final </w:t>
      </w:r>
      <w:r w:rsidRPr="00E86B9B">
        <w:rPr>
          <w:caps/>
          <w:sz w:val="24"/>
        </w:rPr>
        <w:t xml:space="preserve">sobre el proyecto de construcción del nuevo edificio y </w:t>
      </w:r>
      <w:r w:rsidR="00844F19" w:rsidRPr="00E86B9B">
        <w:rPr>
          <w:caps/>
          <w:sz w:val="24"/>
        </w:rPr>
        <w:t>e</w:t>
      </w:r>
      <w:r w:rsidRPr="00E86B9B">
        <w:rPr>
          <w:caps/>
          <w:sz w:val="24"/>
        </w:rPr>
        <w:t>l proyecto de construcción de la nueva sala de conferencias</w:t>
      </w:r>
    </w:p>
    <w:p w:rsidR="001B435F" w:rsidRPr="00E86B9B" w:rsidRDefault="001B435F" w:rsidP="001B435F"/>
    <w:p w:rsidR="001B435F" w:rsidRPr="00E86B9B" w:rsidRDefault="007E709E" w:rsidP="001B435F">
      <w:pPr>
        <w:rPr>
          <w:i/>
        </w:rPr>
      </w:pPr>
      <w:bookmarkStart w:id="4" w:name="Prepared"/>
      <w:bookmarkEnd w:id="4"/>
      <w:r w:rsidRPr="00E86B9B">
        <w:rPr>
          <w:i/>
        </w:rPr>
        <w:t>p</w:t>
      </w:r>
      <w:r w:rsidR="001B435F" w:rsidRPr="00E86B9B">
        <w:rPr>
          <w:i/>
        </w:rPr>
        <w:t>repar</w:t>
      </w:r>
      <w:r w:rsidRPr="00E86B9B">
        <w:rPr>
          <w:i/>
        </w:rPr>
        <w:t>ado por la Secretaría</w:t>
      </w:r>
    </w:p>
    <w:p w:rsidR="001B435F" w:rsidRPr="00E86B9B" w:rsidRDefault="001B435F" w:rsidP="001B435F"/>
    <w:p w:rsidR="001B435F" w:rsidRPr="00E86B9B" w:rsidRDefault="001B435F" w:rsidP="001B435F"/>
    <w:p w:rsidR="001B435F" w:rsidRPr="00E86B9B" w:rsidRDefault="001B435F" w:rsidP="001B435F"/>
    <w:p w:rsidR="001B435F" w:rsidRPr="00E86B9B" w:rsidRDefault="001B435F" w:rsidP="001B435F"/>
    <w:p w:rsidR="001B435F" w:rsidRPr="00E86B9B" w:rsidRDefault="001B435F" w:rsidP="001B435F">
      <w:pPr>
        <w:rPr>
          <w:b/>
        </w:rPr>
      </w:pPr>
      <w:r w:rsidRPr="00E86B9B">
        <w:rPr>
          <w:b/>
        </w:rPr>
        <w:t>INTRODUC</w:t>
      </w:r>
      <w:r w:rsidR="007E709E" w:rsidRPr="00E86B9B">
        <w:rPr>
          <w:b/>
        </w:rPr>
        <w:t>CIÓN</w:t>
      </w:r>
      <w:r w:rsidR="00ED04B5" w:rsidRPr="00E86B9B">
        <w:rPr>
          <w:b/>
        </w:rPr>
        <w:t xml:space="preserve"> </w:t>
      </w:r>
    </w:p>
    <w:p w:rsidR="001446D8" w:rsidRPr="00E86B9B" w:rsidRDefault="001446D8" w:rsidP="001B435F">
      <w:pPr>
        <w:rPr>
          <w:b/>
        </w:rPr>
      </w:pPr>
    </w:p>
    <w:p w:rsidR="001B435F" w:rsidRPr="00E86B9B" w:rsidRDefault="001B435F" w:rsidP="001B435F"/>
    <w:p w:rsidR="001B435F" w:rsidRPr="00E86B9B" w:rsidRDefault="007E709E" w:rsidP="001B435F">
      <w:pPr>
        <w:numPr>
          <w:ilvl w:val="0"/>
          <w:numId w:val="7"/>
        </w:numPr>
      </w:pPr>
      <w:r w:rsidRPr="00E86B9B">
        <w:t xml:space="preserve">La finalidad del presente documento es suministrar al Comité del Programa y Presupuesto </w:t>
      </w:r>
      <w:r w:rsidR="001B435F" w:rsidRPr="00E86B9B">
        <w:t>(“e</w:t>
      </w:r>
      <w:r w:rsidRPr="00E86B9B">
        <w:t>l</w:t>
      </w:r>
      <w:r w:rsidR="001B435F" w:rsidRPr="00E86B9B">
        <w:t xml:space="preserve"> PBC”) </w:t>
      </w:r>
      <w:r w:rsidRPr="00E86B9B">
        <w:t xml:space="preserve">el informe final sobre </w:t>
      </w:r>
      <w:r w:rsidR="002057BB" w:rsidRPr="00E86B9B">
        <w:t xml:space="preserve">el proyecto de </w:t>
      </w:r>
      <w:r w:rsidR="00B02E6F" w:rsidRPr="00E86B9B">
        <w:t>construcción</w:t>
      </w:r>
      <w:r w:rsidR="002057BB" w:rsidRPr="00E86B9B">
        <w:t xml:space="preserve"> del nuevo edificio y el proyecto de construcción de la nueva sala de conferencias</w:t>
      </w:r>
      <w:r w:rsidR="0053335B" w:rsidRPr="00E86B9B">
        <w:t>,</w:t>
      </w:r>
      <w:r w:rsidR="002057BB" w:rsidRPr="00E86B9B">
        <w:t xml:space="preserve"> que abarca el período transcurrido desde septiembre de </w:t>
      </w:r>
      <w:r w:rsidR="001B435F" w:rsidRPr="00E86B9B">
        <w:t xml:space="preserve">2015, </w:t>
      </w:r>
      <w:r w:rsidR="002057BB" w:rsidRPr="00E86B9B">
        <w:t xml:space="preserve">fecha en la que se presentó al PBC el </w:t>
      </w:r>
      <w:r w:rsidR="00B02E6F" w:rsidRPr="00E86B9B">
        <w:t>último</w:t>
      </w:r>
      <w:r w:rsidR="002057BB" w:rsidRPr="00E86B9B">
        <w:t xml:space="preserve"> informe sobre la marcha de los proyectos </w:t>
      </w:r>
      <w:r w:rsidR="001B435F" w:rsidRPr="00E86B9B">
        <w:t>(document</w:t>
      </w:r>
      <w:r w:rsidR="002057BB" w:rsidRPr="00E86B9B">
        <w:t>o</w:t>
      </w:r>
      <w:r w:rsidR="001B435F" w:rsidRPr="00E86B9B">
        <w:t xml:space="preserve"> WO/PBC/24/13).  </w:t>
      </w:r>
      <w:r w:rsidR="002057BB" w:rsidRPr="00E86B9B">
        <w:t xml:space="preserve">En el informe también se </w:t>
      </w:r>
      <w:r w:rsidR="00B02E6F" w:rsidRPr="00E86B9B">
        <w:t>exponen</w:t>
      </w:r>
      <w:r w:rsidR="002057BB" w:rsidRPr="00E86B9B">
        <w:t xml:space="preserve"> las </w:t>
      </w:r>
      <w:r w:rsidR="00890160" w:rsidRPr="00E86B9B">
        <w:t>conclusiones obtenidas</w:t>
      </w:r>
      <w:r w:rsidR="008E4BF7" w:rsidRPr="00E86B9B">
        <w:t xml:space="preserve"> </w:t>
      </w:r>
      <w:r w:rsidR="0053335B" w:rsidRPr="00E86B9B">
        <w:t xml:space="preserve">en el marco de </w:t>
      </w:r>
      <w:r w:rsidR="002057BB" w:rsidRPr="00E86B9B">
        <w:t xml:space="preserve">la gestión de </w:t>
      </w:r>
      <w:r w:rsidR="0053335B" w:rsidRPr="00E86B9B">
        <w:t xml:space="preserve">los dos </w:t>
      </w:r>
      <w:r w:rsidR="002057BB" w:rsidRPr="00E86B9B">
        <w:t>proyectos</w:t>
      </w:r>
      <w:r w:rsidR="001B435F" w:rsidRPr="00E86B9B">
        <w:t>.</w:t>
      </w:r>
    </w:p>
    <w:p w:rsidR="007E709E" w:rsidRPr="00E86B9B" w:rsidRDefault="007E709E" w:rsidP="007E709E"/>
    <w:p w:rsidR="001B435F" w:rsidRPr="00E86B9B" w:rsidRDefault="001B435F" w:rsidP="00CD7FB3">
      <w:pPr>
        <w:rPr>
          <w:b/>
        </w:rPr>
      </w:pPr>
      <w:r w:rsidRPr="00E86B9B">
        <w:rPr>
          <w:b/>
        </w:rPr>
        <w:t>A.</w:t>
      </w:r>
      <w:r w:rsidR="00AD44E6" w:rsidRPr="00E86B9B">
        <w:rPr>
          <w:b/>
        </w:rPr>
        <w:tab/>
      </w:r>
      <w:r w:rsidR="002057BB" w:rsidRPr="00E86B9B">
        <w:rPr>
          <w:b/>
        </w:rPr>
        <w:t xml:space="preserve">INFORME FINAL </w:t>
      </w:r>
      <w:r w:rsidR="00CC4094" w:rsidRPr="00E86B9B">
        <w:rPr>
          <w:b/>
        </w:rPr>
        <w:t>DE</w:t>
      </w:r>
      <w:r w:rsidR="002057BB" w:rsidRPr="00E86B9B">
        <w:rPr>
          <w:b/>
        </w:rPr>
        <w:t xml:space="preserve"> LAS OPERACIONES</w:t>
      </w:r>
    </w:p>
    <w:p w:rsidR="001B435F" w:rsidRPr="00E86B9B" w:rsidRDefault="001B435F" w:rsidP="00CD7FB3"/>
    <w:p w:rsidR="001B435F" w:rsidRPr="00E86B9B" w:rsidRDefault="008E4BF7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El único elemento importante pendiente de finalización </w:t>
      </w:r>
      <w:r w:rsidR="009D37CA" w:rsidRPr="00E86B9B">
        <w:rPr>
          <w:lang w:val="es-ES"/>
        </w:rPr>
        <w:t xml:space="preserve">a finales de 2015 en relación con el proyecto de construcción del nuevo edificio eran </w:t>
      </w:r>
      <w:r w:rsidR="00934084" w:rsidRPr="00E86B9B">
        <w:rPr>
          <w:lang w:val="es-ES"/>
        </w:rPr>
        <w:t>l</w:t>
      </w:r>
      <w:r w:rsidRPr="00E86B9B">
        <w:rPr>
          <w:lang w:val="es-ES"/>
        </w:rPr>
        <w:t xml:space="preserve">os trabajos </w:t>
      </w:r>
      <w:r w:rsidR="00934084" w:rsidRPr="00E86B9B">
        <w:rPr>
          <w:lang w:val="es-ES"/>
        </w:rPr>
        <w:t xml:space="preserve">de sustitución y reparación de las ventanas </w:t>
      </w:r>
      <w:r w:rsidR="00890160" w:rsidRPr="00E86B9B">
        <w:rPr>
          <w:lang w:val="es-ES"/>
        </w:rPr>
        <w:t>d</w:t>
      </w:r>
      <w:r w:rsidR="00934084" w:rsidRPr="00E86B9B">
        <w:rPr>
          <w:lang w:val="es-ES"/>
        </w:rPr>
        <w:t xml:space="preserve">e la planta baja, que </w:t>
      </w:r>
      <w:r w:rsidR="00907D62" w:rsidRPr="00E86B9B">
        <w:rPr>
          <w:lang w:val="es-ES"/>
        </w:rPr>
        <w:t xml:space="preserve">fueron </w:t>
      </w:r>
      <w:r w:rsidR="00934084" w:rsidRPr="00E86B9B">
        <w:rPr>
          <w:lang w:val="es-ES"/>
        </w:rPr>
        <w:t xml:space="preserve">debidamente </w:t>
      </w:r>
      <w:r w:rsidR="00907D62" w:rsidRPr="00E86B9B">
        <w:rPr>
          <w:lang w:val="es-ES"/>
        </w:rPr>
        <w:t xml:space="preserve">finalizados </w:t>
      </w:r>
      <w:r w:rsidR="00CD7FB3" w:rsidRPr="00E86B9B">
        <w:rPr>
          <w:lang w:val="es-ES"/>
        </w:rPr>
        <w:t>a mediados de diciembre de </w:t>
      </w:r>
      <w:r w:rsidR="00934084" w:rsidRPr="00E86B9B">
        <w:rPr>
          <w:lang w:val="es-ES"/>
        </w:rPr>
        <w:t>2015 y</w:t>
      </w:r>
      <w:r w:rsidRPr="00E86B9B">
        <w:rPr>
          <w:lang w:val="es-ES"/>
        </w:rPr>
        <w:t xml:space="preserve"> financiad</w:t>
      </w:r>
      <w:r w:rsidR="00907D62" w:rsidRPr="00E86B9B">
        <w:rPr>
          <w:lang w:val="es-ES"/>
        </w:rPr>
        <w:t>o</w:t>
      </w:r>
      <w:r w:rsidRPr="00E86B9B">
        <w:rPr>
          <w:lang w:val="es-ES"/>
        </w:rPr>
        <w:t xml:space="preserve">s con </w:t>
      </w:r>
      <w:r w:rsidR="00934084" w:rsidRPr="00E86B9B">
        <w:rPr>
          <w:lang w:val="es-ES"/>
        </w:rPr>
        <w:t>fondos retenidos al anterior contratista general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>Con el propósito de ser exhaustivos</w:t>
      </w:r>
      <w:r w:rsidR="001B435F" w:rsidRPr="00E86B9B">
        <w:rPr>
          <w:lang w:val="es-ES"/>
        </w:rPr>
        <w:t xml:space="preserve">, </w:t>
      </w:r>
      <w:r w:rsidR="00FB5D87" w:rsidRPr="00E86B9B">
        <w:rPr>
          <w:lang w:val="es-ES"/>
        </w:rPr>
        <w:t xml:space="preserve">cabe destacar el aplazamiento en </w:t>
      </w:r>
      <w:r w:rsidR="003B697E" w:rsidRPr="00E86B9B">
        <w:rPr>
          <w:lang w:val="es-ES"/>
        </w:rPr>
        <w:t xml:space="preserve">la </w:t>
      </w:r>
      <w:r w:rsidRPr="00E86B9B">
        <w:rPr>
          <w:lang w:val="es-ES"/>
        </w:rPr>
        <w:t xml:space="preserve">ejecución </w:t>
      </w:r>
      <w:r w:rsidR="003B697E" w:rsidRPr="00E86B9B">
        <w:rPr>
          <w:lang w:val="es-ES"/>
        </w:rPr>
        <w:t>de varios elementos de menor alcance, debido principalmente a una cuestión de planificación del trabajo</w:t>
      </w:r>
      <w:r w:rsidR="00FB5D87" w:rsidRPr="00E86B9B">
        <w:rPr>
          <w:lang w:val="es-ES"/>
        </w:rPr>
        <w:t xml:space="preserve">.  La previsión actual es que </w:t>
      </w:r>
      <w:r w:rsidR="003B697E" w:rsidRPr="00E86B9B">
        <w:rPr>
          <w:lang w:val="es-ES"/>
        </w:rPr>
        <w:t xml:space="preserve">estos elementos se solventen antes de finales de </w:t>
      </w:r>
      <w:r w:rsidR="001B435F" w:rsidRPr="00E86B9B">
        <w:rPr>
          <w:lang w:val="es-ES"/>
        </w:rPr>
        <w:t xml:space="preserve">2016.  </w:t>
      </w:r>
      <w:r w:rsidR="003B697E" w:rsidRPr="00E86B9B">
        <w:rPr>
          <w:lang w:val="es-ES"/>
        </w:rPr>
        <w:t xml:space="preserve">Los </w:t>
      </w:r>
      <w:r w:rsidR="00FB5D87" w:rsidRPr="00E86B9B">
        <w:rPr>
          <w:lang w:val="es-ES"/>
        </w:rPr>
        <w:t xml:space="preserve">correspondientes </w:t>
      </w:r>
      <w:r w:rsidR="003B697E" w:rsidRPr="00E86B9B">
        <w:rPr>
          <w:lang w:val="es-ES"/>
        </w:rPr>
        <w:t xml:space="preserve">compromisos se </w:t>
      </w:r>
      <w:r w:rsidR="00FB5D87" w:rsidRPr="00E86B9B">
        <w:rPr>
          <w:lang w:val="es-ES"/>
        </w:rPr>
        <w:t xml:space="preserve">recogen </w:t>
      </w:r>
      <w:r w:rsidR="003B697E" w:rsidRPr="00E86B9B">
        <w:rPr>
          <w:lang w:val="es-ES"/>
        </w:rPr>
        <w:t>en el Anexo</w:t>
      </w:r>
      <w:r w:rsidR="001B435F" w:rsidRPr="00E86B9B">
        <w:rPr>
          <w:lang w:val="es-ES"/>
        </w:rPr>
        <w:t xml:space="preserve"> II.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56788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Del </w:t>
      </w:r>
      <w:r w:rsidR="00FB5D87" w:rsidRPr="00E86B9B">
        <w:rPr>
          <w:lang w:val="es-ES"/>
        </w:rPr>
        <w:t xml:space="preserve">mismo modo, </w:t>
      </w:r>
      <w:r w:rsidR="003B697E" w:rsidRPr="00E86B9B">
        <w:rPr>
          <w:lang w:val="es-ES"/>
        </w:rPr>
        <w:t xml:space="preserve">en lo que se refiere al proyecto de construcción de la nueva sala de conferencias, </w:t>
      </w:r>
      <w:r w:rsidR="00FB5D87" w:rsidRPr="00E86B9B">
        <w:rPr>
          <w:lang w:val="es-ES"/>
        </w:rPr>
        <w:t xml:space="preserve">tuvieron que aplazarse </w:t>
      </w:r>
      <w:r w:rsidR="003B697E" w:rsidRPr="00E86B9B">
        <w:rPr>
          <w:lang w:val="es-ES"/>
        </w:rPr>
        <w:t xml:space="preserve">una serie de elementos </w:t>
      </w:r>
      <w:r w:rsidR="00C776F9" w:rsidRPr="00E86B9B">
        <w:rPr>
          <w:lang w:val="es-ES"/>
        </w:rPr>
        <w:t>secundarios pendientes</w:t>
      </w:r>
      <w:r w:rsidR="003B697E" w:rsidRPr="00E86B9B">
        <w:rPr>
          <w:lang w:val="es-ES"/>
        </w:rPr>
        <w:t xml:space="preserve">, pero </w:t>
      </w:r>
      <w:r w:rsidR="00FB5D87" w:rsidRPr="00E86B9B">
        <w:rPr>
          <w:lang w:val="es-ES"/>
        </w:rPr>
        <w:t xml:space="preserve">se </w:t>
      </w:r>
      <w:r w:rsidR="00FB5D87" w:rsidRPr="00E86B9B">
        <w:rPr>
          <w:lang w:val="es-ES"/>
        </w:rPr>
        <w:lastRenderedPageBreak/>
        <w:t xml:space="preserve">prevé que estén finalizados </w:t>
      </w:r>
      <w:r w:rsidR="003B697E" w:rsidRPr="00E86B9B">
        <w:rPr>
          <w:lang w:val="es-ES"/>
        </w:rPr>
        <w:t xml:space="preserve">antes </w:t>
      </w:r>
      <w:r w:rsidR="00890160" w:rsidRPr="00E86B9B">
        <w:rPr>
          <w:lang w:val="es-ES"/>
        </w:rPr>
        <w:t>de finales</w:t>
      </w:r>
      <w:r w:rsidR="003B697E" w:rsidRPr="00E86B9B">
        <w:rPr>
          <w:lang w:val="es-ES"/>
        </w:rPr>
        <w:t xml:space="preserve"> </w:t>
      </w:r>
      <w:r w:rsidR="00890160" w:rsidRPr="00E86B9B">
        <w:rPr>
          <w:lang w:val="es-ES"/>
        </w:rPr>
        <w:t>de</w:t>
      </w:r>
      <w:r w:rsidR="003B697E" w:rsidRPr="00E86B9B">
        <w:rPr>
          <w:lang w:val="es-ES"/>
        </w:rPr>
        <w:t xml:space="preserve"> </w:t>
      </w:r>
      <w:r w:rsidR="001B435F" w:rsidRPr="00E86B9B">
        <w:rPr>
          <w:lang w:val="es-ES"/>
        </w:rPr>
        <w:t xml:space="preserve">2016.  </w:t>
      </w:r>
      <w:r w:rsidR="003B697E" w:rsidRPr="00E86B9B">
        <w:rPr>
          <w:lang w:val="es-ES"/>
        </w:rPr>
        <w:t xml:space="preserve">Los </w:t>
      </w:r>
      <w:r w:rsidR="00FB5D87" w:rsidRPr="00E86B9B">
        <w:rPr>
          <w:lang w:val="es-ES"/>
        </w:rPr>
        <w:t xml:space="preserve">correspondientes </w:t>
      </w:r>
      <w:r w:rsidR="003B697E" w:rsidRPr="00E86B9B">
        <w:rPr>
          <w:lang w:val="es-ES"/>
        </w:rPr>
        <w:t xml:space="preserve">compromisos </w:t>
      </w:r>
      <w:r w:rsidR="00FB5D87" w:rsidRPr="00E86B9B">
        <w:rPr>
          <w:lang w:val="es-ES"/>
        </w:rPr>
        <w:t>se recogen</w:t>
      </w:r>
      <w:r w:rsidR="003B697E" w:rsidRPr="00E86B9B">
        <w:rPr>
          <w:lang w:val="es-ES"/>
        </w:rPr>
        <w:t xml:space="preserve"> en el Anexo </w:t>
      </w:r>
      <w:r w:rsidRPr="00E86B9B">
        <w:rPr>
          <w:lang w:val="es-ES"/>
        </w:rPr>
        <w:t>II.</w:t>
      </w:r>
    </w:p>
    <w:p w:rsidR="001B435F" w:rsidRPr="00E86B9B" w:rsidRDefault="001B435F" w:rsidP="00CD7FB3"/>
    <w:p w:rsidR="001B435F" w:rsidRPr="00E86B9B" w:rsidRDefault="001B435F" w:rsidP="00CD7FB3">
      <w:pPr>
        <w:rPr>
          <w:b/>
        </w:rPr>
      </w:pPr>
      <w:r w:rsidRPr="00E86B9B">
        <w:rPr>
          <w:b/>
        </w:rPr>
        <w:t>B.</w:t>
      </w:r>
      <w:r w:rsidR="00AD44E6" w:rsidRPr="00E86B9B">
        <w:rPr>
          <w:b/>
        </w:rPr>
        <w:tab/>
      </w:r>
      <w:r w:rsidR="002057BB" w:rsidRPr="00E86B9B">
        <w:rPr>
          <w:b/>
        </w:rPr>
        <w:t>RESUMEN DE LA SITUACIÓN DEL PRESUPUESTO Y LOS GASTOS</w:t>
      </w:r>
      <w:r w:rsidRPr="00E86B9B">
        <w:rPr>
          <w:b/>
        </w:rPr>
        <w:t xml:space="preserve"> </w:t>
      </w:r>
    </w:p>
    <w:p w:rsidR="001B435F" w:rsidRPr="00E86B9B" w:rsidRDefault="001B435F" w:rsidP="00CD7FB3"/>
    <w:p w:rsidR="001B435F" w:rsidRPr="00E86B9B" w:rsidRDefault="00880FDF" w:rsidP="00CD7FB3">
      <w:pPr>
        <w:numPr>
          <w:ilvl w:val="0"/>
          <w:numId w:val="7"/>
        </w:numPr>
      </w:pPr>
      <w:r w:rsidRPr="00E86B9B">
        <w:t>Respecto del</w:t>
      </w:r>
      <w:r w:rsidR="00046C27" w:rsidRPr="00E86B9B">
        <w:t xml:space="preserve"> proyecto de construcción de</w:t>
      </w:r>
      <w:r w:rsidR="00330442" w:rsidRPr="00E86B9B">
        <w:t>l nuevo edificio</w:t>
      </w:r>
      <w:r w:rsidR="001B435F" w:rsidRPr="00E86B9B">
        <w:t xml:space="preserve">, </w:t>
      </w:r>
      <w:r w:rsidR="00046C27" w:rsidRPr="00E86B9B">
        <w:t xml:space="preserve">en la fecha de publicación del presente documento, el total de los recursos no </w:t>
      </w:r>
      <w:r w:rsidR="00890160" w:rsidRPr="00E86B9B">
        <w:t>utilizados</w:t>
      </w:r>
      <w:r w:rsidR="00046C27" w:rsidRPr="00E86B9B">
        <w:t xml:space="preserve"> y no comprometidos ascend</w:t>
      </w:r>
      <w:r w:rsidR="00CE62E1" w:rsidRPr="00E86B9B">
        <w:t>ía</w:t>
      </w:r>
      <w:r w:rsidR="00046C27" w:rsidRPr="00E86B9B">
        <w:t xml:space="preserve"> a </w:t>
      </w:r>
      <w:r w:rsidR="001B435F" w:rsidRPr="00E86B9B">
        <w:t>167</w:t>
      </w:r>
      <w:r w:rsidR="00046C27" w:rsidRPr="00E86B9B">
        <w:t>.</w:t>
      </w:r>
      <w:r w:rsidR="001B435F" w:rsidRPr="00E86B9B">
        <w:t>308 </w:t>
      </w:r>
      <w:r w:rsidR="00046C27" w:rsidRPr="00E86B9B">
        <w:t>francos suizos</w:t>
      </w:r>
      <w:r w:rsidR="001B435F" w:rsidRPr="00E86B9B">
        <w:t xml:space="preserve">.  </w:t>
      </w:r>
      <w:r w:rsidR="00046C27" w:rsidRPr="00E86B9B">
        <w:t>C</w:t>
      </w:r>
      <w:r w:rsidR="00890160" w:rsidRPr="00E86B9B">
        <w:t xml:space="preserve">abe compararlo </w:t>
      </w:r>
      <w:r w:rsidR="00046C27" w:rsidRPr="00E86B9B">
        <w:t>con el presupuesto revisado de</w:t>
      </w:r>
      <w:r w:rsidR="009C0D8E" w:rsidRPr="00E86B9B">
        <w:t> </w:t>
      </w:r>
      <w:r w:rsidR="001B435F" w:rsidRPr="00E86B9B">
        <w:t>157</w:t>
      </w:r>
      <w:r w:rsidR="00046C27" w:rsidRPr="00E86B9B">
        <w:t>.</w:t>
      </w:r>
      <w:r w:rsidR="001B435F" w:rsidRPr="00E86B9B">
        <w:t>642</w:t>
      </w:r>
      <w:r w:rsidR="00046C27" w:rsidRPr="00E86B9B">
        <w:t>.</w:t>
      </w:r>
      <w:r w:rsidR="001B435F" w:rsidRPr="00E86B9B">
        <w:t>643 </w:t>
      </w:r>
      <w:r w:rsidR="00046C27" w:rsidRPr="00E86B9B">
        <w:t xml:space="preserve">francos suizos que había sido aprobado por las Asambleas hasta </w:t>
      </w:r>
      <w:r w:rsidR="001B435F" w:rsidRPr="00E86B9B">
        <w:t>2015 (</w:t>
      </w:r>
      <w:r w:rsidR="00046C27" w:rsidRPr="00E86B9B">
        <w:t xml:space="preserve">véase el </w:t>
      </w:r>
      <w:r w:rsidR="001B435F" w:rsidRPr="00E86B9B">
        <w:t>An</w:t>
      </w:r>
      <w:r w:rsidR="00046C27" w:rsidRPr="00E86B9B">
        <w:t>e</w:t>
      </w:r>
      <w:r w:rsidR="001B435F" w:rsidRPr="00E86B9B">
        <w:t>x</w:t>
      </w:r>
      <w:r w:rsidR="00046C27" w:rsidRPr="00E86B9B">
        <w:t>o</w:t>
      </w:r>
      <w:r w:rsidR="001B435F" w:rsidRPr="00E86B9B">
        <w:t xml:space="preserve"> II).  </w:t>
      </w:r>
      <w:r w:rsidR="00046C27" w:rsidRPr="00E86B9B">
        <w:t>Este importe se reintegrará en las reservas de la Organización</w:t>
      </w:r>
      <w:r w:rsidR="001B435F" w:rsidRPr="00E86B9B">
        <w:t>.</w:t>
      </w:r>
    </w:p>
    <w:p w:rsidR="001B435F" w:rsidRPr="00E86B9B" w:rsidRDefault="001B435F" w:rsidP="00CD7FB3"/>
    <w:p w:rsidR="001B435F" w:rsidRPr="00E86B9B" w:rsidRDefault="00880FDF" w:rsidP="00CD7FB3">
      <w:pPr>
        <w:numPr>
          <w:ilvl w:val="0"/>
          <w:numId w:val="7"/>
        </w:numPr>
      </w:pPr>
      <w:r w:rsidRPr="00E86B9B">
        <w:t>Respecto del</w:t>
      </w:r>
      <w:r w:rsidR="00CE62E1" w:rsidRPr="00E86B9B">
        <w:t xml:space="preserve"> proyecto de construcción de la nueva sala de conferencias</w:t>
      </w:r>
      <w:r w:rsidR="001B435F" w:rsidRPr="00E86B9B">
        <w:t xml:space="preserve">, </w:t>
      </w:r>
      <w:r w:rsidR="00CE62E1" w:rsidRPr="00E86B9B">
        <w:t xml:space="preserve">han </w:t>
      </w:r>
      <w:r w:rsidR="00330442" w:rsidRPr="00E86B9B">
        <w:t xml:space="preserve">concluido las </w:t>
      </w:r>
      <w:r w:rsidR="00996B29" w:rsidRPr="00E86B9B">
        <w:t xml:space="preserve">negociaciones </w:t>
      </w:r>
      <w:r w:rsidR="00330442" w:rsidRPr="00E86B9B">
        <w:t xml:space="preserve">finales </w:t>
      </w:r>
      <w:r w:rsidR="00CE62E1" w:rsidRPr="00E86B9B">
        <w:t xml:space="preserve">con las </w:t>
      </w:r>
      <w:r w:rsidR="001B435F" w:rsidRPr="00E86B9B">
        <w:t>108 enti</w:t>
      </w:r>
      <w:r w:rsidR="00CE62E1" w:rsidRPr="00E86B9B">
        <w:t xml:space="preserve">dades necesarias para finalizar la construcción, </w:t>
      </w:r>
      <w:r w:rsidR="00FB5D87" w:rsidRPr="00E86B9B">
        <w:t xml:space="preserve">tales como las </w:t>
      </w:r>
      <w:r w:rsidR="00CE62E1" w:rsidRPr="00E86B9B">
        <w:t xml:space="preserve">como empresas constructoras, </w:t>
      </w:r>
      <w:r w:rsidR="00FB5D87" w:rsidRPr="00E86B9B">
        <w:t xml:space="preserve">los </w:t>
      </w:r>
      <w:r w:rsidR="00CE62E1" w:rsidRPr="00E86B9B">
        <w:t xml:space="preserve">proveedores, </w:t>
      </w:r>
      <w:r w:rsidR="00FB5D87" w:rsidRPr="00E86B9B">
        <w:t xml:space="preserve">las </w:t>
      </w:r>
      <w:r w:rsidR="00CE62E1" w:rsidRPr="00E86B9B">
        <w:t xml:space="preserve">compañías </w:t>
      </w:r>
      <w:r w:rsidR="00996B29" w:rsidRPr="00E86B9B">
        <w:t>de profesionales especializados y expertos</w:t>
      </w:r>
      <w:r w:rsidR="001B435F" w:rsidRPr="00E86B9B">
        <w:t>,</w:t>
      </w:r>
      <w:r w:rsidR="00CE62E1" w:rsidRPr="00E86B9B">
        <w:t xml:space="preserve"> entre ellos el arquitecto, que han dado su visto bueno a las cuentas </w:t>
      </w:r>
      <w:r w:rsidR="00FB5D87" w:rsidRPr="00E86B9B">
        <w:t>definitivas</w:t>
      </w:r>
      <w:r w:rsidR="001B435F" w:rsidRPr="00E86B9B">
        <w:t xml:space="preserve">.  </w:t>
      </w:r>
      <w:r w:rsidR="00CE62E1" w:rsidRPr="00E86B9B">
        <w:t xml:space="preserve">En la fecha de publicación del presente documento, el total de recursos no </w:t>
      </w:r>
      <w:r w:rsidR="008839D7" w:rsidRPr="00E86B9B">
        <w:t>utilizados</w:t>
      </w:r>
      <w:r w:rsidR="00CE62E1" w:rsidRPr="00E86B9B">
        <w:t xml:space="preserve"> y no comprometidos ascendía a </w:t>
      </w:r>
      <w:r w:rsidR="001B435F" w:rsidRPr="00E86B9B">
        <w:t>1</w:t>
      </w:r>
      <w:r w:rsidR="00CE62E1" w:rsidRPr="00E86B9B">
        <w:t>.</w:t>
      </w:r>
      <w:r w:rsidR="001B435F" w:rsidRPr="00E86B9B">
        <w:t>048</w:t>
      </w:r>
      <w:r w:rsidR="00CE62E1" w:rsidRPr="00E86B9B">
        <w:t>.</w:t>
      </w:r>
      <w:r w:rsidR="001B435F" w:rsidRPr="00E86B9B">
        <w:t>665 </w:t>
      </w:r>
      <w:r w:rsidR="00CE62E1" w:rsidRPr="00E86B9B">
        <w:t>francos suizos</w:t>
      </w:r>
      <w:r w:rsidR="001B435F" w:rsidRPr="00E86B9B">
        <w:t>.</w:t>
      </w:r>
      <w:r w:rsidR="00FB5D87" w:rsidRPr="00E86B9B">
        <w:t xml:space="preserve"> </w:t>
      </w:r>
      <w:r w:rsidR="001B435F" w:rsidRPr="00E86B9B">
        <w:t xml:space="preserve"> </w:t>
      </w:r>
      <w:r w:rsidR="00CE62E1" w:rsidRPr="00E86B9B">
        <w:t>C</w:t>
      </w:r>
      <w:r w:rsidR="008839D7" w:rsidRPr="00E86B9B">
        <w:t xml:space="preserve">abe compararlo </w:t>
      </w:r>
      <w:r w:rsidR="00CE62E1" w:rsidRPr="00E86B9B">
        <w:t xml:space="preserve">con el presupuesto revisado de </w:t>
      </w:r>
      <w:r w:rsidR="001B435F" w:rsidRPr="00E86B9B">
        <w:t>78</w:t>
      </w:r>
      <w:r w:rsidR="00CE62E1" w:rsidRPr="00E86B9B">
        <w:t>.</w:t>
      </w:r>
      <w:r w:rsidR="001B435F" w:rsidRPr="00E86B9B">
        <w:t>700</w:t>
      </w:r>
      <w:r w:rsidR="00CE62E1" w:rsidRPr="00E86B9B">
        <w:t>.</w:t>
      </w:r>
      <w:r w:rsidR="001B435F" w:rsidRPr="00E86B9B">
        <w:t>000 </w:t>
      </w:r>
      <w:r w:rsidR="00CE62E1" w:rsidRPr="00E86B9B">
        <w:t xml:space="preserve">francos suizos que había sido </w:t>
      </w:r>
      <w:r w:rsidR="00B02E6F" w:rsidRPr="00E86B9B">
        <w:t>aprobado</w:t>
      </w:r>
      <w:r w:rsidR="00CE62E1" w:rsidRPr="00E86B9B">
        <w:t xml:space="preserve"> por las Asambleas hasta </w:t>
      </w:r>
      <w:r w:rsidR="001B435F" w:rsidRPr="00E86B9B">
        <w:t>2015 (</w:t>
      </w:r>
      <w:r w:rsidR="00CE62E1" w:rsidRPr="00E86B9B">
        <w:t xml:space="preserve">véase el Anexo </w:t>
      </w:r>
      <w:r w:rsidR="001B435F" w:rsidRPr="00E86B9B">
        <w:t xml:space="preserve">II).  </w:t>
      </w:r>
      <w:r w:rsidR="001C6BBC" w:rsidRPr="00E86B9B">
        <w:t>Una vez que se haya</w:t>
      </w:r>
      <w:r w:rsidR="00996B29" w:rsidRPr="00E86B9B">
        <w:t>n</w:t>
      </w:r>
      <w:r w:rsidR="001C6BBC" w:rsidRPr="00E86B9B">
        <w:t xml:space="preserve"> llevado a cabo</w:t>
      </w:r>
      <w:r w:rsidR="00CA1DB9" w:rsidRPr="00E86B9B">
        <w:t>,</w:t>
      </w:r>
      <w:r w:rsidR="001C6BBC" w:rsidRPr="00E86B9B">
        <w:t xml:space="preserve"> </w:t>
      </w:r>
      <w:r w:rsidR="00CA1DB9" w:rsidRPr="00E86B9B">
        <w:t xml:space="preserve">antes de finales de 2016, </w:t>
      </w:r>
      <w:r w:rsidR="001C6BBC" w:rsidRPr="00E86B9B">
        <w:t>la</w:t>
      </w:r>
      <w:r w:rsidR="00996B29" w:rsidRPr="00E86B9B">
        <w:t>s</w:t>
      </w:r>
      <w:r w:rsidR="001C6BBC" w:rsidRPr="00E86B9B">
        <w:t xml:space="preserve"> verificaciones finales de las </w:t>
      </w:r>
      <w:r w:rsidR="00C43C96" w:rsidRPr="00E86B9B">
        <w:t xml:space="preserve">pequeñas </w:t>
      </w:r>
      <w:r w:rsidR="001C6BBC" w:rsidRPr="00E86B9B">
        <w:t xml:space="preserve">obras </w:t>
      </w:r>
      <w:r w:rsidR="00C43C96" w:rsidRPr="00E86B9B">
        <w:t xml:space="preserve">de </w:t>
      </w:r>
      <w:r w:rsidR="001C6BBC" w:rsidRPr="00E86B9B">
        <w:t xml:space="preserve">acabado </w:t>
      </w:r>
      <w:r w:rsidR="00FB5D87" w:rsidRPr="00E86B9B">
        <w:t xml:space="preserve">que aún están </w:t>
      </w:r>
      <w:r w:rsidR="00996B29" w:rsidRPr="00E86B9B">
        <w:t xml:space="preserve">pendientes, </w:t>
      </w:r>
      <w:r w:rsidR="001C6BBC" w:rsidRPr="00E86B9B">
        <w:t>el saldo final se reintegrará en las reservas de la Organización</w:t>
      </w:r>
      <w:r w:rsidR="001B435F" w:rsidRPr="00E86B9B">
        <w:t>.</w:t>
      </w:r>
    </w:p>
    <w:p w:rsidR="001B435F" w:rsidRPr="00E86B9B" w:rsidRDefault="001B435F" w:rsidP="00CD7FB3"/>
    <w:p w:rsidR="001B435F" w:rsidRPr="00E86B9B" w:rsidRDefault="001C6BBC" w:rsidP="00CD7FB3">
      <w:pPr>
        <w:numPr>
          <w:ilvl w:val="0"/>
          <w:numId w:val="7"/>
        </w:numPr>
      </w:pPr>
      <w:r w:rsidRPr="00E86B9B">
        <w:t>Si se t</w:t>
      </w:r>
      <w:r w:rsidR="00CA1DB9" w:rsidRPr="00E86B9B">
        <w:t xml:space="preserve">oman </w:t>
      </w:r>
      <w:r w:rsidRPr="00E86B9B">
        <w:t>en cuenta los dos proyectos de manera conjunta</w:t>
      </w:r>
      <w:r w:rsidR="001B435F" w:rsidRPr="00E86B9B">
        <w:t xml:space="preserve">, </w:t>
      </w:r>
      <w:r w:rsidRPr="00E86B9B">
        <w:t xml:space="preserve">el gasto total y los compromisos </w:t>
      </w:r>
      <w:r w:rsidR="00C43C96" w:rsidRPr="00E86B9B">
        <w:t xml:space="preserve">restantes </w:t>
      </w:r>
      <w:r w:rsidR="004631BA" w:rsidRPr="00E86B9B">
        <w:t>ascendieron</w:t>
      </w:r>
      <w:r w:rsidRPr="00E86B9B">
        <w:t>, en la fecha de la public</w:t>
      </w:r>
      <w:r w:rsidR="00CD7FB3" w:rsidRPr="00E86B9B">
        <w:t>ación del presente documento, a </w:t>
      </w:r>
      <w:r w:rsidR="001B435F" w:rsidRPr="00E86B9B">
        <w:t>235</w:t>
      </w:r>
      <w:r w:rsidRPr="00E86B9B">
        <w:t>.</w:t>
      </w:r>
      <w:r w:rsidR="001B435F" w:rsidRPr="00E86B9B">
        <w:t>113</w:t>
      </w:r>
      <w:r w:rsidRPr="00E86B9B">
        <w:t>.</w:t>
      </w:r>
      <w:r w:rsidR="001B435F" w:rsidRPr="00E86B9B">
        <w:t>023 </w:t>
      </w:r>
      <w:r w:rsidRPr="00E86B9B">
        <w:t xml:space="preserve">francos suizos, </w:t>
      </w:r>
      <w:r w:rsidR="00C43C96" w:rsidRPr="00E86B9B">
        <w:t xml:space="preserve">frente al </w:t>
      </w:r>
      <w:r w:rsidRPr="00E86B9B">
        <w:t xml:space="preserve">presupuesto aprobado </w:t>
      </w:r>
      <w:r w:rsidR="004631BA" w:rsidRPr="00E86B9B">
        <w:t xml:space="preserve">inicialmente </w:t>
      </w:r>
      <w:r w:rsidR="00CD7FB3" w:rsidRPr="00E86B9B">
        <w:t>de </w:t>
      </w:r>
      <w:r w:rsidR="001B435F" w:rsidRPr="00E86B9B">
        <w:t>229</w:t>
      </w:r>
      <w:r w:rsidRPr="00E86B9B">
        <w:t>.</w:t>
      </w:r>
      <w:r w:rsidR="001B435F" w:rsidRPr="00E86B9B">
        <w:t>942</w:t>
      </w:r>
      <w:r w:rsidRPr="00E86B9B">
        <w:t>.</w:t>
      </w:r>
      <w:r w:rsidR="001B435F" w:rsidRPr="00E86B9B">
        <w:t>643 </w:t>
      </w:r>
      <w:r w:rsidRPr="00E86B9B">
        <w:t>francos suizos</w:t>
      </w:r>
      <w:r w:rsidR="00C43C96" w:rsidRPr="00E86B9B">
        <w:t xml:space="preserve">, lo que </w:t>
      </w:r>
      <w:r w:rsidR="004631BA" w:rsidRPr="00E86B9B">
        <w:t xml:space="preserve">representa </w:t>
      </w:r>
      <w:r w:rsidRPr="00E86B9B">
        <w:t xml:space="preserve">un incremento del </w:t>
      </w:r>
      <w:r w:rsidR="001B435F" w:rsidRPr="00E86B9B">
        <w:t>2</w:t>
      </w:r>
      <w:r w:rsidRPr="00E86B9B">
        <w:t>,</w:t>
      </w:r>
      <w:r w:rsidR="001B435F" w:rsidRPr="00E86B9B">
        <w:t>25</w:t>
      </w:r>
      <w:r w:rsidRPr="00E86B9B">
        <w:t xml:space="preserve">% con respecto al </w:t>
      </w:r>
      <w:r w:rsidR="004631BA" w:rsidRPr="00E86B9B">
        <w:t>presupuesto aprobado inicialmente</w:t>
      </w:r>
      <w:r w:rsidR="001B435F" w:rsidRPr="00E86B9B">
        <w:t>.</w:t>
      </w:r>
    </w:p>
    <w:p w:rsidR="001B435F" w:rsidRPr="00E86B9B" w:rsidRDefault="001B435F" w:rsidP="00CD7FB3"/>
    <w:p w:rsidR="001B435F" w:rsidRPr="00E86B9B" w:rsidRDefault="001B435F" w:rsidP="00CD7FB3">
      <w:pPr>
        <w:rPr>
          <w:b/>
        </w:rPr>
      </w:pPr>
      <w:r w:rsidRPr="00E86B9B">
        <w:rPr>
          <w:b/>
        </w:rPr>
        <w:t>C.</w:t>
      </w:r>
      <w:r w:rsidR="00AD44E6" w:rsidRPr="00E86B9B">
        <w:rPr>
          <w:b/>
        </w:rPr>
        <w:tab/>
      </w:r>
      <w:r w:rsidR="002057BB" w:rsidRPr="00E86B9B">
        <w:rPr>
          <w:b/>
        </w:rPr>
        <w:t xml:space="preserve">SUPERVISIÓN Y AUDITORÍA </w:t>
      </w:r>
      <w:r w:rsidRPr="00E86B9B">
        <w:rPr>
          <w:b/>
        </w:rPr>
        <w:t xml:space="preserve"> </w:t>
      </w:r>
    </w:p>
    <w:p w:rsidR="001B435F" w:rsidRPr="00E86B9B" w:rsidRDefault="001B435F" w:rsidP="00CD7FB3"/>
    <w:p w:rsidR="001B435F" w:rsidRPr="00E86B9B" w:rsidRDefault="004631BA" w:rsidP="00CD7FB3">
      <w:pPr>
        <w:numPr>
          <w:ilvl w:val="0"/>
          <w:numId w:val="7"/>
        </w:numPr>
      </w:pPr>
      <w:r w:rsidRPr="00E86B9B">
        <w:t xml:space="preserve">Entre junio de </w:t>
      </w:r>
      <w:r w:rsidR="001B435F" w:rsidRPr="00E86B9B">
        <w:t xml:space="preserve">2006 </w:t>
      </w:r>
      <w:r w:rsidRPr="00E86B9B">
        <w:t xml:space="preserve">y diciembre de </w:t>
      </w:r>
      <w:r w:rsidR="001B435F" w:rsidRPr="00E86B9B">
        <w:t xml:space="preserve">2015, </w:t>
      </w:r>
      <w:r w:rsidRPr="00E86B9B">
        <w:t>la Secretaría presentó a la Comisión de Auditoría de la OMPI y, posteriormente, a la Comisión Consultiva Independiente de Supervisión (CCIS) informes sobre los progresos realizados en el proyecto de construcción del nuevo edificio, o aportó información o documentación al respecto.  La Secretaría ha hecho lo propio desde 2008 en relación con el proyecto de construcción de la nueva sala de conferencias</w:t>
      </w:r>
      <w:r w:rsidR="001B435F" w:rsidRPr="00E86B9B">
        <w:t>.</w:t>
      </w:r>
    </w:p>
    <w:p w:rsidR="001B435F" w:rsidRPr="00E86B9B" w:rsidRDefault="001B435F" w:rsidP="00CD7FB3"/>
    <w:p w:rsidR="001B435F" w:rsidRPr="00E86B9B" w:rsidRDefault="00456C0E" w:rsidP="00CD7FB3">
      <w:pPr>
        <w:numPr>
          <w:ilvl w:val="0"/>
          <w:numId w:val="7"/>
        </w:numPr>
      </w:pPr>
      <w:r w:rsidRPr="00E86B9B">
        <w:t>L</w:t>
      </w:r>
      <w:r w:rsidR="004631BA" w:rsidRPr="00E86B9B">
        <w:t>a División de Supervisión Interna</w:t>
      </w:r>
      <w:r w:rsidRPr="00E86B9B">
        <w:t xml:space="preserve"> </w:t>
      </w:r>
      <w:r w:rsidR="001B435F" w:rsidRPr="00E86B9B">
        <w:t>(</w:t>
      </w:r>
      <w:r w:rsidRPr="00E86B9B">
        <w:t>DS</w:t>
      </w:r>
      <w:r w:rsidR="001B435F" w:rsidRPr="00E86B9B">
        <w:t xml:space="preserve">I) </w:t>
      </w:r>
      <w:r w:rsidR="00B02E6F" w:rsidRPr="00E86B9B">
        <w:t>publicó</w:t>
      </w:r>
      <w:r w:rsidRPr="00E86B9B">
        <w:t xml:space="preserve"> un informe de auditoría en junio de </w:t>
      </w:r>
      <w:r w:rsidR="001B435F" w:rsidRPr="00E86B9B">
        <w:t xml:space="preserve">2013 </w:t>
      </w:r>
      <w:r w:rsidRPr="00E86B9B">
        <w:t xml:space="preserve">sobre el proyecto de construcción del nuevo edificio y el proyecto de construcción de la nueva sala de conferencias con seis </w:t>
      </w:r>
      <w:r w:rsidR="00B02E6F" w:rsidRPr="00E86B9B">
        <w:t>recomendaciones</w:t>
      </w:r>
      <w:r w:rsidRPr="00E86B9B">
        <w:t>, que han sido aplicadas en su totalidad</w:t>
      </w:r>
      <w:r w:rsidR="001B435F" w:rsidRPr="00E86B9B">
        <w:t xml:space="preserve">.  </w:t>
      </w:r>
      <w:r w:rsidRPr="00E86B9B">
        <w:t>No hay recomendaciones pendientes en relación con los proyectos</w:t>
      </w:r>
      <w:r w:rsidR="001B435F" w:rsidRPr="00E86B9B">
        <w:t>.</w:t>
      </w:r>
    </w:p>
    <w:p w:rsidR="001B435F" w:rsidRPr="00E86B9B" w:rsidRDefault="001B435F" w:rsidP="00CD7FB3">
      <w:pPr>
        <w:rPr>
          <w:highlight w:val="yellow"/>
        </w:rPr>
      </w:pPr>
    </w:p>
    <w:p w:rsidR="001B435F" w:rsidRPr="00E86B9B" w:rsidRDefault="008839D7" w:rsidP="00CD7FB3">
      <w:pPr>
        <w:numPr>
          <w:ilvl w:val="0"/>
          <w:numId w:val="7"/>
        </w:numPr>
      </w:pPr>
      <w:r w:rsidRPr="00E86B9B">
        <w:t>En agosto de 2014, l</w:t>
      </w:r>
      <w:r w:rsidR="00456C0E" w:rsidRPr="00E86B9B">
        <w:t>os auditores externos publicaron un informe de auditoría en relación con el proyecto de construcción de la nueva sala de conferencias</w:t>
      </w:r>
      <w:r w:rsidR="001B435F" w:rsidRPr="00E86B9B">
        <w:rPr>
          <w:rStyle w:val="FootnoteReference"/>
        </w:rPr>
        <w:footnoteReference w:id="2"/>
      </w:r>
      <w:r w:rsidR="00456C0E" w:rsidRPr="00E86B9B">
        <w:t>.</w:t>
      </w:r>
      <w:r w:rsidR="001B435F" w:rsidRPr="00E86B9B">
        <w:t xml:space="preserve">  </w:t>
      </w:r>
      <w:r w:rsidR="00456C0E" w:rsidRPr="00E86B9B">
        <w:t xml:space="preserve">De las diez recomendaciones contenidas en el informe, los auditores dieron por </w:t>
      </w:r>
      <w:r w:rsidRPr="00E86B9B">
        <w:t>aplicadas</w:t>
      </w:r>
      <w:r w:rsidR="00456C0E" w:rsidRPr="00E86B9B">
        <w:t xml:space="preserve"> ocho de ellas</w:t>
      </w:r>
      <w:r w:rsidR="001B435F" w:rsidRPr="00E86B9B">
        <w:t>.</w:t>
      </w:r>
      <w:r w:rsidR="00456C0E" w:rsidRPr="00E86B9B">
        <w:t xml:space="preserve">  En cuanto a las dos recomendaciones </w:t>
      </w:r>
      <w:r w:rsidR="007F5EC7" w:rsidRPr="00E86B9B">
        <w:t>restantes</w:t>
      </w:r>
      <w:r w:rsidR="00456C0E" w:rsidRPr="00E86B9B">
        <w:t>, la Administración</w:t>
      </w:r>
      <w:r w:rsidR="00F22E11" w:rsidRPr="00E86B9B">
        <w:t xml:space="preserve"> espera una respuesta de los auditores externos sobre la situación en que se encuentran</w:t>
      </w:r>
      <w:r w:rsidR="001B435F" w:rsidRPr="00E86B9B"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275237" w:rsidP="00CD7FB3">
      <w:pPr>
        <w:pStyle w:val="ListParagraph"/>
        <w:ind w:left="0"/>
        <w:rPr>
          <w:b/>
          <w:lang w:val="es-ES"/>
        </w:rPr>
      </w:pPr>
      <w:r>
        <w:rPr>
          <w:b/>
          <w:lang w:val="es-ES"/>
        </w:rPr>
        <w:t>D</w:t>
      </w:r>
      <w:bookmarkStart w:id="5" w:name="_GoBack"/>
      <w:bookmarkEnd w:id="5"/>
      <w:r w:rsidR="001B435F" w:rsidRPr="00E86B9B">
        <w:rPr>
          <w:b/>
          <w:lang w:val="es-ES"/>
        </w:rPr>
        <w:t>.</w:t>
      </w:r>
      <w:r w:rsidR="00AD44E6" w:rsidRPr="00E86B9B">
        <w:rPr>
          <w:b/>
          <w:lang w:val="es-ES"/>
        </w:rPr>
        <w:tab/>
      </w:r>
      <w:r w:rsidR="008839D7" w:rsidRPr="00E86B9B">
        <w:rPr>
          <w:b/>
          <w:lang w:val="es-ES"/>
        </w:rPr>
        <w:t xml:space="preserve">CONCLUSIONES </w:t>
      </w:r>
      <w:r w:rsidR="00DE73B9" w:rsidRPr="00E86B9B">
        <w:rPr>
          <w:b/>
          <w:lang w:val="es-ES"/>
        </w:rPr>
        <w:t>EXTRAÍDAS</w:t>
      </w:r>
      <w:r w:rsidR="008839D7" w:rsidRPr="00E86B9B">
        <w:rPr>
          <w:b/>
          <w:lang w:val="es-ES"/>
        </w:rPr>
        <w:t xml:space="preserve"> 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CA1DB9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Como </w:t>
      </w:r>
      <w:r w:rsidR="00F22E11" w:rsidRPr="00E86B9B">
        <w:rPr>
          <w:lang w:val="es-ES"/>
        </w:rPr>
        <w:t xml:space="preserve">introducción </w:t>
      </w:r>
      <w:r w:rsidRPr="00E86B9B">
        <w:rPr>
          <w:lang w:val="es-ES"/>
        </w:rPr>
        <w:t>a</w:t>
      </w:r>
      <w:r w:rsidR="00F22E11" w:rsidRPr="00E86B9B">
        <w:rPr>
          <w:lang w:val="es-ES"/>
        </w:rPr>
        <w:t xml:space="preserve"> las</w:t>
      </w:r>
      <w:r w:rsidR="008839D7" w:rsidRPr="00E86B9B">
        <w:rPr>
          <w:lang w:val="es-ES"/>
        </w:rPr>
        <w:t xml:space="preserve"> conclusiones </w:t>
      </w:r>
      <w:r w:rsidR="00DE73B9" w:rsidRPr="00E86B9B">
        <w:rPr>
          <w:lang w:val="es-ES"/>
        </w:rPr>
        <w:t>extraídas</w:t>
      </w:r>
      <w:r w:rsidR="00F22E11" w:rsidRPr="00E86B9B">
        <w:rPr>
          <w:lang w:val="es-ES"/>
        </w:rPr>
        <w:t xml:space="preserve">, conviene </w:t>
      </w:r>
      <w:r w:rsidR="00B02E6F" w:rsidRPr="00E86B9B">
        <w:rPr>
          <w:lang w:val="es-ES"/>
        </w:rPr>
        <w:t>recordar</w:t>
      </w:r>
      <w:r w:rsidR="00F22E11" w:rsidRPr="00E86B9B">
        <w:rPr>
          <w:lang w:val="es-ES"/>
        </w:rPr>
        <w:t xml:space="preserve"> que los dos proyectos de construcción (el del nuevo edificio y el de la nueva sala de conferencias</w:t>
      </w:r>
      <w:r w:rsidR="001B435F" w:rsidRPr="00E86B9B">
        <w:rPr>
          <w:lang w:val="es-ES"/>
        </w:rPr>
        <w:t>),</w:t>
      </w:r>
      <w:r w:rsidR="00F22E11" w:rsidRPr="00E86B9B">
        <w:rPr>
          <w:lang w:val="es-ES"/>
        </w:rPr>
        <w:t xml:space="preserve"> que finalizaron entre </w:t>
      </w:r>
      <w:r w:rsidR="001B435F" w:rsidRPr="00E86B9B">
        <w:rPr>
          <w:lang w:val="es-ES"/>
        </w:rPr>
        <w:t xml:space="preserve">2006 </w:t>
      </w:r>
      <w:r w:rsidR="00F22E11" w:rsidRPr="00E86B9B">
        <w:rPr>
          <w:lang w:val="es-ES"/>
        </w:rPr>
        <w:t>y</w:t>
      </w:r>
      <w:r w:rsidR="001B435F" w:rsidRPr="00E86B9B">
        <w:rPr>
          <w:lang w:val="es-ES"/>
        </w:rPr>
        <w:t xml:space="preserve"> 2016, </w:t>
      </w:r>
      <w:r w:rsidR="00F22E11" w:rsidRPr="00E86B9B">
        <w:rPr>
          <w:lang w:val="es-ES"/>
        </w:rPr>
        <w:t>fueron los primeros proyectos de construcción de esta envergadura</w:t>
      </w:r>
      <w:r w:rsidR="001B435F" w:rsidRPr="00E86B9B">
        <w:rPr>
          <w:lang w:val="es-ES"/>
        </w:rPr>
        <w:t xml:space="preserve">, </w:t>
      </w:r>
      <w:r w:rsidR="00F22E11" w:rsidRPr="00E86B9B">
        <w:rPr>
          <w:lang w:val="es-ES"/>
        </w:rPr>
        <w:t>complejidad y costo que la OMPI ha tenido que gestionar por su cuenta</w:t>
      </w:r>
      <w:r w:rsidR="001B435F" w:rsidRPr="00E86B9B">
        <w:rPr>
          <w:lang w:val="es-ES"/>
        </w:rPr>
        <w:t xml:space="preserve">.  </w:t>
      </w:r>
      <w:r w:rsidR="00F22E11" w:rsidRPr="00E86B9B">
        <w:rPr>
          <w:lang w:val="es-ES"/>
        </w:rPr>
        <w:t>En este contexto, l</w:t>
      </w:r>
      <w:r w:rsidR="007F5EC7" w:rsidRPr="00E86B9B">
        <w:rPr>
          <w:lang w:val="es-ES"/>
        </w:rPr>
        <w:t xml:space="preserve">as </w:t>
      </w:r>
      <w:r w:rsidR="007F5EC7" w:rsidRPr="00E86B9B">
        <w:rPr>
          <w:lang w:val="es-ES"/>
        </w:rPr>
        <w:lastRenderedPageBreak/>
        <w:t xml:space="preserve">dificultades adicionales </w:t>
      </w:r>
      <w:r w:rsidR="00F22E11" w:rsidRPr="00E86B9B">
        <w:rPr>
          <w:lang w:val="es-ES"/>
        </w:rPr>
        <w:t xml:space="preserve">que se afrontaban en relación con el proyecto de construcción de la nueva sala de conferencias </w:t>
      </w:r>
      <w:r w:rsidR="007F5EC7" w:rsidRPr="00E86B9B">
        <w:rPr>
          <w:lang w:val="es-ES"/>
        </w:rPr>
        <w:t xml:space="preserve">presentaban dos </w:t>
      </w:r>
      <w:r w:rsidR="008839D7" w:rsidRPr="00E86B9B">
        <w:rPr>
          <w:lang w:val="es-ES"/>
        </w:rPr>
        <w:t>aspectos</w:t>
      </w:r>
      <w:r w:rsidR="009C0D8E" w:rsidRPr="00E86B9B">
        <w:rPr>
          <w:lang w:val="es-ES"/>
        </w:rPr>
        <w:t xml:space="preserve">:  </w:t>
      </w:r>
      <w:r w:rsidR="001B435F" w:rsidRPr="00E86B9B">
        <w:rPr>
          <w:lang w:val="es-ES"/>
        </w:rPr>
        <w:t>i) </w:t>
      </w:r>
      <w:r w:rsidR="00F22E11" w:rsidRPr="00E86B9B">
        <w:rPr>
          <w:lang w:val="es-ES"/>
        </w:rPr>
        <w:t xml:space="preserve">la complejidad arquitectónica y técnica </w:t>
      </w:r>
      <w:r w:rsidR="001B435F" w:rsidRPr="00E86B9B">
        <w:rPr>
          <w:lang w:val="es-ES"/>
        </w:rPr>
        <w:t>(</w:t>
      </w:r>
      <w:r w:rsidR="00F22E11" w:rsidRPr="00E86B9B">
        <w:rPr>
          <w:lang w:val="es-ES"/>
        </w:rPr>
        <w:t xml:space="preserve">con un voladizo de 35 metros de longitud </w:t>
      </w:r>
      <w:r w:rsidR="00B50F39" w:rsidRPr="00E86B9B">
        <w:rPr>
          <w:lang w:val="es-ES"/>
        </w:rPr>
        <w:t xml:space="preserve">y una estructura construida </w:t>
      </w:r>
      <w:r w:rsidR="00A52E53" w:rsidRPr="00E86B9B">
        <w:rPr>
          <w:lang w:val="es-ES"/>
        </w:rPr>
        <w:t>casi exclusivamente con madera</w:t>
      </w:r>
      <w:r w:rsidR="001B435F" w:rsidRPr="00E86B9B">
        <w:rPr>
          <w:lang w:val="es-ES"/>
        </w:rPr>
        <w:t xml:space="preserve">);  </w:t>
      </w:r>
      <w:r w:rsidR="00A52E53" w:rsidRPr="00E86B9B">
        <w:rPr>
          <w:lang w:val="es-ES"/>
        </w:rPr>
        <w:t>y</w:t>
      </w:r>
      <w:r w:rsidR="001B435F" w:rsidRPr="00E86B9B">
        <w:rPr>
          <w:lang w:val="es-ES"/>
        </w:rPr>
        <w:t xml:space="preserve"> ii) </w:t>
      </w:r>
      <w:r w:rsidR="00A52E53" w:rsidRPr="00E86B9B">
        <w:rPr>
          <w:lang w:val="es-ES"/>
        </w:rPr>
        <w:t xml:space="preserve">el hecho de que la Secretaría asumiera </w:t>
      </w:r>
      <w:r w:rsidR="007F5EC7" w:rsidRPr="00E86B9B">
        <w:rPr>
          <w:lang w:val="es-ES"/>
        </w:rPr>
        <w:t>l</w:t>
      </w:r>
      <w:r w:rsidR="00A52E53" w:rsidRPr="00E86B9B">
        <w:rPr>
          <w:lang w:val="es-ES"/>
        </w:rPr>
        <w:t xml:space="preserve">a gestión </w:t>
      </w:r>
      <w:r w:rsidR="007F5EC7" w:rsidRPr="00E86B9B">
        <w:rPr>
          <w:lang w:val="es-ES"/>
        </w:rPr>
        <w:t xml:space="preserve">total y directa </w:t>
      </w:r>
      <w:r w:rsidR="00A52E53" w:rsidRPr="00E86B9B">
        <w:rPr>
          <w:lang w:val="es-ES"/>
        </w:rPr>
        <w:t>de</w:t>
      </w:r>
      <w:r w:rsidR="007F5EC7" w:rsidRPr="00E86B9B">
        <w:rPr>
          <w:lang w:val="es-ES"/>
        </w:rPr>
        <w:t xml:space="preserve"> las obras</w:t>
      </w:r>
      <w:r w:rsidR="00A52E53" w:rsidRPr="00E86B9B">
        <w:rPr>
          <w:lang w:val="es-ES"/>
        </w:rPr>
        <w:t xml:space="preserve"> tras la rescisión del contrato con el contratista general durante el proceso de construcción</w:t>
      </w:r>
      <w:r w:rsidR="001B435F" w:rsidRPr="00E86B9B">
        <w:rPr>
          <w:lang w:val="es-ES"/>
        </w:rPr>
        <w:t xml:space="preserve">.  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A52E53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Las </w:t>
      </w:r>
      <w:r w:rsidR="00DE73B9" w:rsidRPr="00E86B9B">
        <w:rPr>
          <w:lang w:val="es-ES"/>
        </w:rPr>
        <w:t>conclusiones</w:t>
      </w:r>
      <w:r w:rsidR="008839D7" w:rsidRPr="00E86B9B">
        <w:rPr>
          <w:lang w:val="es-ES"/>
        </w:rPr>
        <w:t xml:space="preserve"> </w:t>
      </w:r>
      <w:r w:rsidR="00DE73B9" w:rsidRPr="00E86B9B">
        <w:rPr>
          <w:lang w:val="es-ES"/>
        </w:rPr>
        <w:t>extraídas</w:t>
      </w:r>
      <w:r w:rsidRPr="00E86B9B">
        <w:rPr>
          <w:lang w:val="es-ES"/>
        </w:rPr>
        <w:t xml:space="preserve"> se </w:t>
      </w:r>
      <w:r w:rsidR="008839D7" w:rsidRPr="00E86B9B">
        <w:rPr>
          <w:lang w:val="es-ES"/>
        </w:rPr>
        <w:t>agrupan</w:t>
      </w:r>
      <w:r w:rsidRPr="00E86B9B">
        <w:rPr>
          <w:lang w:val="es-ES"/>
        </w:rPr>
        <w:t xml:space="preserve"> en las siguientes categorías</w:t>
      </w:r>
      <w:r w:rsidR="009C0D8E" w:rsidRPr="00E86B9B">
        <w:rPr>
          <w:lang w:val="es-ES"/>
        </w:rPr>
        <w:t xml:space="preserve">:  </w:t>
      </w:r>
      <w:r w:rsidR="001B435F" w:rsidRPr="00E86B9B">
        <w:rPr>
          <w:lang w:val="es-ES"/>
        </w:rPr>
        <w:t>1)</w:t>
      </w:r>
      <w:r w:rsidRPr="00E86B9B">
        <w:rPr>
          <w:lang w:val="es-ES"/>
        </w:rPr>
        <w:t xml:space="preserve"> </w:t>
      </w:r>
      <w:r w:rsidR="008839D7" w:rsidRPr="00E86B9B">
        <w:rPr>
          <w:lang w:val="es-ES"/>
        </w:rPr>
        <w:t xml:space="preserve">la </w:t>
      </w:r>
      <w:r w:rsidR="001B435F" w:rsidRPr="00E86B9B">
        <w:rPr>
          <w:lang w:val="es-ES"/>
        </w:rPr>
        <w:t>go</w:t>
      </w:r>
      <w:r w:rsidRPr="00E86B9B">
        <w:rPr>
          <w:lang w:val="es-ES"/>
        </w:rPr>
        <w:t>b</w:t>
      </w:r>
      <w:r w:rsidR="001B435F" w:rsidRPr="00E86B9B">
        <w:rPr>
          <w:lang w:val="es-ES"/>
        </w:rPr>
        <w:t>ernan</w:t>
      </w:r>
      <w:r w:rsidRPr="00E86B9B">
        <w:rPr>
          <w:lang w:val="es-ES"/>
        </w:rPr>
        <w:t>za</w:t>
      </w:r>
      <w:r w:rsidR="00CD7FB3" w:rsidRPr="00E86B9B">
        <w:rPr>
          <w:lang w:val="es-ES"/>
        </w:rPr>
        <w:t xml:space="preserve">;  </w:t>
      </w:r>
      <w:r w:rsidR="001B435F" w:rsidRPr="00E86B9B">
        <w:rPr>
          <w:lang w:val="es-ES"/>
        </w:rPr>
        <w:t>2) </w:t>
      </w:r>
      <w:r w:rsidR="008839D7" w:rsidRPr="00E86B9B">
        <w:rPr>
          <w:lang w:val="es-ES"/>
        </w:rPr>
        <w:t xml:space="preserve">las </w:t>
      </w:r>
      <w:r w:rsidR="00D93E37" w:rsidRPr="00E86B9B">
        <w:rPr>
          <w:lang w:val="es-ES"/>
        </w:rPr>
        <w:t>circunstancias favorables,</w:t>
      </w:r>
      <w:r w:rsidRPr="00E86B9B">
        <w:rPr>
          <w:lang w:val="es-ES"/>
        </w:rPr>
        <w:t xml:space="preserve"> modificaciones de</w:t>
      </w:r>
      <w:r w:rsidR="007D76F7" w:rsidRPr="00E86B9B">
        <w:rPr>
          <w:lang w:val="es-ES"/>
        </w:rPr>
        <w:t xml:space="preserve"> </w:t>
      </w:r>
      <w:r w:rsidRPr="00E86B9B">
        <w:rPr>
          <w:lang w:val="es-ES"/>
        </w:rPr>
        <w:t>l</w:t>
      </w:r>
      <w:r w:rsidR="007D76F7" w:rsidRPr="00E86B9B">
        <w:rPr>
          <w:lang w:val="es-ES"/>
        </w:rPr>
        <w:t>os</w:t>
      </w:r>
      <w:r w:rsidRPr="00E86B9B">
        <w:rPr>
          <w:lang w:val="es-ES"/>
        </w:rPr>
        <w:t xml:space="preserve"> proyecto</w:t>
      </w:r>
      <w:r w:rsidR="007D76F7" w:rsidRPr="00E86B9B">
        <w:rPr>
          <w:lang w:val="es-ES"/>
        </w:rPr>
        <w:t>s</w:t>
      </w:r>
      <w:r w:rsidRPr="00E86B9B">
        <w:rPr>
          <w:lang w:val="es-ES"/>
        </w:rPr>
        <w:t xml:space="preserve"> y ahorro de costos</w:t>
      </w:r>
      <w:r w:rsidR="00D93E37" w:rsidRPr="00E86B9B">
        <w:rPr>
          <w:lang w:val="es-ES"/>
        </w:rPr>
        <w:t xml:space="preserve"> en el lugar de las obras</w:t>
      </w:r>
      <w:r w:rsidR="00CD7FB3" w:rsidRPr="00E86B9B">
        <w:rPr>
          <w:lang w:val="es-ES"/>
        </w:rPr>
        <w:t>;  </w:t>
      </w:r>
      <w:r w:rsidR="001B435F" w:rsidRPr="00E86B9B">
        <w:rPr>
          <w:lang w:val="es-ES"/>
        </w:rPr>
        <w:t>3) </w:t>
      </w:r>
      <w:r w:rsidR="008839D7" w:rsidRPr="00E86B9B">
        <w:rPr>
          <w:lang w:val="es-ES"/>
        </w:rPr>
        <w:t xml:space="preserve">la </w:t>
      </w:r>
      <w:r w:rsidR="001B435F" w:rsidRPr="00E86B9B">
        <w:rPr>
          <w:lang w:val="es-ES"/>
        </w:rPr>
        <w:t>rela</w:t>
      </w:r>
      <w:r w:rsidRPr="00E86B9B">
        <w:rPr>
          <w:lang w:val="es-ES"/>
        </w:rPr>
        <w:t xml:space="preserve">ción con las autoridades federales, cantonales y municipales del país </w:t>
      </w:r>
      <w:r w:rsidR="00B02E6F" w:rsidRPr="00E86B9B">
        <w:rPr>
          <w:lang w:val="es-ES"/>
        </w:rPr>
        <w:t>anfitrión</w:t>
      </w:r>
      <w:r w:rsidR="00CD7FB3" w:rsidRPr="00E86B9B">
        <w:rPr>
          <w:lang w:val="es-ES"/>
        </w:rPr>
        <w:t>;  </w:t>
      </w:r>
      <w:r w:rsidR="001B435F" w:rsidRPr="00E86B9B">
        <w:rPr>
          <w:lang w:val="es-ES"/>
        </w:rPr>
        <w:t>4) </w:t>
      </w:r>
      <w:r w:rsidR="008839D7" w:rsidRPr="00E86B9B">
        <w:rPr>
          <w:lang w:val="es-ES"/>
        </w:rPr>
        <w:t xml:space="preserve">las </w:t>
      </w:r>
      <w:r w:rsidR="00CA1DB9" w:rsidRPr="00E86B9B">
        <w:rPr>
          <w:lang w:val="es-ES"/>
        </w:rPr>
        <w:t>cosas que p</w:t>
      </w:r>
      <w:r w:rsidRPr="00E86B9B">
        <w:rPr>
          <w:lang w:val="es-ES"/>
        </w:rPr>
        <w:t>odría</w:t>
      </w:r>
      <w:r w:rsidR="00CA1DB9" w:rsidRPr="00E86B9B">
        <w:rPr>
          <w:lang w:val="es-ES"/>
        </w:rPr>
        <w:t>n</w:t>
      </w:r>
      <w:r w:rsidRPr="00E86B9B">
        <w:rPr>
          <w:lang w:val="es-ES"/>
        </w:rPr>
        <w:t xml:space="preserve"> haberse hecho de modo diferente </w:t>
      </w:r>
      <w:r w:rsidR="00DB783E" w:rsidRPr="00E86B9B">
        <w:rPr>
          <w:lang w:val="es-ES"/>
        </w:rPr>
        <w:t xml:space="preserve">o </w:t>
      </w:r>
      <w:r w:rsidR="008839D7" w:rsidRPr="00E86B9B">
        <w:rPr>
          <w:lang w:val="es-ES"/>
        </w:rPr>
        <w:t xml:space="preserve">las </w:t>
      </w:r>
      <w:r w:rsidR="00CA1DB9" w:rsidRPr="00E86B9B">
        <w:rPr>
          <w:lang w:val="es-ES"/>
        </w:rPr>
        <w:t xml:space="preserve">cosas </w:t>
      </w:r>
      <w:r w:rsidR="00DB783E" w:rsidRPr="00E86B9B">
        <w:rPr>
          <w:lang w:val="es-ES"/>
        </w:rPr>
        <w:t>qu</w:t>
      </w:r>
      <w:r w:rsidR="00CA1DB9" w:rsidRPr="00E86B9B">
        <w:rPr>
          <w:lang w:val="es-ES"/>
        </w:rPr>
        <w:t xml:space="preserve">e </w:t>
      </w:r>
      <w:r w:rsidR="00DB783E" w:rsidRPr="00E86B9B">
        <w:rPr>
          <w:lang w:val="es-ES"/>
        </w:rPr>
        <w:t>podría</w:t>
      </w:r>
      <w:r w:rsidR="00CA1DB9" w:rsidRPr="00E86B9B">
        <w:rPr>
          <w:lang w:val="es-ES"/>
        </w:rPr>
        <w:t>n</w:t>
      </w:r>
      <w:r w:rsidR="00DB783E" w:rsidRPr="00E86B9B">
        <w:rPr>
          <w:lang w:val="es-ES"/>
        </w:rPr>
        <w:t xml:space="preserve"> haberse hecho antes</w:t>
      </w:r>
      <w:r w:rsidR="009C0D8E" w:rsidRPr="00E86B9B">
        <w:rPr>
          <w:lang w:val="es-ES"/>
        </w:rPr>
        <w:t xml:space="preserve">;  </w:t>
      </w:r>
      <w:r w:rsidRPr="00E86B9B">
        <w:rPr>
          <w:lang w:val="es-ES"/>
        </w:rPr>
        <w:t xml:space="preserve">y </w:t>
      </w:r>
      <w:r w:rsidR="001B435F" w:rsidRPr="00E86B9B">
        <w:rPr>
          <w:lang w:val="es-ES"/>
        </w:rPr>
        <w:t>5) </w:t>
      </w:r>
      <w:r w:rsidR="00DB783E" w:rsidRPr="00E86B9B">
        <w:rPr>
          <w:lang w:val="es-ES"/>
        </w:rPr>
        <w:t xml:space="preserve">la importancia de compartir experiencias entre los organismos de la familia de las Naciones Unidas y las organizaciones internacionales y regionales </w:t>
      </w:r>
      <w:r w:rsidR="00CA1DB9" w:rsidRPr="00E86B9B">
        <w:rPr>
          <w:lang w:val="es-ES"/>
        </w:rPr>
        <w:t>afines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AD44E6" w:rsidP="00CD7FB3">
      <w:pPr>
        <w:ind w:left="567"/>
        <w:rPr>
          <w:b/>
        </w:rPr>
      </w:pPr>
      <w:r w:rsidRPr="00E86B9B">
        <w:rPr>
          <w:b/>
        </w:rPr>
        <w:t>1)</w:t>
      </w:r>
      <w:r w:rsidRPr="00E86B9B">
        <w:rPr>
          <w:b/>
        </w:rPr>
        <w:tab/>
      </w:r>
      <w:r w:rsidR="001B435F" w:rsidRPr="00E86B9B">
        <w:rPr>
          <w:b/>
        </w:rPr>
        <w:t>Go</w:t>
      </w:r>
      <w:r w:rsidR="002057BB" w:rsidRPr="00E86B9B">
        <w:rPr>
          <w:b/>
        </w:rPr>
        <w:t>b</w:t>
      </w:r>
      <w:r w:rsidR="001B435F" w:rsidRPr="00E86B9B">
        <w:rPr>
          <w:b/>
        </w:rPr>
        <w:t>ernan</w:t>
      </w:r>
      <w:r w:rsidR="002057BB" w:rsidRPr="00E86B9B">
        <w:rPr>
          <w:b/>
        </w:rPr>
        <w:t>za</w:t>
      </w:r>
    </w:p>
    <w:p w:rsidR="001B435F" w:rsidRPr="00E86B9B" w:rsidRDefault="001B435F" w:rsidP="00CD7FB3"/>
    <w:p w:rsidR="001B435F" w:rsidRPr="00E86B9B" w:rsidRDefault="00710E54" w:rsidP="00CD7FB3">
      <w:pPr>
        <w:pStyle w:val="ListParagraph"/>
        <w:numPr>
          <w:ilvl w:val="1"/>
          <w:numId w:val="7"/>
        </w:numPr>
        <w:tabs>
          <w:tab w:val="clear" w:pos="1440"/>
          <w:tab w:val="left" w:pos="567"/>
        </w:tabs>
        <w:ind w:left="567" w:hanging="567"/>
        <w:rPr>
          <w:i/>
          <w:lang w:val="es-ES"/>
        </w:rPr>
      </w:pPr>
      <w:r w:rsidRPr="00E86B9B">
        <w:rPr>
          <w:i/>
          <w:lang w:val="es-ES"/>
        </w:rPr>
        <w:t>La experiencia adquirida en el proyecto de construcción del nuevo edificio: base para el proyecto de construcción de la nueva sala de conferencias</w:t>
      </w:r>
    </w:p>
    <w:p w:rsidR="001B435F" w:rsidRPr="00E86B9B" w:rsidRDefault="001B435F" w:rsidP="00CD7FB3"/>
    <w:p w:rsidR="001B435F" w:rsidRPr="00E86B9B" w:rsidRDefault="007F5EC7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A efectos del proyecto de construcción de la nueva sala de conferencias, l</w:t>
      </w:r>
      <w:r w:rsidR="00DB783E" w:rsidRPr="00E86B9B">
        <w:rPr>
          <w:lang w:val="es-ES"/>
        </w:rPr>
        <w:t xml:space="preserve">a experiencia adquirida desde </w:t>
      </w:r>
      <w:r w:rsidR="001B435F" w:rsidRPr="00E86B9B">
        <w:rPr>
          <w:lang w:val="es-ES"/>
        </w:rPr>
        <w:t xml:space="preserve">2006 </w:t>
      </w:r>
      <w:r w:rsidRPr="00E86B9B">
        <w:rPr>
          <w:lang w:val="es-ES"/>
        </w:rPr>
        <w:t xml:space="preserve">gracias a </w:t>
      </w:r>
      <w:r w:rsidR="00DB783E" w:rsidRPr="00E86B9B">
        <w:rPr>
          <w:lang w:val="es-ES"/>
        </w:rPr>
        <w:t xml:space="preserve">la gestión del proyecto de construcción del nuevo edificio proporcionó a la Secretaría una base sólida </w:t>
      </w:r>
      <w:r w:rsidRPr="00E86B9B">
        <w:rPr>
          <w:lang w:val="es-ES"/>
        </w:rPr>
        <w:t>con la que trabajar</w:t>
      </w:r>
      <w:r w:rsidR="001D78D2" w:rsidRPr="00E86B9B">
        <w:rPr>
          <w:lang w:val="es-ES"/>
        </w:rPr>
        <w:t>, con los siguientes elementos como punto de partida</w:t>
      </w:r>
      <w:r w:rsidR="009C0D8E" w:rsidRPr="00E86B9B">
        <w:rPr>
          <w:lang w:val="es-ES"/>
        </w:rPr>
        <w:t xml:space="preserve">:  </w:t>
      </w:r>
      <w:r w:rsidR="001B435F" w:rsidRPr="00E86B9B">
        <w:rPr>
          <w:lang w:val="es-ES"/>
        </w:rPr>
        <w:t>i)  </w:t>
      </w:r>
      <w:r w:rsidR="00934084" w:rsidRPr="00E86B9B">
        <w:rPr>
          <w:lang w:val="es-ES"/>
        </w:rPr>
        <w:t>la estructura actual de gestión (gestión externa mediante el piloto del proyecto, gestión interna mediante el Comité de Construcción y supervisión interna mediante el Equipo de Supervisión Interna del Proyecto, la carta del proyecto y los registros de riesgos</w:t>
      </w:r>
      <w:r w:rsidR="001B435F" w:rsidRPr="00E86B9B">
        <w:rPr>
          <w:lang w:val="es-ES"/>
        </w:rPr>
        <w:t>);  ii)  </w:t>
      </w:r>
      <w:r w:rsidR="00DB783E" w:rsidRPr="00E86B9B">
        <w:rPr>
          <w:lang w:val="es-ES"/>
        </w:rPr>
        <w:t>el marco contractual de financiación</w:t>
      </w:r>
      <w:r w:rsidR="008C134D" w:rsidRPr="00E86B9B">
        <w:rPr>
          <w:lang w:val="es-ES"/>
        </w:rPr>
        <w:t xml:space="preserve"> vigente</w:t>
      </w:r>
      <w:r w:rsidR="009C0D8E" w:rsidRPr="00E86B9B">
        <w:rPr>
          <w:lang w:val="es-ES"/>
        </w:rPr>
        <w:t xml:space="preserve">;  </w:t>
      </w:r>
      <w:r w:rsidR="00DB783E" w:rsidRPr="00E86B9B">
        <w:rPr>
          <w:lang w:val="es-ES"/>
        </w:rPr>
        <w:t xml:space="preserve">y </w:t>
      </w:r>
      <w:r w:rsidR="001B435F" w:rsidRPr="00E86B9B">
        <w:rPr>
          <w:lang w:val="es-ES"/>
        </w:rPr>
        <w:t>iii)  </w:t>
      </w:r>
      <w:r w:rsidR="00DB783E" w:rsidRPr="00E86B9B">
        <w:rPr>
          <w:lang w:val="es-ES"/>
        </w:rPr>
        <w:t xml:space="preserve">la estructura de control </w:t>
      </w:r>
      <w:r w:rsidR="008C134D" w:rsidRPr="00E86B9B">
        <w:rPr>
          <w:lang w:val="es-ES"/>
        </w:rPr>
        <w:t xml:space="preserve">vigente </w:t>
      </w:r>
      <w:r w:rsidR="001B435F" w:rsidRPr="00E86B9B">
        <w:rPr>
          <w:lang w:val="es-ES"/>
        </w:rPr>
        <w:t>(</w:t>
      </w:r>
      <w:r w:rsidR="001D78D2" w:rsidRPr="00E86B9B">
        <w:rPr>
          <w:lang w:val="es-ES"/>
        </w:rPr>
        <w:t>a</w:t>
      </w:r>
      <w:r w:rsidR="00DB783E" w:rsidRPr="00E86B9B">
        <w:rPr>
          <w:lang w:val="es-ES"/>
        </w:rPr>
        <w:t xml:space="preserve">uditor </w:t>
      </w:r>
      <w:r w:rsidR="001D78D2" w:rsidRPr="00E86B9B">
        <w:rPr>
          <w:lang w:val="es-ES"/>
        </w:rPr>
        <w:t>e</w:t>
      </w:r>
      <w:r w:rsidR="001B435F" w:rsidRPr="00E86B9B">
        <w:rPr>
          <w:lang w:val="es-ES"/>
        </w:rPr>
        <w:t>xtern</w:t>
      </w:r>
      <w:r w:rsidR="00DB783E" w:rsidRPr="00E86B9B">
        <w:rPr>
          <w:lang w:val="es-ES"/>
        </w:rPr>
        <w:t>o</w:t>
      </w:r>
      <w:r w:rsidR="001B435F" w:rsidRPr="00E86B9B">
        <w:rPr>
          <w:lang w:val="es-ES"/>
        </w:rPr>
        <w:t xml:space="preserve">, </w:t>
      </w:r>
      <w:r w:rsidR="00DB783E" w:rsidRPr="00E86B9B">
        <w:rPr>
          <w:lang w:val="es-ES"/>
        </w:rPr>
        <w:t>Comisión de Auditoría de la OMPI</w:t>
      </w:r>
      <w:r w:rsidR="001B435F" w:rsidRPr="00E86B9B">
        <w:rPr>
          <w:lang w:val="es-ES"/>
        </w:rPr>
        <w:t>/</w:t>
      </w:r>
      <w:r w:rsidR="00DB783E" w:rsidRPr="00E86B9B">
        <w:rPr>
          <w:lang w:val="es-ES"/>
        </w:rPr>
        <w:t>CCIS</w:t>
      </w:r>
      <w:r w:rsidR="001B435F" w:rsidRPr="00E86B9B">
        <w:rPr>
          <w:lang w:val="es-ES"/>
        </w:rPr>
        <w:t xml:space="preserve"> </w:t>
      </w:r>
      <w:r w:rsidR="00DB783E" w:rsidRPr="00E86B9B">
        <w:rPr>
          <w:lang w:val="es-ES"/>
        </w:rPr>
        <w:t xml:space="preserve">y </w:t>
      </w:r>
      <w:r w:rsidR="001D78D2" w:rsidRPr="00E86B9B">
        <w:rPr>
          <w:lang w:val="es-ES"/>
        </w:rPr>
        <w:t>a</w:t>
      </w:r>
      <w:r w:rsidR="00DB783E" w:rsidRPr="00E86B9B">
        <w:rPr>
          <w:lang w:val="es-ES"/>
        </w:rPr>
        <w:t xml:space="preserve">uditor </w:t>
      </w:r>
      <w:r w:rsidR="001D78D2" w:rsidRPr="00E86B9B">
        <w:rPr>
          <w:lang w:val="es-ES"/>
        </w:rPr>
        <w:t>i</w:t>
      </w:r>
      <w:r w:rsidR="00DB783E" w:rsidRPr="00E86B9B">
        <w:rPr>
          <w:lang w:val="es-ES"/>
        </w:rPr>
        <w:t>nterno</w:t>
      </w:r>
      <w:r w:rsidR="001B435F" w:rsidRPr="00E86B9B">
        <w:rPr>
          <w:lang w:val="es-ES"/>
        </w:rPr>
        <w:t>/</w:t>
      </w:r>
      <w:r w:rsidR="00783F4A" w:rsidRPr="00E86B9B">
        <w:rPr>
          <w:lang w:val="es-ES"/>
        </w:rPr>
        <w:t>División de Supervisión Interna</w:t>
      </w:r>
      <w:r w:rsidR="001B435F" w:rsidRPr="00E86B9B">
        <w:rPr>
          <w:lang w:val="es-ES"/>
        </w:rPr>
        <w:t>)</w:t>
      </w:r>
      <w:r w:rsidR="001B435F" w:rsidRPr="00E86B9B">
        <w:rPr>
          <w:rStyle w:val="FootnoteReference"/>
          <w:lang w:val="es-ES"/>
        </w:rPr>
        <w:footnoteReference w:id="3"/>
      </w:r>
      <w:r w:rsidR="00783F4A" w:rsidRPr="00E86B9B">
        <w:rPr>
          <w:lang w:val="es-ES"/>
        </w:rPr>
        <w:t>.</w:t>
      </w:r>
      <w:r w:rsidR="001B435F" w:rsidRPr="00E86B9B">
        <w:rPr>
          <w:lang w:val="es-ES"/>
        </w:rPr>
        <w:t xml:space="preserve">  </w:t>
      </w:r>
      <w:r w:rsidR="00783F4A" w:rsidRPr="00E86B9B">
        <w:rPr>
          <w:lang w:val="es-ES"/>
        </w:rPr>
        <w:t xml:space="preserve">En la práctica, todas las </w:t>
      </w:r>
      <w:r w:rsidR="008C134D" w:rsidRPr="00E86B9B">
        <w:rPr>
          <w:lang w:val="es-ES"/>
        </w:rPr>
        <w:t>dependencias</w:t>
      </w:r>
      <w:r w:rsidR="00783F4A" w:rsidRPr="00E86B9B">
        <w:rPr>
          <w:lang w:val="es-ES"/>
        </w:rPr>
        <w:t xml:space="preserve"> administrativas</w:t>
      </w:r>
      <w:r w:rsidR="001B435F" w:rsidRPr="00E86B9B">
        <w:rPr>
          <w:rStyle w:val="FootnoteReference"/>
          <w:lang w:val="es-ES"/>
        </w:rPr>
        <w:footnoteReference w:id="4"/>
      </w:r>
      <w:r w:rsidR="001B435F" w:rsidRPr="00E86B9B">
        <w:rPr>
          <w:lang w:val="es-ES"/>
        </w:rPr>
        <w:t xml:space="preserve"> </w:t>
      </w:r>
      <w:r w:rsidR="00783F4A" w:rsidRPr="00E86B9B">
        <w:rPr>
          <w:lang w:val="es-ES"/>
        </w:rPr>
        <w:t xml:space="preserve">que participaron en la planificación y </w:t>
      </w:r>
      <w:r w:rsidR="008C134D" w:rsidRPr="00E86B9B">
        <w:rPr>
          <w:lang w:val="es-ES"/>
        </w:rPr>
        <w:t>ejecución</w:t>
      </w:r>
      <w:r w:rsidR="00783F4A" w:rsidRPr="00E86B9B">
        <w:rPr>
          <w:lang w:val="es-ES"/>
        </w:rPr>
        <w:t xml:space="preserve"> </w:t>
      </w:r>
      <w:r w:rsidR="00CA1DB9" w:rsidRPr="00E86B9B">
        <w:rPr>
          <w:lang w:val="es-ES"/>
        </w:rPr>
        <w:t>efectiva</w:t>
      </w:r>
      <w:r w:rsidR="00783F4A" w:rsidRPr="00E86B9B">
        <w:rPr>
          <w:lang w:val="es-ES"/>
        </w:rPr>
        <w:t xml:space="preserve"> de los proyectos, así como los futuro</w:t>
      </w:r>
      <w:r w:rsidR="008C134D" w:rsidRPr="00E86B9B">
        <w:rPr>
          <w:lang w:val="es-ES"/>
        </w:rPr>
        <w:t>s usuarios, estuvieron implicada</w:t>
      </w:r>
      <w:r w:rsidR="00783F4A" w:rsidRPr="00E86B9B">
        <w:rPr>
          <w:lang w:val="es-ES"/>
        </w:rPr>
        <w:t>s de manera activa en el proceso</w:t>
      </w:r>
      <w:r w:rsidR="00710E54" w:rsidRPr="00E86B9B">
        <w:rPr>
          <w:lang w:val="es-ES"/>
        </w:rPr>
        <w:t xml:space="preserve"> desde las etapas iniciales</w:t>
      </w:r>
      <w:r w:rsidR="001B435F" w:rsidRPr="00E86B9B">
        <w:rPr>
          <w:lang w:val="es-ES"/>
        </w:rPr>
        <w:t xml:space="preserve">, </w:t>
      </w:r>
      <w:r w:rsidR="00710E54" w:rsidRPr="00E86B9B">
        <w:rPr>
          <w:lang w:val="es-ES"/>
        </w:rPr>
        <w:t xml:space="preserve">lo que redujo el riesgo de </w:t>
      </w:r>
      <w:r w:rsidR="001D78D2" w:rsidRPr="00E86B9B">
        <w:rPr>
          <w:lang w:val="es-ES"/>
        </w:rPr>
        <w:t xml:space="preserve">reformulación </w:t>
      </w:r>
      <w:r w:rsidR="00710E54" w:rsidRPr="00E86B9B">
        <w:rPr>
          <w:lang w:val="es-ES"/>
        </w:rPr>
        <w:t xml:space="preserve">y la necesidad </w:t>
      </w:r>
      <w:r w:rsidR="001D78D2" w:rsidRPr="00E86B9B">
        <w:rPr>
          <w:lang w:val="es-ES"/>
        </w:rPr>
        <w:t xml:space="preserve">de </w:t>
      </w:r>
      <w:r w:rsidR="00B02E6F" w:rsidRPr="00E86B9B">
        <w:rPr>
          <w:lang w:val="es-ES"/>
        </w:rPr>
        <w:t>adaptaci</w:t>
      </w:r>
      <w:r w:rsidR="001D78D2" w:rsidRPr="00E86B9B">
        <w:rPr>
          <w:lang w:val="es-ES"/>
        </w:rPr>
        <w:t xml:space="preserve">ones retroactivas </w:t>
      </w:r>
      <w:r w:rsidR="00CA1DB9" w:rsidRPr="00E86B9B">
        <w:rPr>
          <w:lang w:val="es-ES"/>
        </w:rPr>
        <w:t xml:space="preserve">en el </w:t>
      </w:r>
      <w:r w:rsidR="00710E54" w:rsidRPr="00E86B9B">
        <w:rPr>
          <w:lang w:val="es-ES"/>
        </w:rPr>
        <w:t>curso del proyecto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B435F" w:rsidP="00CD7FB3">
      <w:pPr>
        <w:tabs>
          <w:tab w:val="left" w:pos="567"/>
        </w:tabs>
        <w:ind w:left="567" w:hanging="567"/>
        <w:rPr>
          <w:i/>
        </w:rPr>
      </w:pPr>
      <w:r w:rsidRPr="00E86B9B">
        <w:rPr>
          <w:i/>
        </w:rPr>
        <w:t>b)</w:t>
      </w:r>
      <w:r w:rsidRPr="00E86B9B">
        <w:rPr>
          <w:i/>
        </w:rPr>
        <w:tab/>
        <w:t>Re</w:t>
      </w:r>
      <w:r w:rsidR="00DF25D0" w:rsidRPr="00E86B9B">
        <w:rPr>
          <w:i/>
        </w:rPr>
        <w:t>fuerzo de la estructura de gestión vigente a través de medidas específicas que se ajusten a las demandas del proyecto de construcción de la nueva sala de conferencias, que implica un mayor grado de complejidad</w:t>
      </w:r>
    </w:p>
    <w:p w:rsidR="001B435F" w:rsidRPr="00E86B9B" w:rsidRDefault="001B435F" w:rsidP="00CD7FB3"/>
    <w:p w:rsidR="001B435F" w:rsidRPr="00E86B9B" w:rsidRDefault="00DF25D0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La estructura de gestión</w:t>
      </w:r>
      <w:r w:rsidR="001D78D2" w:rsidRPr="00E86B9B">
        <w:rPr>
          <w:lang w:val="es-ES"/>
        </w:rPr>
        <w:t xml:space="preserve"> inicial</w:t>
      </w:r>
      <w:r w:rsidRPr="00E86B9B">
        <w:rPr>
          <w:lang w:val="es-ES"/>
        </w:rPr>
        <w:t xml:space="preserve">, </w:t>
      </w:r>
      <w:r w:rsidR="001D78D2" w:rsidRPr="00E86B9B">
        <w:rPr>
          <w:lang w:val="es-ES"/>
        </w:rPr>
        <w:t xml:space="preserve">que estaba </w:t>
      </w:r>
      <w:r w:rsidRPr="00E86B9B">
        <w:rPr>
          <w:lang w:val="es-ES"/>
        </w:rPr>
        <w:t xml:space="preserve">consolidada y verificada, se complementó a partir de </w:t>
      </w:r>
      <w:r w:rsidR="001B435F" w:rsidRPr="00E86B9B">
        <w:rPr>
          <w:lang w:val="es-ES"/>
        </w:rPr>
        <w:t>2012</w:t>
      </w:r>
      <w:r w:rsidRPr="00E86B9B">
        <w:rPr>
          <w:lang w:val="es-ES"/>
        </w:rPr>
        <w:t xml:space="preserve"> con las medidas descritas </w:t>
      </w:r>
      <w:r w:rsidR="00622922" w:rsidRPr="00E86B9B">
        <w:rPr>
          <w:lang w:val="es-ES"/>
        </w:rPr>
        <w:t>más abajo</w:t>
      </w:r>
      <w:r w:rsidRPr="00E86B9B">
        <w:rPr>
          <w:lang w:val="es-ES"/>
        </w:rPr>
        <w:t xml:space="preserve"> con el objetivo de afrontar, </w:t>
      </w:r>
      <w:r w:rsidR="0010143F" w:rsidRPr="00E86B9B">
        <w:rPr>
          <w:lang w:val="es-ES"/>
        </w:rPr>
        <w:t>con el menor número posible de complicaciones, las consecuencias de la transición entre un régimen de contratista general a un régimen sin contratista general (“mandato clásico”)</w:t>
      </w:r>
      <w:r w:rsidR="0010143F" w:rsidRPr="00E86B9B">
        <w:rPr>
          <w:rStyle w:val="FootnoteReference"/>
          <w:lang w:val="es-ES"/>
        </w:rPr>
        <w:footnoteReference w:id="5"/>
      </w:r>
      <w:r w:rsidR="0010143F" w:rsidRPr="00E86B9B">
        <w:rPr>
          <w:lang w:val="es-ES"/>
        </w:rPr>
        <w:t xml:space="preserve"> durante el transcurso de las obras de la nueva sala de conferencias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0143F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La primera medida consistió en </w:t>
      </w:r>
      <w:r w:rsidR="00622922" w:rsidRPr="00E86B9B">
        <w:rPr>
          <w:lang w:val="es-ES"/>
        </w:rPr>
        <w:t xml:space="preserve">la constitución de </w:t>
      </w:r>
      <w:r w:rsidR="00042D9E" w:rsidRPr="00E86B9B">
        <w:rPr>
          <w:lang w:val="es-ES"/>
        </w:rPr>
        <w:t>un sub</w:t>
      </w:r>
      <w:r w:rsidRPr="00E86B9B">
        <w:rPr>
          <w:lang w:val="es-ES"/>
        </w:rPr>
        <w:t>comité</w:t>
      </w:r>
      <w:r w:rsidR="001B435F" w:rsidRPr="00E86B9B">
        <w:rPr>
          <w:lang w:val="es-ES"/>
        </w:rPr>
        <w:t xml:space="preserve">, </w:t>
      </w:r>
      <w:r w:rsidRPr="00E86B9B">
        <w:rPr>
          <w:lang w:val="es-ES"/>
        </w:rPr>
        <w:t>el Comité de Gestión y Coordinación de la Construcción</w:t>
      </w:r>
      <w:r w:rsidR="001E3283" w:rsidRPr="00E86B9B">
        <w:rPr>
          <w:lang w:val="es-ES"/>
        </w:rPr>
        <w:t xml:space="preserve"> (CMCC)</w:t>
      </w:r>
      <w:r w:rsidR="001B435F" w:rsidRPr="00E86B9B">
        <w:rPr>
          <w:lang w:val="es-ES"/>
        </w:rPr>
        <w:t xml:space="preserve">, </w:t>
      </w:r>
      <w:r w:rsidR="001E3283" w:rsidRPr="00E86B9B">
        <w:rPr>
          <w:lang w:val="es-ES"/>
        </w:rPr>
        <w:t>delegado del Comité de Construcción</w:t>
      </w:r>
      <w:r w:rsidR="00622922" w:rsidRPr="00E86B9B">
        <w:rPr>
          <w:lang w:val="es-ES"/>
        </w:rPr>
        <w:t xml:space="preserve"> y</w:t>
      </w:r>
      <w:r w:rsidR="001E3283" w:rsidRPr="00E86B9B">
        <w:rPr>
          <w:lang w:val="es-ES"/>
        </w:rPr>
        <w:t xml:space="preserve"> con un nivel </w:t>
      </w:r>
      <w:r w:rsidR="00776CC9" w:rsidRPr="00E86B9B">
        <w:rPr>
          <w:lang w:val="es-ES"/>
        </w:rPr>
        <w:t xml:space="preserve">suficiente </w:t>
      </w:r>
      <w:r w:rsidR="001E3283" w:rsidRPr="00E86B9B">
        <w:rPr>
          <w:lang w:val="es-ES"/>
        </w:rPr>
        <w:t xml:space="preserve">de </w:t>
      </w:r>
      <w:r w:rsidR="00042D9E" w:rsidRPr="00E86B9B">
        <w:rPr>
          <w:lang w:val="es-ES"/>
        </w:rPr>
        <w:t>atribuciones</w:t>
      </w:r>
      <w:r w:rsidR="001E3283" w:rsidRPr="00E86B9B">
        <w:rPr>
          <w:lang w:val="es-ES"/>
        </w:rPr>
        <w:t xml:space="preserve"> y autonomía, con el objetivo de crear un organismo </w:t>
      </w:r>
      <w:r w:rsidR="00622922" w:rsidRPr="00E86B9B">
        <w:rPr>
          <w:lang w:val="es-ES"/>
        </w:rPr>
        <w:t xml:space="preserve">que tuviera </w:t>
      </w:r>
      <w:r w:rsidR="001E3283" w:rsidRPr="00E86B9B">
        <w:rPr>
          <w:lang w:val="es-ES"/>
        </w:rPr>
        <w:t xml:space="preserve">la competencia, </w:t>
      </w:r>
      <w:r w:rsidR="00622922" w:rsidRPr="00E86B9B">
        <w:rPr>
          <w:lang w:val="es-ES"/>
        </w:rPr>
        <w:t xml:space="preserve">la </w:t>
      </w:r>
      <w:r w:rsidR="001E3283" w:rsidRPr="00E86B9B">
        <w:rPr>
          <w:lang w:val="es-ES"/>
        </w:rPr>
        <w:t xml:space="preserve">experiencia, </w:t>
      </w:r>
      <w:r w:rsidR="00622922" w:rsidRPr="00E86B9B">
        <w:rPr>
          <w:lang w:val="es-ES"/>
        </w:rPr>
        <w:t xml:space="preserve">la </w:t>
      </w:r>
      <w:r w:rsidR="001E3283" w:rsidRPr="00E86B9B">
        <w:rPr>
          <w:lang w:val="es-ES"/>
        </w:rPr>
        <w:t xml:space="preserve">agilidad y </w:t>
      </w:r>
      <w:r w:rsidR="00622922" w:rsidRPr="00E86B9B">
        <w:rPr>
          <w:lang w:val="es-ES"/>
        </w:rPr>
        <w:t xml:space="preserve">la </w:t>
      </w:r>
      <w:r w:rsidR="001E3283" w:rsidRPr="00E86B9B">
        <w:rPr>
          <w:lang w:val="es-ES"/>
        </w:rPr>
        <w:t>capacidad de respuesta necesarias para la toma diaria de decisiones</w:t>
      </w:r>
      <w:r w:rsidR="001B435F" w:rsidRPr="00E86B9B">
        <w:rPr>
          <w:lang w:val="es-ES"/>
        </w:rPr>
        <w:t xml:space="preserve">.  </w:t>
      </w:r>
      <w:r w:rsidR="001E3283" w:rsidRPr="00E86B9B">
        <w:rPr>
          <w:lang w:val="es-ES"/>
        </w:rPr>
        <w:t xml:space="preserve">El </w:t>
      </w:r>
      <w:r w:rsidR="001B435F" w:rsidRPr="00E86B9B">
        <w:rPr>
          <w:lang w:val="es-ES"/>
        </w:rPr>
        <w:t xml:space="preserve">CMCC </w:t>
      </w:r>
      <w:r w:rsidR="001E3283" w:rsidRPr="00E86B9B">
        <w:rPr>
          <w:lang w:val="es-ES"/>
        </w:rPr>
        <w:t xml:space="preserve">se reunió a diario para evaluar y ajustar el calendario de las obras y las prioridades, así como para gestionar los riesgos, aprobar los diversos elementos </w:t>
      </w:r>
      <w:r w:rsidR="001E3283" w:rsidRPr="00E86B9B">
        <w:rPr>
          <w:lang w:val="es-ES"/>
        </w:rPr>
        <w:lastRenderedPageBreak/>
        <w:t xml:space="preserve">relativos a la </w:t>
      </w:r>
      <w:r w:rsidR="00042D9E" w:rsidRPr="00E86B9B">
        <w:rPr>
          <w:lang w:val="es-ES"/>
        </w:rPr>
        <w:t>ejecución</w:t>
      </w:r>
      <w:r w:rsidR="001E3283" w:rsidRPr="00E86B9B">
        <w:rPr>
          <w:lang w:val="es-ES"/>
        </w:rPr>
        <w:t xml:space="preserve"> de</w:t>
      </w:r>
      <w:r w:rsidR="001265DF" w:rsidRPr="00E86B9B">
        <w:rPr>
          <w:lang w:val="es-ES"/>
        </w:rPr>
        <w:t xml:space="preserve"> </w:t>
      </w:r>
      <w:r w:rsidR="001E3283" w:rsidRPr="00E86B9B">
        <w:rPr>
          <w:lang w:val="es-ES"/>
        </w:rPr>
        <w:t>l</w:t>
      </w:r>
      <w:r w:rsidR="001265DF" w:rsidRPr="00E86B9B">
        <w:rPr>
          <w:lang w:val="es-ES"/>
        </w:rPr>
        <w:t>os</w:t>
      </w:r>
      <w:r w:rsidR="001E3283" w:rsidRPr="00E86B9B">
        <w:rPr>
          <w:lang w:val="es-ES"/>
        </w:rPr>
        <w:t xml:space="preserve"> proyecto</w:t>
      </w:r>
      <w:r w:rsidR="001265DF" w:rsidRPr="00E86B9B">
        <w:rPr>
          <w:lang w:val="es-ES"/>
        </w:rPr>
        <w:t>s</w:t>
      </w:r>
      <w:r w:rsidR="001E3283" w:rsidRPr="00E86B9B">
        <w:rPr>
          <w:lang w:val="es-ES"/>
        </w:rPr>
        <w:t>, analizar o proponer modificaciones a</w:t>
      </w:r>
      <w:r w:rsidR="001265DF" w:rsidRPr="00E86B9B">
        <w:rPr>
          <w:lang w:val="es-ES"/>
        </w:rPr>
        <w:t xml:space="preserve"> </w:t>
      </w:r>
      <w:r w:rsidR="001E3283" w:rsidRPr="00E86B9B">
        <w:rPr>
          <w:lang w:val="es-ES"/>
        </w:rPr>
        <w:t>l</w:t>
      </w:r>
      <w:r w:rsidR="001265DF" w:rsidRPr="00E86B9B">
        <w:rPr>
          <w:lang w:val="es-ES"/>
        </w:rPr>
        <w:t>os</w:t>
      </w:r>
      <w:r w:rsidR="001E3283" w:rsidRPr="00E86B9B">
        <w:rPr>
          <w:lang w:val="es-ES"/>
        </w:rPr>
        <w:t xml:space="preserve"> proyecto</w:t>
      </w:r>
      <w:r w:rsidR="001265DF" w:rsidRPr="00E86B9B">
        <w:rPr>
          <w:lang w:val="es-ES"/>
        </w:rPr>
        <w:t>s</w:t>
      </w:r>
      <w:r w:rsidR="001E3283" w:rsidRPr="00E86B9B">
        <w:rPr>
          <w:lang w:val="es-ES"/>
        </w:rPr>
        <w:t>, y examinar nuevas demandas y necesidades expresadas por los futuros usuarios de las nuevas instalaciones</w:t>
      </w:r>
      <w:r w:rsidR="001B435F" w:rsidRPr="00E86B9B">
        <w:rPr>
          <w:lang w:val="es-ES"/>
        </w:rPr>
        <w:t xml:space="preserve">.  </w:t>
      </w:r>
      <w:r w:rsidR="00111FE6" w:rsidRPr="00E86B9B">
        <w:rPr>
          <w:lang w:val="es-ES"/>
        </w:rPr>
        <w:t xml:space="preserve">Se presentaron informes periódicos sobre </w:t>
      </w:r>
      <w:r w:rsidR="00776CC9" w:rsidRPr="00E86B9B">
        <w:rPr>
          <w:lang w:val="es-ES"/>
        </w:rPr>
        <w:t>las</w:t>
      </w:r>
      <w:r w:rsidR="00111FE6" w:rsidRPr="00E86B9B">
        <w:rPr>
          <w:lang w:val="es-ES"/>
        </w:rPr>
        <w:t xml:space="preserve"> actividades en las reuniones mensuales del Comité de Construcción, cuya aprobación fue solicitada en c</w:t>
      </w:r>
      <w:r w:rsidR="00042D9E" w:rsidRPr="00E86B9B">
        <w:rPr>
          <w:lang w:val="es-ES"/>
        </w:rPr>
        <w:t xml:space="preserve">uestiones de principio </w:t>
      </w:r>
      <w:r w:rsidR="00622922" w:rsidRPr="00E86B9B">
        <w:rPr>
          <w:lang w:val="es-ES"/>
        </w:rPr>
        <w:t xml:space="preserve">o </w:t>
      </w:r>
      <w:r w:rsidR="00111FE6" w:rsidRPr="00E86B9B">
        <w:rPr>
          <w:lang w:val="es-ES"/>
        </w:rPr>
        <w:t xml:space="preserve">modificaciones </w:t>
      </w:r>
      <w:r w:rsidR="00776CC9" w:rsidRPr="00E86B9B">
        <w:rPr>
          <w:lang w:val="es-ES"/>
        </w:rPr>
        <w:t xml:space="preserve">de amplio alcance y naturaleza </w:t>
      </w:r>
      <w:r w:rsidR="00622922" w:rsidRPr="00E86B9B">
        <w:rPr>
          <w:lang w:val="es-ES"/>
        </w:rPr>
        <w:t>de</w:t>
      </w:r>
      <w:r w:rsidR="001265DF" w:rsidRPr="00E86B9B">
        <w:rPr>
          <w:lang w:val="es-ES"/>
        </w:rPr>
        <w:t xml:space="preserve"> </w:t>
      </w:r>
      <w:r w:rsidR="00622922" w:rsidRPr="00E86B9B">
        <w:rPr>
          <w:lang w:val="es-ES"/>
        </w:rPr>
        <w:t>l</w:t>
      </w:r>
      <w:r w:rsidR="001265DF" w:rsidRPr="00E86B9B">
        <w:rPr>
          <w:lang w:val="es-ES"/>
        </w:rPr>
        <w:t>os</w:t>
      </w:r>
      <w:r w:rsidR="00622922" w:rsidRPr="00E86B9B">
        <w:rPr>
          <w:lang w:val="es-ES"/>
        </w:rPr>
        <w:t xml:space="preserve"> proyecto</w:t>
      </w:r>
      <w:r w:rsidR="001265DF" w:rsidRPr="00E86B9B">
        <w:rPr>
          <w:lang w:val="es-ES"/>
        </w:rPr>
        <w:t>s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11FE6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La segunda medida</w:t>
      </w:r>
      <w:r w:rsidR="001B435F" w:rsidRPr="00E86B9B">
        <w:rPr>
          <w:lang w:val="es-ES"/>
        </w:rPr>
        <w:t xml:space="preserve">, </w:t>
      </w:r>
      <w:r w:rsidR="00622922" w:rsidRPr="00E86B9B">
        <w:rPr>
          <w:lang w:val="es-ES"/>
        </w:rPr>
        <w:t xml:space="preserve">aplicable </w:t>
      </w:r>
      <w:r w:rsidRPr="00E86B9B">
        <w:rPr>
          <w:lang w:val="es-ES"/>
        </w:rPr>
        <w:t xml:space="preserve">solo en </w:t>
      </w:r>
      <w:r w:rsidR="00622922" w:rsidRPr="00E86B9B">
        <w:rPr>
          <w:lang w:val="es-ES"/>
        </w:rPr>
        <w:t>el</w:t>
      </w:r>
      <w:r w:rsidRPr="00E86B9B">
        <w:rPr>
          <w:lang w:val="es-ES"/>
        </w:rPr>
        <w:t xml:space="preserve"> proyecto de construcción de la nueva sala de conferencias</w:t>
      </w:r>
      <w:r w:rsidR="001B435F" w:rsidRPr="00E86B9B">
        <w:rPr>
          <w:lang w:val="es-ES"/>
        </w:rPr>
        <w:t xml:space="preserve">, </w:t>
      </w:r>
      <w:r w:rsidRPr="00E86B9B">
        <w:rPr>
          <w:lang w:val="es-ES"/>
        </w:rPr>
        <w:t>fue la c</w:t>
      </w:r>
      <w:r w:rsidR="00622922" w:rsidRPr="00E86B9B">
        <w:rPr>
          <w:lang w:val="es-ES"/>
        </w:rPr>
        <w:t xml:space="preserve">onstitución de </w:t>
      </w:r>
      <w:r w:rsidRPr="00E86B9B">
        <w:rPr>
          <w:lang w:val="es-ES"/>
        </w:rPr>
        <w:t xml:space="preserve">un comité </w:t>
      </w:r>
      <w:r w:rsidR="001B435F" w:rsidRPr="00E86B9B">
        <w:rPr>
          <w:i/>
          <w:lang w:val="es-ES"/>
        </w:rPr>
        <w:t>ad hoc</w:t>
      </w:r>
      <w:r w:rsidR="001B435F" w:rsidRPr="00E86B9B">
        <w:rPr>
          <w:lang w:val="es-ES"/>
        </w:rPr>
        <w:t xml:space="preserve"> </w:t>
      </w:r>
      <w:r w:rsidR="00622922" w:rsidRPr="00E86B9B">
        <w:rPr>
          <w:lang w:val="es-ES"/>
        </w:rPr>
        <w:t xml:space="preserve">encargado de </w:t>
      </w:r>
      <w:r w:rsidRPr="00E86B9B">
        <w:rPr>
          <w:lang w:val="es-ES"/>
        </w:rPr>
        <w:t xml:space="preserve">los contratos de construcción, el </w:t>
      </w:r>
      <w:r w:rsidR="00B02E6F" w:rsidRPr="00E86B9B">
        <w:rPr>
          <w:lang w:val="es-ES"/>
        </w:rPr>
        <w:t>Comité</w:t>
      </w:r>
      <w:r w:rsidRPr="00E86B9B">
        <w:rPr>
          <w:lang w:val="es-ES"/>
        </w:rPr>
        <w:t xml:space="preserve"> </w:t>
      </w:r>
      <w:r w:rsidRPr="00E86B9B">
        <w:rPr>
          <w:i/>
          <w:lang w:val="es-ES"/>
        </w:rPr>
        <w:t>Ad Hoc</w:t>
      </w:r>
      <w:r w:rsidRPr="00E86B9B">
        <w:rPr>
          <w:lang w:val="es-ES"/>
        </w:rPr>
        <w:t xml:space="preserve"> para los Contratos de la Sala de Conferencias </w:t>
      </w:r>
      <w:r w:rsidR="001B435F" w:rsidRPr="00E86B9B">
        <w:rPr>
          <w:lang w:val="es-ES"/>
        </w:rPr>
        <w:t>(CHACC),</w:t>
      </w:r>
      <w:r w:rsidRPr="00E86B9B">
        <w:rPr>
          <w:lang w:val="es-ES"/>
        </w:rPr>
        <w:t xml:space="preserve"> independiente del Comité de Revisión de Contratos (CRC), </w:t>
      </w:r>
      <w:r w:rsidR="00BD7E2B" w:rsidRPr="00E86B9B">
        <w:rPr>
          <w:lang w:val="es-ES"/>
        </w:rPr>
        <w:t xml:space="preserve">con el objetivo de crear un organismo con la </w:t>
      </w:r>
      <w:r w:rsidR="009A301F" w:rsidRPr="00E86B9B">
        <w:rPr>
          <w:lang w:val="es-ES"/>
        </w:rPr>
        <w:t xml:space="preserve">necesaria </w:t>
      </w:r>
      <w:r w:rsidR="00BD7E2B" w:rsidRPr="00E86B9B">
        <w:rPr>
          <w:lang w:val="es-ES"/>
        </w:rPr>
        <w:t>autonomía, agilidad y capacidad de respuesta</w:t>
      </w:r>
      <w:r w:rsidR="009A301F" w:rsidRPr="00E86B9B">
        <w:rPr>
          <w:lang w:val="es-ES"/>
        </w:rPr>
        <w:t xml:space="preserve"> </w:t>
      </w:r>
      <w:r w:rsidR="00BD7E2B" w:rsidRPr="00E86B9B">
        <w:rPr>
          <w:lang w:val="es-ES"/>
        </w:rPr>
        <w:t>que se ajust</w:t>
      </w:r>
      <w:r w:rsidR="009A301F" w:rsidRPr="00E86B9B">
        <w:rPr>
          <w:lang w:val="es-ES"/>
        </w:rPr>
        <w:t>ara</w:t>
      </w:r>
      <w:r w:rsidR="00BD7E2B" w:rsidRPr="00E86B9B">
        <w:rPr>
          <w:lang w:val="es-ES"/>
        </w:rPr>
        <w:t xml:space="preserve"> mejor a las necesidades de los contratos relacionados con las obras</w:t>
      </w:r>
      <w:r w:rsidR="001B435F" w:rsidRPr="00E86B9B">
        <w:rPr>
          <w:lang w:val="es-ES"/>
        </w:rPr>
        <w:t xml:space="preserve"> (</w:t>
      </w:r>
      <w:r w:rsidR="00BD7E2B" w:rsidRPr="00E86B9B">
        <w:rPr>
          <w:lang w:val="es-ES"/>
        </w:rPr>
        <w:t xml:space="preserve">por ejemplo, el </w:t>
      </w:r>
      <w:r w:rsidR="00776CC9" w:rsidRPr="00E86B9B">
        <w:rPr>
          <w:lang w:val="es-ES"/>
        </w:rPr>
        <w:t xml:space="preserve">umbral fijado </w:t>
      </w:r>
      <w:r w:rsidR="00C51CF7" w:rsidRPr="00E86B9B">
        <w:rPr>
          <w:lang w:val="es-ES"/>
        </w:rPr>
        <w:t xml:space="preserve">para la </w:t>
      </w:r>
      <w:r w:rsidR="00BD7E2B" w:rsidRPr="00E86B9B">
        <w:rPr>
          <w:lang w:val="es-ES"/>
        </w:rPr>
        <w:t xml:space="preserve">remisión al </w:t>
      </w:r>
      <w:r w:rsidR="001B435F" w:rsidRPr="00E86B9B">
        <w:rPr>
          <w:lang w:val="es-ES"/>
        </w:rPr>
        <w:t xml:space="preserve">CHACC </w:t>
      </w:r>
      <w:r w:rsidR="00BD7E2B" w:rsidRPr="00E86B9B">
        <w:rPr>
          <w:lang w:val="es-ES"/>
        </w:rPr>
        <w:t xml:space="preserve">se incrementó hasta los </w:t>
      </w:r>
      <w:r w:rsidR="001B435F" w:rsidRPr="00E86B9B">
        <w:rPr>
          <w:lang w:val="es-ES"/>
        </w:rPr>
        <w:t>200</w:t>
      </w:r>
      <w:r w:rsidR="00BD7E2B" w:rsidRPr="00E86B9B">
        <w:rPr>
          <w:lang w:val="es-ES"/>
        </w:rPr>
        <w:t>.</w:t>
      </w:r>
      <w:r w:rsidR="001B435F" w:rsidRPr="00E86B9B">
        <w:rPr>
          <w:lang w:val="es-ES"/>
        </w:rPr>
        <w:t>000 </w:t>
      </w:r>
      <w:r w:rsidR="00BD7E2B" w:rsidRPr="00E86B9B">
        <w:rPr>
          <w:lang w:val="es-ES"/>
        </w:rPr>
        <w:t xml:space="preserve">francos suizos y el </w:t>
      </w:r>
      <w:r w:rsidR="001B435F" w:rsidRPr="00E86B9B">
        <w:rPr>
          <w:lang w:val="es-ES"/>
        </w:rPr>
        <w:t>CHACC</w:t>
      </w:r>
      <w:r w:rsidR="00BD7E2B" w:rsidRPr="00E86B9B">
        <w:rPr>
          <w:lang w:val="es-ES"/>
        </w:rPr>
        <w:t xml:space="preserve"> celebró reuniones </w:t>
      </w:r>
      <w:r w:rsidR="00776CC9" w:rsidRPr="00E86B9B">
        <w:rPr>
          <w:lang w:val="es-ES"/>
        </w:rPr>
        <w:t>semanales cuando era necesario, en lugar de la</w:t>
      </w:r>
      <w:r w:rsidR="00042D9E" w:rsidRPr="00E86B9B">
        <w:rPr>
          <w:lang w:val="es-ES"/>
        </w:rPr>
        <w:t>s</w:t>
      </w:r>
      <w:r w:rsidR="00776CC9" w:rsidRPr="00E86B9B">
        <w:rPr>
          <w:lang w:val="es-ES"/>
        </w:rPr>
        <w:t xml:space="preserve"> reuniones </w:t>
      </w:r>
      <w:r w:rsidR="00042D9E" w:rsidRPr="00E86B9B">
        <w:rPr>
          <w:lang w:val="es-ES"/>
        </w:rPr>
        <w:t xml:space="preserve">mensuales </w:t>
      </w:r>
      <w:r w:rsidR="00BD7E2B" w:rsidRPr="00E86B9B">
        <w:rPr>
          <w:lang w:val="es-ES"/>
        </w:rPr>
        <w:t xml:space="preserve">del CRC, donde el </w:t>
      </w:r>
      <w:r w:rsidR="00776CC9" w:rsidRPr="00E86B9B">
        <w:rPr>
          <w:lang w:val="es-ES"/>
        </w:rPr>
        <w:t xml:space="preserve">umbral fijado </w:t>
      </w:r>
      <w:r w:rsidR="00C51CF7" w:rsidRPr="00E86B9B">
        <w:rPr>
          <w:lang w:val="es-ES"/>
        </w:rPr>
        <w:t xml:space="preserve">para la </w:t>
      </w:r>
      <w:r w:rsidR="00BD7E2B" w:rsidRPr="00E86B9B">
        <w:rPr>
          <w:lang w:val="es-ES"/>
        </w:rPr>
        <w:t>remisión e</w:t>
      </w:r>
      <w:r w:rsidR="009A301F" w:rsidRPr="00E86B9B">
        <w:rPr>
          <w:lang w:val="es-ES"/>
        </w:rPr>
        <w:t>ra</w:t>
      </w:r>
      <w:r w:rsidR="00BD7E2B" w:rsidRPr="00E86B9B">
        <w:rPr>
          <w:lang w:val="es-ES"/>
        </w:rPr>
        <w:t xml:space="preserve"> de </w:t>
      </w:r>
      <w:r w:rsidR="001B435F" w:rsidRPr="00E86B9B">
        <w:rPr>
          <w:lang w:val="es-ES"/>
        </w:rPr>
        <w:t>100</w:t>
      </w:r>
      <w:r w:rsidR="00BD7E2B" w:rsidRPr="00E86B9B">
        <w:rPr>
          <w:lang w:val="es-ES"/>
        </w:rPr>
        <w:t>.</w:t>
      </w:r>
      <w:r w:rsidR="001B435F" w:rsidRPr="00E86B9B">
        <w:rPr>
          <w:lang w:val="es-ES"/>
        </w:rPr>
        <w:t>000 </w:t>
      </w:r>
      <w:r w:rsidR="00BD7E2B" w:rsidRPr="00E86B9B">
        <w:rPr>
          <w:lang w:val="es-ES"/>
        </w:rPr>
        <w:t>francos suizos</w:t>
      </w:r>
      <w:r w:rsidR="001B435F" w:rsidRPr="00E86B9B">
        <w:rPr>
          <w:lang w:val="es-ES"/>
        </w:rPr>
        <w:t xml:space="preserve">).  </w:t>
      </w:r>
      <w:r w:rsidR="00BD7E2B" w:rsidRPr="00E86B9B">
        <w:rPr>
          <w:lang w:val="es-ES"/>
        </w:rPr>
        <w:t>Véase también el punto 4 más a</w:t>
      </w:r>
      <w:r w:rsidR="009A301F" w:rsidRPr="00E86B9B">
        <w:rPr>
          <w:lang w:val="es-ES"/>
        </w:rPr>
        <w:t>bajo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BB2457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La tercera medida fue la </w:t>
      </w:r>
      <w:r w:rsidR="00783431" w:rsidRPr="00E86B9B">
        <w:rPr>
          <w:lang w:val="es-ES"/>
        </w:rPr>
        <w:t>incorporac</w:t>
      </w:r>
      <w:r w:rsidRPr="00E86B9B">
        <w:rPr>
          <w:lang w:val="es-ES"/>
        </w:rPr>
        <w:t xml:space="preserve">ión de un experto </w:t>
      </w:r>
      <w:r w:rsidR="00783431" w:rsidRPr="00E86B9B">
        <w:rPr>
          <w:lang w:val="es-ES"/>
        </w:rPr>
        <w:t xml:space="preserve">en finanzas </w:t>
      </w:r>
      <w:r w:rsidRPr="00E86B9B">
        <w:rPr>
          <w:lang w:val="es-ES"/>
        </w:rPr>
        <w:t>con experiencia en grandes proyectos de construcción</w:t>
      </w:r>
      <w:r w:rsidR="001B435F" w:rsidRPr="00E86B9B">
        <w:rPr>
          <w:lang w:val="es-ES"/>
        </w:rPr>
        <w:t xml:space="preserve">, </w:t>
      </w:r>
      <w:r w:rsidR="00776CC9" w:rsidRPr="00E86B9B">
        <w:rPr>
          <w:lang w:val="es-ES"/>
        </w:rPr>
        <w:t>a quien se encarg</w:t>
      </w:r>
      <w:r w:rsidRPr="00E86B9B">
        <w:rPr>
          <w:lang w:val="es-ES"/>
        </w:rPr>
        <w:t>ó analizar y conciliar el presupuesto y las obligaciones y los gastos conexos, tanto desde la perspectiva del proyecto como desde la perspectiva financiera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Esto facilitó enormemente el proceso </w:t>
      </w:r>
      <w:r w:rsidR="00776CC9" w:rsidRPr="00E86B9B">
        <w:rPr>
          <w:lang w:val="es-ES"/>
        </w:rPr>
        <w:t xml:space="preserve">de validación de </w:t>
      </w:r>
      <w:r w:rsidRPr="00E86B9B">
        <w:rPr>
          <w:lang w:val="es-ES"/>
        </w:rPr>
        <w:t xml:space="preserve">presupuesto adicional presentada por la Secretaría en </w:t>
      </w:r>
      <w:r w:rsidR="001B435F" w:rsidRPr="00E86B9B">
        <w:rPr>
          <w:lang w:val="es-ES"/>
        </w:rPr>
        <w:t>2014.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B435F" w:rsidP="00CD7FB3">
      <w:pPr>
        <w:pStyle w:val="ListParagraph"/>
        <w:tabs>
          <w:tab w:val="left" w:pos="567"/>
        </w:tabs>
        <w:ind w:left="567" w:hanging="567"/>
        <w:rPr>
          <w:i/>
          <w:lang w:val="es-ES"/>
        </w:rPr>
      </w:pPr>
      <w:r w:rsidRPr="00E86B9B">
        <w:rPr>
          <w:i/>
          <w:lang w:val="es-ES"/>
        </w:rPr>
        <w:t>c)</w:t>
      </w:r>
      <w:r w:rsidRPr="00E86B9B">
        <w:rPr>
          <w:i/>
          <w:lang w:val="es-ES"/>
        </w:rPr>
        <w:tab/>
      </w:r>
      <w:r w:rsidR="00BB2457" w:rsidRPr="00E86B9B">
        <w:rPr>
          <w:i/>
          <w:lang w:val="es-ES"/>
        </w:rPr>
        <w:t>Capacidad de analizar las circunstancias, las limitaciones y los riesgos, y agilidad para modificar las estrategias y las prioridades en función de las necesidades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880FDF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Respecto del</w:t>
      </w:r>
      <w:r w:rsidR="00BB2457" w:rsidRPr="00E86B9B">
        <w:rPr>
          <w:lang w:val="es-ES"/>
        </w:rPr>
        <w:t xml:space="preserve"> proyecto de construcción del nuevo edificio, la </w:t>
      </w:r>
      <w:r w:rsidR="00CA2B19" w:rsidRPr="00E86B9B">
        <w:rPr>
          <w:lang w:val="es-ES"/>
        </w:rPr>
        <w:t>g</w:t>
      </w:r>
      <w:r w:rsidR="00BB2457" w:rsidRPr="00E86B9B">
        <w:rPr>
          <w:lang w:val="es-ES"/>
        </w:rPr>
        <w:t>estión</w:t>
      </w:r>
      <w:r w:rsidR="00CA2B19" w:rsidRPr="00E86B9B">
        <w:rPr>
          <w:lang w:val="es-ES"/>
        </w:rPr>
        <w:t xml:space="preserve"> de l</w:t>
      </w:r>
      <w:r w:rsidR="00772D9C" w:rsidRPr="00E86B9B">
        <w:rPr>
          <w:lang w:val="es-ES"/>
        </w:rPr>
        <w:t xml:space="preserve">as instalaciones </w:t>
      </w:r>
      <w:r w:rsidR="00CA2B19" w:rsidRPr="00E86B9B">
        <w:rPr>
          <w:lang w:val="es-ES"/>
        </w:rPr>
        <w:t xml:space="preserve"> </w:t>
      </w:r>
      <w:r w:rsidR="008E59C7" w:rsidRPr="00E86B9B">
        <w:rPr>
          <w:lang w:val="es-ES"/>
        </w:rPr>
        <w:t xml:space="preserve"> a </w:t>
      </w:r>
      <w:r w:rsidR="00CA2B19" w:rsidRPr="00E86B9B">
        <w:rPr>
          <w:lang w:val="es-ES"/>
        </w:rPr>
        <w:t xml:space="preserve">nivel interno incluía la capacidad y la autoridad </w:t>
      </w:r>
      <w:r w:rsidR="008E59C7" w:rsidRPr="00E86B9B">
        <w:rPr>
          <w:lang w:val="es-ES"/>
        </w:rPr>
        <w:t xml:space="preserve">necesarias </w:t>
      </w:r>
      <w:r w:rsidR="00A85E47" w:rsidRPr="00E86B9B">
        <w:rPr>
          <w:lang w:val="es-ES"/>
        </w:rPr>
        <w:t xml:space="preserve">para </w:t>
      </w:r>
      <w:r w:rsidR="00CA2B19" w:rsidRPr="00E86B9B">
        <w:rPr>
          <w:lang w:val="es-ES"/>
        </w:rPr>
        <w:t xml:space="preserve">revisar y escalonar la fecha de entrega del nuevo edificio en la primavera de </w:t>
      </w:r>
      <w:r w:rsidR="001B435F" w:rsidRPr="00E86B9B">
        <w:rPr>
          <w:lang w:val="es-ES"/>
        </w:rPr>
        <w:t xml:space="preserve">2011, </w:t>
      </w:r>
      <w:r w:rsidR="00CA2B19" w:rsidRPr="00E86B9B">
        <w:rPr>
          <w:lang w:val="es-ES"/>
        </w:rPr>
        <w:t>planta por planta y zona por zona</w:t>
      </w:r>
      <w:r w:rsidR="001B435F" w:rsidRPr="00E86B9B">
        <w:rPr>
          <w:lang w:val="es-ES"/>
        </w:rPr>
        <w:t xml:space="preserve">, </w:t>
      </w:r>
      <w:r w:rsidR="00CA2B19" w:rsidRPr="00E86B9B">
        <w:rPr>
          <w:lang w:val="es-ES"/>
        </w:rPr>
        <w:t xml:space="preserve">mientras </w:t>
      </w:r>
      <w:r w:rsidR="00772D9C" w:rsidRPr="00E86B9B">
        <w:rPr>
          <w:lang w:val="es-ES"/>
        </w:rPr>
        <w:t>continuaban la</w:t>
      </w:r>
      <w:r w:rsidR="00CA2B19" w:rsidRPr="00E86B9B">
        <w:rPr>
          <w:lang w:val="es-ES"/>
        </w:rPr>
        <w:t>s obras de acabado</w:t>
      </w:r>
      <w:r w:rsidR="001B435F" w:rsidRPr="00E86B9B">
        <w:rPr>
          <w:lang w:val="es-ES"/>
        </w:rPr>
        <w:t xml:space="preserve">.  </w:t>
      </w:r>
      <w:r w:rsidR="00CA2B19" w:rsidRPr="00E86B9B">
        <w:rPr>
          <w:lang w:val="es-ES"/>
        </w:rPr>
        <w:t xml:space="preserve">Proceder de esta manera se había convertido en </w:t>
      </w:r>
      <w:r w:rsidR="00A85E47" w:rsidRPr="00E86B9B">
        <w:rPr>
          <w:lang w:val="es-ES"/>
        </w:rPr>
        <w:t xml:space="preserve">una cuestión </w:t>
      </w:r>
      <w:r w:rsidR="00CA2B19" w:rsidRPr="00E86B9B">
        <w:rPr>
          <w:lang w:val="es-ES"/>
        </w:rPr>
        <w:t>fundamental para trasladar a los empleados de los locales a</w:t>
      </w:r>
      <w:r w:rsidR="00A85E47" w:rsidRPr="00E86B9B">
        <w:rPr>
          <w:lang w:val="es-ES"/>
        </w:rPr>
        <w:t>rrendados</w:t>
      </w:r>
      <w:r w:rsidR="00CA2B19" w:rsidRPr="00E86B9B">
        <w:rPr>
          <w:lang w:val="es-ES"/>
        </w:rPr>
        <w:t xml:space="preserve"> al nuevo edificio, y para garantizar que los locales a</w:t>
      </w:r>
      <w:r w:rsidR="00A85E47" w:rsidRPr="00E86B9B">
        <w:rPr>
          <w:lang w:val="es-ES"/>
        </w:rPr>
        <w:t>rrendados</w:t>
      </w:r>
      <w:r w:rsidR="008E59C7" w:rsidRPr="00E86B9B">
        <w:rPr>
          <w:lang w:val="es-ES"/>
        </w:rPr>
        <w:t xml:space="preserve"> se desocupar</w:t>
      </w:r>
      <w:r w:rsidR="00CA2B19" w:rsidRPr="00E86B9B">
        <w:rPr>
          <w:lang w:val="es-ES"/>
        </w:rPr>
        <w:t>an antes del plazo contractual sin tener que recurrir a medidas excepcionales</w:t>
      </w:r>
      <w:r w:rsidR="001B435F" w:rsidRPr="00E86B9B">
        <w:rPr>
          <w:lang w:val="es-ES"/>
        </w:rPr>
        <w:t xml:space="preserve"> (</w:t>
      </w:r>
      <w:r w:rsidR="00CA2B19" w:rsidRPr="00E86B9B">
        <w:rPr>
          <w:lang w:val="es-ES"/>
        </w:rPr>
        <w:t xml:space="preserve">como </w:t>
      </w:r>
      <w:r w:rsidR="00A85E47" w:rsidRPr="00E86B9B">
        <w:rPr>
          <w:lang w:val="es-ES"/>
        </w:rPr>
        <w:t xml:space="preserve">espacios </w:t>
      </w:r>
      <w:r w:rsidR="00CA2B19" w:rsidRPr="00E86B9B">
        <w:rPr>
          <w:lang w:val="es-ES"/>
        </w:rPr>
        <w:t>provisionales</w:t>
      </w:r>
      <w:r w:rsidR="001B435F" w:rsidRPr="00E86B9B">
        <w:rPr>
          <w:lang w:val="es-ES"/>
        </w:rPr>
        <w:t>) o</w:t>
      </w:r>
      <w:r w:rsidRPr="00E86B9B">
        <w:rPr>
          <w:lang w:val="es-ES"/>
        </w:rPr>
        <w:t xml:space="preserve"> incurrir en costos adicionales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880FDF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R</w:t>
      </w:r>
      <w:r w:rsidR="001B435F" w:rsidRPr="00E86B9B">
        <w:rPr>
          <w:lang w:val="es-ES"/>
        </w:rPr>
        <w:t>espect</w:t>
      </w:r>
      <w:r w:rsidRPr="00E86B9B">
        <w:rPr>
          <w:lang w:val="es-ES"/>
        </w:rPr>
        <w:t>o del proyecto de construcción de la nueva sala de conferencias, y tras la rescisión del contrato con el anterior contratista general, el</w:t>
      </w:r>
      <w:r w:rsidR="001B435F" w:rsidRPr="00E86B9B">
        <w:rPr>
          <w:lang w:val="es-ES"/>
        </w:rPr>
        <w:t xml:space="preserve"> CMCC </w:t>
      </w:r>
      <w:r w:rsidRPr="00E86B9B">
        <w:rPr>
          <w:lang w:val="es-ES"/>
        </w:rPr>
        <w:t xml:space="preserve">resultó crucial para tomar </w:t>
      </w:r>
      <w:r w:rsidR="006A38C8" w:rsidRPr="00E86B9B">
        <w:rPr>
          <w:lang w:val="es-ES"/>
        </w:rPr>
        <w:t xml:space="preserve">y aplicar a diario </w:t>
      </w:r>
      <w:r w:rsidRPr="00E86B9B">
        <w:rPr>
          <w:lang w:val="es-ES"/>
        </w:rPr>
        <w:t xml:space="preserve">las decisiones oportunas, </w:t>
      </w:r>
      <w:r w:rsidR="006A38C8" w:rsidRPr="00E86B9B">
        <w:rPr>
          <w:lang w:val="es-ES"/>
        </w:rPr>
        <w:t>a fin de</w:t>
      </w:r>
      <w:r w:rsidRPr="00E86B9B">
        <w:rPr>
          <w:lang w:val="es-ES"/>
        </w:rPr>
        <w:t xml:space="preserve"> que las obras no se paralizaran por motivo</w:t>
      </w:r>
      <w:r w:rsidR="006A38C8" w:rsidRPr="00E86B9B">
        <w:rPr>
          <w:lang w:val="es-ES"/>
        </w:rPr>
        <w:t xml:space="preserve"> alguno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Aunque </w:t>
      </w:r>
      <w:r w:rsidR="008E59C7" w:rsidRPr="00E86B9B">
        <w:rPr>
          <w:lang w:val="es-ES"/>
        </w:rPr>
        <w:t xml:space="preserve">se tuvo que posponer </w:t>
      </w:r>
      <w:r w:rsidRPr="00E86B9B">
        <w:rPr>
          <w:lang w:val="es-ES"/>
        </w:rPr>
        <w:t xml:space="preserve">la fecha inicial de entrega de la nueva sala de conferencias, la oportuna creación del </w:t>
      </w:r>
      <w:r w:rsidR="001B435F" w:rsidRPr="00E86B9B">
        <w:rPr>
          <w:lang w:val="es-ES"/>
        </w:rPr>
        <w:t>CMCC (</w:t>
      </w:r>
      <w:r w:rsidRPr="00E86B9B">
        <w:rPr>
          <w:lang w:val="es-ES"/>
        </w:rPr>
        <w:t xml:space="preserve">véase el párrafo </w:t>
      </w:r>
      <w:r w:rsidR="001B435F" w:rsidRPr="00E86B9B">
        <w:rPr>
          <w:lang w:val="es-ES"/>
        </w:rPr>
        <w:t>14</w:t>
      </w:r>
      <w:r w:rsidRPr="00E86B9B">
        <w:rPr>
          <w:lang w:val="es-ES"/>
        </w:rPr>
        <w:t xml:space="preserve"> más arriba)</w:t>
      </w:r>
      <w:r w:rsidR="001B435F" w:rsidRPr="00E86B9B">
        <w:rPr>
          <w:lang w:val="es-ES"/>
        </w:rPr>
        <w:t xml:space="preserve"> </w:t>
      </w:r>
      <w:r w:rsidR="008E59C7" w:rsidRPr="00E86B9B">
        <w:rPr>
          <w:lang w:val="es-ES"/>
        </w:rPr>
        <w:t>garantizó</w:t>
      </w:r>
      <w:r w:rsidRPr="00E86B9B">
        <w:rPr>
          <w:lang w:val="es-ES"/>
        </w:rPr>
        <w:t xml:space="preserve"> la existencia de un órgano decisorio con la agilidad y la autoridad delegada </w:t>
      </w:r>
      <w:r w:rsidR="008E59C7" w:rsidRPr="00E86B9B">
        <w:rPr>
          <w:lang w:val="es-ES"/>
        </w:rPr>
        <w:t xml:space="preserve">necesarias </w:t>
      </w:r>
      <w:r w:rsidRPr="00E86B9B">
        <w:rPr>
          <w:lang w:val="es-ES"/>
        </w:rPr>
        <w:t xml:space="preserve">para finalizar la construcción de las nuevas </w:t>
      </w:r>
      <w:r w:rsidR="00B02E6F" w:rsidRPr="00E86B9B">
        <w:rPr>
          <w:lang w:val="es-ES"/>
        </w:rPr>
        <w:t>instalaciones</w:t>
      </w:r>
      <w:r w:rsidRPr="00E86B9B">
        <w:rPr>
          <w:lang w:val="es-ES"/>
        </w:rPr>
        <w:t xml:space="preserve"> y </w:t>
      </w:r>
      <w:r w:rsidR="00772D9C" w:rsidRPr="00E86B9B">
        <w:rPr>
          <w:lang w:val="es-ES"/>
        </w:rPr>
        <w:t xml:space="preserve">proceder a su entrega, a </w:t>
      </w:r>
      <w:r w:rsidRPr="00E86B9B">
        <w:rPr>
          <w:lang w:val="es-ES"/>
        </w:rPr>
        <w:t xml:space="preserve">tiempo para las Asambleas de la OMPI en septiembre de </w:t>
      </w:r>
      <w:r w:rsidR="001B435F" w:rsidRPr="00E86B9B">
        <w:rPr>
          <w:lang w:val="es-ES"/>
        </w:rPr>
        <w:t>2014.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B435F" w:rsidP="00CD7FB3">
      <w:pPr>
        <w:pStyle w:val="ListParagraph"/>
        <w:tabs>
          <w:tab w:val="left" w:pos="567"/>
        </w:tabs>
        <w:ind w:left="567" w:hanging="567"/>
        <w:rPr>
          <w:i/>
          <w:lang w:val="es-ES"/>
        </w:rPr>
      </w:pPr>
      <w:r w:rsidRPr="00E86B9B">
        <w:rPr>
          <w:i/>
          <w:lang w:val="es-ES"/>
        </w:rPr>
        <w:t>d)</w:t>
      </w:r>
      <w:r w:rsidRPr="00E86B9B">
        <w:rPr>
          <w:i/>
          <w:lang w:val="es-ES"/>
        </w:rPr>
        <w:tab/>
      </w:r>
      <w:r w:rsidR="00C904C9" w:rsidRPr="00E86B9B">
        <w:rPr>
          <w:i/>
          <w:lang w:val="es-ES"/>
        </w:rPr>
        <w:t>Disposiciones contractuales sólidas en los contratos de construcción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C904C9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Desde el punto de vista de las buenas prácticas contractuales, el contrato con el anterior contratista general </w:t>
      </w:r>
      <w:r w:rsidR="006A38C8" w:rsidRPr="00E86B9B">
        <w:rPr>
          <w:lang w:val="es-ES"/>
        </w:rPr>
        <w:t xml:space="preserve">obligaba a este a </w:t>
      </w:r>
      <w:r w:rsidR="00934084" w:rsidRPr="00E86B9B">
        <w:rPr>
          <w:lang w:val="es-ES"/>
        </w:rPr>
        <w:t xml:space="preserve">subcontratar solamente </w:t>
      </w:r>
      <w:r w:rsidR="00772D9C" w:rsidRPr="00E86B9B">
        <w:rPr>
          <w:lang w:val="es-ES"/>
        </w:rPr>
        <w:t xml:space="preserve">a </w:t>
      </w:r>
      <w:r w:rsidR="00934084" w:rsidRPr="00E86B9B">
        <w:rPr>
          <w:lang w:val="es-ES"/>
        </w:rPr>
        <w:t xml:space="preserve">compañías que </w:t>
      </w:r>
      <w:r w:rsidR="00BE40D7" w:rsidRPr="00E86B9B">
        <w:rPr>
          <w:lang w:val="es-ES"/>
        </w:rPr>
        <w:t>estuvieran</w:t>
      </w:r>
      <w:r w:rsidR="00934084" w:rsidRPr="00E86B9B">
        <w:rPr>
          <w:lang w:val="es-ES"/>
        </w:rPr>
        <w:t xml:space="preserve"> obligadas a aceptar </w:t>
      </w:r>
      <w:r w:rsidR="00F36452" w:rsidRPr="00E86B9B">
        <w:rPr>
          <w:lang w:val="es-ES"/>
        </w:rPr>
        <w:t>que la OMPI asum</w:t>
      </w:r>
      <w:r w:rsidR="006A38C8" w:rsidRPr="00E86B9B">
        <w:rPr>
          <w:lang w:val="es-ES"/>
        </w:rPr>
        <w:t>iera</w:t>
      </w:r>
      <w:r w:rsidR="00F36452" w:rsidRPr="00E86B9B">
        <w:rPr>
          <w:lang w:val="es-ES"/>
        </w:rPr>
        <w:t xml:space="preserve"> su contrato, sin ninguna modificación (en particular, en lo </w:t>
      </w:r>
      <w:r w:rsidR="00BE40D7" w:rsidRPr="00E86B9B">
        <w:rPr>
          <w:lang w:val="es-ES"/>
        </w:rPr>
        <w:t>concerniente a</w:t>
      </w:r>
      <w:r w:rsidR="00F36452" w:rsidRPr="00E86B9B">
        <w:rPr>
          <w:lang w:val="es-ES"/>
        </w:rPr>
        <w:t xml:space="preserve">l precio acordado), </w:t>
      </w:r>
      <w:r w:rsidR="006A38C8" w:rsidRPr="00E86B9B">
        <w:rPr>
          <w:lang w:val="es-ES"/>
        </w:rPr>
        <w:t xml:space="preserve">en caso de rescisión del </w:t>
      </w:r>
      <w:r w:rsidR="00F36452" w:rsidRPr="00E86B9B">
        <w:rPr>
          <w:lang w:val="es-ES"/>
        </w:rPr>
        <w:t>contrato entre la OMPI y el contratista general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Habiéndose materializado las circunstancias conducentes a una rescisión del contrato un año después del inicio de las obras </w:t>
      </w:r>
      <w:r w:rsidR="006A38C8" w:rsidRPr="00E86B9B">
        <w:rPr>
          <w:lang w:val="es-ES"/>
        </w:rPr>
        <w:t>d</w:t>
      </w:r>
      <w:r w:rsidRPr="00E86B9B">
        <w:rPr>
          <w:lang w:val="es-ES"/>
        </w:rPr>
        <w:t>el proyecto de construcción de la nueva sala de conferencias</w:t>
      </w:r>
      <w:r w:rsidR="001B435F" w:rsidRPr="00E86B9B">
        <w:rPr>
          <w:lang w:val="es-ES"/>
        </w:rPr>
        <w:t xml:space="preserve">, </w:t>
      </w:r>
      <w:r w:rsidRPr="00E86B9B">
        <w:rPr>
          <w:lang w:val="es-ES"/>
        </w:rPr>
        <w:t xml:space="preserve">la </w:t>
      </w:r>
      <w:r w:rsidR="00772D9C" w:rsidRPr="00E86B9B">
        <w:rPr>
          <w:lang w:val="es-ES"/>
        </w:rPr>
        <w:t>disposición</w:t>
      </w:r>
      <w:r w:rsidRPr="00E86B9B">
        <w:rPr>
          <w:lang w:val="es-ES"/>
        </w:rPr>
        <w:t xml:space="preserve"> proporcion</w:t>
      </w:r>
      <w:r w:rsidR="006A38C8" w:rsidRPr="00E86B9B">
        <w:rPr>
          <w:lang w:val="es-ES"/>
        </w:rPr>
        <w:t xml:space="preserve">ó </w:t>
      </w:r>
      <w:r w:rsidRPr="00E86B9B">
        <w:rPr>
          <w:lang w:val="es-ES"/>
        </w:rPr>
        <w:t xml:space="preserve">a la Secretaría una base sólida no solo para asumir los 20 contratos </w:t>
      </w:r>
      <w:r w:rsidR="00BE40D7" w:rsidRPr="00E86B9B">
        <w:rPr>
          <w:lang w:val="es-ES"/>
        </w:rPr>
        <w:t xml:space="preserve">existentes en esa fecha </w:t>
      </w:r>
      <w:r w:rsidRPr="00E86B9B">
        <w:rPr>
          <w:lang w:val="es-ES"/>
        </w:rPr>
        <w:t xml:space="preserve">con </w:t>
      </w:r>
      <w:r w:rsidR="00BE40D7" w:rsidRPr="00E86B9B">
        <w:rPr>
          <w:lang w:val="es-ES"/>
        </w:rPr>
        <w:t xml:space="preserve">los </w:t>
      </w:r>
      <w:r w:rsidRPr="00E86B9B">
        <w:rPr>
          <w:lang w:val="es-ES"/>
        </w:rPr>
        <w:t xml:space="preserve">subcontratistas, sino también </w:t>
      </w:r>
      <w:r w:rsidR="006A38C8" w:rsidRPr="00E86B9B">
        <w:rPr>
          <w:lang w:val="es-ES"/>
        </w:rPr>
        <w:t xml:space="preserve">para </w:t>
      </w:r>
      <w:r w:rsidRPr="00E86B9B">
        <w:rPr>
          <w:lang w:val="es-ES"/>
        </w:rPr>
        <w:t>adjudicar contratos</w:t>
      </w:r>
      <w:r w:rsidR="00772D9C" w:rsidRPr="00E86B9B">
        <w:rPr>
          <w:lang w:val="es-ES"/>
        </w:rPr>
        <w:t xml:space="preserve">, </w:t>
      </w:r>
      <w:r w:rsidRPr="00E86B9B">
        <w:rPr>
          <w:lang w:val="es-ES"/>
        </w:rPr>
        <w:t>con las mis</w:t>
      </w:r>
      <w:r w:rsidR="00C62F61" w:rsidRPr="00E86B9B">
        <w:rPr>
          <w:lang w:val="es-ES"/>
        </w:rPr>
        <w:t>m</w:t>
      </w:r>
      <w:r w:rsidRPr="00E86B9B">
        <w:rPr>
          <w:lang w:val="es-ES"/>
        </w:rPr>
        <w:t>as condiciones y precio acordado</w:t>
      </w:r>
      <w:r w:rsidR="00C62F61" w:rsidRPr="00E86B9B">
        <w:rPr>
          <w:lang w:val="es-ES"/>
        </w:rPr>
        <w:t xml:space="preserve">, a un gran número de </w:t>
      </w:r>
      <w:r w:rsidR="00C62F61" w:rsidRPr="00E86B9B">
        <w:rPr>
          <w:lang w:val="es-ES"/>
        </w:rPr>
        <w:lastRenderedPageBreak/>
        <w:t>subcontratistas que habían hecho ofertas antes de la rescisión del contrato</w:t>
      </w:r>
      <w:r w:rsidR="001B435F" w:rsidRPr="00E86B9B">
        <w:rPr>
          <w:lang w:val="es-ES"/>
        </w:rPr>
        <w:t xml:space="preserve">.  </w:t>
      </w:r>
      <w:r w:rsidR="00C62F61" w:rsidRPr="00E86B9B">
        <w:rPr>
          <w:lang w:val="es-ES"/>
        </w:rPr>
        <w:t>El resultado fue la salvaguarda de los intereses de la OMPI y la contención de los costos</w:t>
      </w:r>
      <w:r w:rsidR="001B435F" w:rsidRPr="00E86B9B">
        <w:rPr>
          <w:lang w:val="es-ES"/>
        </w:rPr>
        <w:t xml:space="preserve">, </w:t>
      </w:r>
      <w:r w:rsidR="00C62F61" w:rsidRPr="00E86B9B">
        <w:rPr>
          <w:lang w:val="es-ES"/>
        </w:rPr>
        <w:t xml:space="preserve">dado que todos los subcontratistas implicados habían confirmado </w:t>
      </w:r>
      <w:r w:rsidR="00BE40D7" w:rsidRPr="00E86B9B">
        <w:rPr>
          <w:lang w:val="es-ES"/>
        </w:rPr>
        <w:t xml:space="preserve">la </w:t>
      </w:r>
      <w:r w:rsidR="00C62F61" w:rsidRPr="00E86B9B">
        <w:rPr>
          <w:lang w:val="es-ES"/>
        </w:rPr>
        <w:t xml:space="preserve">voluntad y </w:t>
      </w:r>
      <w:r w:rsidR="00BE40D7" w:rsidRPr="00E86B9B">
        <w:rPr>
          <w:lang w:val="es-ES"/>
        </w:rPr>
        <w:t xml:space="preserve">el </w:t>
      </w:r>
      <w:r w:rsidR="00C62F61" w:rsidRPr="00E86B9B">
        <w:rPr>
          <w:lang w:val="es-ES"/>
        </w:rPr>
        <w:t xml:space="preserve">compromiso pleno </w:t>
      </w:r>
      <w:r w:rsidR="006A38C8" w:rsidRPr="00E86B9B">
        <w:rPr>
          <w:lang w:val="es-ES"/>
        </w:rPr>
        <w:t xml:space="preserve">de </w:t>
      </w:r>
      <w:r w:rsidR="00C62F61" w:rsidRPr="00E86B9B">
        <w:rPr>
          <w:lang w:val="es-ES"/>
        </w:rPr>
        <w:t>finaliza</w:t>
      </w:r>
      <w:r w:rsidR="006A38C8" w:rsidRPr="00E86B9B">
        <w:rPr>
          <w:lang w:val="es-ES"/>
        </w:rPr>
        <w:t xml:space="preserve">r </w:t>
      </w:r>
      <w:r w:rsidR="00C62F61" w:rsidRPr="00E86B9B">
        <w:rPr>
          <w:lang w:val="es-ES"/>
        </w:rPr>
        <w:t>el proyecto para la OMPI</w:t>
      </w:r>
      <w:r w:rsidR="001B435F" w:rsidRPr="00E86B9B">
        <w:rPr>
          <w:rStyle w:val="FootnoteReference"/>
          <w:lang w:val="es-ES"/>
        </w:rPr>
        <w:footnoteReference w:id="6"/>
      </w:r>
      <w:r w:rsidR="00C62F61" w:rsidRPr="00E86B9B">
        <w:rPr>
          <w:lang w:val="es-ES"/>
        </w:rPr>
        <w:t>.</w:t>
      </w:r>
      <w:r w:rsidR="001B435F" w:rsidRPr="00E86B9B">
        <w:rPr>
          <w:lang w:val="es-ES"/>
        </w:rPr>
        <w:t xml:space="preserve">  </w:t>
      </w:r>
      <w:r w:rsidR="00C62F61" w:rsidRPr="00E86B9B">
        <w:rPr>
          <w:lang w:val="es-ES"/>
        </w:rPr>
        <w:t>El recurso a esta disposición contractual en un contrato de la OMPI no había sido necesari</w:t>
      </w:r>
      <w:r w:rsidR="006A38C8" w:rsidRPr="00E86B9B">
        <w:rPr>
          <w:lang w:val="es-ES"/>
        </w:rPr>
        <w:t>o</w:t>
      </w:r>
      <w:r w:rsidR="00C62F61" w:rsidRPr="00E86B9B">
        <w:rPr>
          <w:lang w:val="es-ES"/>
        </w:rPr>
        <w:t xml:space="preserve"> en ningún contrato de construcción previo</w:t>
      </w:r>
      <w:r w:rsidR="002917DE" w:rsidRPr="00E86B9B">
        <w:rPr>
          <w:lang w:val="es-ES"/>
        </w:rPr>
        <w:t>,</w:t>
      </w:r>
      <w:r w:rsidR="00C62F61" w:rsidRPr="00E86B9B">
        <w:rPr>
          <w:lang w:val="es-ES"/>
        </w:rPr>
        <w:t xml:space="preserve"> hasta </w:t>
      </w:r>
      <w:r w:rsidR="00772D9C" w:rsidRPr="00E86B9B">
        <w:rPr>
          <w:lang w:val="es-ES"/>
        </w:rPr>
        <w:t xml:space="preserve">que ocurrió </w:t>
      </w:r>
      <w:r w:rsidR="00C62F61" w:rsidRPr="00E86B9B">
        <w:rPr>
          <w:lang w:val="es-ES"/>
        </w:rPr>
        <w:t xml:space="preserve">este caso concreto, en el que </w:t>
      </w:r>
      <w:r w:rsidR="00FA7EFE" w:rsidRPr="00E86B9B">
        <w:rPr>
          <w:lang w:val="es-ES"/>
        </w:rPr>
        <w:t xml:space="preserve">dicha disposición </w:t>
      </w:r>
      <w:r w:rsidR="00BE40D7" w:rsidRPr="00E86B9B">
        <w:rPr>
          <w:lang w:val="es-ES"/>
        </w:rPr>
        <w:t>resultó</w:t>
      </w:r>
      <w:r w:rsidR="00C62F61" w:rsidRPr="00E86B9B">
        <w:rPr>
          <w:lang w:val="es-ES"/>
        </w:rPr>
        <w:t xml:space="preserve"> ser </w:t>
      </w:r>
      <w:r w:rsidR="00BE40D7" w:rsidRPr="00E86B9B">
        <w:rPr>
          <w:lang w:val="es-ES"/>
        </w:rPr>
        <w:t>muy</w:t>
      </w:r>
      <w:r w:rsidR="00C62F61" w:rsidRPr="00E86B9B">
        <w:rPr>
          <w:lang w:val="es-ES"/>
        </w:rPr>
        <w:t xml:space="preserve"> beneficiosa para los intereses de la OMPI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02246C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En todos los contratos </w:t>
      </w:r>
      <w:r w:rsidR="00FA7EFE" w:rsidRPr="00E86B9B">
        <w:rPr>
          <w:lang w:val="es-ES"/>
        </w:rPr>
        <w:t xml:space="preserve">suscritos </w:t>
      </w:r>
      <w:r w:rsidRPr="00E86B9B">
        <w:rPr>
          <w:lang w:val="es-ES"/>
        </w:rPr>
        <w:t xml:space="preserve">con empresas constructoras o proveedores, se incluyó el requisito de garantías bancarias tras un primer requerimiento para cubrir el </w:t>
      </w:r>
      <w:r w:rsidR="00FA7EFE" w:rsidRPr="00E86B9B">
        <w:rPr>
          <w:lang w:val="es-ES"/>
        </w:rPr>
        <w:t>costo de los defectos que pudieran</w:t>
      </w:r>
      <w:r w:rsidRPr="00E86B9B">
        <w:rPr>
          <w:lang w:val="es-ES"/>
        </w:rPr>
        <w:t xml:space="preserve"> de</w:t>
      </w:r>
      <w:r w:rsidR="00772D9C" w:rsidRPr="00E86B9B">
        <w:rPr>
          <w:lang w:val="es-ES"/>
        </w:rPr>
        <w:t>tectarse</w:t>
      </w:r>
      <w:r w:rsidRPr="00E86B9B">
        <w:rPr>
          <w:lang w:val="es-ES"/>
        </w:rPr>
        <w:t xml:space="preserve"> en los dos años posteriores a la entrega de la construcción o la instalación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02246C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En algunos contratos, pero no en todos, se contemplaron </w:t>
      </w:r>
      <w:r w:rsidR="00C86F78" w:rsidRPr="00E86B9B">
        <w:rPr>
          <w:lang w:val="es-ES"/>
        </w:rPr>
        <w:t>penalizaciones</w:t>
      </w:r>
      <w:r w:rsidRPr="00E86B9B">
        <w:rPr>
          <w:lang w:val="es-ES"/>
        </w:rPr>
        <w:t xml:space="preserve"> por retraso.  Las incluidas en los contratos de las empresas constructoras fueron activadas, y las </w:t>
      </w:r>
      <w:r w:rsidR="00C86F78" w:rsidRPr="00E86B9B">
        <w:rPr>
          <w:lang w:val="es-ES"/>
        </w:rPr>
        <w:t xml:space="preserve">penalizaciones </w:t>
      </w:r>
      <w:r w:rsidRPr="00E86B9B">
        <w:rPr>
          <w:lang w:val="es-ES"/>
        </w:rPr>
        <w:t>fueron calculadas, convenidas y pagadas a la OMPI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Véase también el punto </w:t>
      </w:r>
      <w:r w:rsidR="001B435F" w:rsidRPr="00E86B9B">
        <w:rPr>
          <w:lang w:val="es-ES"/>
        </w:rPr>
        <w:t>4</w:t>
      </w:r>
      <w:r w:rsidRPr="00E86B9B">
        <w:rPr>
          <w:lang w:val="es-ES"/>
        </w:rPr>
        <w:t xml:space="preserve"> más a</w:t>
      </w:r>
      <w:r w:rsidR="002917DE" w:rsidRPr="00E86B9B">
        <w:rPr>
          <w:lang w:val="es-ES"/>
        </w:rPr>
        <w:t>bajo</w:t>
      </w:r>
      <w:r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6F53A6" w:rsidP="00CD7FB3">
      <w:pPr>
        <w:tabs>
          <w:tab w:val="left" w:pos="567"/>
        </w:tabs>
        <w:ind w:left="567" w:hanging="567"/>
        <w:rPr>
          <w:i/>
        </w:rPr>
      </w:pPr>
      <w:r w:rsidRPr="00E86B9B">
        <w:rPr>
          <w:i/>
        </w:rPr>
        <w:t>e)</w:t>
      </w:r>
      <w:r w:rsidRPr="00E86B9B">
        <w:rPr>
          <w:i/>
        </w:rPr>
        <w:tab/>
        <w:t xml:space="preserve">Mandatos ampliados para determinados profesionales especializados una vez </w:t>
      </w:r>
      <w:r w:rsidR="002917DE" w:rsidRPr="00E86B9B">
        <w:rPr>
          <w:i/>
        </w:rPr>
        <w:t xml:space="preserve">rescindido </w:t>
      </w:r>
      <w:r w:rsidRPr="00E86B9B">
        <w:rPr>
          <w:i/>
        </w:rPr>
        <w:t xml:space="preserve">el contrato con el </w:t>
      </w:r>
      <w:r w:rsidR="00442DDE" w:rsidRPr="00E86B9B">
        <w:rPr>
          <w:i/>
        </w:rPr>
        <w:t>anterior</w:t>
      </w:r>
      <w:r w:rsidRPr="00E86B9B">
        <w:rPr>
          <w:i/>
        </w:rPr>
        <w:t xml:space="preserve"> contratista general </w:t>
      </w:r>
    </w:p>
    <w:p w:rsidR="001B435F" w:rsidRPr="00E86B9B" w:rsidRDefault="001B435F" w:rsidP="00CD7FB3"/>
    <w:p w:rsidR="001B435F" w:rsidRPr="00E86B9B" w:rsidRDefault="006F53A6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Se elaboraron mandatos ampliados para todos los profesionales especializados, entre ellos el arquitecto</w:t>
      </w:r>
      <w:r w:rsidR="00442DDE" w:rsidRPr="00E86B9B">
        <w:rPr>
          <w:lang w:val="es-ES"/>
        </w:rPr>
        <w:t>, el piloto</w:t>
      </w:r>
      <w:r w:rsidR="0004711F" w:rsidRPr="00E86B9B">
        <w:rPr>
          <w:lang w:val="es-ES"/>
        </w:rPr>
        <w:t xml:space="preserve"> de los proyectos</w:t>
      </w:r>
      <w:r w:rsidR="00442DDE" w:rsidRPr="00E86B9B">
        <w:rPr>
          <w:lang w:val="es-ES"/>
        </w:rPr>
        <w:t xml:space="preserve"> y los ingenieros, para volver a delegar varios </w:t>
      </w:r>
      <w:r w:rsidR="00772D9C" w:rsidRPr="00E86B9B">
        <w:rPr>
          <w:lang w:val="es-ES"/>
        </w:rPr>
        <w:t>componentes de</w:t>
      </w:r>
      <w:r w:rsidR="00442DDE" w:rsidRPr="00E86B9B">
        <w:rPr>
          <w:lang w:val="es-ES"/>
        </w:rPr>
        <w:t xml:space="preserve"> la</w:t>
      </w:r>
      <w:r w:rsidR="00772D9C" w:rsidRPr="00E86B9B">
        <w:rPr>
          <w:lang w:val="es-ES"/>
        </w:rPr>
        <w:t xml:space="preserve"> funci</w:t>
      </w:r>
      <w:r w:rsidR="00C60BEF" w:rsidRPr="00E86B9B">
        <w:rPr>
          <w:lang w:val="es-ES"/>
        </w:rPr>
        <w:t xml:space="preserve">ón y las </w:t>
      </w:r>
      <w:r w:rsidR="00442DDE" w:rsidRPr="00E86B9B">
        <w:rPr>
          <w:lang w:val="es-ES"/>
        </w:rPr>
        <w:t>responsabilidades</w:t>
      </w:r>
      <w:r w:rsidR="002917DE" w:rsidRPr="00E86B9B">
        <w:rPr>
          <w:lang w:val="es-ES"/>
        </w:rPr>
        <w:t xml:space="preserve"> </w:t>
      </w:r>
      <w:r w:rsidR="00442DDE" w:rsidRPr="00E86B9B">
        <w:rPr>
          <w:lang w:val="es-ES"/>
        </w:rPr>
        <w:t>del anterior contratista general</w:t>
      </w:r>
      <w:r w:rsidR="001B435F" w:rsidRPr="00E86B9B">
        <w:rPr>
          <w:lang w:val="es-ES"/>
        </w:rPr>
        <w:t xml:space="preserve">.  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442DDE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A</w:t>
      </w:r>
      <w:r w:rsidR="002917DE" w:rsidRPr="00E86B9B">
        <w:rPr>
          <w:lang w:val="es-ES"/>
        </w:rPr>
        <w:t>demás</w:t>
      </w:r>
      <w:r w:rsidRPr="00E86B9B">
        <w:rPr>
          <w:lang w:val="es-ES"/>
        </w:rPr>
        <w:t xml:space="preserve">, se volvieron a delegar otros </w:t>
      </w:r>
      <w:r w:rsidR="00C60BEF" w:rsidRPr="00E86B9B">
        <w:rPr>
          <w:lang w:val="es-ES"/>
        </w:rPr>
        <w:t xml:space="preserve">componentes </w:t>
      </w:r>
      <w:r w:rsidRPr="00E86B9B">
        <w:rPr>
          <w:lang w:val="es-ES"/>
        </w:rPr>
        <w:t>de la función y las responsabilidades del anterior contratista general</w:t>
      </w:r>
      <w:r w:rsidR="00C60BEF" w:rsidRPr="00E86B9B">
        <w:rPr>
          <w:lang w:val="es-ES"/>
        </w:rPr>
        <w:t xml:space="preserve"> a las </w:t>
      </w:r>
      <w:r w:rsidR="00FA7EFE" w:rsidRPr="00E86B9B">
        <w:rPr>
          <w:lang w:val="es-ES"/>
        </w:rPr>
        <w:t>dependencias</w:t>
      </w:r>
      <w:r w:rsidR="00C60BEF" w:rsidRPr="00E86B9B">
        <w:rPr>
          <w:lang w:val="es-ES"/>
        </w:rPr>
        <w:t xml:space="preserve"> administrativas internas</w:t>
      </w:r>
      <w:r w:rsidRPr="00E86B9B">
        <w:rPr>
          <w:lang w:val="es-ES"/>
        </w:rPr>
        <w:t xml:space="preserve"> </w:t>
      </w:r>
      <w:r w:rsidR="001B435F" w:rsidRPr="00E86B9B">
        <w:rPr>
          <w:lang w:val="es-ES"/>
        </w:rPr>
        <w:t>(</w:t>
      </w:r>
      <w:r w:rsidRPr="00E86B9B">
        <w:rPr>
          <w:lang w:val="es-ES"/>
        </w:rPr>
        <w:t>en</w:t>
      </w:r>
      <w:r w:rsidR="001B435F" w:rsidRPr="00E86B9B">
        <w:rPr>
          <w:lang w:val="es-ES"/>
        </w:rPr>
        <w:t xml:space="preserve"> particular</w:t>
      </w:r>
      <w:r w:rsidRPr="00E86B9B">
        <w:rPr>
          <w:lang w:val="es-ES"/>
        </w:rPr>
        <w:t xml:space="preserve"> </w:t>
      </w:r>
      <w:r w:rsidR="002917DE" w:rsidRPr="00E86B9B">
        <w:rPr>
          <w:lang w:val="es-ES"/>
        </w:rPr>
        <w:t xml:space="preserve">en lo que se refiere a </w:t>
      </w:r>
      <w:r w:rsidRPr="00E86B9B">
        <w:rPr>
          <w:lang w:val="es-ES"/>
        </w:rPr>
        <w:t xml:space="preserve">la supervisión de los contratos con los aproximadamente </w:t>
      </w:r>
      <w:r w:rsidR="001B435F" w:rsidRPr="00E86B9B">
        <w:rPr>
          <w:lang w:val="es-ES"/>
        </w:rPr>
        <w:t>80</w:t>
      </w:r>
      <w:r w:rsidRPr="00E86B9B">
        <w:rPr>
          <w:lang w:val="es-ES"/>
        </w:rPr>
        <w:t xml:space="preserve"> </w:t>
      </w:r>
      <w:r w:rsidR="001B435F" w:rsidRPr="00E86B9B">
        <w:rPr>
          <w:lang w:val="es-ES"/>
        </w:rPr>
        <w:t>subcontra</w:t>
      </w:r>
      <w:r w:rsidRPr="00E86B9B">
        <w:rPr>
          <w:lang w:val="es-ES"/>
        </w:rPr>
        <w:t xml:space="preserve">tistas y proveedores, la gestión de las facturas, los pagos y otras transacciones, así como los gastos administrativos generales </w:t>
      </w:r>
      <w:r w:rsidR="00AA353E" w:rsidRPr="00E86B9B">
        <w:rPr>
          <w:lang w:val="es-ES"/>
        </w:rPr>
        <w:t>conexos</w:t>
      </w:r>
      <w:r w:rsidR="001B435F" w:rsidRPr="00E86B9B">
        <w:rPr>
          <w:lang w:val="es-ES"/>
        </w:rPr>
        <w:t xml:space="preserve">).  </w:t>
      </w:r>
      <w:r w:rsidR="00AA353E" w:rsidRPr="00E86B9B">
        <w:rPr>
          <w:lang w:val="es-ES"/>
        </w:rPr>
        <w:t>Todo ello, junto a la mejora de la estructura interna de gestión y los recursos adicionales, fue clave para la finalización satisfactoria del proyecto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AA353E" w:rsidP="00CD7FB3">
      <w:pPr>
        <w:tabs>
          <w:tab w:val="left" w:pos="567"/>
        </w:tabs>
        <w:rPr>
          <w:i/>
        </w:rPr>
      </w:pPr>
      <w:r w:rsidRPr="00E86B9B">
        <w:rPr>
          <w:i/>
        </w:rPr>
        <w:t>f)</w:t>
      </w:r>
      <w:r w:rsidRPr="00E86B9B">
        <w:rPr>
          <w:i/>
        </w:rPr>
        <w:tab/>
        <w:t>Búsqueda y obtención de la pronta aprobación de las necesidades presupuestarias adicionales por parte de los Estados miembros</w:t>
      </w:r>
    </w:p>
    <w:p w:rsidR="001B435F" w:rsidRPr="00E86B9B" w:rsidRDefault="001B435F" w:rsidP="00CD7FB3"/>
    <w:p w:rsidR="001B435F" w:rsidRPr="00E86B9B" w:rsidRDefault="00AA353E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La cuestión </w:t>
      </w:r>
      <w:r w:rsidR="002917DE" w:rsidRPr="00E86B9B">
        <w:rPr>
          <w:lang w:val="es-ES"/>
        </w:rPr>
        <w:t xml:space="preserve">de si eran necesarios </w:t>
      </w:r>
      <w:r w:rsidRPr="00E86B9B">
        <w:rPr>
          <w:lang w:val="es-ES"/>
        </w:rPr>
        <w:t xml:space="preserve">fondos adicionales fue evaluada </w:t>
      </w:r>
      <w:r w:rsidR="002917DE" w:rsidRPr="00E86B9B">
        <w:rPr>
          <w:lang w:val="es-ES"/>
        </w:rPr>
        <w:t>permanentemente</w:t>
      </w:r>
      <w:r w:rsidRPr="00E86B9B">
        <w:rPr>
          <w:lang w:val="es-ES"/>
        </w:rPr>
        <w:t xml:space="preserve">, clasificada y, en su caso, presentada con una justificación ante los órganos competentes </w:t>
      </w:r>
      <w:r w:rsidR="001B435F" w:rsidRPr="00E86B9B">
        <w:rPr>
          <w:lang w:val="es-ES"/>
        </w:rPr>
        <w:t>(</w:t>
      </w:r>
      <w:r w:rsidRPr="00E86B9B">
        <w:rPr>
          <w:lang w:val="es-ES"/>
        </w:rPr>
        <w:t xml:space="preserve">el </w:t>
      </w:r>
      <w:r w:rsidR="001B435F" w:rsidRPr="00E86B9B">
        <w:rPr>
          <w:lang w:val="es-ES"/>
        </w:rPr>
        <w:t xml:space="preserve">PBC </w:t>
      </w:r>
      <w:r w:rsidRPr="00E86B9B">
        <w:rPr>
          <w:lang w:val="es-ES"/>
        </w:rPr>
        <w:t>y las Asambleas</w:t>
      </w:r>
      <w:r w:rsidR="001B435F" w:rsidRPr="00E86B9B">
        <w:rPr>
          <w:lang w:val="es-ES"/>
        </w:rPr>
        <w:t>)</w:t>
      </w:r>
      <w:r w:rsidRPr="00E86B9B">
        <w:rPr>
          <w:lang w:val="es-ES"/>
        </w:rPr>
        <w:t>, de manera oportuna y mucho antes de que se contrajeran nuevos compromisos con contratistas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El interés </w:t>
      </w:r>
      <w:r w:rsidR="002917DE" w:rsidRPr="00E86B9B">
        <w:rPr>
          <w:lang w:val="es-ES"/>
        </w:rPr>
        <w:t xml:space="preserve">principal </w:t>
      </w:r>
      <w:r w:rsidRPr="00E86B9B">
        <w:rPr>
          <w:lang w:val="es-ES"/>
        </w:rPr>
        <w:t>era evitar encontrarse en una situación en la que</w:t>
      </w:r>
      <w:r w:rsidR="00C51CF7" w:rsidRPr="00E86B9B">
        <w:rPr>
          <w:lang w:val="es-ES"/>
        </w:rPr>
        <w:t>, en aras de la</w:t>
      </w:r>
      <w:r w:rsidR="002917DE" w:rsidRPr="00E86B9B">
        <w:rPr>
          <w:lang w:val="es-ES"/>
        </w:rPr>
        <w:t xml:space="preserve"> ejecución </w:t>
      </w:r>
      <w:r w:rsidR="00C51CF7" w:rsidRPr="00E86B9B">
        <w:rPr>
          <w:lang w:val="es-ES"/>
        </w:rPr>
        <w:t xml:space="preserve">del proyecto, se adquirieran compromisos con contratistas y se llevara a cabo </w:t>
      </w:r>
      <w:r w:rsidR="002917DE" w:rsidRPr="00E86B9B">
        <w:rPr>
          <w:lang w:val="es-ES"/>
        </w:rPr>
        <w:t>el trabajo</w:t>
      </w:r>
      <w:r w:rsidR="00C51CF7" w:rsidRPr="00E86B9B">
        <w:rPr>
          <w:lang w:val="es-ES"/>
        </w:rPr>
        <w:t xml:space="preserve">, pero </w:t>
      </w:r>
      <w:r w:rsidR="00C60BEF" w:rsidRPr="00E86B9B">
        <w:rPr>
          <w:lang w:val="es-ES"/>
        </w:rPr>
        <w:t xml:space="preserve">en la que </w:t>
      </w:r>
      <w:r w:rsidR="00C51CF7" w:rsidRPr="00E86B9B">
        <w:rPr>
          <w:lang w:val="es-ES"/>
        </w:rPr>
        <w:t xml:space="preserve">se tuvieran que suspender los pagos de las facturas finales hasta </w:t>
      </w:r>
      <w:r w:rsidR="007D76F7" w:rsidRPr="00E86B9B">
        <w:rPr>
          <w:lang w:val="es-ES"/>
        </w:rPr>
        <w:t xml:space="preserve">el momento en que los Estados miembros aprobaran </w:t>
      </w:r>
      <w:r w:rsidR="0023447E" w:rsidRPr="00E86B9B">
        <w:rPr>
          <w:lang w:val="es-ES"/>
        </w:rPr>
        <w:t>el</w:t>
      </w:r>
      <w:r w:rsidR="00C51CF7" w:rsidRPr="00E86B9B">
        <w:rPr>
          <w:lang w:val="es-ES"/>
        </w:rPr>
        <w:t xml:space="preserve"> presupuesto adicional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B435F" w:rsidP="00CD7FB3">
      <w:pPr>
        <w:ind w:left="1134" w:hanging="567"/>
        <w:rPr>
          <w:b/>
        </w:rPr>
      </w:pPr>
      <w:r w:rsidRPr="00E86B9B">
        <w:rPr>
          <w:b/>
        </w:rPr>
        <w:t>2)</w:t>
      </w:r>
      <w:r w:rsidRPr="00E86B9B">
        <w:rPr>
          <w:b/>
        </w:rPr>
        <w:tab/>
      </w:r>
      <w:r w:rsidR="00D93E37" w:rsidRPr="00E86B9B">
        <w:rPr>
          <w:b/>
        </w:rPr>
        <w:t xml:space="preserve">Circunstancias favorables, </w:t>
      </w:r>
      <w:r w:rsidR="00C51CF7" w:rsidRPr="00E86B9B">
        <w:rPr>
          <w:b/>
        </w:rPr>
        <w:t>modificaciones</w:t>
      </w:r>
      <w:r w:rsidR="007D76F7" w:rsidRPr="00E86B9B">
        <w:rPr>
          <w:b/>
        </w:rPr>
        <w:t xml:space="preserve"> </w:t>
      </w:r>
      <w:r w:rsidR="00C51CF7" w:rsidRPr="00E86B9B">
        <w:rPr>
          <w:b/>
        </w:rPr>
        <w:t>de</w:t>
      </w:r>
      <w:r w:rsidR="007D76F7" w:rsidRPr="00E86B9B">
        <w:rPr>
          <w:b/>
        </w:rPr>
        <w:t xml:space="preserve"> </w:t>
      </w:r>
      <w:r w:rsidR="00C51CF7" w:rsidRPr="00E86B9B">
        <w:rPr>
          <w:b/>
        </w:rPr>
        <w:t>l</w:t>
      </w:r>
      <w:r w:rsidR="007D76F7" w:rsidRPr="00E86B9B">
        <w:rPr>
          <w:b/>
        </w:rPr>
        <w:t>os</w:t>
      </w:r>
      <w:r w:rsidR="00C51CF7" w:rsidRPr="00E86B9B">
        <w:rPr>
          <w:b/>
        </w:rPr>
        <w:t xml:space="preserve"> proyecto</w:t>
      </w:r>
      <w:r w:rsidR="007D76F7" w:rsidRPr="00E86B9B">
        <w:rPr>
          <w:b/>
        </w:rPr>
        <w:t>s</w:t>
      </w:r>
      <w:r w:rsidR="00C51CF7" w:rsidRPr="00E86B9B">
        <w:rPr>
          <w:b/>
        </w:rPr>
        <w:t xml:space="preserve"> y ahorro de costos</w:t>
      </w:r>
      <w:r w:rsidR="00D93E37" w:rsidRPr="00E86B9B">
        <w:rPr>
          <w:b/>
        </w:rPr>
        <w:t xml:space="preserve"> en el lugar de las obras</w:t>
      </w:r>
    </w:p>
    <w:p w:rsidR="001B435F" w:rsidRPr="00E86B9B" w:rsidRDefault="001B435F" w:rsidP="00CD7FB3"/>
    <w:p w:rsidR="001B435F" w:rsidRPr="00E86B9B" w:rsidRDefault="000B22EA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Se consiguió ahorrar costos en varias ocasiones</w:t>
      </w:r>
      <w:r w:rsidR="00C60BEF" w:rsidRPr="00E86B9B">
        <w:rPr>
          <w:lang w:val="es-ES"/>
        </w:rPr>
        <w:t xml:space="preserve"> gracias, p</w:t>
      </w:r>
      <w:r w:rsidRPr="00E86B9B">
        <w:rPr>
          <w:lang w:val="es-ES"/>
        </w:rPr>
        <w:t>or un</w:t>
      </w:r>
      <w:r w:rsidR="00C60BEF" w:rsidRPr="00E86B9B">
        <w:rPr>
          <w:lang w:val="es-ES"/>
        </w:rPr>
        <w:t xml:space="preserve"> lado</w:t>
      </w:r>
      <w:r w:rsidRPr="00E86B9B">
        <w:rPr>
          <w:lang w:val="es-ES"/>
        </w:rPr>
        <w:t xml:space="preserve">, </w:t>
      </w:r>
      <w:r w:rsidR="00C60BEF" w:rsidRPr="00E86B9B">
        <w:rPr>
          <w:lang w:val="es-ES"/>
        </w:rPr>
        <w:t xml:space="preserve">a </w:t>
      </w:r>
      <w:r w:rsidRPr="00E86B9B">
        <w:rPr>
          <w:lang w:val="es-ES"/>
        </w:rPr>
        <w:t xml:space="preserve">la capacidad del </w:t>
      </w:r>
      <w:r w:rsidR="001B435F" w:rsidRPr="00E86B9B">
        <w:rPr>
          <w:lang w:val="es-ES"/>
        </w:rPr>
        <w:t xml:space="preserve">CMCC </w:t>
      </w:r>
      <w:r w:rsidRPr="00E86B9B">
        <w:rPr>
          <w:lang w:val="es-ES"/>
        </w:rPr>
        <w:t>de reaccionar con rapidez en el lugar de las obras, evitando</w:t>
      </w:r>
      <w:r w:rsidR="00C60BEF" w:rsidRPr="00E86B9B">
        <w:rPr>
          <w:lang w:val="es-ES"/>
        </w:rPr>
        <w:t xml:space="preserve"> </w:t>
      </w:r>
      <w:r w:rsidR="00924121" w:rsidRPr="00E86B9B">
        <w:rPr>
          <w:lang w:val="es-ES"/>
        </w:rPr>
        <w:t xml:space="preserve">incluir </w:t>
      </w:r>
      <w:r w:rsidRPr="00E86B9B">
        <w:rPr>
          <w:lang w:val="es-ES"/>
        </w:rPr>
        <w:t xml:space="preserve">elementos </w:t>
      </w:r>
      <w:r w:rsidR="00924121" w:rsidRPr="00E86B9B">
        <w:rPr>
          <w:lang w:val="es-ES"/>
        </w:rPr>
        <w:t>provisionales</w:t>
      </w:r>
      <w:r w:rsidRPr="00E86B9B">
        <w:rPr>
          <w:lang w:val="es-ES"/>
        </w:rPr>
        <w:t xml:space="preserve"> innecesarios que hubie</w:t>
      </w:r>
      <w:r w:rsidR="000D43E4" w:rsidRPr="00E86B9B">
        <w:rPr>
          <w:lang w:val="es-ES"/>
        </w:rPr>
        <w:t>ran tenido que ser reelaborados,</w:t>
      </w:r>
      <w:r w:rsidR="00C60BEF" w:rsidRPr="00E86B9B">
        <w:rPr>
          <w:lang w:val="es-ES"/>
        </w:rPr>
        <w:t xml:space="preserve"> y, por otro</w:t>
      </w:r>
      <w:r w:rsidR="007D76F7" w:rsidRPr="00E86B9B">
        <w:rPr>
          <w:lang w:val="es-ES"/>
        </w:rPr>
        <w:t xml:space="preserve">, </w:t>
      </w:r>
      <w:r w:rsidR="00C60BEF" w:rsidRPr="00E86B9B">
        <w:rPr>
          <w:lang w:val="es-ES"/>
        </w:rPr>
        <w:t xml:space="preserve">a </w:t>
      </w:r>
      <w:r w:rsidRPr="00E86B9B">
        <w:rPr>
          <w:lang w:val="es-ES"/>
        </w:rPr>
        <w:t xml:space="preserve">la incorporación de modificaciones o mejoras que </w:t>
      </w:r>
      <w:r w:rsidR="007D76F7" w:rsidRPr="00E86B9B">
        <w:rPr>
          <w:lang w:val="es-ES"/>
        </w:rPr>
        <w:t xml:space="preserve">trajeron consigo </w:t>
      </w:r>
      <w:r w:rsidRPr="00E86B9B">
        <w:rPr>
          <w:lang w:val="es-ES"/>
        </w:rPr>
        <w:t xml:space="preserve">ventajas </w:t>
      </w:r>
      <w:r w:rsidR="007D76F7" w:rsidRPr="00E86B9B">
        <w:rPr>
          <w:lang w:val="es-ES"/>
        </w:rPr>
        <w:t xml:space="preserve">iniciales para </w:t>
      </w:r>
      <w:r w:rsidRPr="00E86B9B">
        <w:rPr>
          <w:lang w:val="es-ES"/>
        </w:rPr>
        <w:t>la obtención de los objetivos generales del proyecto sin costo</w:t>
      </w:r>
      <w:r w:rsidR="0023447E" w:rsidRPr="00E86B9B">
        <w:rPr>
          <w:lang w:val="es-ES"/>
        </w:rPr>
        <w:t>s</w:t>
      </w:r>
      <w:r w:rsidRPr="00E86B9B">
        <w:rPr>
          <w:lang w:val="es-ES"/>
        </w:rPr>
        <w:t xml:space="preserve"> adicional</w:t>
      </w:r>
      <w:r w:rsidR="0023447E" w:rsidRPr="00E86B9B">
        <w:rPr>
          <w:lang w:val="es-ES"/>
        </w:rPr>
        <w:t>es</w:t>
      </w:r>
      <w:r w:rsidRPr="00E86B9B">
        <w:rPr>
          <w:lang w:val="es-ES"/>
        </w:rPr>
        <w:t xml:space="preserve">, o </w:t>
      </w:r>
      <w:r w:rsidR="0023447E" w:rsidRPr="00E86B9B">
        <w:rPr>
          <w:lang w:val="es-ES"/>
        </w:rPr>
        <w:t xml:space="preserve">a </w:t>
      </w:r>
      <w:r w:rsidRPr="00E86B9B">
        <w:rPr>
          <w:lang w:val="es-ES"/>
        </w:rPr>
        <w:t>un costo mínimo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Entre los ejemplos de modificaciones o mejoras del proyecto introducidas durante las obras de la nueva sala de conferencias </w:t>
      </w:r>
      <w:r w:rsidR="007D76F7" w:rsidRPr="00E86B9B">
        <w:rPr>
          <w:lang w:val="es-ES"/>
        </w:rPr>
        <w:t>q</w:t>
      </w:r>
      <w:r w:rsidRPr="00E86B9B">
        <w:rPr>
          <w:lang w:val="es-ES"/>
        </w:rPr>
        <w:t xml:space="preserve">ue se han convertido en elementos fundamentales </w:t>
      </w:r>
      <w:r w:rsidR="007D76F7" w:rsidRPr="00E86B9B">
        <w:rPr>
          <w:lang w:val="es-ES"/>
        </w:rPr>
        <w:t xml:space="preserve">y que han aportado </w:t>
      </w:r>
      <w:r w:rsidR="00C66D1E" w:rsidRPr="00E86B9B">
        <w:rPr>
          <w:lang w:val="es-ES"/>
        </w:rPr>
        <w:t xml:space="preserve">ventajas </w:t>
      </w:r>
      <w:r w:rsidR="0023447E" w:rsidRPr="00E86B9B">
        <w:rPr>
          <w:lang w:val="es-ES"/>
        </w:rPr>
        <w:t xml:space="preserve">notables </w:t>
      </w:r>
      <w:r w:rsidR="00C66D1E" w:rsidRPr="00E86B9B">
        <w:rPr>
          <w:lang w:val="es-ES"/>
        </w:rPr>
        <w:t xml:space="preserve">desde </w:t>
      </w:r>
      <w:r w:rsidR="00C60BEF" w:rsidRPr="00E86B9B">
        <w:rPr>
          <w:lang w:val="es-ES"/>
        </w:rPr>
        <w:t xml:space="preserve">diversos </w:t>
      </w:r>
      <w:r w:rsidR="00C66D1E" w:rsidRPr="00E86B9B">
        <w:rPr>
          <w:lang w:val="es-ES"/>
        </w:rPr>
        <w:t>puntos de vista, destacan los siguientes</w:t>
      </w:r>
      <w:r w:rsidR="001B435F" w:rsidRPr="00E86B9B">
        <w:rPr>
          <w:lang w:val="es-ES"/>
        </w:rPr>
        <w:t xml:space="preserve">:  </w:t>
      </w:r>
      <w:r w:rsidR="00C66D1E" w:rsidRPr="00E86B9B">
        <w:rPr>
          <w:lang w:val="es-ES"/>
        </w:rPr>
        <w:t xml:space="preserve">la adición </w:t>
      </w:r>
      <w:r w:rsidR="00C66D1E" w:rsidRPr="00E86B9B">
        <w:rPr>
          <w:lang w:val="es-ES"/>
        </w:rPr>
        <w:lastRenderedPageBreak/>
        <w:t xml:space="preserve">de una puerta cercana al podio para </w:t>
      </w:r>
      <w:r w:rsidR="0023447E" w:rsidRPr="00E86B9B">
        <w:rPr>
          <w:lang w:val="es-ES"/>
        </w:rPr>
        <w:t xml:space="preserve">disponer de </w:t>
      </w:r>
      <w:r w:rsidR="00C66D1E" w:rsidRPr="00E86B9B">
        <w:rPr>
          <w:lang w:val="es-ES"/>
        </w:rPr>
        <w:t xml:space="preserve">un acceso más eficaz y </w:t>
      </w:r>
      <w:r w:rsidR="00EA4697" w:rsidRPr="00E86B9B">
        <w:rPr>
          <w:lang w:val="es-ES"/>
        </w:rPr>
        <w:t xml:space="preserve">que lleve </w:t>
      </w:r>
      <w:r w:rsidR="00C66D1E" w:rsidRPr="00E86B9B">
        <w:rPr>
          <w:lang w:val="es-ES"/>
        </w:rPr>
        <w:t xml:space="preserve">menos </w:t>
      </w:r>
      <w:r w:rsidR="00EA4697" w:rsidRPr="00E86B9B">
        <w:rPr>
          <w:lang w:val="es-ES"/>
        </w:rPr>
        <w:t>tiempo</w:t>
      </w:r>
      <w:r w:rsidR="007D76F7" w:rsidRPr="00E86B9B">
        <w:rPr>
          <w:lang w:val="es-ES"/>
        </w:rPr>
        <w:t>,</w:t>
      </w:r>
      <w:r w:rsidR="00C66D1E" w:rsidRPr="00E86B9B">
        <w:rPr>
          <w:lang w:val="es-ES"/>
        </w:rPr>
        <w:t xml:space="preserve"> y el </w:t>
      </w:r>
      <w:r w:rsidR="00EA4697" w:rsidRPr="00E86B9B">
        <w:rPr>
          <w:lang w:val="es-ES"/>
        </w:rPr>
        <w:t xml:space="preserve">nuevo </w:t>
      </w:r>
      <w:r w:rsidR="00C66D1E" w:rsidRPr="00E86B9B">
        <w:rPr>
          <w:lang w:val="es-ES"/>
        </w:rPr>
        <w:t>diseño de una serie de mesas de la nueva sala para las personas con discapacidades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B435F" w:rsidP="00CD7FB3">
      <w:pPr>
        <w:pStyle w:val="ListParagraph"/>
        <w:keepNext/>
        <w:keepLines/>
        <w:ind w:left="1134" w:hanging="567"/>
        <w:rPr>
          <w:b/>
          <w:lang w:val="es-ES"/>
        </w:rPr>
      </w:pPr>
      <w:r w:rsidRPr="00E86B9B">
        <w:rPr>
          <w:b/>
          <w:lang w:val="es-ES"/>
        </w:rPr>
        <w:t>3)</w:t>
      </w:r>
      <w:r w:rsidRPr="00E86B9B">
        <w:rPr>
          <w:b/>
          <w:lang w:val="es-ES"/>
        </w:rPr>
        <w:tab/>
        <w:t>Rela</w:t>
      </w:r>
      <w:r w:rsidR="00C66D1E" w:rsidRPr="00E86B9B">
        <w:rPr>
          <w:b/>
          <w:lang w:val="es-ES"/>
        </w:rPr>
        <w:t>c</w:t>
      </w:r>
      <w:r w:rsidRPr="00E86B9B">
        <w:rPr>
          <w:b/>
          <w:lang w:val="es-ES"/>
        </w:rPr>
        <w:t>ion</w:t>
      </w:r>
      <w:r w:rsidR="00C66D1E" w:rsidRPr="00E86B9B">
        <w:rPr>
          <w:b/>
          <w:lang w:val="es-ES"/>
        </w:rPr>
        <w:t>es con las autoridades federales, cantonales y municipales del país anfitrión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D93E37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S</w:t>
      </w:r>
      <w:r w:rsidR="00C66D1E" w:rsidRPr="00E86B9B">
        <w:rPr>
          <w:lang w:val="es-ES"/>
        </w:rPr>
        <w:t xml:space="preserve">e presentaron </w:t>
      </w:r>
      <w:r w:rsidRPr="00E86B9B">
        <w:rPr>
          <w:lang w:val="es-ES"/>
        </w:rPr>
        <w:t xml:space="preserve">las solicitudes </w:t>
      </w:r>
      <w:r w:rsidR="00C66D1E" w:rsidRPr="00E86B9B">
        <w:rPr>
          <w:lang w:val="es-ES"/>
        </w:rPr>
        <w:t xml:space="preserve">y </w:t>
      </w:r>
      <w:r w:rsidR="00977177" w:rsidRPr="00E86B9B">
        <w:rPr>
          <w:lang w:val="es-ES"/>
        </w:rPr>
        <w:t xml:space="preserve">se obtuvieron los </w:t>
      </w:r>
      <w:r w:rsidR="00C66D1E" w:rsidRPr="00E86B9B">
        <w:rPr>
          <w:lang w:val="es-ES"/>
        </w:rPr>
        <w:t xml:space="preserve">permisos de construcción </w:t>
      </w:r>
      <w:r w:rsidR="00977177" w:rsidRPr="00E86B9B">
        <w:rPr>
          <w:lang w:val="es-ES"/>
        </w:rPr>
        <w:t>de</w:t>
      </w:r>
      <w:r w:rsidR="00930EDB" w:rsidRPr="00E86B9B">
        <w:rPr>
          <w:lang w:val="es-ES"/>
        </w:rPr>
        <w:t xml:space="preserve"> las autoridades cantonales para </w:t>
      </w:r>
      <w:r w:rsidR="00C66D1E" w:rsidRPr="00E86B9B">
        <w:rPr>
          <w:lang w:val="es-ES"/>
        </w:rPr>
        <w:t>el nuevo edificio</w:t>
      </w:r>
      <w:r w:rsidR="00930EDB" w:rsidRPr="00E86B9B">
        <w:rPr>
          <w:lang w:val="es-ES"/>
        </w:rPr>
        <w:t xml:space="preserve"> y para </w:t>
      </w:r>
      <w:r w:rsidR="00C66D1E" w:rsidRPr="00E86B9B">
        <w:rPr>
          <w:lang w:val="es-ES"/>
        </w:rPr>
        <w:t xml:space="preserve">la nueva sala de conferencias, </w:t>
      </w:r>
      <w:r w:rsidR="0099023B" w:rsidRPr="00E86B9B">
        <w:rPr>
          <w:lang w:val="es-ES"/>
        </w:rPr>
        <w:t xml:space="preserve">así como </w:t>
      </w:r>
      <w:r w:rsidR="00930EDB" w:rsidRPr="00E86B9B">
        <w:rPr>
          <w:lang w:val="es-ES"/>
        </w:rPr>
        <w:t xml:space="preserve">varios permisos adicionales </w:t>
      </w:r>
      <w:r w:rsidR="0099023B" w:rsidRPr="00E86B9B">
        <w:rPr>
          <w:lang w:val="es-ES"/>
        </w:rPr>
        <w:t>debido a</w:t>
      </w:r>
      <w:r w:rsidR="00930EDB" w:rsidRPr="00E86B9B">
        <w:rPr>
          <w:lang w:val="es-ES"/>
        </w:rPr>
        <w:t xml:space="preserve"> l</w:t>
      </w:r>
      <w:r w:rsidR="0099023B" w:rsidRPr="00E86B9B">
        <w:rPr>
          <w:lang w:val="es-ES"/>
        </w:rPr>
        <w:t>o</w:t>
      </w:r>
      <w:r w:rsidR="00930EDB" w:rsidRPr="00E86B9B">
        <w:rPr>
          <w:lang w:val="es-ES"/>
        </w:rPr>
        <w:t xml:space="preserve">s </w:t>
      </w:r>
      <w:r w:rsidR="0099023B" w:rsidRPr="00E86B9B">
        <w:rPr>
          <w:lang w:val="es-ES"/>
        </w:rPr>
        <w:t xml:space="preserve">cambios introducidos durante las </w:t>
      </w:r>
      <w:r w:rsidR="00930EDB" w:rsidRPr="00E86B9B">
        <w:rPr>
          <w:lang w:val="es-ES"/>
        </w:rPr>
        <w:t>respectiv</w:t>
      </w:r>
      <w:r w:rsidR="0099023B" w:rsidRPr="00E86B9B">
        <w:rPr>
          <w:lang w:val="es-ES"/>
        </w:rPr>
        <w:t>a</w:t>
      </w:r>
      <w:r w:rsidR="00930EDB" w:rsidRPr="00E86B9B">
        <w:rPr>
          <w:lang w:val="es-ES"/>
        </w:rPr>
        <w:t>s obra</w:t>
      </w:r>
      <w:r w:rsidR="0099023B" w:rsidRPr="00E86B9B">
        <w:rPr>
          <w:lang w:val="es-ES"/>
        </w:rPr>
        <w:t>s</w:t>
      </w:r>
      <w:r w:rsidR="001B435F" w:rsidRPr="00E86B9B">
        <w:rPr>
          <w:lang w:val="es-ES"/>
        </w:rPr>
        <w:t xml:space="preserve">.  </w:t>
      </w:r>
      <w:r w:rsidR="00930EDB" w:rsidRPr="00E86B9B">
        <w:rPr>
          <w:lang w:val="es-ES"/>
        </w:rPr>
        <w:t xml:space="preserve">Las relaciones altamente profesionales entabladas entre el </w:t>
      </w:r>
      <w:r w:rsidR="001B435F" w:rsidRPr="00E86B9B">
        <w:rPr>
          <w:lang w:val="es-ES"/>
        </w:rPr>
        <w:t xml:space="preserve">CMCC, </w:t>
      </w:r>
      <w:r w:rsidR="0004711F" w:rsidRPr="00E86B9B">
        <w:rPr>
          <w:lang w:val="es-ES"/>
        </w:rPr>
        <w:t>el piloto de los proyectos</w:t>
      </w:r>
      <w:r w:rsidR="001B435F" w:rsidRPr="00E86B9B">
        <w:rPr>
          <w:lang w:val="es-ES"/>
        </w:rPr>
        <w:t xml:space="preserve">, </w:t>
      </w:r>
      <w:r w:rsidR="00930EDB" w:rsidRPr="00E86B9B">
        <w:rPr>
          <w:lang w:val="es-ES"/>
        </w:rPr>
        <w:t xml:space="preserve">el arquitecto y los ingenieros, por un lado, y las autoridades cantonales y de la </w:t>
      </w:r>
      <w:r w:rsidRPr="00E86B9B">
        <w:rPr>
          <w:lang w:val="es-ES"/>
        </w:rPr>
        <w:t>villa</w:t>
      </w:r>
      <w:r w:rsidR="00930EDB" w:rsidRPr="00E86B9B">
        <w:rPr>
          <w:lang w:val="es-ES"/>
        </w:rPr>
        <w:t>, por otro</w:t>
      </w:r>
      <w:r w:rsidR="001B435F" w:rsidRPr="00E86B9B">
        <w:rPr>
          <w:lang w:val="es-ES"/>
        </w:rPr>
        <w:t xml:space="preserve">, </w:t>
      </w:r>
      <w:r w:rsidR="00930EDB" w:rsidRPr="00E86B9B">
        <w:rPr>
          <w:lang w:val="es-ES"/>
        </w:rPr>
        <w:t xml:space="preserve">fueron determinantes para asegurar </w:t>
      </w:r>
      <w:r w:rsidRPr="00E86B9B">
        <w:rPr>
          <w:lang w:val="es-ES"/>
        </w:rPr>
        <w:t>que se comprendieran desde el primer momento</w:t>
      </w:r>
      <w:r w:rsidR="00930EDB" w:rsidRPr="00E86B9B">
        <w:rPr>
          <w:lang w:val="es-ES"/>
        </w:rPr>
        <w:t xml:space="preserve"> las expectativas </w:t>
      </w:r>
      <w:r w:rsidRPr="00E86B9B">
        <w:rPr>
          <w:lang w:val="es-ES"/>
        </w:rPr>
        <w:t>mediante</w:t>
      </w:r>
      <w:r w:rsidR="00930EDB" w:rsidRPr="00E86B9B">
        <w:rPr>
          <w:lang w:val="es-ES"/>
        </w:rPr>
        <w:t xml:space="preserve"> reuniones en persona y visitas al terreno</w:t>
      </w:r>
      <w:r w:rsidR="00123754" w:rsidRPr="00E86B9B">
        <w:rPr>
          <w:lang w:val="es-ES"/>
        </w:rPr>
        <w:t xml:space="preserve"> de las obras</w:t>
      </w:r>
      <w:r w:rsidR="00930EDB" w:rsidRPr="00E86B9B">
        <w:rPr>
          <w:lang w:val="es-ES"/>
        </w:rPr>
        <w:t xml:space="preserve">, </w:t>
      </w:r>
      <w:r w:rsidR="00123754" w:rsidRPr="00E86B9B">
        <w:rPr>
          <w:lang w:val="es-ES"/>
        </w:rPr>
        <w:t>según fuera necesario</w:t>
      </w:r>
      <w:r w:rsidR="00930EDB" w:rsidRPr="00E86B9B">
        <w:rPr>
          <w:lang w:val="es-ES"/>
        </w:rPr>
        <w:t xml:space="preserve">, </w:t>
      </w:r>
      <w:r w:rsidR="00123754" w:rsidRPr="00E86B9B">
        <w:rPr>
          <w:lang w:val="es-ES"/>
        </w:rPr>
        <w:t>en las que participaron</w:t>
      </w:r>
      <w:r w:rsidR="00930EDB" w:rsidRPr="00E86B9B">
        <w:rPr>
          <w:lang w:val="es-ES"/>
        </w:rPr>
        <w:t xml:space="preserve"> </w:t>
      </w:r>
      <w:r w:rsidR="0099023B" w:rsidRPr="00E86B9B">
        <w:rPr>
          <w:lang w:val="es-ES"/>
        </w:rPr>
        <w:t xml:space="preserve">todas </w:t>
      </w:r>
      <w:r w:rsidR="00930EDB" w:rsidRPr="00E86B9B">
        <w:rPr>
          <w:lang w:val="es-ES"/>
        </w:rPr>
        <w:t>las partes interesadas, lo que</w:t>
      </w:r>
      <w:r w:rsidR="00A365C4" w:rsidRPr="00E86B9B">
        <w:rPr>
          <w:lang w:val="es-ES"/>
        </w:rPr>
        <w:t xml:space="preserve"> </w:t>
      </w:r>
      <w:r w:rsidR="00123754" w:rsidRPr="00E86B9B">
        <w:rPr>
          <w:lang w:val="es-ES"/>
        </w:rPr>
        <w:t>dio lugar a</w:t>
      </w:r>
      <w:r w:rsidR="00A365C4" w:rsidRPr="00E86B9B">
        <w:rPr>
          <w:lang w:val="es-ES"/>
        </w:rPr>
        <w:t xml:space="preserve"> un proceso global sólido y eficaz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7D732A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Además, se consultó al país anfitrión en determinadas cuestiones relacionadas con la aplicación de las medidas de seguridad relativas a las normas mínimas operativas de seguridad para las sedes de la</w:t>
      </w:r>
      <w:r w:rsidR="0099023B" w:rsidRPr="00E86B9B">
        <w:rPr>
          <w:lang w:val="es-ES"/>
        </w:rPr>
        <w:t xml:space="preserve"> ONU</w:t>
      </w:r>
      <w:r w:rsidRPr="00E86B9B">
        <w:rPr>
          <w:lang w:val="es-ES"/>
        </w:rPr>
        <w:t xml:space="preserve"> </w:t>
      </w:r>
      <w:r w:rsidR="001B435F" w:rsidRPr="00E86B9B">
        <w:rPr>
          <w:lang w:val="es-ES"/>
        </w:rPr>
        <w:t>o</w:t>
      </w:r>
      <w:r w:rsidRPr="00E86B9B">
        <w:rPr>
          <w:lang w:val="es-ES"/>
        </w:rPr>
        <w:t xml:space="preserve"> con el derecho público de </w:t>
      </w:r>
      <w:r w:rsidR="00907D62" w:rsidRPr="00E86B9B">
        <w:rPr>
          <w:lang w:val="es-ES"/>
        </w:rPr>
        <w:t xml:space="preserve">paso por </w:t>
      </w:r>
      <w:r w:rsidRPr="00E86B9B">
        <w:rPr>
          <w:lang w:val="es-ES"/>
        </w:rPr>
        <w:t xml:space="preserve">el recinto de la OMPI, aunque este no era un requisito </w:t>
      </w:r>
      <w:r w:rsidR="0099023B" w:rsidRPr="00E86B9B">
        <w:rPr>
          <w:lang w:val="es-ES"/>
        </w:rPr>
        <w:t xml:space="preserve">incluido en </w:t>
      </w:r>
      <w:r w:rsidRPr="00E86B9B">
        <w:rPr>
          <w:lang w:val="es-ES"/>
        </w:rPr>
        <w:t xml:space="preserve">el acuerdo de sede </w:t>
      </w:r>
      <w:r w:rsidR="0004711F" w:rsidRPr="00E86B9B">
        <w:rPr>
          <w:lang w:val="es-ES"/>
        </w:rPr>
        <w:t xml:space="preserve">con respecto </w:t>
      </w:r>
      <w:r w:rsidR="00123754" w:rsidRPr="00E86B9B">
        <w:rPr>
          <w:lang w:val="es-ES"/>
        </w:rPr>
        <w:t xml:space="preserve">a </w:t>
      </w:r>
      <w:r w:rsidR="0004711F" w:rsidRPr="00E86B9B">
        <w:rPr>
          <w:lang w:val="es-ES"/>
        </w:rPr>
        <w:t>las cuestiones</w:t>
      </w:r>
      <w:r w:rsidR="008B01CA" w:rsidRPr="00E86B9B">
        <w:rPr>
          <w:lang w:val="es-ES"/>
        </w:rPr>
        <w:t xml:space="preserve"> mencionadas</w:t>
      </w:r>
      <w:r w:rsidR="001B435F" w:rsidRPr="00E86B9B">
        <w:rPr>
          <w:lang w:val="es-ES"/>
        </w:rPr>
        <w:t xml:space="preserve">.  </w:t>
      </w:r>
      <w:r w:rsidR="00123754" w:rsidRPr="00E86B9B">
        <w:rPr>
          <w:lang w:val="es-ES"/>
        </w:rPr>
        <w:t>Gracias a esa</w:t>
      </w:r>
      <w:r w:rsidRPr="00E86B9B">
        <w:rPr>
          <w:lang w:val="es-ES"/>
        </w:rPr>
        <w:t xml:space="preserve"> cooperación y colaboración </w:t>
      </w:r>
      <w:r w:rsidR="00123754" w:rsidRPr="00E86B9B">
        <w:rPr>
          <w:lang w:val="es-ES"/>
        </w:rPr>
        <w:t>se consolidó</w:t>
      </w:r>
      <w:r w:rsidRPr="00E86B9B">
        <w:rPr>
          <w:lang w:val="es-ES"/>
        </w:rPr>
        <w:t xml:space="preserve"> la buena voluntad ya existente en la relación entre la Organización y el país anfitrión</w:t>
      </w:r>
      <w:r w:rsidR="001B435F" w:rsidRPr="00E86B9B">
        <w:rPr>
          <w:lang w:val="es-ES"/>
        </w:rPr>
        <w:t>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B435F" w:rsidP="00CD7FB3">
      <w:pPr>
        <w:ind w:left="1134" w:hanging="567"/>
        <w:rPr>
          <w:b/>
        </w:rPr>
      </w:pPr>
      <w:r w:rsidRPr="00E86B9B">
        <w:rPr>
          <w:b/>
        </w:rPr>
        <w:t>4)</w:t>
      </w:r>
      <w:r w:rsidRPr="00E86B9B">
        <w:rPr>
          <w:b/>
        </w:rPr>
        <w:tab/>
      </w:r>
      <w:r w:rsidR="00CA1DB9" w:rsidRPr="00E86B9B">
        <w:rPr>
          <w:b/>
        </w:rPr>
        <w:t xml:space="preserve">Cosas que </w:t>
      </w:r>
      <w:r w:rsidR="00B911D8" w:rsidRPr="00E86B9B">
        <w:rPr>
          <w:b/>
        </w:rPr>
        <w:t>podría</w:t>
      </w:r>
      <w:r w:rsidR="00CA1DB9" w:rsidRPr="00E86B9B">
        <w:rPr>
          <w:b/>
        </w:rPr>
        <w:t>n</w:t>
      </w:r>
      <w:r w:rsidR="00B911D8" w:rsidRPr="00E86B9B">
        <w:rPr>
          <w:b/>
        </w:rPr>
        <w:t xml:space="preserve"> haberse hecho de modo diferente o </w:t>
      </w:r>
      <w:r w:rsidR="00CA1DB9" w:rsidRPr="00E86B9B">
        <w:rPr>
          <w:b/>
        </w:rPr>
        <w:t xml:space="preserve">cosas </w:t>
      </w:r>
      <w:r w:rsidR="00B911D8" w:rsidRPr="00E86B9B">
        <w:rPr>
          <w:b/>
        </w:rPr>
        <w:t>qu</w:t>
      </w:r>
      <w:r w:rsidR="00CA1DB9" w:rsidRPr="00E86B9B">
        <w:rPr>
          <w:b/>
        </w:rPr>
        <w:t>e</w:t>
      </w:r>
      <w:r w:rsidR="00B911D8" w:rsidRPr="00E86B9B">
        <w:rPr>
          <w:b/>
        </w:rPr>
        <w:t xml:space="preserve"> podría</w:t>
      </w:r>
      <w:r w:rsidR="00CA1DB9" w:rsidRPr="00E86B9B">
        <w:rPr>
          <w:b/>
        </w:rPr>
        <w:t>n</w:t>
      </w:r>
      <w:r w:rsidR="00B911D8" w:rsidRPr="00E86B9B">
        <w:rPr>
          <w:b/>
        </w:rPr>
        <w:t xml:space="preserve"> haberse hecho antes</w:t>
      </w:r>
    </w:p>
    <w:p w:rsidR="001B435F" w:rsidRPr="00E86B9B" w:rsidRDefault="001B435F" w:rsidP="00CD7FB3"/>
    <w:p w:rsidR="001B435F" w:rsidRPr="00E86B9B" w:rsidRDefault="00B911D8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Las </w:t>
      </w:r>
      <w:r w:rsidR="00C86F78" w:rsidRPr="00E86B9B">
        <w:rPr>
          <w:lang w:val="es-ES"/>
        </w:rPr>
        <w:t>penalizaciones</w:t>
      </w:r>
      <w:r w:rsidRPr="00E86B9B">
        <w:rPr>
          <w:lang w:val="es-ES"/>
        </w:rPr>
        <w:t xml:space="preserve"> por retrasos se podrían haber incluido en más contratos desde el principio, en especial en los contratos con profesionales especializados</w:t>
      </w:r>
      <w:r w:rsidR="001B435F" w:rsidRPr="00E86B9B">
        <w:rPr>
          <w:lang w:val="es-ES"/>
        </w:rPr>
        <w:t xml:space="preserve">.  </w:t>
      </w:r>
      <w:r w:rsidRPr="00E86B9B">
        <w:rPr>
          <w:lang w:val="es-ES"/>
        </w:rPr>
        <w:t xml:space="preserve">No obstante, </w:t>
      </w:r>
      <w:r w:rsidR="008B01CA" w:rsidRPr="00E86B9B">
        <w:rPr>
          <w:lang w:val="es-ES"/>
        </w:rPr>
        <w:t xml:space="preserve">esto tendría que </w:t>
      </w:r>
      <w:r w:rsidR="00123754" w:rsidRPr="00E86B9B">
        <w:rPr>
          <w:lang w:val="es-ES"/>
        </w:rPr>
        <w:t>haberse compensado</w:t>
      </w:r>
      <w:r w:rsidR="008B01CA" w:rsidRPr="00E86B9B">
        <w:rPr>
          <w:lang w:val="es-ES"/>
        </w:rPr>
        <w:t xml:space="preserve"> con el posible inconveniente </w:t>
      </w:r>
      <w:r w:rsidRPr="00E86B9B">
        <w:rPr>
          <w:lang w:val="es-ES"/>
        </w:rPr>
        <w:t xml:space="preserve">de que los especialistas </w:t>
      </w:r>
      <w:r w:rsidR="00123754" w:rsidRPr="00E86B9B">
        <w:rPr>
          <w:lang w:val="es-ES"/>
        </w:rPr>
        <w:t>añadieran</w:t>
      </w:r>
      <w:r w:rsidR="003017CD" w:rsidRPr="00E86B9B">
        <w:rPr>
          <w:lang w:val="es-ES"/>
        </w:rPr>
        <w:t xml:space="preserve"> a</w:t>
      </w:r>
      <w:r w:rsidRPr="00E86B9B">
        <w:rPr>
          <w:lang w:val="es-ES"/>
        </w:rPr>
        <w:t xml:space="preserve"> </w:t>
      </w:r>
      <w:r w:rsidR="008B01CA" w:rsidRPr="00E86B9B">
        <w:rPr>
          <w:lang w:val="es-ES"/>
        </w:rPr>
        <w:t>s</w:t>
      </w:r>
      <w:r w:rsidRPr="00E86B9B">
        <w:rPr>
          <w:lang w:val="es-ES"/>
        </w:rPr>
        <w:t xml:space="preserve">u oferta de precio el riesgo de tener que pagar una </w:t>
      </w:r>
      <w:r w:rsidR="00C86F78" w:rsidRPr="00E86B9B">
        <w:rPr>
          <w:lang w:val="es-ES"/>
        </w:rPr>
        <w:t>penalización</w:t>
      </w:r>
      <w:r w:rsidRPr="00E86B9B">
        <w:rPr>
          <w:lang w:val="es-ES"/>
        </w:rPr>
        <w:t xml:space="preserve">, lo que, a su vez, </w:t>
      </w:r>
      <w:r w:rsidR="00123754" w:rsidRPr="00E86B9B">
        <w:rPr>
          <w:lang w:val="es-ES"/>
        </w:rPr>
        <w:t xml:space="preserve">habría afectado </w:t>
      </w:r>
      <w:r w:rsidRPr="00E86B9B">
        <w:rPr>
          <w:lang w:val="es-ES"/>
        </w:rPr>
        <w:t>al presupuesto general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265DF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Una adopción más temprana de de</w:t>
      </w:r>
      <w:r w:rsidR="00B911D8" w:rsidRPr="00E86B9B">
        <w:rPr>
          <w:lang w:val="es-ES"/>
        </w:rPr>
        <w:t>terminadas medidas</w:t>
      </w:r>
      <w:r w:rsidRPr="00E86B9B">
        <w:rPr>
          <w:lang w:val="es-ES"/>
        </w:rPr>
        <w:t xml:space="preserve"> hubiera </w:t>
      </w:r>
      <w:r w:rsidR="003017CD" w:rsidRPr="00E86B9B">
        <w:rPr>
          <w:lang w:val="es-ES"/>
        </w:rPr>
        <w:t xml:space="preserve">aportado </w:t>
      </w:r>
      <w:r w:rsidR="00B911D8" w:rsidRPr="00E86B9B">
        <w:rPr>
          <w:lang w:val="es-ES"/>
        </w:rPr>
        <w:t>mayor flexibilidad al marco imperante</w:t>
      </w:r>
      <w:r w:rsidR="001B435F" w:rsidRPr="00E86B9B">
        <w:rPr>
          <w:lang w:val="es-ES"/>
        </w:rPr>
        <w:t xml:space="preserve">:  </w:t>
      </w:r>
      <w:r w:rsidR="003017CD" w:rsidRPr="00E86B9B">
        <w:rPr>
          <w:lang w:val="es-ES"/>
        </w:rPr>
        <w:t xml:space="preserve">se podría haber constituido antes </w:t>
      </w:r>
      <w:r w:rsidR="00781F17" w:rsidRPr="00E86B9B">
        <w:rPr>
          <w:lang w:val="es-ES"/>
        </w:rPr>
        <w:t xml:space="preserve">el comité </w:t>
      </w:r>
      <w:r w:rsidR="00781F17" w:rsidRPr="00E86B9B">
        <w:rPr>
          <w:i/>
          <w:lang w:val="es-ES"/>
        </w:rPr>
        <w:t>ad hoc</w:t>
      </w:r>
      <w:r w:rsidR="00781F17" w:rsidRPr="00E86B9B">
        <w:rPr>
          <w:lang w:val="es-ES"/>
        </w:rPr>
        <w:t xml:space="preserve"> para los contratos </w:t>
      </w:r>
      <w:r w:rsidR="001B435F" w:rsidRPr="00E86B9B">
        <w:rPr>
          <w:lang w:val="es-ES"/>
        </w:rPr>
        <w:t>(</w:t>
      </w:r>
      <w:r w:rsidR="00781F17" w:rsidRPr="00E86B9B">
        <w:rPr>
          <w:lang w:val="es-ES"/>
        </w:rPr>
        <w:t xml:space="preserve">como el </w:t>
      </w:r>
      <w:r w:rsidR="001B435F" w:rsidRPr="00E86B9B">
        <w:rPr>
          <w:lang w:val="es-ES"/>
        </w:rPr>
        <w:t xml:space="preserve">CHACC) </w:t>
      </w:r>
      <w:r w:rsidR="003017CD" w:rsidRPr="00E86B9B">
        <w:rPr>
          <w:lang w:val="es-ES"/>
        </w:rPr>
        <w:t>y se podría haber aplicado antes un</w:t>
      </w:r>
      <w:r w:rsidR="008B01CA" w:rsidRPr="00E86B9B">
        <w:rPr>
          <w:lang w:val="es-ES"/>
        </w:rPr>
        <w:t xml:space="preserve"> tope</w:t>
      </w:r>
      <w:r w:rsidR="003017CD" w:rsidRPr="00E86B9B">
        <w:rPr>
          <w:lang w:val="es-ES"/>
        </w:rPr>
        <w:t xml:space="preserve"> más elevado </w:t>
      </w:r>
      <w:r w:rsidR="008B01CA" w:rsidRPr="00E86B9B">
        <w:rPr>
          <w:lang w:val="es-ES"/>
        </w:rPr>
        <w:t>a</w:t>
      </w:r>
      <w:r w:rsidR="003017CD" w:rsidRPr="00E86B9B">
        <w:rPr>
          <w:lang w:val="es-ES"/>
        </w:rPr>
        <w:t xml:space="preserve"> los distintos tipos de procedimientos de licitación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781F17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Se podría haber prestado más atención desde un principio </w:t>
      </w:r>
      <w:r w:rsidR="001B435F" w:rsidRPr="00E86B9B">
        <w:rPr>
          <w:lang w:val="es-ES"/>
        </w:rPr>
        <w:t>(</w:t>
      </w:r>
      <w:r w:rsidRPr="00E86B9B">
        <w:rPr>
          <w:lang w:val="es-ES"/>
        </w:rPr>
        <w:t>por ejemplo, cuando la gestión directa de las obras se asumió internamente) para volver a precisar las funciones y las responsabilidades de los profesionales especializados</w:t>
      </w:r>
      <w:r w:rsidR="001B435F" w:rsidRPr="00E86B9B">
        <w:rPr>
          <w:lang w:val="es-ES"/>
        </w:rPr>
        <w:t xml:space="preserve"> (ar</w:t>
      </w:r>
      <w:r w:rsidRPr="00E86B9B">
        <w:rPr>
          <w:lang w:val="es-ES"/>
        </w:rPr>
        <w:t>qu</w:t>
      </w:r>
      <w:r w:rsidR="001B435F" w:rsidRPr="00E86B9B">
        <w:rPr>
          <w:lang w:val="es-ES"/>
        </w:rPr>
        <w:t>itect</w:t>
      </w:r>
      <w:r w:rsidRPr="00E86B9B">
        <w:rPr>
          <w:lang w:val="es-ES"/>
        </w:rPr>
        <w:t>o</w:t>
      </w:r>
      <w:r w:rsidR="001B435F" w:rsidRPr="00E86B9B">
        <w:rPr>
          <w:lang w:val="es-ES"/>
        </w:rPr>
        <w:t>, pilo</w:t>
      </w:r>
      <w:r w:rsidRPr="00E86B9B">
        <w:rPr>
          <w:lang w:val="es-ES"/>
        </w:rPr>
        <w:t>to</w:t>
      </w:r>
      <w:r w:rsidR="0004711F" w:rsidRPr="00E86B9B">
        <w:rPr>
          <w:lang w:val="es-ES"/>
        </w:rPr>
        <w:t xml:space="preserve"> de los proyectos</w:t>
      </w:r>
      <w:r w:rsidRPr="00E86B9B">
        <w:rPr>
          <w:lang w:val="es-ES"/>
        </w:rPr>
        <w:t xml:space="preserve"> e ingenieros</w:t>
      </w:r>
      <w:r w:rsidR="001B435F" w:rsidRPr="00E86B9B">
        <w:rPr>
          <w:lang w:val="es-ES"/>
        </w:rPr>
        <w:t>)</w:t>
      </w:r>
      <w:r w:rsidR="000A607E" w:rsidRPr="00E86B9B">
        <w:rPr>
          <w:lang w:val="es-ES"/>
        </w:rPr>
        <w:t>,</w:t>
      </w:r>
      <w:r w:rsidR="001B435F" w:rsidRPr="00E86B9B">
        <w:rPr>
          <w:lang w:val="es-ES"/>
        </w:rPr>
        <w:t xml:space="preserve"> </w:t>
      </w:r>
      <w:r w:rsidRPr="00E86B9B">
        <w:rPr>
          <w:lang w:val="es-ES"/>
        </w:rPr>
        <w:t xml:space="preserve">y la interacción y la dependencia entre ellos, con el objetivo de evitar </w:t>
      </w:r>
      <w:r w:rsidR="000A607E" w:rsidRPr="00E86B9B">
        <w:rPr>
          <w:lang w:val="es-ES"/>
        </w:rPr>
        <w:t xml:space="preserve">la </w:t>
      </w:r>
      <w:r w:rsidRPr="00E86B9B">
        <w:rPr>
          <w:lang w:val="es-ES"/>
        </w:rPr>
        <w:t xml:space="preserve">posterior </w:t>
      </w:r>
      <w:r w:rsidR="000A607E" w:rsidRPr="00E86B9B">
        <w:rPr>
          <w:lang w:val="es-ES"/>
        </w:rPr>
        <w:t xml:space="preserve">constatación </w:t>
      </w:r>
      <w:r w:rsidRPr="00E86B9B">
        <w:rPr>
          <w:lang w:val="es-ES"/>
        </w:rPr>
        <w:t xml:space="preserve">de vacíos entre las respectivas </w:t>
      </w:r>
      <w:r w:rsidR="00123754" w:rsidRPr="00E86B9B">
        <w:rPr>
          <w:lang w:val="es-ES"/>
        </w:rPr>
        <w:t>esferas</w:t>
      </w:r>
      <w:r w:rsidRPr="00E86B9B">
        <w:rPr>
          <w:lang w:val="es-ES"/>
        </w:rPr>
        <w:t xml:space="preserve"> de responsabilidad y las correspondientes expectativas, </w:t>
      </w:r>
      <w:r w:rsidR="003017CD" w:rsidRPr="00E86B9B">
        <w:rPr>
          <w:lang w:val="es-ES"/>
        </w:rPr>
        <w:t xml:space="preserve">en </w:t>
      </w:r>
      <w:r w:rsidR="00123754" w:rsidRPr="00E86B9B">
        <w:rPr>
          <w:lang w:val="es-ES"/>
        </w:rPr>
        <w:t>relación</w:t>
      </w:r>
      <w:r w:rsidR="003017CD" w:rsidRPr="00E86B9B">
        <w:rPr>
          <w:lang w:val="es-ES"/>
        </w:rPr>
        <w:t xml:space="preserve"> con </w:t>
      </w:r>
      <w:r w:rsidRPr="00E86B9B">
        <w:rPr>
          <w:lang w:val="es-ES"/>
        </w:rPr>
        <w:t xml:space="preserve">las expectativas de los </w:t>
      </w:r>
      <w:r w:rsidR="00123754" w:rsidRPr="00E86B9B">
        <w:rPr>
          <w:lang w:val="es-ES"/>
        </w:rPr>
        <w:t>directores</w:t>
      </w:r>
      <w:r w:rsidR="008B01CA" w:rsidRPr="00E86B9B">
        <w:rPr>
          <w:lang w:val="es-ES"/>
        </w:rPr>
        <w:t xml:space="preserve"> de</w:t>
      </w:r>
      <w:r w:rsidR="001265DF" w:rsidRPr="00E86B9B">
        <w:rPr>
          <w:lang w:val="es-ES"/>
        </w:rPr>
        <w:t xml:space="preserve"> los proyectos</w:t>
      </w:r>
      <w:r w:rsidR="001B435F" w:rsidRPr="00E86B9B">
        <w:rPr>
          <w:lang w:val="es-ES"/>
        </w:rPr>
        <w:t xml:space="preserve">.  </w:t>
      </w:r>
      <w:r w:rsidR="00783431" w:rsidRPr="00E86B9B">
        <w:rPr>
          <w:lang w:val="es-ES"/>
        </w:rPr>
        <w:t xml:space="preserve">También hubiera sido útil la incorporación de un experto en finanzas con experiencia en grandes proyectos de construcción </w:t>
      </w:r>
      <w:r w:rsidR="00123754" w:rsidRPr="00E86B9B">
        <w:rPr>
          <w:lang w:val="es-ES"/>
        </w:rPr>
        <w:t>en el momento en que</w:t>
      </w:r>
      <w:r w:rsidR="000A607E" w:rsidRPr="00E86B9B">
        <w:rPr>
          <w:lang w:val="es-ES"/>
        </w:rPr>
        <w:t xml:space="preserve"> se asumió</w:t>
      </w:r>
      <w:r w:rsidR="00783431" w:rsidRPr="00E86B9B">
        <w:rPr>
          <w:lang w:val="es-ES"/>
        </w:rPr>
        <w:t xml:space="preserve"> internamente</w:t>
      </w:r>
      <w:r w:rsidR="00123754" w:rsidRPr="00E86B9B">
        <w:rPr>
          <w:lang w:val="es-ES"/>
        </w:rPr>
        <w:t xml:space="preserve"> la gestión directa de las obras</w:t>
      </w:r>
      <w:r w:rsidR="001B435F" w:rsidRPr="00E86B9B">
        <w:rPr>
          <w:lang w:val="es-ES"/>
        </w:rPr>
        <w:t>.</w:t>
      </w:r>
    </w:p>
    <w:p w:rsidR="001B435F" w:rsidRPr="00E86B9B" w:rsidRDefault="001B435F" w:rsidP="00CD7FB3"/>
    <w:p w:rsidR="001B435F" w:rsidRPr="00E86B9B" w:rsidRDefault="001B435F" w:rsidP="00156788">
      <w:pPr>
        <w:keepNext/>
        <w:keepLines/>
        <w:ind w:left="1134" w:hanging="567"/>
        <w:rPr>
          <w:b/>
        </w:rPr>
      </w:pPr>
      <w:r w:rsidRPr="00E86B9B">
        <w:rPr>
          <w:b/>
        </w:rPr>
        <w:lastRenderedPageBreak/>
        <w:t>5</w:t>
      </w:r>
      <w:r w:rsidR="00AD44E6" w:rsidRPr="00E86B9B">
        <w:rPr>
          <w:b/>
        </w:rPr>
        <w:t>)</w:t>
      </w:r>
      <w:r w:rsidR="00783431" w:rsidRPr="00E86B9B">
        <w:rPr>
          <w:b/>
        </w:rPr>
        <w:tab/>
        <w:t>La importancia de compartir experien</w:t>
      </w:r>
      <w:r w:rsidR="00123754" w:rsidRPr="00E86B9B">
        <w:rPr>
          <w:b/>
        </w:rPr>
        <w:t xml:space="preserve">cias entre los organismos del Sistema </w:t>
      </w:r>
      <w:r w:rsidR="00783431" w:rsidRPr="00E86B9B">
        <w:rPr>
          <w:b/>
        </w:rPr>
        <w:t xml:space="preserve">de las Naciones Unidas y las organizaciones internacionales y regionales </w:t>
      </w:r>
      <w:r w:rsidR="00CA1DB9" w:rsidRPr="00E86B9B">
        <w:rPr>
          <w:b/>
        </w:rPr>
        <w:t>afines</w:t>
      </w:r>
    </w:p>
    <w:p w:rsidR="001B435F" w:rsidRPr="00E86B9B" w:rsidRDefault="001B435F" w:rsidP="00156788">
      <w:pPr>
        <w:keepNext/>
        <w:keepLines/>
      </w:pPr>
    </w:p>
    <w:p w:rsidR="001B435F" w:rsidRPr="00E86B9B" w:rsidRDefault="00783431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 xml:space="preserve">Durante varios años se han compartido experiencias con diversos organismos de la ONU, ya sea en el marco de las reuniones anuales de la </w:t>
      </w:r>
      <w:r w:rsidR="00123754" w:rsidRPr="00E86B9B">
        <w:rPr>
          <w:lang w:val="es-ES"/>
        </w:rPr>
        <w:t>R</w:t>
      </w:r>
      <w:r w:rsidRPr="00E86B9B">
        <w:rPr>
          <w:lang w:val="es-ES"/>
        </w:rPr>
        <w:t xml:space="preserve">ed </w:t>
      </w:r>
      <w:r w:rsidR="00123754" w:rsidRPr="00E86B9B">
        <w:rPr>
          <w:lang w:val="es-ES"/>
        </w:rPr>
        <w:t>I</w:t>
      </w:r>
      <w:r w:rsidRPr="00E86B9B">
        <w:rPr>
          <w:lang w:val="es-ES"/>
        </w:rPr>
        <w:t xml:space="preserve">nterinstitucional de </w:t>
      </w:r>
      <w:r w:rsidR="00123754" w:rsidRPr="00E86B9B">
        <w:rPr>
          <w:lang w:val="es-ES"/>
        </w:rPr>
        <w:t>A</w:t>
      </w:r>
      <w:r w:rsidRPr="00E86B9B">
        <w:rPr>
          <w:lang w:val="es-ES"/>
        </w:rPr>
        <w:t xml:space="preserve">dministradores de </w:t>
      </w:r>
      <w:r w:rsidR="00123754" w:rsidRPr="00E86B9B">
        <w:rPr>
          <w:lang w:val="es-ES"/>
        </w:rPr>
        <w:t>I</w:t>
      </w:r>
      <w:r w:rsidRPr="00E86B9B">
        <w:rPr>
          <w:lang w:val="es-ES"/>
        </w:rPr>
        <w:t>nstalaciones de las Naciones Unidas (INFM)</w:t>
      </w:r>
      <w:r w:rsidR="001B435F" w:rsidRPr="00E86B9B">
        <w:rPr>
          <w:rStyle w:val="FootnoteReference"/>
          <w:lang w:val="es-ES"/>
        </w:rPr>
        <w:footnoteReference w:id="7"/>
      </w:r>
      <w:r w:rsidR="000A607E" w:rsidRPr="00E86B9B">
        <w:rPr>
          <w:lang w:val="es-ES"/>
        </w:rPr>
        <w:t>,</w:t>
      </w:r>
      <w:r w:rsidR="001B435F" w:rsidRPr="00E86B9B">
        <w:rPr>
          <w:lang w:val="es-ES"/>
        </w:rPr>
        <w:t xml:space="preserve"> o</w:t>
      </w:r>
      <w:r w:rsidRPr="00E86B9B">
        <w:rPr>
          <w:lang w:val="es-ES"/>
        </w:rPr>
        <w:t xml:space="preserve"> con motivo de reuniones mul</w:t>
      </w:r>
      <w:r w:rsidR="008D3071" w:rsidRPr="00E86B9B">
        <w:rPr>
          <w:lang w:val="es-ES"/>
        </w:rPr>
        <w:t>tilaterales o bilaterales específicas organizadas entre los organismos de la ONU con sede en Ginebra, algunas de las cuales se celebraron en la sede de la OMPI</w:t>
      </w:r>
      <w:r w:rsidR="001B435F" w:rsidRPr="00E86B9B">
        <w:rPr>
          <w:lang w:val="es-ES"/>
        </w:rPr>
        <w:t xml:space="preserve">.  </w:t>
      </w:r>
      <w:r w:rsidR="00EE4873" w:rsidRPr="00E86B9B">
        <w:rPr>
          <w:lang w:val="es-ES"/>
        </w:rPr>
        <w:t>La temática común de los grandes proyectos de construcción o renovación g</w:t>
      </w:r>
      <w:r w:rsidR="00123754" w:rsidRPr="00E86B9B">
        <w:rPr>
          <w:lang w:val="es-ES"/>
        </w:rPr>
        <w:t>uarda relación con las opciones</w:t>
      </w:r>
      <w:r w:rsidR="00EE4873" w:rsidRPr="00E86B9B">
        <w:rPr>
          <w:lang w:val="es-ES"/>
        </w:rPr>
        <w:t xml:space="preserve"> </w:t>
      </w:r>
      <w:r w:rsidR="00D0019B" w:rsidRPr="00E86B9B">
        <w:rPr>
          <w:lang w:val="es-ES"/>
        </w:rPr>
        <w:t xml:space="preserve">existentes respecto de </w:t>
      </w:r>
      <w:r w:rsidR="00EE4873" w:rsidRPr="00E86B9B">
        <w:rPr>
          <w:lang w:val="es-ES"/>
        </w:rPr>
        <w:t xml:space="preserve">las mejores estrategias, medidas y modalidades de ejecución, </w:t>
      </w:r>
      <w:r w:rsidR="00621F2C" w:rsidRPr="00E86B9B">
        <w:rPr>
          <w:lang w:val="es-ES"/>
        </w:rPr>
        <w:t xml:space="preserve">en </w:t>
      </w:r>
      <w:r w:rsidR="00EE4873" w:rsidRPr="00E86B9B">
        <w:rPr>
          <w:lang w:val="es-ES"/>
        </w:rPr>
        <w:t>relación con la estructura de gestión de los proyectos</w:t>
      </w:r>
      <w:r w:rsidR="001B435F" w:rsidRPr="00E86B9B">
        <w:rPr>
          <w:lang w:val="es-ES"/>
        </w:rPr>
        <w:t xml:space="preserve">, </w:t>
      </w:r>
      <w:r w:rsidR="00EE4873" w:rsidRPr="00E86B9B">
        <w:rPr>
          <w:lang w:val="es-ES"/>
        </w:rPr>
        <w:t>el planteamiento contractual, las funciones y las responsabilidades de las distintas partes interesadas</w:t>
      </w:r>
      <w:r w:rsidR="001B435F" w:rsidRPr="00E86B9B">
        <w:rPr>
          <w:lang w:val="es-ES"/>
        </w:rPr>
        <w:t xml:space="preserve">, </w:t>
      </w:r>
      <w:r w:rsidR="00EE4873" w:rsidRPr="00E86B9B">
        <w:rPr>
          <w:lang w:val="es-ES"/>
        </w:rPr>
        <w:t>la capacidad de reacción ante las circunstancias imprevistas y los problemas para cumplir los plazos</w:t>
      </w:r>
      <w:r w:rsidR="00D0019B" w:rsidRPr="00E86B9B">
        <w:rPr>
          <w:lang w:val="es-ES"/>
        </w:rPr>
        <w:t>, así como las razones en que se basan dichas opciones</w:t>
      </w:r>
      <w:r w:rsidR="001B435F" w:rsidRPr="00E86B9B">
        <w:rPr>
          <w:lang w:val="es-ES"/>
        </w:rPr>
        <w:t xml:space="preserve">.  </w:t>
      </w:r>
      <w:r w:rsidR="008D3071" w:rsidRPr="00E86B9B">
        <w:rPr>
          <w:lang w:val="es-ES"/>
        </w:rPr>
        <w:t>Como parte de</w:t>
      </w:r>
      <w:r w:rsidR="00E02C14" w:rsidRPr="00E86B9B">
        <w:rPr>
          <w:lang w:val="es-ES"/>
        </w:rPr>
        <w:t xml:space="preserve">l intercambio de </w:t>
      </w:r>
      <w:r w:rsidR="008D3071" w:rsidRPr="00E86B9B">
        <w:rPr>
          <w:lang w:val="es-ES"/>
        </w:rPr>
        <w:t xml:space="preserve">conocimientos y experiencias, </w:t>
      </w:r>
      <w:r w:rsidR="00621F2C" w:rsidRPr="00E86B9B">
        <w:rPr>
          <w:lang w:val="es-ES"/>
        </w:rPr>
        <w:t>se seguirá produciendo es</w:t>
      </w:r>
      <w:r w:rsidR="008D3071" w:rsidRPr="00E86B9B">
        <w:rPr>
          <w:lang w:val="es-ES"/>
        </w:rPr>
        <w:t xml:space="preserve">e tipo de </w:t>
      </w:r>
      <w:r w:rsidR="000A607E" w:rsidRPr="00E86B9B">
        <w:rPr>
          <w:lang w:val="es-ES"/>
        </w:rPr>
        <w:t>contactos</w:t>
      </w:r>
      <w:r w:rsidR="00335456" w:rsidRPr="00E86B9B">
        <w:rPr>
          <w:lang w:val="es-ES"/>
        </w:rPr>
        <w:t>,</w:t>
      </w:r>
      <w:r w:rsidR="008D3071" w:rsidRPr="00E86B9B">
        <w:rPr>
          <w:lang w:val="es-ES"/>
        </w:rPr>
        <w:t xml:space="preserve"> dado el interés </w:t>
      </w:r>
      <w:r w:rsidR="00335456" w:rsidRPr="00E86B9B">
        <w:rPr>
          <w:lang w:val="es-ES"/>
        </w:rPr>
        <w:t>expresado y</w:t>
      </w:r>
      <w:r w:rsidR="008D3071" w:rsidRPr="00E86B9B">
        <w:rPr>
          <w:lang w:val="es-ES"/>
        </w:rPr>
        <w:t xml:space="preserve"> el número y el alcance de los grandes proyectos de construcción o renovación que diversos organismos de la ONU </w:t>
      </w:r>
      <w:r w:rsidR="00AE5548" w:rsidRPr="00E86B9B">
        <w:rPr>
          <w:lang w:val="es-ES"/>
        </w:rPr>
        <w:t xml:space="preserve">han llevado a cabo o están llevando a cabo </w:t>
      </w:r>
      <w:r w:rsidR="000A607E" w:rsidRPr="00E86B9B">
        <w:rPr>
          <w:lang w:val="es-ES"/>
        </w:rPr>
        <w:t xml:space="preserve">actualmente, con un plazo previsto de </w:t>
      </w:r>
      <w:r w:rsidR="00E02C14" w:rsidRPr="00E86B9B">
        <w:rPr>
          <w:lang w:val="es-ES"/>
        </w:rPr>
        <w:t xml:space="preserve">ejecución de </w:t>
      </w:r>
      <w:r w:rsidR="000A607E" w:rsidRPr="00E86B9B">
        <w:rPr>
          <w:lang w:val="es-ES"/>
        </w:rPr>
        <w:t>entre 5 y 10 años</w:t>
      </w:r>
      <w:r w:rsidR="00AE5548" w:rsidRPr="00E86B9B">
        <w:rPr>
          <w:lang w:val="es-ES"/>
        </w:rPr>
        <w:t>.</w:t>
      </w:r>
    </w:p>
    <w:p w:rsidR="00AE5548" w:rsidRPr="00E86B9B" w:rsidRDefault="00AE5548" w:rsidP="00CD7FB3">
      <w:pPr>
        <w:pStyle w:val="ListParagraph"/>
        <w:ind w:left="0"/>
        <w:rPr>
          <w:lang w:val="es-ES"/>
        </w:rPr>
      </w:pPr>
    </w:p>
    <w:p w:rsidR="001B435F" w:rsidRPr="00E86B9B" w:rsidRDefault="00190CDC" w:rsidP="00CD7FB3">
      <w:pPr>
        <w:pStyle w:val="ListParagraph"/>
        <w:numPr>
          <w:ilvl w:val="0"/>
          <w:numId w:val="7"/>
        </w:numPr>
        <w:rPr>
          <w:lang w:val="es-ES"/>
        </w:rPr>
      </w:pPr>
      <w:r w:rsidRPr="00E86B9B">
        <w:rPr>
          <w:lang w:val="es-ES"/>
        </w:rPr>
        <w:t>Se propone el siguiente párrafo de decisión.</w:t>
      </w:r>
    </w:p>
    <w:p w:rsidR="001B435F" w:rsidRPr="00E86B9B" w:rsidRDefault="001B435F" w:rsidP="00CD7FB3"/>
    <w:p w:rsidR="001B435F" w:rsidRPr="00E86B9B" w:rsidRDefault="00F36452" w:rsidP="00CD7FB3">
      <w:pPr>
        <w:pStyle w:val="Endofdocument-Annex"/>
        <w:rPr>
          <w:i/>
          <w:lang w:val="es-ES"/>
        </w:rPr>
      </w:pPr>
      <w:r w:rsidRPr="00E86B9B">
        <w:rPr>
          <w:i/>
          <w:lang w:val="es-ES"/>
        </w:rPr>
        <w:t>33.</w:t>
      </w:r>
      <w:r w:rsidRPr="00E86B9B">
        <w:rPr>
          <w:i/>
          <w:lang w:val="es-ES"/>
        </w:rPr>
        <w:tab/>
        <w:t xml:space="preserve">El Comité del Programa y Presupuesto (PBC) tomó nota del contenido del </w:t>
      </w:r>
      <w:r w:rsidR="001B435F" w:rsidRPr="00E86B9B">
        <w:rPr>
          <w:i/>
          <w:lang w:val="es-ES"/>
        </w:rPr>
        <w:t>document</w:t>
      </w:r>
      <w:r w:rsidRPr="00E86B9B">
        <w:rPr>
          <w:i/>
          <w:lang w:val="es-ES"/>
        </w:rPr>
        <w:t>o</w:t>
      </w:r>
      <w:r w:rsidR="001B435F" w:rsidRPr="00E86B9B">
        <w:rPr>
          <w:i/>
          <w:lang w:val="es-ES"/>
        </w:rPr>
        <w:t xml:space="preserve"> WO/PBC/25/13, </w:t>
      </w:r>
      <w:r w:rsidR="00B02E6F" w:rsidRPr="00E86B9B">
        <w:rPr>
          <w:i/>
          <w:lang w:val="es-ES"/>
        </w:rPr>
        <w:t>incluido</w:t>
      </w:r>
      <w:r w:rsidR="008D3071" w:rsidRPr="00E86B9B">
        <w:rPr>
          <w:i/>
          <w:lang w:val="es-ES"/>
        </w:rPr>
        <w:t xml:space="preserve"> el reintegro de los saldos finales no </w:t>
      </w:r>
      <w:r w:rsidR="00C20E98" w:rsidRPr="00E86B9B">
        <w:rPr>
          <w:i/>
          <w:lang w:val="es-ES"/>
        </w:rPr>
        <w:t xml:space="preserve">utilizados </w:t>
      </w:r>
      <w:r w:rsidR="008D3071" w:rsidRPr="00E86B9B">
        <w:rPr>
          <w:i/>
          <w:lang w:val="es-ES"/>
        </w:rPr>
        <w:t xml:space="preserve">del proyecto en las reservas de la Organización, como se indica en los párrafos </w:t>
      </w:r>
      <w:r w:rsidR="001B435F" w:rsidRPr="00E86B9B">
        <w:rPr>
          <w:i/>
          <w:lang w:val="es-ES"/>
        </w:rPr>
        <w:t xml:space="preserve">4 </w:t>
      </w:r>
      <w:r w:rsidR="008D3071" w:rsidRPr="00E86B9B">
        <w:rPr>
          <w:i/>
          <w:lang w:val="es-ES"/>
        </w:rPr>
        <w:t>y</w:t>
      </w:r>
      <w:r w:rsidR="001B435F" w:rsidRPr="00E86B9B">
        <w:rPr>
          <w:i/>
          <w:lang w:val="es-ES"/>
        </w:rPr>
        <w:t> 5.</w:t>
      </w:r>
    </w:p>
    <w:p w:rsidR="001B435F" w:rsidRPr="00E86B9B" w:rsidRDefault="001B435F" w:rsidP="00CD7FB3">
      <w:pPr>
        <w:pStyle w:val="ListParagraph"/>
        <w:ind w:left="0"/>
        <w:rPr>
          <w:lang w:val="es-ES"/>
        </w:rPr>
      </w:pPr>
    </w:p>
    <w:p w:rsidR="001B435F" w:rsidRPr="00E86B9B" w:rsidRDefault="001B435F" w:rsidP="00CD7FB3">
      <w:pPr>
        <w:pStyle w:val="ListParagraph"/>
        <w:ind w:left="0"/>
        <w:jc w:val="right"/>
        <w:rPr>
          <w:lang w:val="es-ES"/>
        </w:rPr>
      </w:pPr>
      <w:r w:rsidRPr="00E86B9B">
        <w:rPr>
          <w:lang w:val="es-ES"/>
        </w:rPr>
        <w:t>[</w:t>
      </w:r>
      <w:r w:rsidR="00190CDC" w:rsidRPr="00E86B9B">
        <w:rPr>
          <w:lang w:val="es-ES"/>
        </w:rPr>
        <w:t>Siguen los Anexos</w:t>
      </w:r>
      <w:r w:rsidRPr="00E86B9B">
        <w:rPr>
          <w:lang w:val="es-ES"/>
        </w:rPr>
        <w:t>]</w:t>
      </w:r>
    </w:p>
    <w:p w:rsidR="001B435F" w:rsidRPr="00E86B9B" w:rsidRDefault="001B435F" w:rsidP="00CD7FB3"/>
    <w:p w:rsidR="001B435F" w:rsidRPr="00E86B9B" w:rsidRDefault="001B435F" w:rsidP="00CD7FB3">
      <w:pPr>
        <w:sectPr w:rsidR="001B435F" w:rsidRPr="00E86B9B" w:rsidSect="00155CA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8969" w:type="dxa"/>
        <w:jc w:val="center"/>
        <w:tblInd w:w="-659" w:type="dxa"/>
        <w:tblLayout w:type="fixed"/>
        <w:tblLook w:val="04A0" w:firstRow="1" w:lastRow="0" w:firstColumn="1" w:lastColumn="0" w:noHBand="0" w:noVBand="1"/>
      </w:tblPr>
      <w:tblGrid>
        <w:gridCol w:w="924"/>
        <w:gridCol w:w="1559"/>
        <w:gridCol w:w="1718"/>
        <w:gridCol w:w="1531"/>
        <w:gridCol w:w="1629"/>
        <w:gridCol w:w="1608"/>
      </w:tblGrid>
      <w:tr w:rsidR="001B435F" w:rsidRPr="00E86B9B" w:rsidTr="00155CA0">
        <w:trPr>
          <w:trHeight w:val="529"/>
          <w:jc w:val="center"/>
        </w:trPr>
        <w:tc>
          <w:tcPr>
            <w:tcW w:w="89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b/>
                <w:sz w:val="18"/>
              </w:rPr>
            </w:pPr>
            <w:r w:rsidRPr="00E86B9B">
              <w:rPr>
                <w:b/>
                <w:sz w:val="18"/>
              </w:rPr>
              <w:lastRenderedPageBreak/>
              <w:t>List</w:t>
            </w:r>
            <w:r w:rsidR="00844F19" w:rsidRPr="00E86B9B">
              <w:rPr>
                <w:b/>
                <w:sz w:val="18"/>
              </w:rPr>
              <w:t xml:space="preserve">a de los informes </w:t>
            </w:r>
            <w:r w:rsidR="00335456" w:rsidRPr="00E86B9B">
              <w:rPr>
                <w:b/>
                <w:sz w:val="18"/>
              </w:rPr>
              <w:t>sobre</w:t>
            </w:r>
            <w:r w:rsidR="00844F19" w:rsidRPr="00E86B9B">
              <w:rPr>
                <w:b/>
                <w:sz w:val="18"/>
              </w:rPr>
              <w:t xml:space="preserve"> </w:t>
            </w:r>
            <w:r w:rsidR="00F7194D" w:rsidRPr="00E86B9B">
              <w:rPr>
                <w:b/>
                <w:sz w:val="18"/>
              </w:rPr>
              <w:t>los progresos realizados</w:t>
            </w:r>
            <w:r w:rsidR="00844F19" w:rsidRPr="00E86B9B">
              <w:rPr>
                <w:b/>
                <w:sz w:val="18"/>
              </w:rPr>
              <w:t xml:space="preserve"> y otros documentos presentados al PBC y a las Asambleas</w:t>
            </w:r>
            <w:r w:rsidRPr="00E86B9B">
              <w:rPr>
                <w:b/>
                <w:sz w:val="18"/>
              </w:rPr>
              <w:t xml:space="preserve"> (2006-2016)</w:t>
            </w:r>
          </w:p>
        </w:tc>
      </w:tr>
      <w:tr w:rsidR="001B435F" w:rsidRPr="00E86B9B" w:rsidTr="00155CA0">
        <w:trPr>
          <w:trHeight w:val="759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35F" w:rsidRPr="00E86B9B" w:rsidRDefault="00844F19" w:rsidP="00CD7FB3">
            <w:pPr>
              <w:spacing w:line="360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Año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M</w:t>
            </w:r>
            <w:r w:rsidR="00844F19" w:rsidRPr="00E86B9B">
              <w:rPr>
                <w:b/>
                <w:sz w:val="14"/>
              </w:rPr>
              <w:t>es de la sesión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35F" w:rsidRPr="00E86B9B" w:rsidRDefault="00844F19" w:rsidP="00CD7FB3">
            <w:pPr>
              <w:spacing w:line="360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Documento del PBC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35F" w:rsidRPr="00E86B9B" w:rsidRDefault="00844F19" w:rsidP="00CD7FB3">
            <w:pPr>
              <w:spacing w:line="360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Documento de las Asambleas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35F" w:rsidRPr="00E86B9B" w:rsidRDefault="00F7194D" w:rsidP="00CD7FB3">
            <w:pPr>
              <w:spacing w:line="276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 xml:space="preserve">Informes </w:t>
            </w:r>
            <w:r w:rsidR="00335456" w:rsidRPr="00E86B9B">
              <w:rPr>
                <w:b/>
                <w:sz w:val="14"/>
              </w:rPr>
              <w:t>sobre</w:t>
            </w:r>
            <w:r w:rsidRPr="00E86B9B">
              <w:rPr>
                <w:b/>
                <w:sz w:val="14"/>
              </w:rPr>
              <w:t xml:space="preserve"> los progresos realizados, o propuestas, o novedades sobre los proyectos</w:t>
            </w:r>
          </w:p>
        </w:tc>
      </w:tr>
      <w:tr w:rsidR="001B435F" w:rsidRPr="00E86B9B" w:rsidTr="00CD7FB3">
        <w:trPr>
          <w:trHeight w:val="1018"/>
          <w:jc w:val="center"/>
        </w:trPr>
        <w:tc>
          <w:tcPr>
            <w:tcW w:w="92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B435F" w:rsidRPr="00E86B9B" w:rsidRDefault="001B435F" w:rsidP="00CD7FB3">
            <w:pPr>
              <w:spacing w:before="240" w:after="240" w:line="360" w:lineRule="auto"/>
              <w:rPr>
                <w:b/>
                <w:sz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1B435F" w:rsidRPr="00E86B9B" w:rsidRDefault="001B435F" w:rsidP="00CD7FB3">
            <w:pPr>
              <w:spacing w:before="240" w:after="240" w:line="360" w:lineRule="auto"/>
              <w:rPr>
                <w:b/>
                <w:sz w:val="14"/>
              </w:rPr>
            </w:pPr>
          </w:p>
        </w:tc>
        <w:tc>
          <w:tcPr>
            <w:tcW w:w="1718" w:type="dxa"/>
            <w:vMerge/>
            <w:shd w:val="clear" w:color="auto" w:fill="F2F2F2" w:themeFill="background1" w:themeFillShade="F2"/>
            <w:vAlign w:val="center"/>
          </w:tcPr>
          <w:p w:rsidR="001B435F" w:rsidRPr="00E86B9B" w:rsidRDefault="001B435F" w:rsidP="00CD7FB3">
            <w:pPr>
              <w:spacing w:before="240" w:after="240" w:line="360" w:lineRule="auto"/>
              <w:rPr>
                <w:b/>
                <w:sz w:val="14"/>
              </w:rPr>
            </w:pPr>
          </w:p>
        </w:tc>
        <w:tc>
          <w:tcPr>
            <w:tcW w:w="1531" w:type="dxa"/>
            <w:vMerge/>
            <w:shd w:val="clear" w:color="auto" w:fill="F2F2F2" w:themeFill="background1" w:themeFillShade="F2"/>
            <w:vAlign w:val="center"/>
          </w:tcPr>
          <w:p w:rsidR="001B435F" w:rsidRPr="00E86B9B" w:rsidRDefault="001B435F" w:rsidP="00CD7FB3">
            <w:pPr>
              <w:spacing w:before="240" w:after="240" w:line="360" w:lineRule="auto"/>
              <w:rPr>
                <w:b/>
                <w:sz w:val="14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:rsidR="001B435F" w:rsidRPr="00E86B9B" w:rsidRDefault="001B435F" w:rsidP="00CD7FB3">
            <w:pPr>
              <w:spacing w:before="240" w:after="240" w:line="276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Pro</w:t>
            </w:r>
            <w:r w:rsidR="00844F19" w:rsidRPr="00E86B9B">
              <w:rPr>
                <w:b/>
                <w:sz w:val="14"/>
              </w:rPr>
              <w:t>yecto de construcción del nuevo edificio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:rsidR="001B435F" w:rsidRPr="00E86B9B" w:rsidRDefault="001B435F" w:rsidP="00CD7FB3">
            <w:pPr>
              <w:spacing w:before="240" w:after="240" w:line="276" w:lineRule="auto"/>
              <w:rPr>
                <w:b/>
                <w:sz w:val="14"/>
              </w:rPr>
            </w:pPr>
            <w:r w:rsidRPr="00E86B9B">
              <w:rPr>
                <w:b/>
                <w:sz w:val="14"/>
              </w:rPr>
              <w:t>Pro</w:t>
            </w:r>
            <w:r w:rsidR="00844F19" w:rsidRPr="00E86B9B">
              <w:rPr>
                <w:b/>
                <w:sz w:val="14"/>
              </w:rPr>
              <w:t>yecto de construcción de la nueva sala de conferencias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2006</w:t>
            </w: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Jul</w:t>
            </w:r>
            <w:r w:rsidR="00844F19" w:rsidRPr="00E86B9B">
              <w:rPr>
                <w:sz w:val="14"/>
                <w:szCs w:val="14"/>
              </w:rPr>
              <w:t>io</w:t>
            </w:r>
          </w:p>
          <w:p w:rsidR="001B435F" w:rsidRPr="00E86B9B" w:rsidRDefault="00F36452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WO/PBC/10/4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A/42/13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D</w:t>
            </w:r>
            <w:r w:rsidR="00844F19" w:rsidRPr="00E86B9B">
              <w:rPr>
                <w:sz w:val="14"/>
                <w:szCs w:val="14"/>
              </w:rPr>
              <w:t>iciembre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WO/PBC/IM/3/06/5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2007</w:t>
            </w: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Jun</w:t>
            </w:r>
            <w:r w:rsidR="00844F19" w:rsidRPr="00E86B9B">
              <w:rPr>
                <w:sz w:val="14"/>
                <w:szCs w:val="14"/>
              </w:rPr>
              <w:t>io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WO/PBC/11/13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WO/PBC/12/7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WO/GA/34/11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2008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WO/GA/36/6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B02E6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Diciembre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WO/PBC/13/5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A/46/5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D</w:t>
            </w:r>
            <w:r w:rsidR="00844F19" w:rsidRPr="00E86B9B">
              <w:rPr>
                <w:sz w:val="14"/>
                <w:szCs w:val="14"/>
              </w:rPr>
              <w:t>iciembre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WO/PBC/13/6 (b)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A/46/6 (b)</w:t>
            </w:r>
          </w:p>
        </w:tc>
        <w:tc>
          <w:tcPr>
            <w:tcW w:w="1629" w:type="dxa"/>
            <w:vAlign w:val="center"/>
          </w:tcPr>
          <w:p w:rsidR="001B435F" w:rsidRPr="00E86B9B" w:rsidRDefault="00F36452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 xml:space="preserve">Presupuesto actualizado y consolidado del proyecto de construcción del nuevo edificio, y financiación propuesta 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D</w:t>
            </w:r>
            <w:r w:rsidR="00844F19" w:rsidRPr="00E86B9B">
              <w:rPr>
                <w:sz w:val="14"/>
                <w:szCs w:val="14"/>
              </w:rPr>
              <w:t>iciembre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WO/PBC/13/6 (c)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A/46/6 (c)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Prop</w:t>
            </w:r>
            <w:r w:rsidR="00844F19" w:rsidRPr="00E86B9B">
              <w:rPr>
                <w:sz w:val="14"/>
                <w:szCs w:val="14"/>
              </w:rPr>
              <w:t>uesta de construcción de una nueva sala de conferencias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2009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WO/PBC/14/9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A/47/11 + A/47/11 Rev</w:t>
            </w:r>
            <w:r w:rsidR="00CD7FB3" w:rsidRPr="00E86B9B">
              <w:rPr>
                <w:sz w:val="14"/>
                <w:szCs w:val="14"/>
              </w:rPr>
              <w:t>.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WO/PBC/14/10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A/47/12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08" w:type="dxa"/>
            <w:vAlign w:val="center"/>
          </w:tcPr>
          <w:p w:rsidR="001B435F" w:rsidRPr="00E86B9B" w:rsidRDefault="00F36452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 xml:space="preserve">Propuesta detallada de la Fase 2 del </w:t>
            </w:r>
            <w:r w:rsidR="00844F19" w:rsidRPr="00E86B9B">
              <w:rPr>
                <w:sz w:val="14"/>
                <w:szCs w:val="14"/>
              </w:rPr>
              <w:t>p</w:t>
            </w:r>
            <w:r w:rsidRPr="00E86B9B">
              <w:rPr>
                <w:sz w:val="14"/>
                <w:szCs w:val="14"/>
              </w:rPr>
              <w:t xml:space="preserve">royecto de </w:t>
            </w:r>
            <w:r w:rsidR="00844F19" w:rsidRPr="00E86B9B">
              <w:rPr>
                <w:sz w:val="14"/>
                <w:szCs w:val="14"/>
              </w:rPr>
              <w:t xml:space="preserve">construcción de la </w:t>
            </w:r>
            <w:r w:rsidRPr="00E86B9B">
              <w:rPr>
                <w:sz w:val="14"/>
                <w:szCs w:val="14"/>
              </w:rPr>
              <w:t>nueva sala de conferencias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2010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WO/PBC/15/19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A/48/19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WO/PBC/15/20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A/48/22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1B435F" w:rsidRPr="00E86B9B" w:rsidRDefault="001B435F" w:rsidP="00CD7FB3">
            <w:pPr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2011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WO/PBC/18/9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A/49/11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WO/PBC/18/10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A/49/12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2012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WO/PBC/19/12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A/50/11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  <w:tc>
          <w:tcPr>
            <w:tcW w:w="1608" w:type="dxa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WO/PBC/19/13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A/50/12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WO/PBC/19/24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A/50/17</w:t>
            </w:r>
          </w:p>
        </w:tc>
        <w:tc>
          <w:tcPr>
            <w:tcW w:w="3237" w:type="dxa"/>
            <w:gridSpan w:val="2"/>
            <w:vAlign w:val="center"/>
          </w:tcPr>
          <w:p w:rsidR="001B435F" w:rsidRPr="00E86B9B" w:rsidRDefault="00F36452" w:rsidP="00CD7FB3">
            <w:pPr>
              <w:spacing w:line="276" w:lineRule="auto"/>
              <w:rPr>
                <w:sz w:val="14"/>
                <w:szCs w:val="14"/>
              </w:rPr>
            </w:pPr>
            <w:r w:rsidRPr="00E86B9B">
              <w:rPr>
                <w:sz w:val="14"/>
                <w:szCs w:val="14"/>
              </w:rPr>
              <w:t>Informe actualizado sobre la marcha del proyecto de construcción del nuevo edificio y del proyecto de construcción de la nueva sala de conferencias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2013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WO/PBC/21/11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A/51/9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2014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Septiembre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WO/PBC/22/14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A/54/11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2015</w:t>
            </w:r>
          </w:p>
        </w:tc>
        <w:tc>
          <w:tcPr>
            <w:tcW w:w="1559" w:type="dxa"/>
            <w:vAlign w:val="center"/>
          </w:tcPr>
          <w:p w:rsidR="001B435F" w:rsidRPr="00E86B9B" w:rsidRDefault="00F36452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Septiembre/octubre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WO/PBC/24/13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A/55/11</w:t>
            </w:r>
          </w:p>
        </w:tc>
        <w:tc>
          <w:tcPr>
            <w:tcW w:w="1629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  <w:tc>
          <w:tcPr>
            <w:tcW w:w="1608" w:type="dxa"/>
            <w:vAlign w:val="center"/>
          </w:tcPr>
          <w:p w:rsidR="001B435F" w:rsidRPr="00E86B9B" w:rsidRDefault="001B435F" w:rsidP="00CD7FB3">
            <w:pPr>
              <w:spacing w:line="360" w:lineRule="auto"/>
              <w:jc w:val="center"/>
              <w:rPr>
                <w:sz w:val="14"/>
              </w:rPr>
            </w:pPr>
            <w:r w:rsidRPr="00E86B9B">
              <w:rPr>
                <w:sz w:val="14"/>
              </w:rPr>
              <w:t>x</w:t>
            </w:r>
          </w:p>
        </w:tc>
      </w:tr>
      <w:tr w:rsidR="001B435F" w:rsidRPr="00E86B9B" w:rsidTr="00155CA0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2016</w:t>
            </w:r>
          </w:p>
        </w:tc>
        <w:tc>
          <w:tcPr>
            <w:tcW w:w="1559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A</w:t>
            </w:r>
            <w:r w:rsidR="00844F19" w:rsidRPr="00E86B9B">
              <w:rPr>
                <w:sz w:val="14"/>
              </w:rPr>
              <w:t>gosto</w:t>
            </w:r>
            <w:r w:rsidRPr="00E86B9B">
              <w:rPr>
                <w:sz w:val="14"/>
              </w:rPr>
              <w:t>/</w:t>
            </w:r>
            <w:r w:rsidR="00844F19" w:rsidRPr="00E86B9B">
              <w:rPr>
                <w:sz w:val="14"/>
              </w:rPr>
              <w:t>s</w:t>
            </w:r>
            <w:r w:rsidR="00F36452" w:rsidRPr="00E86B9B">
              <w:rPr>
                <w:sz w:val="14"/>
              </w:rPr>
              <w:t>eptiembre</w:t>
            </w:r>
          </w:p>
        </w:tc>
        <w:tc>
          <w:tcPr>
            <w:tcW w:w="1718" w:type="dxa"/>
            <w:vAlign w:val="center"/>
          </w:tcPr>
          <w:p w:rsidR="001B435F" w:rsidRPr="00E86B9B" w:rsidRDefault="001B435F" w:rsidP="00CD7FB3">
            <w:pPr>
              <w:spacing w:line="276" w:lineRule="auto"/>
              <w:rPr>
                <w:sz w:val="14"/>
              </w:rPr>
            </w:pPr>
            <w:r w:rsidRPr="00E86B9B">
              <w:rPr>
                <w:sz w:val="14"/>
              </w:rPr>
              <w:t>WO/PBC/25/13 (</w:t>
            </w:r>
            <w:r w:rsidR="00F7194D" w:rsidRPr="00E86B9B">
              <w:rPr>
                <w:sz w:val="14"/>
              </w:rPr>
              <w:t xml:space="preserve">presente </w:t>
            </w:r>
            <w:r w:rsidR="00844F19" w:rsidRPr="00E86B9B">
              <w:rPr>
                <w:sz w:val="14"/>
              </w:rPr>
              <w:t>documento</w:t>
            </w:r>
            <w:r w:rsidRPr="00E86B9B">
              <w:rPr>
                <w:sz w:val="14"/>
              </w:rPr>
              <w:t>)</w:t>
            </w:r>
          </w:p>
        </w:tc>
        <w:tc>
          <w:tcPr>
            <w:tcW w:w="1531" w:type="dxa"/>
            <w:vAlign w:val="center"/>
          </w:tcPr>
          <w:p w:rsidR="001B435F" w:rsidRPr="00E86B9B" w:rsidRDefault="001B435F" w:rsidP="00CD7FB3">
            <w:pPr>
              <w:spacing w:line="360" w:lineRule="auto"/>
              <w:rPr>
                <w:sz w:val="14"/>
              </w:rPr>
            </w:pPr>
            <w:r w:rsidRPr="00E86B9B">
              <w:rPr>
                <w:sz w:val="14"/>
              </w:rPr>
              <w:t>-</w:t>
            </w:r>
          </w:p>
        </w:tc>
        <w:tc>
          <w:tcPr>
            <w:tcW w:w="3237" w:type="dxa"/>
            <w:gridSpan w:val="2"/>
            <w:vAlign w:val="center"/>
          </w:tcPr>
          <w:p w:rsidR="001B435F" w:rsidRPr="00E86B9B" w:rsidRDefault="00844F19" w:rsidP="00CD7FB3">
            <w:pPr>
              <w:spacing w:line="276" w:lineRule="auto"/>
              <w:rPr>
                <w:sz w:val="14"/>
              </w:rPr>
            </w:pPr>
            <w:r w:rsidRPr="00E86B9B">
              <w:rPr>
                <w:sz w:val="14"/>
              </w:rPr>
              <w:t>Informe final sobre el proyecto de construcción del nuevo edificio y sobre el proyecto de construcción de la nueva sala de conferencias</w:t>
            </w:r>
          </w:p>
        </w:tc>
      </w:tr>
    </w:tbl>
    <w:p w:rsidR="001B435F" w:rsidRPr="00E86B9B" w:rsidRDefault="001B435F" w:rsidP="00CD7FB3">
      <w:pPr>
        <w:rPr>
          <w:sz w:val="14"/>
          <w:szCs w:val="14"/>
        </w:rPr>
      </w:pPr>
    </w:p>
    <w:p w:rsidR="00CD7FB3" w:rsidRPr="00E86B9B" w:rsidRDefault="00CD7FB3" w:rsidP="00CD7FB3">
      <w:pPr>
        <w:rPr>
          <w:sz w:val="14"/>
          <w:szCs w:val="14"/>
        </w:rPr>
      </w:pPr>
    </w:p>
    <w:p w:rsidR="001B435F" w:rsidRPr="00E86B9B" w:rsidRDefault="001B435F" w:rsidP="00CD7FB3">
      <w:pPr>
        <w:jc w:val="right"/>
      </w:pPr>
      <w:r w:rsidRPr="00E86B9B">
        <w:t>[</w:t>
      </w:r>
      <w:r w:rsidR="00DF3EEE" w:rsidRPr="00E86B9B">
        <w:t>Sigue el Anexo</w:t>
      </w:r>
      <w:r w:rsidRPr="00E86B9B">
        <w:t xml:space="preserve"> II]</w:t>
      </w:r>
    </w:p>
    <w:p w:rsidR="001B435F" w:rsidRPr="00E86B9B" w:rsidRDefault="001B435F" w:rsidP="00CD7FB3">
      <w:pPr>
        <w:sectPr w:rsidR="001B435F" w:rsidRPr="00E86B9B" w:rsidSect="00CD7FB3">
          <w:headerReference w:type="first" r:id="rId1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9193" w:type="dxa"/>
        <w:tblLook w:val="04A0" w:firstRow="1" w:lastRow="0" w:firstColumn="1" w:lastColumn="0" w:noHBand="0" w:noVBand="1"/>
      </w:tblPr>
      <w:tblGrid>
        <w:gridCol w:w="606"/>
        <w:gridCol w:w="4038"/>
        <w:gridCol w:w="1560"/>
        <w:gridCol w:w="1417"/>
        <w:gridCol w:w="1572"/>
      </w:tblGrid>
      <w:tr w:rsidR="001B435F" w:rsidRPr="00E86B9B" w:rsidTr="00155CA0">
        <w:tc>
          <w:tcPr>
            <w:tcW w:w="9193" w:type="dxa"/>
            <w:gridSpan w:val="5"/>
          </w:tcPr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  <w:p w:rsidR="00894ADC" w:rsidRPr="00E86B9B" w:rsidRDefault="00AE5548" w:rsidP="00CD7FB3">
            <w:pPr>
              <w:jc w:val="center"/>
              <w:rPr>
                <w:sz w:val="20"/>
              </w:rPr>
            </w:pPr>
            <w:r w:rsidRPr="00E86B9B">
              <w:rPr>
                <w:sz w:val="20"/>
              </w:rPr>
              <w:t xml:space="preserve">Resumen de los presupuestos actualizados </w:t>
            </w:r>
            <w:r w:rsidR="00F7194D" w:rsidRPr="00E86B9B">
              <w:rPr>
                <w:sz w:val="20"/>
              </w:rPr>
              <w:t xml:space="preserve">y revisados </w:t>
            </w:r>
            <w:r w:rsidR="00894ADC" w:rsidRPr="00E86B9B">
              <w:rPr>
                <w:sz w:val="20"/>
              </w:rPr>
              <w:t>respecto del gasto y los compromisos pendientes de los proyectos de construcción</w:t>
            </w:r>
          </w:p>
          <w:p w:rsidR="001B435F" w:rsidRPr="00E86B9B" w:rsidRDefault="001B435F" w:rsidP="00CD7FB3">
            <w:pPr>
              <w:jc w:val="center"/>
              <w:rPr>
                <w:sz w:val="20"/>
              </w:rPr>
            </w:pPr>
            <w:r w:rsidRPr="00E86B9B">
              <w:rPr>
                <w:sz w:val="20"/>
              </w:rPr>
              <w:t xml:space="preserve"> (situa</w:t>
            </w:r>
            <w:r w:rsidR="00AE5548" w:rsidRPr="00E86B9B">
              <w:rPr>
                <w:sz w:val="20"/>
              </w:rPr>
              <w:t>ción en la fecha del presente documento</w:t>
            </w:r>
            <w:r w:rsidRPr="00E86B9B">
              <w:rPr>
                <w:sz w:val="20"/>
              </w:rPr>
              <w:t>)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</w:tc>
        <w:tc>
          <w:tcPr>
            <w:tcW w:w="4038" w:type="dxa"/>
          </w:tcPr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  <w:p w:rsidR="001B435F" w:rsidRPr="00E86B9B" w:rsidRDefault="00AE5548" w:rsidP="00CD7FB3">
            <w:pPr>
              <w:jc w:val="center"/>
              <w:rPr>
                <w:sz w:val="20"/>
              </w:rPr>
            </w:pPr>
            <w:r w:rsidRPr="00E86B9B">
              <w:rPr>
                <w:sz w:val="20"/>
              </w:rPr>
              <w:t xml:space="preserve">Proyecto de construcción del nuevo edificio </w:t>
            </w:r>
            <w:r w:rsidR="001B435F" w:rsidRPr="00E86B9B">
              <w:rPr>
                <w:sz w:val="20"/>
              </w:rPr>
              <w:t>(</w:t>
            </w:r>
            <w:r w:rsidRPr="00E86B9B">
              <w:rPr>
                <w:sz w:val="20"/>
              </w:rPr>
              <w:t>en francos suizos</w:t>
            </w:r>
            <w:r w:rsidR="001B435F" w:rsidRPr="00E86B9B">
              <w:rPr>
                <w:sz w:val="20"/>
              </w:rPr>
              <w:t>)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  <w:p w:rsidR="001B435F" w:rsidRPr="00E86B9B" w:rsidRDefault="00AE5548" w:rsidP="00CD7FB3">
            <w:pPr>
              <w:jc w:val="center"/>
              <w:rPr>
                <w:sz w:val="20"/>
              </w:rPr>
            </w:pPr>
            <w:r w:rsidRPr="00E86B9B">
              <w:rPr>
                <w:sz w:val="20"/>
              </w:rPr>
              <w:t xml:space="preserve">Proyecto de construcción de la nueva sala de conferencias </w:t>
            </w:r>
            <w:r w:rsidR="001B435F" w:rsidRPr="00E86B9B">
              <w:rPr>
                <w:sz w:val="20"/>
              </w:rPr>
              <w:t>(</w:t>
            </w:r>
            <w:r w:rsidRPr="00E86B9B">
              <w:rPr>
                <w:sz w:val="20"/>
              </w:rPr>
              <w:t>en francos suizos</w:t>
            </w:r>
            <w:r w:rsidR="001B435F" w:rsidRPr="00E86B9B">
              <w:rPr>
                <w:sz w:val="20"/>
              </w:rPr>
              <w:t>)</w:t>
            </w:r>
          </w:p>
        </w:tc>
        <w:tc>
          <w:tcPr>
            <w:tcW w:w="1572" w:type="dxa"/>
          </w:tcPr>
          <w:p w:rsidR="00F7194D" w:rsidRPr="00E86B9B" w:rsidRDefault="00F7194D" w:rsidP="00CD7FB3">
            <w:pPr>
              <w:jc w:val="center"/>
              <w:rPr>
                <w:sz w:val="20"/>
              </w:rPr>
            </w:pPr>
          </w:p>
          <w:p w:rsidR="001B435F" w:rsidRPr="00E86B9B" w:rsidRDefault="001B435F" w:rsidP="00CD7FB3">
            <w:pPr>
              <w:jc w:val="center"/>
              <w:rPr>
                <w:sz w:val="20"/>
              </w:rPr>
            </w:pPr>
            <w:r w:rsidRPr="00E86B9B">
              <w:rPr>
                <w:sz w:val="20"/>
              </w:rPr>
              <w:t>Total</w:t>
            </w:r>
            <w:r w:rsidR="00AE5548" w:rsidRPr="00E86B9B">
              <w:rPr>
                <w:sz w:val="20"/>
              </w:rPr>
              <w:t xml:space="preserve"> de ambos proyectos (en francos suizos)</w:t>
            </w:r>
          </w:p>
          <w:p w:rsidR="001B435F" w:rsidRPr="00E86B9B" w:rsidRDefault="001B435F" w:rsidP="00CD7FB3">
            <w:pPr>
              <w:jc w:val="center"/>
              <w:rPr>
                <w:sz w:val="20"/>
              </w:rPr>
            </w:pPr>
          </w:p>
        </w:tc>
      </w:tr>
      <w:tr w:rsidR="00AE5548" w:rsidRPr="00E86B9B" w:rsidTr="00155CA0">
        <w:tc>
          <w:tcPr>
            <w:tcW w:w="606" w:type="dxa"/>
            <w:shd w:val="clear" w:color="auto" w:fill="auto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4038" w:type="dxa"/>
            <w:shd w:val="clear" w:color="auto" w:fill="auto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1.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Presupuesto inicial aprobado con cargo a las reservas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161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742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68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200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229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942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2.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Transferencias aprobadas con cargo al proyecto de construcción del nuevo edificio y al proyecto de construcción de la nueva sala de conferencias</w:t>
            </w:r>
            <w:r w:rsidR="001B435F" w:rsidRPr="00E86B9B">
              <w:rPr>
                <w:sz w:val="20"/>
              </w:rPr>
              <w:t>*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(4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500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000)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4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500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-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3.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 xml:space="preserve">Recursos adicionales aprobados con cargo a las reservas en </w:t>
            </w:r>
            <w:r w:rsidR="001B435F" w:rsidRPr="00E86B9B">
              <w:rPr>
                <w:sz w:val="20"/>
              </w:rPr>
              <w:t>2014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400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500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900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4.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Presupuesto revisado</w:t>
            </w:r>
            <w:r w:rsidR="00F7194D" w:rsidRPr="00E86B9B">
              <w:rPr>
                <w:sz w:val="20"/>
              </w:rPr>
              <w:t xml:space="preserve"> y</w:t>
            </w:r>
            <w:r w:rsidRPr="00E86B9B">
              <w:rPr>
                <w:sz w:val="20"/>
              </w:rPr>
              <w:t xml:space="preserve"> aprobado con cargo a las reservas a finales de </w:t>
            </w:r>
            <w:r w:rsidR="001B435F" w:rsidRPr="00E86B9B">
              <w:rPr>
                <w:sz w:val="20"/>
              </w:rPr>
              <w:t>2014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157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75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200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232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842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5.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 xml:space="preserve">Gasto a finales de </w:t>
            </w:r>
            <w:r w:rsidR="001B435F" w:rsidRPr="00E86B9B" w:rsidDel="00E90C9B">
              <w:rPr>
                <w:sz w:val="20"/>
              </w:rPr>
              <w:t xml:space="preserve">2015 </w:t>
            </w:r>
            <w:r w:rsidRPr="00E86B9B">
              <w:rPr>
                <w:sz w:val="20"/>
              </w:rPr>
              <w:t xml:space="preserve">y compromisos pendientes </w:t>
            </w:r>
            <w:r w:rsidR="00C20E98" w:rsidRPr="00E86B9B">
              <w:rPr>
                <w:sz w:val="20"/>
              </w:rPr>
              <w:t>de cumplimiento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(157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475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335)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(74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151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335)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(231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626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670)</w:t>
            </w:r>
          </w:p>
        </w:tc>
      </w:tr>
      <w:tr w:rsidR="00AE5548" w:rsidRPr="00E86B9B" w:rsidTr="00155CA0">
        <w:tc>
          <w:tcPr>
            <w:tcW w:w="606" w:type="dxa"/>
            <w:shd w:val="clear" w:color="auto" w:fill="auto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6.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1B435F" w:rsidRPr="00E86B9B" w:rsidRDefault="00894ADC" w:rsidP="00DE73B9">
            <w:pPr>
              <w:rPr>
                <w:sz w:val="20"/>
              </w:rPr>
            </w:pPr>
            <w:r w:rsidRPr="00E86B9B">
              <w:rPr>
                <w:sz w:val="20"/>
              </w:rPr>
              <w:t>Importe no utilizado y no comprometido en la</w:t>
            </w:r>
            <w:r w:rsidR="00DE73B9" w:rsidRPr="00E86B9B">
              <w:rPr>
                <w:sz w:val="20"/>
              </w:rPr>
              <w:t xml:space="preserve"> fecha del presente documento, que será  reintegrado</w:t>
            </w:r>
            <w:r w:rsidRPr="00E86B9B">
              <w:rPr>
                <w:sz w:val="20"/>
              </w:rPr>
              <w:t xml:space="preserve"> en las reservas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167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308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048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665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215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973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4038" w:type="dxa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</w:tr>
      <w:tr w:rsidR="00AE5548" w:rsidRPr="00E86B9B" w:rsidDel="00E90C9B" w:rsidTr="00155CA0">
        <w:tc>
          <w:tcPr>
            <w:tcW w:w="606" w:type="dxa"/>
            <w:shd w:val="clear" w:color="auto" w:fill="auto"/>
          </w:tcPr>
          <w:p w:rsidR="001B435F" w:rsidRPr="00E86B9B" w:rsidDel="00E90C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7.</w:t>
            </w:r>
          </w:p>
        </w:tc>
        <w:tc>
          <w:tcPr>
            <w:tcW w:w="4038" w:type="dxa"/>
            <w:shd w:val="clear" w:color="auto" w:fill="auto"/>
          </w:tcPr>
          <w:p w:rsidR="001B435F" w:rsidRPr="00E86B9B" w:rsidDel="00E90C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Recur</w:t>
            </w:r>
            <w:r w:rsidR="00C20E98" w:rsidRPr="00E86B9B">
              <w:rPr>
                <w:sz w:val="20"/>
              </w:rPr>
              <w:t>s</w:t>
            </w:r>
            <w:r w:rsidRPr="00E86B9B">
              <w:rPr>
                <w:sz w:val="20"/>
              </w:rPr>
              <w:t xml:space="preserve">os adicionales aprobados en </w:t>
            </w:r>
            <w:r w:rsidR="001B435F" w:rsidRPr="00E86B9B" w:rsidDel="00E90C9B">
              <w:rPr>
                <w:sz w:val="20"/>
              </w:rPr>
              <w:t>2015</w:t>
            </w:r>
            <w:r w:rsidR="001B435F" w:rsidRPr="00E86B9B">
              <w:rPr>
                <w:sz w:val="20"/>
              </w:rPr>
              <w:t xml:space="preserve"> </w:t>
            </w:r>
            <w:r w:rsidRPr="00E86B9B">
              <w:rPr>
                <w:sz w:val="20"/>
              </w:rPr>
              <w:t>con cargo al presupuesto ordinario</w:t>
            </w:r>
            <w:r w:rsidR="001B435F" w:rsidRPr="00E86B9B">
              <w:rPr>
                <w:sz w:val="20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 w:rsidDel="00E90C9B">
              <w:rPr>
                <w:sz w:val="20"/>
              </w:rPr>
              <w:t>3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500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000</w:t>
            </w:r>
          </w:p>
        </w:tc>
        <w:tc>
          <w:tcPr>
            <w:tcW w:w="1572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 w:rsidDel="00E90C9B">
              <w:rPr>
                <w:sz w:val="20"/>
              </w:rPr>
              <w:t>3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500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000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8.</w:t>
            </w:r>
          </w:p>
        </w:tc>
        <w:tc>
          <w:tcPr>
            <w:tcW w:w="4038" w:type="dxa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 xml:space="preserve">Gasto a finales de </w:t>
            </w:r>
            <w:r w:rsidR="001B435F" w:rsidRPr="00E86B9B">
              <w:rPr>
                <w:sz w:val="20"/>
              </w:rPr>
              <w:t>2015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n/a</w:t>
            </w: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(3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486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353)</w:t>
            </w: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(3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486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353)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9.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1B435F" w:rsidRPr="00E86B9B" w:rsidRDefault="00894ADC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I</w:t>
            </w:r>
            <w:r w:rsidR="00C20E98" w:rsidRPr="00E86B9B">
              <w:rPr>
                <w:sz w:val="20"/>
              </w:rPr>
              <w:t xml:space="preserve">mporte no utilizado y reintegrado en las reservas a finales de </w:t>
            </w:r>
            <w:r w:rsidR="001B435F" w:rsidRPr="00E86B9B">
              <w:rPr>
                <w:sz w:val="20"/>
              </w:rPr>
              <w:t>2015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n/a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13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647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13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647</w:t>
            </w: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4038" w:type="dxa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</w:tr>
      <w:tr w:rsidR="00AE5548" w:rsidRPr="00E86B9B" w:rsidTr="00155CA0">
        <w:tc>
          <w:tcPr>
            <w:tcW w:w="606" w:type="dxa"/>
          </w:tcPr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4038" w:type="dxa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TOTAL</w:t>
            </w:r>
            <w:r w:rsidR="00C20E98" w:rsidRPr="00E86B9B">
              <w:rPr>
                <w:sz w:val="20"/>
              </w:rPr>
              <w:t>E</w:t>
            </w:r>
            <w:r w:rsidRPr="00E86B9B">
              <w:rPr>
                <w:sz w:val="20"/>
              </w:rPr>
              <w:t>S</w:t>
            </w:r>
          </w:p>
        </w:tc>
        <w:tc>
          <w:tcPr>
            <w:tcW w:w="1560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572" w:type="dxa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</w:tr>
      <w:tr w:rsidR="00AE5548" w:rsidRPr="00E86B9B" w:rsidTr="00155CA0">
        <w:tc>
          <w:tcPr>
            <w:tcW w:w="606" w:type="dxa"/>
            <w:shd w:val="clear" w:color="auto" w:fill="auto"/>
          </w:tcPr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10.</w:t>
            </w:r>
          </w:p>
        </w:tc>
        <w:tc>
          <w:tcPr>
            <w:tcW w:w="4038" w:type="dxa"/>
            <w:shd w:val="clear" w:color="auto" w:fill="auto"/>
          </w:tcPr>
          <w:p w:rsidR="001B435F" w:rsidRPr="00E86B9B" w:rsidRDefault="00C20E98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 xml:space="preserve">Total de los presupuestos aprobados de los proyectos a finales de </w:t>
            </w:r>
            <w:r w:rsidR="001B435F" w:rsidRPr="00E86B9B">
              <w:rPr>
                <w:sz w:val="20"/>
              </w:rPr>
              <w:t xml:space="preserve">2015 </w:t>
            </w:r>
          </w:p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(= l</w:t>
            </w:r>
            <w:r w:rsidR="00C20E98" w:rsidRPr="00E86B9B">
              <w:rPr>
                <w:sz w:val="20"/>
              </w:rPr>
              <w:t xml:space="preserve">íneas </w:t>
            </w:r>
            <w:r w:rsidRPr="00E86B9B">
              <w:rPr>
                <w:sz w:val="20"/>
              </w:rPr>
              <w:t>4 + 7)</w:t>
            </w:r>
          </w:p>
        </w:tc>
        <w:tc>
          <w:tcPr>
            <w:tcW w:w="1560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157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  <w:tc>
          <w:tcPr>
            <w:tcW w:w="1417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78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700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000</w:t>
            </w:r>
          </w:p>
        </w:tc>
        <w:tc>
          <w:tcPr>
            <w:tcW w:w="1572" w:type="dxa"/>
            <w:shd w:val="clear" w:color="auto" w:fill="auto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236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342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643</w:t>
            </w:r>
          </w:p>
        </w:tc>
      </w:tr>
      <w:tr w:rsidR="00AE5548" w:rsidRPr="00E86B9B" w:rsidDel="00E90C9B" w:rsidTr="00155CA0">
        <w:tc>
          <w:tcPr>
            <w:tcW w:w="606" w:type="dxa"/>
            <w:shd w:val="clear" w:color="auto" w:fill="auto"/>
          </w:tcPr>
          <w:p w:rsidR="001B435F" w:rsidRPr="00E86B9B" w:rsidDel="00E90C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11</w:t>
            </w:r>
            <w:r w:rsidRPr="00E86B9B" w:rsidDel="00E90C9B">
              <w:rPr>
                <w:sz w:val="20"/>
              </w:rPr>
              <w:t>.</w:t>
            </w:r>
          </w:p>
        </w:tc>
        <w:tc>
          <w:tcPr>
            <w:tcW w:w="4038" w:type="dxa"/>
            <w:shd w:val="clear" w:color="auto" w:fill="auto"/>
          </w:tcPr>
          <w:p w:rsidR="001B435F" w:rsidRPr="00E86B9B" w:rsidRDefault="00C20E98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 xml:space="preserve">Gasto total a finales de </w:t>
            </w:r>
            <w:r w:rsidR="001B435F" w:rsidRPr="00E86B9B" w:rsidDel="00E90C9B">
              <w:rPr>
                <w:sz w:val="20"/>
              </w:rPr>
              <w:t xml:space="preserve">2015 </w:t>
            </w:r>
            <w:r w:rsidRPr="00E86B9B">
              <w:rPr>
                <w:sz w:val="20"/>
              </w:rPr>
              <w:t xml:space="preserve">y compromisos pendientes de cumplimiento </w:t>
            </w:r>
          </w:p>
          <w:p w:rsidR="001B435F" w:rsidRPr="00E86B9B" w:rsidDel="00E90C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(= l</w:t>
            </w:r>
            <w:r w:rsidR="00C20E98" w:rsidRPr="00E86B9B">
              <w:rPr>
                <w:sz w:val="20"/>
              </w:rPr>
              <w:t xml:space="preserve">íneas </w:t>
            </w:r>
            <w:r w:rsidRPr="00E86B9B">
              <w:rPr>
                <w:sz w:val="20"/>
              </w:rPr>
              <w:t>5 + 8)</w:t>
            </w:r>
          </w:p>
        </w:tc>
        <w:tc>
          <w:tcPr>
            <w:tcW w:w="1560" w:type="dxa"/>
            <w:shd w:val="clear" w:color="auto" w:fill="auto"/>
          </w:tcPr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 w:rsidDel="00E90C9B">
              <w:rPr>
                <w:sz w:val="20"/>
              </w:rPr>
              <w:t>(157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475</w:t>
            </w:r>
            <w:r w:rsidR="00AE5548" w:rsidRPr="00E86B9B">
              <w:rPr>
                <w:sz w:val="20"/>
              </w:rPr>
              <w:t>.</w:t>
            </w:r>
            <w:r w:rsidRPr="00E86B9B" w:rsidDel="00E90C9B">
              <w:rPr>
                <w:sz w:val="20"/>
              </w:rPr>
              <w:t>335)</w:t>
            </w:r>
          </w:p>
        </w:tc>
        <w:tc>
          <w:tcPr>
            <w:tcW w:w="1417" w:type="dxa"/>
            <w:shd w:val="clear" w:color="auto" w:fill="auto"/>
          </w:tcPr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 w:rsidDel="00E90C9B">
              <w:rPr>
                <w:sz w:val="20"/>
              </w:rPr>
              <w:t>(</w:t>
            </w:r>
            <w:r w:rsidRPr="00E86B9B">
              <w:rPr>
                <w:sz w:val="20"/>
              </w:rPr>
              <w:t>77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637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688</w:t>
            </w:r>
            <w:r w:rsidRPr="00E86B9B" w:rsidDel="00E90C9B">
              <w:rPr>
                <w:sz w:val="20"/>
              </w:rPr>
              <w:t>)</w:t>
            </w:r>
          </w:p>
        </w:tc>
        <w:tc>
          <w:tcPr>
            <w:tcW w:w="1572" w:type="dxa"/>
            <w:shd w:val="clear" w:color="auto" w:fill="auto"/>
          </w:tcPr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Del="00E90C9B" w:rsidRDefault="001B435F" w:rsidP="00CD7FB3">
            <w:pPr>
              <w:jc w:val="right"/>
              <w:rPr>
                <w:sz w:val="20"/>
              </w:rPr>
            </w:pPr>
            <w:r w:rsidRPr="00E86B9B" w:rsidDel="00E90C9B">
              <w:rPr>
                <w:sz w:val="20"/>
              </w:rPr>
              <w:t>(</w:t>
            </w:r>
            <w:r w:rsidRPr="00E86B9B">
              <w:rPr>
                <w:sz w:val="20"/>
              </w:rPr>
              <w:t>235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113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023</w:t>
            </w:r>
            <w:r w:rsidRPr="00E86B9B" w:rsidDel="00E90C9B">
              <w:rPr>
                <w:sz w:val="20"/>
              </w:rPr>
              <w:t>)</w:t>
            </w:r>
          </w:p>
        </w:tc>
      </w:tr>
      <w:tr w:rsidR="00AE5548" w:rsidRPr="00E86B9B" w:rsidTr="00155CA0">
        <w:tc>
          <w:tcPr>
            <w:tcW w:w="606" w:type="dxa"/>
            <w:shd w:val="clear" w:color="auto" w:fill="auto"/>
          </w:tcPr>
          <w:p w:rsidR="001B435F" w:rsidRPr="00E86B9B" w:rsidRDefault="001B435F" w:rsidP="00CD7FB3">
            <w:pPr>
              <w:rPr>
                <w:sz w:val="20"/>
              </w:rPr>
            </w:pPr>
          </w:p>
          <w:p w:rsidR="001B435F" w:rsidRPr="00E86B9B" w:rsidRDefault="001B435F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12.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rPr>
                <w:sz w:val="20"/>
              </w:rPr>
            </w:pPr>
          </w:p>
          <w:p w:rsidR="001B435F" w:rsidRPr="00E86B9B" w:rsidRDefault="00C20E98" w:rsidP="00CD7FB3">
            <w:pPr>
              <w:rPr>
                <w:sz w:val="20"/>
              </w:rPr>
            </w:pPr>
            <w:r w:rsidRPr="00E86B9B">
              <w:rPr>
                <w:sz w:val="20"/>
              </w:rPr>
              <w:t>Importe t</w:t>
            </w:r>
            <w:r w:rsidR="001B435F" w:rsidRPr="00E86B9B">
              <w:rPr>
                <w:sz w:val="20"/>
              </w:rPr>
              <w:t xml:space="preserve">otal </w:t>
            </w:r>
            <w:r w:rsidRPr="00E86B9B">
              <w:rPr>
                <w:sz w:val="20"/>
              </w:rPr>
              <w:t>no utilizado y no comprometido en la fecha de</w:t>
            </w:r>
            <w:r w:rsidR="00F7194D" w:rsidRPr="00E86B9B">
              <w:rPr>
                <w:sz w:val="20"/>
              </w:rPr>
              <w:t>l presente</w:t>
            </w:r>
            <w:r w:rsidRPr="00E86B9B">
              <w:rPr>
                <w:sz w:val="20"/>
              </w:rPr>
              <w:t xml:space="preserve"> </w:t>
            </w:r>
            <w:r w:rsidR="00B02E6F" w:rsidRPr="00E86B9B">
              <w:rPr>
                <w:sz w:val="20"/>
              </w:rPr>
              <w:t>documento</w:t>
            </w:r>
            <w:r w:rsidRPr="00E86B9B">
              <w:rPr>
                <w:sz w:val="20"/>
              </w:rPr>
              <w:t xml:space="preserve"> </w:t>
            </w:r>
            <w:r w:rsidR="001B435F" w:rsidRPr="00E86B9B">
              <w:rPr>
                <w:sz w:val="20"/>
              </w:rPr>
              <w:t>(= l</w:t>
            </w:r>
            <w:r w:rsidRPr="00E86B9B">
              <w:rPr>
                <w:sz w:val="20"/>
              </w:rPr>
              <w:t>í</w:t>
            </w:r>
            <w:r w:rsidR="001B435F" w:rsidRPr="00E86B9B">
              <w:rPr>
                <w:sz w:val="20"/>
              </w:rPr>
              <w:t>ne</w:t>
            </w:r>
            <w:r w:rsidRPr="00E86B9B">
              <w:rPr>
                <w:sz w:val="20"/>
              </w:rPr>
              <w:t>a</w:t>
            </w:r>
            <w:r w:rsidR="001B435F" w:rsidRPr="00E86B9B">
              <w:rPr>
                <w:sz w:val="20"/>
              </w:rPr>
              <w:t>s 6 + 9)</w:t>
            </w:r>
          </w:p>
          <w:p w:rsidR="001B435F" w:rsidRPr="00E86B9B" w:rsidRDefault="001B435F" w:rsidP="00CD7FB3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167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308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062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312</w:t>
            </w: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  <w:r w:rsidRPr="00E86B9B">
              <w:rPr>
                <w:sz w:val="20"/>
              </w:rPr>
              <w:t>1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229</w:t>
            </w:r>
            <w:r w:rsidR="00AE5548" w:rsidRPr="00E86B9B">
              <w:rPr>
                <w:sz w:val="20"/>
              </w:rPr>
              <w:t>.</w:t>
            </w:r>
            <w:r w:rsidRPr="00E86B9B">
              <w:rPr>
                <w:sz w:val="20"/>
              </w:rPr>
              <w:t>620</w:t>
            </w:r>
          </w:p>
          <w:p w:rsidR="001B435F" w:rsidRPr="00E86B9B" w:rsidRDefault="001B435F" w:rsidP="00CD7FB3">
            <w:pPr>
              <w:jc w:val="right"/>
              <w:rPr>
                <w:sz w:val="20"/>
              </w:rPr>
            </w:pPr>
          </w:p>
        </w:tc>
      </w:tr>
    </w:tbl>
    <w:p w:rsidR="001B435F" w:rsidRPr="00E86B9B" w:rsidRDefault="001B435F" w:rsidP="00CD7FB3"/>
    <w:p w:rsidR="001B435F" w:rsidRPr="00E86B9B" w:rsidRDefault="001B435F" w:rsidP="00CD7FB3">
      <w:pPr>
        <w:rPr>
          <w:sz w:val="18"/>
          <w:szCs w:val="18"/>
        </w:rPr>
      </w:pPr>
      <w:r w:rsidRPr="00E86B9B">
        <w:rPr>
          <w:sz w:val="18"/>
          <w:szCs w:val="18"/>
        </w:rPr>
        <w:t>*  </w:t>
      </w:r>
      <w:r w:rsidR="00F7194D" w:rsidRPr="00E86B9B">
        <w:rPr>
          <w:sz w:val="18"/>
          <w:szCs w:val="18"/>
        </w:rPr>
        <w:t xml:space="preserve">De acuerdo con el </w:t>
      </w:r>
      <w:r w:rsidRPr="00E86B9B">
        <w:rPr>
          <w:sz w:val="18"/>
          <w:szCs w:val="18"/>
        </w:rPr>
        <w:t>document</w:t>
      </w:r>
      <w:r w:rsidR="00F7194D" w:rsidRPr="00E86B9B">
        <w:rPr>
          <w:sz w:val="18"/>
          <w:szCs w:val="18"/>
        </w:rPr>
        <w:t>o</w:t>
      </w:r>
      <w:r w:rsidRPr="00E86B9B">
        <w:rPr>
          <w:sz w:val="18"/>
          <w:szCs w:val="18"/>
        </w:rPr>
        <w:t xml:space="preserve"> WO/PBC/18/9, </w:t>
      </w:r>
      <w:r w:rsidR="00F7194D" w:rsidRPr="00E86B9B">
        <w:rPr>
          <w:sz w:val="18"/>
          <w:szCs w:val="18"/>
        </w:rPr>
        <w:t xml:space="preserve">el importe de </w:t>
      </w:r>
      <w:r w:rsidRPr="00E86B9B">
        <w:rPr>
          <w:sz w:val="18"/>
          <w:szCs w:val="18"/>
        </w:rPr>
        <w:t>4</w:t>
      </w:r>
      <w:r w:rsidR="00F7194D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>500</w:t>
      </w:r>
      <w:r w:rsidR="00F7194D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 xml:space="preserve">000 </w:t>
      </w:r>
      <w:r w:rsidR="00F7194D" w:rsidRPr="00E86B9B">
        <w:rPr>
          <w:sz w:val="18"/>
          <w:szCs w:val="18"/>
        </w:rPr>
        <w:t xml:space="preserve">francos suizos estaba compuesto por un importe de </w:t>
      </w:r>
      <w:r w:rsidRPr="00E86B9B">
        <w:rPr>
          <w:sz w:val="18"/>
          <w:szCs w:val="18"/>
        </w:rPr>
        <w:t>2</w:t>
      </w:r>
      <w:r w:rsidR="00F7194D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>225</w:t>
      </w:r>
      <w:r w:rsidR="00F7194D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 xml:space="preserve">000 </w:t>
      </w:r>
      <w:r w:rsidR="00F7194D" w:rsidRPr="00E86B9B">
        <w:rPr>
          <w:sz w:val="18"/>
          <w:szCs w:val="18"/>
        </w:rPr>
        <w:t xml:space="preserve">francos suizos que constituía la penalización </w:t>
      </w:r>
      <w:r w:rsidR="00F25C0C" w:rsidRPr="00E86B9B">
        <w:rPr>
          <w:sz w:val="18"/>
          <w:szCs w:val="18"/>
        </w:rPr>
        <w:t xml:space="preserve">que tenía que pagar el contratista general a la OMPI por retraso y un importe de </w:t>
      </w:r>
      <w:r w:rsidRPr="00E86B9B">
        <w:rPr>
          <w:sz w:val="18"/>
          <w:szCs w:val="18"/>
        </w:rPr>
        <w:t>2</w:t>
      </w:r>
      <w:r w:rsidR="00F25C0C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>275</w:t>
      </w:r>
      <w:r w:rsidR="00F25C0C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 xml:space="preserve">000 </w:t>
      </w:r>
      <w:r w:rsidR="00F25C0C" w:rsidRPr="00E86B9B">
        <w:rPr>
          <w:sz w:val="18"/>
          <w:szCs w:val="18"/>
        </w:rPr>
        <w:t>francos suizos que constituía el saldo no comprometido y no utilizado del proyecto de construcción del nuevo edificio</w:t>
      </w:r>
      <w:r w:rsidRPr="00E86B9B">
        <w:rPr>
          <w:sz w:val="18"/>
          <w:szCs w:val="18"/>
        </w:rPr>
        <w:t xml:space="preserve"> (</w:t>
      </w:r>
      <w:r w:rsidR="00F25C0C" w:rsidRPr="00E86B9B">
        <w:rPr>
          <w:sz w:val="18"/>
          <w:szCs w:val="18"/>
        </w:rPr>
        <w:t>ahorros</w:t>
      </w:r>
      <w:r w:rsidRPr="00E86B9B">
        <w:rPr>
          <w:sz w:val="18"/>
          <w:szCs w:val="18"/>
        </w:rPr>
        <w:t>).</w:t>
      </w:r>
      <w:r w:rsidR="00F25C0C" w:rsidRPr="00E86B9B">
        <w:rPr>
          <w:sz w:val="18"/>
          <w:szCs w:val="18"/>
        </w:rPr>
        <w:t xml:space="preserve">  Se dio por supuesto que el importe de la penalización recibido por la OMPI podría utilizarse para compensar los gastos de construcción</w:t>
      </w:r>
      <w:r w:rsidRPr="00E86B9B">
        <w:rPr>
          <w:sz w:val="18"/>
          <w:szCs w:val="18"/>
        </w:rPr>
        <w:t>.</w:t>
      </w:r>
      <w:r w:rsidR="00F25C0C" w:rsidRPr="00E86B9B">
        <w:rPr>
          <w:sz w:val="18"/>
          <w:szCs w:val="18"/>
        </w:rPr>
        <w:t xml:space="preserve">  Sin embargo, de conformidad con las IPSAS se consideró que el edificio ya estaba terminado en el momento de llegar a un acuerdo sobre la penalización, y el importe de la penalización por retraso recibido por la OMPI del contratista general </w:t>
      </w:r>
      <w:r w:rsidR="00C86F78" w:rsidRPr="00E86B9B">
        <w:rPr>
          <w:sz w:val="18"/>
          <w:szCs w:val="18"/>
        </w:rPr>
        <w:t xml:space="preserve">(2.225.000 francos suizos) </w:t>
      </w:r>
      <w:r w:rsidR="00F25C0C" w:rsidRPr="00E86B9B">
        <w:rPr>
          <w:sz w:val="18"/>
          <w:szCs w:val="18"/>
        </w:rPr>
        <w:t xml:space="preserve">fue </w:t>
      </w:r>
      <w:r w:rsidR="00335456" w:rsidRPr="00E86B9B">
        <w:rPr>
          <w:sz w:val="18"/>
          <w:szCs w:val="18"/>
        </w:rPr>
        <w:t>contemplado c</w:t>
      </w:r>
      <w:r w:rsidR="00F25C0C" w:rsidRPr="00E86B9B">
        <w:rPr>
          <w:sz w:val="18"/>
          <w:szCs w:val="18"/>
        </w:rPr>
        <w:t xml:space="preserve">omo ingresos de la OMPI </w:t>
      </w:r>
      <w:r w:rsidRPr="00E86B9B">
        <w:rPr>
          <w:sz w:val="18"/>
          <w:szCs w:val="18"/>
        </w:rPr>
        <w:t>(</w:t>
      </w:r>
      <w:r w:rsidR="00F25C0C" w:rsidRPr="00E86B9B">
        <w:rPr>
          <w:sz w:val="18"/>
          <w:szCs w:val="18"/>
        </w:rPr>
        <w:t>Ingresos diversos).</w:t>
      </w:r>
    </w:p>
    <w:p w:rsidR="001B435F" w:rsidRPr="00E86B9B" w:rsidRDefault="001B435F" w:rsidP="00CD7FB3">
      <w:pPr>
        <w:rPr>
          <w:sz w:val="18"/>
          <w:szCs w:val="18"/>
        </w:rPr>
      </w:pPr>
    </w:p>
    <w:p w:rsidR="001B435F" w:rsidRPr="00E86B9B" w:rsidRDefault="001B435F" w:rsidP="00CD7FB3">
      <w:pPr>
        <w:rPr>
          <w:sz w:val="18"/>
          <w:szCs w:val="18"/>
        </w:rPr>
      </w:pPr>
      <w:r w:rsidRPr="00E86B9B">
        <w:rPr>
          <w:sz w:val="18"/>
          <w:szCs w:val="18"/>
        </w:rPr>
        <w:t>**  </w:t>
      </w:r>
      <w:r w:rsidR="00AE5548" w:rsidRPr="00E86B9B">
        <w:rPr>
          <w:sz w:val="18"/>
          <w:szCs w:val="18"/>
        </w:rPr>
        <w:t xml:space="preserve">Véanse los documentos </w:t>
      </w:r>
      <w:r w:rsidRPr="00E86B9B">
        <w:rPr>
          <w:sz w:val="18"/>
          <w:szCs w:val="18"/>
        </w:rPr>
        <w:t xml:space="preserve">A/55/11 </w:t>
      </w:r>
      <w:r w:rsidR="00AE5548" w:rsidRPr="00E86B9B">
        <w:rPr>
          <w:sz w:val="18"/>
          <w:szCs w:val="18"/>
        </w:rPr>
        <w:t xml:space="preserve">y </w:t>
      </w:r>
      <w:r w:rsidRPr="00E86B9B">
        <w:rPr>
          <w:sz w:val="18"/>
          <w:szCs w:val="18"/>
        </w:rPr>
        <w:t>A/55/13 (</w:t>
      </w:r>
      <w:r w:rsidR="00F25C0C" w:rsidRPr="00E86B9B">
        <w:rPr>
          <w:sz w:val="18"/>
          <w:szCs w:val="18"/>
        </w:rPr>
        <w:t xml:space="preserve">en particular el párrafo </w:t>
      </w:r>
      <w:r w:rsidRPr="00E86B9B">
        <w:rPr>
          <w:sz w:val="18"/>
          <w:szCs w:val="18"/>
        </w:rPr>
        <w:t>205</w:t>
      </w:r>
      <w:r w:rsidR="00DE73B9" w:rsidRPr="00E86B9B">
        <w:rPr>
          <w:sz w:val="18"/>
          <w:szCs w:val="18"/>
        </w:rPr>
        <w:t>.</w:t>
      </w:r>
      <w:r w:rsidRPr="00E86B9B">
        <w:rPr>
          <w:sz w:val="18"/>
          <w:szCs w:val="18"/>
        </w:rPr>
        <w:t>c)</w:t>
      </w:r>
      <w:r w:rsidR="00335456" w:rsidRPr="00E86B9B">
        <w:rPr>
          <w:sz w:val="18"/>
          <w:szCs w:val="18"/>
        </w:rPr>
        <w:t xml:space="preserve"> del informe</w:t>
      </w:r>
      <w:r w:rsidRPr="00E86B9B">
        <w:rPr>
          <w:sz w:val="18"/>
          <w:szCs w:val="18"/>
        </w:rPr>
        <w:t>).</w:t>
      </w:r>
    </w:p>
    <w:p w:rsidR="001B435F" w:rsidRPr="00E86B9B" w:rsidRDefault="001B435F" w:rsidP="00CD7FB3"/>
    <w:p w:rsidR="001B435F" w:rsidRPr="00E86B9B" w:rsidRDefault="001B435F" w:rsidP="00CD7FB3"/>
    <w:p w:rsidR="00152CEA" w:rsidRPr="00E86B9B" w:rsidRDefault="001B435F" w:rsidP="00CD7FB3">
      <w:pPr>
        <w:jc w:val="right"/>
      </w:pPr>
      <w:r w:rsidRPr="00E86B9B">
        <w:t>[</w:t>
      </w:r>
      <w:r w:rsidR="00AE5548" w:rsidRPr="00E86B9B">
        <w:t>Fin del Anexo y del documento</w:t>
      </w:r>
      <w:r w:rsidRPr="00E86B9B">
        <w:t>]</w:t>
      </w:r>
    </w:p>
    <w:sectPr w:rsidR="00152CEA" w:rsidRPr="00E86B9B" w:rsidSect="00FB06FD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54" w:rsidRDefault="00123754">
      <w:r>
        <w:separator/>
      </w:r>
    </w:p>
  </w:endnote>
  <w:endnote w:type="continuationSeparator" w:id="0">
    <w:p w:rsidR="00123754" w:rsidRPr="009D30E6" w:rsidRDefault="0012375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23754" w:rsidRPr="007E663E" w:rsidRDefault="0012375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23754" w:rsidRPr="007E663E" w:rsidRDefault="0012375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54" w:rsidRDefault="00123754">
      <w:r>
        <w:separator/>
      </w:r>
    </w:p>
  </w:footnote>
  <w:footnote w:type="continuationSeparator" w:id="0">
    <w:p w:rsidR="00123754" w:rsidRPr="009D30E6" w:rsidRDefault="0012375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23754" w:rsidRPr="007E663E" w:rsidRDefault="0012375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23754" w:rsidRPr="007E663E" w:rsidRDefault="0012375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123754" w:rsidRPr="00934084" w:rsidRDefault="00123754" w:rsidP="001B435F">
      <w:pPr>
        <w:pStyle w:val="FootnoteText"/>
      </w:pPr>
      <w:r w:rsidRPr="00AD44E6">
        <w:rPr>
          <w:rStyle w:val="FootnoteReference"/>
        </w:rPr>
        <w:footnoteRef/>
      </w:r>
      <w:r w:rsidRPr="00934084">
        <w:tab/>
        <w:t>Véase el documento WO/PBC/22/3.</w:t>
      </w:r>
    </w:p>
  </w:footnote>
  <w:footnote w:id="3">
    <w:p w:rsidR="00123754" w:rsidRPr="00FE66AB" w:rsidRDefault="00123754" w:rsidP="001B435F">
      <w:pPr>
        <w:pStyle w:val="FootnoteText"/>
      </w:pPr>
      <w:r w:rsidRPr="00AD44E6">
        <w:rPr>
          <w:rStyle w:val="FootnoteReference"/>
        </w:rPr>
        <w:footnoteRef/>
      </w:r>
      <w:r w:rsidRPr="00FE66AB">
        <w:tab/>
        <w:t>Véase el documento WO/PBC/14/10, fechado el 10 de agosto de 2009 (en especial, el p</w:t>
      </w:r>
      <w:r>
        <w:t xml:space="preserve">árrafo </w:t>
      </w:r>
      <w:r w:rsidRPr="00FE66AB">
        <w:t>42).</w:t>
      </w:r>
    </w:p>
  </w:footnote>
  <w:footnote w:id="4">
    <w:p w:rsidR="00123754" w:rsidRPr="009A301F" w:rsidRDefault="00123754" w:rsidP="001B435F">
      <w:pPr>
        <w:pStyle w:val="FootnoteText"/>
      </w:pPr>
      <w:r w:rsidRPr="00AD44E6">
        <w:rPr>
          <w:rStyle w:val="FootnoteReference"/>
        </w:rPr>
        <w:footnoteRef/>
      </w:r>
      <w:r w:rsidRPr="009A301F">
        <w:tab/>
        <w:t xml:space="preserve">Las </w:t>
      </w:r>
      <w:r>
        <w:t>dependencias</w:t>
      </w:r>
      <w:r w:rsidRPr="009A301F">
        <w:t xml:space="preserve"> administrativas implicadas abarcaron l</w:t>
      </w:r>
      <w:r>
        <w:t xml:space="preserve">os </w:t>
      </w:r>
      <w:r w:rsidRPr="009A301F">
        <w:t xml:space="preserve">siguientes </w:t>
      </w:r>
      <w:r>
        <w:t xml:space="preserve">ámbitos </w:t>
      </w:r>
      <w:r w:rsidRPr="009A301F">
        <w:t xml:space="preserve">de responsabilidad:  mantenimiento de los edificios, seguridad y </w:t>
      </w:r>
      <w:r>
        <w:t>vigilancia</w:t>
      </w:r>
      <w:r w:rsidRPr="009A301F">
        <w:t xml:space="preserve">, </w:t>
      </w:r>
      <w:r>
        <w:t>tecnologías de la información y la comunicación</w:t>
      </w:r>
      <w:r w:rsidRPr="009A301F">
        <w:t xml:space="preserve">, </w:t>
      </w:r>
      <w:r>
        <w:t xml:space="preserve">sistemas </w:t>
      </w:r>
      <w:r w:rsidRPr="009A301F">
        <w:t>audiovisual</w:t>
      </w:r>
      <w:r>
        <w:t>es y de interpretación</w:t>
      </w:r>
      <w:r w:rsidRPr="009A301F">
        <w:t xml:space="preserve">, </w:t>
      </w:r>
      <w:r>
        <w:t>servicios de apoyo a las conferencias, aseguramiento de la información, cuestiones jurídicas y contractuales, adquisiciones, presupuesto y finanzas</w:t>
      </w:r>
      <w:r w:rsidRPr="009A301F">
        <w:t>.</w:t>
      </w:r>
    </w:p>
  </w:footnote>
  <w:footnote w:id="5">
    <w:p w:rsidR="00123754" w:rsidRPr="00A85E47" w:rsidRDefault="00123754" w:rsidP="0010143F">
      <w:pPr>
        <w:pStyle w:val="FootnoteText"/>
      </w:pPr>
      <w:r w:rsidRPr="00AD44E6">
        <w:rPr>
          <w:rStyle w:val="FootnoteReference"/>
        </w:rPr>
        <w:footnoteRef/>
      </w:r>
      <w:r w:rsidRPr="00A85E47">
        <w:tab/>
        <w:t>Para conocer el contexto de la rescis</w:t>
      </w:r>
      <w:r>
        <w:t xml:space="preserve">ión </w:t>
      </w:r>
      <w:r w:rsidRPr="00A85E47">
        <w:t xml:space="preserve">del contrato con el anterior contratista general, véase el documento WO/PBC/19/24 </w:t>
      </w:r>
      <w:r>
        <w:t xml:space="preserve">y el Anexo del </w:t>
      </w:r>
      <w:r w:rsidRPr="00A85E47">
        <w:t>document</w:t>
      </w:r>
      <w:r>
        <w:t>o</w:t>
      </w:r>
      <w:r w:rsidRPr="00A85E47">
        <w:t xml:space="preserve"> WO/PBC/21/11.</w:t>
      </w:r>
    </w:p>
  </w:footnote>
  <w:footnote w:id="6">
    <w:p w:rsidR="00123754" w:rsidRPr="00031C06" w:rsidRDefault="00123754" w:rsidP="001B435F">
      <w:pPr>
        <w:pStyle w:val="FootnoteText"/>
      </w:pPr>
      <w:r w:rsidRPr="00AD44E6">
        <w:rPr>
          <w:rStyle w:val="FootnoteReference"/>
        </w:rPr>
        <w:footnoteRef/>
      </w:r>
      <w:r w:rsidRPr="00031C06">
        <w:tab/>
      </w:r>
      <w:r>
        <w:t xml:space="preserve">Cabe remitirse al documento </w:t>
      </w:r>
      <w:r w:rsidRPr="00031C06">
        <w:t>WO/PBC/19/24, p</w:t>
      </w:r>
      <w:r>
        <w:t>árrafo</w:t>
      </w:r>
      <w:r w:rsidRPr="00031C06">
        <w:t xml:space="preserve"> 40.</w:t>
      </w:r>
    </w:p>
  </w:footnote>
  <w:footnote w:id="7">
    <w:p w:rsidR="00123754" w:rsidRPr="004D1DBB" w:rsidRDefault="00123754" w:rsidP="001B435F">
      <w:pPr>
        <w:pStyle w:val="FootnoteText"/>
      </w:pPr>
      <w:r w:rsidRPr="00AD44E6">
        <w:rPr>
          <w:rStyle w:val="FootnoteReference"/>
        </w:rPr>
        <w:footnoteRef/>
      </w:r>
      <w:r w:rsidRPr="004D1DBB">
        <w:tab/>
        <w:t xml:space="preserve">La </w:t>
      </w:r>
      <w:r w:rsidR="00DE73B9">
        <w:t>R</w:t>
      </w:r>
      <w:r w:rsidRPr="004D1DBB">
        <w:t xml:space="preserve">ed </w:t>
      </w:r>
      <w:r w:rsidR="00DE73B9">
        <w:t>I</w:t>
      </w:r>
      <w:r w:rsidRPr="004D1DBB">
        <w:t xml:space="preserve">nterinstitucional de </w:t>
      </w:r>
      <w:r w:rsidR="00DE73B9">
        <w:t>A</w:t>
      </w:r>
      <w:r w:rsidRPr="004D1DBB">
        <w:t xml:space="preserve">dministradores de </w:t>
      </w:r>
      <w:r w:rsidR="00DE73B9">
        <w:t>I</w:t>
      </w:r>
      <w:r w:rsidRPr="004D1DBB">
        <w:t>nstalaciones</w:t>
      </w:r>
      <w:r>
        <w:t xml:space="preserve"> de las Naciones Unidas</w:t>
      </w:r>
      <w:r w:rsidRPr="004D1DBB">
        <w:t xml:space="preserve"> (INFM) está integrada por más de 40 organismos, programas y otras entidades, entre ellos los siguientes (lista de los miembros que participaron en la reunión de mayo de 2016):  ACNUR,</w:t>
      </w:r>
      <w:r>
        <w:t xml:space="preserve"> </w:t>
      </w:r>
      <w:r w:rsidRPr="004D1DBB">
        <w:t>BLNU,</w:t>
      </w:r>
      <w:r>
        <w:t xml:space="preserve"> BM</w:t>
      </w:r>
      <w:r w:rsidRPr="004D1DBB">
        <w:t>,</w:t>
      </w:r>
      <w:r>
        <w:t xml:space="preserve"> </w:t>
      </w:r>
      <w:r w:rsidRPr="004D1DBB">
        <w:t xml:space="preserve">CEPAL, </w:t>
      </w:r>
      <w:r>
        <w:t xml:space="preserve">CESPAO, </w:t>
      </w:r>
      <w:r w:rsidRPr="004D1DBB">
        <w:t>CESPAP, CPI,</w:t>
      </w:r>
      <w:r>
        <w:t xml:space="preserve"> </w:t>
      </w:r>
      <w:r w:rsidRPr="004D1DBB">
        <w:t>DAAT/MONUSCO,</w:t>
      </w:r>
      <w:r>
        <w:t xml:space="preserve"> </w:t>
      </w:r>
      <w:r w:rsidRPr="004D1DBB">
        <w:t>FAO, FICR,</w:t>
      </w:r>
      <w:r>
        <w:t xml:space="preserve"> </w:t>
      </w:r>
      <w:r w:rsidRPr="004D1DBB">
        <w:t>FIDA,</w:t>
      </w:r>
      <w:r>
        <w:t xml:space="preserve"> </w:t>
      </w:r>
      <w:r w:rsidRPr="004D1DBB">
        <w:t>FMI,</w:t>
      </w:r>
      <w:r>
        <w:t xml:space="preserve"> </w:t>
      </w:r>
      <w:r w:rsidRPr="004D1DBB">
        <w:t>MICT,</w:t>
      </w:r>
      <w:r>
        <w:t xml:space="preserve"> </w:t>
      </w:r>
      <w:r w:rsidRPr="004D1DBB">
        <w:t xml:space="preserve">OIEA, OIT, </w:t>
      </w:r>
      <w:r>
        <w:t>OMC, OMM, OMPI</w:t>
      </w:r>
      <w:r w:rsidRPr="004D1DBB">
        <w:t>,</w:t>
      </w:r>
      <w:r>
        <w:t xml:space="preserve"> OMS</w:t>
      </w:r>
      <w:r w:rsidRPr="004D1DBB">
        <w:t>,</w:t>
      </w:r>
      <w:r>
        <w:t xml:space="preserve"> </w:t>
      </w:r>
      <w:r w:rsidRPr="004D1DBB">
        <w:t>ONUDI,</w:t>
      </w:r>
      <w:r>
        <w:t xml:space="preserve"> </w:t>
      </w:r>
      <w:r w:rsidRPr="004D1DBB">
        <w:t xml:space="preserve">ONUG, </w:t>
      </w:r>
      <w:r>
        <w:t>ONU Mujeres</w:t>
      </w:r>
      <w:r w:rsidRPr="004D1DBB">
        <w:t>,</w:t>
      </w:r>
      <w:r>
        <w:t xml:space="preserve"> ONUN,</w:t>
      </w:r>
      <w:r w:rsidRPr="004D1DBB">
        <w:t xml:space="preserve"> </w:t>
      </w:r>
      <w:r>
        <w:t>ONURS</w:t>
      </w:r>
      <w:r w:rsidRPr="004D1DBB">
        <w:t>,</w:t>
      </w:r>
      <w:r>
        <w:t xml:space="preserve"> </w:t>
      </w:r>
      <w:r w:rsidRPr="004D1DBB">
        <w:t>ONUSIDA,</w:t>
      </w:r>
      <w:r>
        <w:t xml:space="preserve"> ON</w:t>
      </w:r>
      <w:r w:rsidRPr="004D1DBB">
        <w:t xml:space="preserve">UV, </w:t>
      </w:r>
      <w:r>
        <w:t>ONUVT</w:t>
      </w:r>
      <w:r w:rsidRPr="004D1DBB">
        <w:t>,</w:t>
      </w:r>
      <w:r>
        <w:t xml:space="preserve"> </w:t>
      </w:r>
      <w:r w:rsidRPr="004D1DBB">
        <w:t xml:space="preserve">OPS, </w:t>
      </w:r>
      <w:r>
        <w:t>PMA</w:t>
      </w:r>
      <w:r w:rsidRPr="004D1DBB">
        <w:t>,</w:t>
      </w:r>
      <w:r>
        <w:t xml:space="preserve"> </w:t>
      </w:r>
      <w:r w:rsidRPr="004D1DBB">
        <w:t>PNUD, PNUMA, Sede de las Naciones Unidas,</w:t>
      </w:r>
      <w:r>
        <w:t xml:space="preserve"> </w:t>
      </w:r>
      <w:r w:rsidRPr="004D1DBB">
        <w:t xml:space="preserve">TIDM, UIT, UNESCO, UNICEF, UNMIS, </w:t>
      </w:r>
      <w:r>
        <w:t>VN</w:t>
      </w:r>
      <w:r w:rsidRPr="004D1DBB">
        <w:t xml:space="preserve">U, </w:t>
      </w:r>
      <w:r>
        <w:t>así como BAD</w:t>
      </w:r>
      <w:r w:rsidRPr="004D1DBB">
        <w:t xml:space="preserve">, </w:t>
      </w:r>
      <w:r>
        <w:t xml:space="preserve">CEPA, </w:t>
      </w:r>
      <w:r w:rsidRPr="004D1DBB">
        <w:t xml:space="preserve">CERN, </w:t>
      </w:r>
      <w:r>
        <w:t xml:space="preserve">Consejo de Europa, ESA, OCDE, </w:t>
      </w:r>
      <w:r w:rsidRPr="004D1DBB">
        <w:t xml:space="preserve">OSCE, </w:t>
      </w:r>
      <w:r>
        <w:t>OTAN</w:t>
      </w:r>
      <w:r w:rsidRPr="00E02C14">
        <w:t xml:space="preserve"> </w:t>
      </w:r>
      <w:r>
        <w:t>y UE</w:t>
      </w:r>
      <w:r w:rsidRPr="004D1DB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54" w:rsidRDefault="00123754" w:rsidP="00477D6B">
    <w:pPr>
      <w:jc w:val="right"/>
    </w:pPr>
    <w:r>
      <w:t>WO/PBC/25/13</w:t>
    </w:r>
  </w:p>
  <w:p w:rsidR="00123754" w:rsidRDefault="0012375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83A76">
      <w:rPr>
        <w:noProof/>
      </w:rPr>
      <w:t>7</w:t>
    </w:r>
    <w:r>
      <w:fldChar w:fldCharType="end"/>
    </w:r>
  </w:p>
  <w:p w:rsidR="00123754" w:rsidRDefault="0012375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54" w:rsidRDefault="00123754" w:rsidP="00155CA0">
    <w:pPr>
      <w:pStyle w:val="Header"/>
      <w:jc w:val="right"/>
    </w:pPr>
    <w:r>
      <w:t>WO/PBC/25/13</w:t>
    </w:r>
  </w:p>
  <w:p w:rsidR="00123754" w:rsidRDefault="00123754" w:rsidP="00155CA0">
    <w:pPr>
      <w:pStyle w:val="Header"/>
      <w:jc w:val="right"/>
    </w:pPr>
    <w:r>
      <w:t>ANEXO I</w:t>
    </w:r>
  </w:p>
  <w:p w:rsidR="00123754" w:rsidRDefault="001237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54" w:rsidRDefault="00123754" w:rsidP="00477D6B">
    <w:pPr>
      <w:jc w:val="right"/>
    </w:pPr>
    <w:bookmarkStart w:id="6" w:name="Code2"/>
    <w:bookmarkEnd w:id="6"/>
    <w:r>
      <w:t>WO/PBC/25/13</w:t>
    </w:r>
  </w:p>
  <w:p w:rsidR="00123754" w:rsidRDefault="0012375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123754" w:rsidRDefault="00123754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54" w:rsidRDefault="00123754" w:rsidP="00CD7FB3">
    <w:pPr>
      <w:pStyle w:val="Header"/>
      <w:jc w:val="right"/>
    </w:pPr>
    <w:r>
      <w:t>WO/PBC/25/13</w:t>
    </w:r>
  </w:p>
  <w:p w:rsidR="00123754" w:rsidRDefault="00123754" w:rsidP="00CD7FB3">
    <w:pPr>
      <w:pStyle w:val="Header"/>
      <w:jc w:val="right"/>
    </w:pPr>
    <w:r>
      <w:t>ANEXO II</w:t>
    </w:r>
  </w:p>
  <w:p w:rsidR="00123754" w:rsidRDefault="00123754" w:rsidP="00CD7F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9648C9A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DFE1BE5"/>
    <w:multiLevelType w:val="hybridMultilevel"/>
    <w:tmpl w:val="49DCDD9A"/>
    <w:lvl w:ilvl="0" w:tplc="D6A037A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FD"/>
    <w:rsid w:val="00010686"/>
    <w:rsid w:val="0002246C"/>
    <w:rsid w:val="00031C06"/>
    <w:rsid w:val="00042D9E"/>
    <w:rsid w:val="00046C27"/>
    <w:rsid w:val="0004711F"/>
    <w:rsid w:val="00052915"/>
    <w:rsid w:val="000A607E"/>
    <w:rsid w:val="000B22EA"/>
    <w:rsid w:val="000D43E4"/>
    <w:rsid w:val="000E3BB3"/>
    <w:rsid w:val="000F5E56"/>
    <w:rsid w:val="0010143F"/>
    <w:rsid w:val="00111FE6"/>
    <w:rsid w:val="00123754"/>
    <w:rsid w:val="001265DF"/>
    <w:rsid w:val="001362EE"/>
    <w:rsid w:val="001446D8"/>
    <w:rsid w:val="00152CEA"/>
    <w:rsid w:val="00155CA0"/>
    <w:rsid w:val="00156788"/>
    <w:rsid w:val="001832A6"/>
    <w:rsid w:val="00190CDC"/>
    <w:rsid w:val="001B435F"/>
    <w:rsid w:val="001C6BBC"/>
    <w:rsid w:val="001D78D2"/>
    <w:rsid w:val="001E3283"/>
    <w:rsid w:val="002057BB"/>
    <w:rsid w:val="0023447E"/>
    <w:rsid w:val="002634C4"/>
    <w:rsid w:val="00275237"/>
    <w:rsid w:val="002917DE"/>
    <w:rsid w:val="002E0F47"/>
    <w:rsid w:val="002E723D"/>
    <w:rsid w:val="002F4E68"/>
    <w:rsid w:val="003017CD"/>
    <w:rsid w:val="00330442"/>
    <w:rsid w:val="00335456"/>
    <w:rsid w:val="00354647"/>
    <w:rsid w:val="00377273"/>
    <w:rsid w:val="003845C1"/>
    <w:rsid w:val="00387287"/>
    <w:rsid w:val="003B697E"/>
    <w:rsid w:val="003E48F1"/>
    <w:rsid w:val="003F347A"/>
    <w:rsid w:val="00423E3E"/>
    <w:rsid w:val="00427AF4"/>
    <w:rsid w:val="00442DDE"/>
    <w:rsid w:val="00443DAB"/>
    <w:rsid w:val="0045231F"/>
    <w:rsid w:val="00456C0E"/>
    <w:rsid w:val="004631BA"/>
    <w:rsid w:val="004647DA"/>
    <w:rsid w:val="0046793F"/>
    <w:rsid w:val="00477808"/>
    <w:rsid w:val="00477D6B"/>
    <w:rsid w:val="004A6C37"/>
    <w:rsid w:val="004D1DBB"/>
    <w:rsid w:val="004E297D"/>
    <w:rsid w:val="004E5843"/>
    <w:rsid w:val="00531B02"/>
    <w:rsid w:val="005332F0"/>
    <w:rsid w:val="0053335B"/>
    <w:rsid w:val="0055013B"/>
    <w:rsid w:val="00571B99"/>
    <w:rsid w:val="00605827"/>
    <w:rsid w:val="00621F2C"/>
    <w:rsid w:val="00622922"/>
    <w:rsid w:val="00675021"/>
    <w:rsid w:val="006A06C6"/>
    <w:rsid w:val="006A38C8"/>
    <w:rsid w:val="006F53A6"/>
    <w:rsid w:val="00710E54"/>
    <w:rsid w:val="007224C8"/>
    <w:rsid w:val="00772D9C"/>
    <w:rsid w:val="00776CC9"/>
    <w:rsid w:val="00781F17"/>
    <w:rsid w:val="00783431"/>
    <w:rsid w:val="00783F4A"/>
    <w:rsid w:val="00794BE2"/>
    <w:rsid w:val="007B71FE"/>
    <w:rsid w:val="007D732A"/>
    <w:rsid w:val="007D76F7"/>
    <w:rsid w:val="007D781E"/>
    <w:rsid w:val="007E663E"/>
    <w:rsid w:val="007E709E"/>
    <w:rsid w:val="007F5EC7"/>
    <w:rsid w:val="00815082"/>
    <w:rsid w:val="00844F19"/>
    <w:rsid w:val="00880FDF"/>
    <w:rsid w:val="0088395E"/>
    <w:rsid w:val="008839D7"/>
    <w:rsid w:val="00883A76"/>
    <w:rsid w:val="00890160"/>
    <w:rsid w:val="00894ADC"/>
    <w:rsid w:val="008B00D3"/>
    <w:rsid w:val="008B01CA"/>
    <w:rsid w:val="008B2CC1"/>
    <w:rsid w:val="008C134D"/>
    <w:rsid w:val="008D3071"/>
    <w:rsid w:val="008E4BF7"/>
    <w:rsid w:val="008E59C7"/>
    <w:rsid w:val="008E6BD6"/>
    <w:rsid w:val="0090731E"/>
    <w:rsid w:val="00907D62"/>
    <w:rsid w:val="00924121"/>
    <w:rsid w:val="00930EDB"/>
    <w:rsid w:val="00934084"/>
    <w:rsid w:val="00966A22"/>
    <w:rsid w:val="00972F03"/>
    <w:rsid w:val="00977177"/>
    <w:rsid w:val="0099023B"/>
    <w:rsid w:val="00996B29"/>
    <w:rsid w:val="009A0C8B"/>
    <w:rsid w:val="009A301F"/>
    <w:rsid w:val="009B6241"/>
    <w:rsid w:val="009C0D8E"/>
    <w:rsid w:val="009D37CA"/>
    <w:rsid w:val="00A16FC0"/>
    <w:rsid w:val="00A32C9E"/>
    <w:rsid w:val="00A365C4"/>
    <w:rsid w:val="00A52E53"/>
    <w:rsid w:val="00A85E47"/>
    <w:rsid w:val="00AA353E"/>
    <w:rsid w:val="00AB613D"/>
    <w:rsid w:val="00AD44E6"/>
    <w:rsid w:val="00AE5548"/>
    <w:rsid w:val="00AE7F20"/>
    <w:rsid w:val="00B02E6F"/>
    <w:rsid w:val="00B50F39"/>
    <w:rsid w:val="00B65A0A"/>
    <w:rsid w:val="00B67CDC"/>
    <w:rsid w:val="00B72D36"/>
    <w:rsid w:val="00B911D8"/>
    <w:rsid w:val="00BB2457"/>
    <w:rsid w:val="00BC4164"/>
    <w:rsid w:val="00BD2DCC"/>
    <w:rsid w:val="00BD7E2B"/>
    <w:rsid w:val="00BE40D7"/>
    <w:rsid w:val="00C20E98"/>
    <w:rsid w:val="00C43C96"/>
    <w:rsid w:val="00C51CF7"/>
    <w:rsid w:val="00C60BEF"/>
    <w:rsid w:val="00C62F61"/>
    <w:rsid w:val="00C66D1E"/>
    <w:rsid w:val="00C776F9"/>
    <w:rsid w:val="00C86F78"/>
    <w:rsid w:val="00C904C9"/>
    <w:rsid w:val="00C90559"/>
    <w:rsid w:val="00CA1DB9"/>
    <w:rsid w:val="00CA2251"/>
    <w:rsid w:val="00CA2B19"/>
    <w:rsid w:val="00CC4094"/>
    <w:rsid w:val="00CD7FB3"/>
    <w:rsid w:val="00CE62E1"/>
    <w:rsid w:val="00D0019B"/>
    <w:rsid w:val="00D56C7C"/>
    <w:rsid w:val="00D71B4D"/>
    <w:rsid w:val="00D72583"/>
    <w:rsid w:val="00D90289"/>
    <w:rsid w:val="00D93D55"/>
    <w:rsid w:val="00D93E37"/>
    <w:rsid w:val="00DB783E"/>
    <w:rsid w:val="00DC4C60"/>
    <w:rsid w:val="00DE73B9"/>
    <w:rsid w:val="00DF25D0"/>
    <w:rsid w:val="00DF3EEE"/>
    <w:rsid w:val="00E0079A"/>
    <w:rsid w:val="00E02C14"/>
    <w:rsid w:val="00E276BE"/>
    <w:rsid w:val="00E444DA"/>
    <w:rsid w:val="00E45C84"/>
    <w:rsid w:val="00E504E5"/>
    <w:rsid w:val="00E86B9B"/>
    <w:rsid w:val="00EA4697"/>
    <w:rsid w:val="00EB7A3E"/>
    <w:rsid w:val="00EC401A"/>
    <w:rsid w:val="00ED04B5"/>
    <w:rsid w:val="00EE4873"/>
    <w:rsid w:val="00EF530A"/>
    <w:rsid w:val="00EF6622"/>
    <w:rsid w:val="00F22E11"/>
    <w:rsid w:val="00F25C0C"/>
    <w:rsid w:val="00F36452"/>
    <w:rsid w:val="00F55408"/>
    <w:rsid w:val="00F66152"/>
    <w:rsid w:val="00F7194D"/>
    <w:rsid w:val="00F80845"/>
    <w:rsid w:val="00F84474"/>
    <w:rsid w:val="00FA0F0D"/>
    <w:rsid w:val="00FA7EFE"/>
    <w:rsid w:val="00FB06FD"/>
    <w:rsid w:val="00FB5D87"/>
    <w:rsid w:val="00FD59D1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1B435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1B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B435F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basedOn w:val="DefaultParagraphFont"/>
    <w:rsid w:val="001B435F"/>
    <w:rPr>
      <w:vertAlign w:val="superscript"/>
    </w:rPr>
  </w:style>
  <w:style w:type="paragraph" w:styleId="BalloonText">
    <w:name w:val="Balloon Text"/>
    <w:basedOn w:val="Normal"/>
    <w:link w:val="BalloonTextChar"/>
    <w:rsid w:val="007E7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E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1B435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1B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B435F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basedOn w:val="DefaultParagraphFont"/>
    <w:rsid w:val="001B435F"/>
    <w:rPr>
      <w:vertAlign w:val="superscript"/>
    </w:rPr>
  </w:style>
  <w:style w:type="paragraph" w:styleId="BalloonText">
    <w:name w:val="Balloon Text"/>
    <w:basedOn w:val="Normal"/>
    <w:link w:val="BalloonTextChar"/>
    <w:rsid w:val="007E7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E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(S)</Template>
  <TotalTime>129</TotalTime>
  <Pages>9</Pages>
  <Words>4016</Words>
  <Characters>22050</Characters>
  <Application>Microsoft Office Word</Application>
  <DocSecurity>0</DocSecurity>
  <Lines>183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WO/PBC/25/13</vt:lpstr>
    </vt:vector>
  </TitlesOfParts>
  <Company>WIPO</Company>
  <LinksUpToDate>false</LinksUpToDate>
  <CharactersWithSpaces>26014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WO/PBC/25/13</dc:title>
  <dc:creator>PUCHOL BOGANI Fernando</dc:creator>
  <dc:description>FP - 11/7/2016  -  
JC (QC) - 14/7/2016</dc:description>
  <cp:lastModifiedBy>NETTER Iza</cp:lastModifiedBy>
  <cp:revision>22</cp:revision>
  <cp:lastPrinted>2016-07-27T08:21:00Z</cp:lastPrinted>
  <dcterms:created xsi:type="dcterms:W3CDTF">2016-07-13T14:39:00Z</dcterms:created>
  <dcterms:modified xsi:type="dcterms:W3CDTF">2016-07-27T08:22:00Z</dcterms:modified>
</cp:coreProperties>
</file>