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27E4D" w:rsidTr="0088395E">
        <w:tc>
          <w:tcPr>
            <w:tcW w:w="4513" w:type="dxa"/>
            <w:tcBorders>
              <w:bottom w:val="single" w:sz="4" w:space="0" w:color="auto"/>
            </w:tcBorders>
            <w:tcMar>
              <w:bottom w:w="170" w:type="dxa"/>
            </w:tcMar>
          </w:tcPr>
          <w:p w:rsidR="00E504E5" w:rsidRPr="00127E4D" w:rsidRDefault="00E504E5" w:rsidP="00AB613D"/>
        </w:tc>
        <w:tc>
          <w:tcPr>
            <w:tcW w:w="4337" w:type="dxa"/>
            <w:tcBorders>
              <w:bottom w:val="single" w:sz="4" w:space="0" w:color="auto"/>
            </w:tcBorders>
            <w:tcMar>
              <w:left w:w="0" w:type="dxa"/>
              <w:right w:w="0" w:type="dxa"/>
            </w:tcMar>
          </w:tcPr>
          <w:p w:rsidR="00E504E5" w:rsidRPr="00127E4D" w:rsidRDefault="0019695A" w:rsidP="00AB613D">
            <w:r w:rsidRPr="00127E4D">
              <w:rPr>
                <w:noProof/>
                <w:lang w:val="en-US" w:eastAsia="en-US"/>
              </w:rPr>
              <w:drawing>
                <wp:inline distT="0" distB="0" distL="0" distR="0" wp14:anchorId="36FDC532" wp14:editId="4082E0C3">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27E4D" w:rsidRDefault="00E504E5" w:rsidP="00AB613D">
            <w:pPr>
              <w:jc w:val="right"/>
            </w:pPr>
            <w:r w:rsidRPr="00127E4D">
              <w:rPr>
                <w:b/>
                <w:sz w:val="40"/>
                <w:szCs w:val="40"/>
              </w:rPr>
              <w:t>S</w:t>
            </w:r>
          </w:p>
        </w:tc>
      </w:tr>
      <w:tr w:rsidR="008B2CC1" w:rsidRPr="00127E4D"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27E4D" w:rsidRDefault="00FB218B" w:rsidP="005D1E69">
            <w:pPr>
              <w:jc w:val="right"/>
              <w:rPr>
                <w:rFonts w:ascii="Arial Black" w:hAnsi="Arial Black"/>
                <w:caps/>
                <w:sz w:val="15"/>
              </w:rPr>
            </w:pPr>
            <w:r w:rsidRPr="00127E4D">
              <w:rPr>
                <w:rFonts w:ascii="Arial Black" w:hAnsi="Arial Black"/>
                <w:caps/>
                <w:sz w:val="15"/>
              </w:rPr>
              <w:t>wo/pbc/24/</w:t>
            </w:r>
            <w:bookmarkStart w:id="0" w:name="Code"/>
            <w:bookmarkEnd w:id="0"/>
            <w:r w:rsidR="005D1E69" w:rsidRPr="00127E4D">
              <w:rPr>
                <w:rFonts w:ascii="Arial Black" w:hAnsi="Arial Black"/>
                <w:caps/>
                <w:sz w:val="15"/>
              </w:rPr>
              <w:t>7</w:t>
            </w:r>
          </w:p>
        </w:tc>
      </w:tr>
      <w:tr w:rsidR="008B2CC1" w:rsidRPr="00127E4D" w:rsidTr="00AB613D">
        <w:trPr>
          <w:trHeight w:hRule="exact" w:val="170"/>
        </w:trPr>
        <w:tc>
          <w:tcPr>
            <w:tcW w:w="9356" w:type="dxa"/>
            <w:gridSpan w:val="3"/>
            <w:noWrap/>
            <w:tcMar>
              <w:left w:w="0" w:type="dxa"/>
              <w:right w:w="0" w:type="dxa"/>
            </w:tcMar>
            <w:vAlign w:val="bottom"/>
          </w:tcPr>
          <w:p w:rsidR="008B2CC1" w:rsidRPr="00127E4D" w:rsidRDefault="008B2CC1" w:rsidP="00FA2D00">
            <w:pPr>
              <w:jc w:val="right"/>
              <w:rPr>
                <w:rFonts w:ascii="Arial Black" w:hAnsi="Arial Black"/>
                <w:caps/>
                <w:sz w:val="15"/>
              </w:rPr>
            </w:pPr>
            <w:r w:rsidRPr="00127E4D">
              <w:rPr>
                <w:rFonts w:ascii="Arial Black" w:hAnsi="Arial Black"/>
                <w:caps/>
                <w:sz w:val="15"/>
              </w:rPr>
              <w:t>ORIGINAL:</w:t>
            </w:r>
            <w:r w:rsidR="00F84474" w:rsidRPr="00127E4D">
              <w:rPr>
                <w:rFonts w:ascii="Arial Black" w:hAnsi="Arial Black"/>
                <w:caps/>
                <w:sz w:val="15"/>
              </w:rPr>
              <w:t xml:space="preserve"> </w:t>
            </w:r>
            <w:r w:rsidRPr="00127E4D">
              <w:rPr>
                <w:rFonts w:ascii="Arial Black" w:hAnsi="Arial Black"/>
                <w:caps/>
                <w:sz w:val="15"/>
              </w:rPr>
              <w:t xml:space="preserve"> </w:t>
            </w:r>
            <w:bookmarkStart w:id="1" w:name="Original"/>
            <w:bookmarkEnd w:id="1"/>
            <w:r w:rsidR="00FA2D00" w:rsidRPr="00127E4D">
              <w:rPr>
                <w:rFonts w:ascii="Arial Black" w:hAnsi="Arial Black"/>
                <w:caps/>
                <w:sz w:val="15"/>
              </w:rPr>
              <w:t>inglés</w:t>
            </w:r>
          </w:p>
        </w:tc>
      </w:tr>
      <w:tr w:rsidR="008B2CC1" w:rsidRPr="00127E4D" w:rsidTr="00AB613D">
        <w:trPr>
          <w:trHeight w:hRule="exact" w:val="198"/>
        </w:trPr>
        <w:tc>
          <w:tcPr>
            <w:tcW w:w="9356" w:type="dxa"/>
            <w:gridSpan w:val="3"/>
            <w:tcMar>
              <w:left w:w="0" w:type="dxa"/>
              <w:right w:w="0" w:type="dxa"/>
            </w:tcMar>
            <w:vAlign w:val="bottom"/>
          </w:tcPr>
          <w:p w:rsidR="008B2CC1" w:rsidRPr="00127E4D" w:rsidRDefault="00675021" w:rsidP="005D1E69">
            <w:pPr>
              <w:jc w:val="right"/>
              <w:rPr>
                <w:rFonts w:ascii="Arial Black" w:hAnsi="Arial Black"/>
                <w:caps/>
                <w:sz w:val="15"/>
              </w:rPr>
            </w:pPr>
            <w:r w:rsidRPr="00127E4D">
              <w:rPr>
                <w:rFonts w:ascii="Arial Black" w:hAnsi="Arial Black"/>
                <w:caps/>
                <w:sz w:val="15"/>
              </w:rPr>
              <w:t>fecha</w:t>
            </w:r>
            <w:r w:rsidR="008B2CC1" w:rsidRPr="00127E4D">
              <w:rPr>
                <w:rFonts w:ascii="Arial Black" w:hAnsi="Arial Black"/>
                <w:caps/>
                <w:sz w:val="15"/>
              </w:rPr>
              <w:t>:</w:t>
            </w:r>
            <w:r w:rsidR="00F84474" w:rsidRPr="00127E4D">
              <w:rPr>
                <w:rFonts w:ascii="Arial Black" w:hAnsi="Arial Black"/>
                <w:caps/>
                <w:sz w:val="15"/>
              </w:rPr>
              <w:t xml:space="preserve"> </w:t>
            </w:r>
            <w:r w:rsidR="008B2CC1" w:rsidRPr="00127E4D">
              <w:rPr>
                <w:rFonts w:ascii="Arial Black" w:hAnsi="Arial Black"/>
                <w:caps/>
                <w:sz w:val="15"/>
              </w:rPr>
              <w:t xml:space="preserve"> </w:t>
            </w:r>
            <w:bookmarkStart w:id="2" w:name="Date"/>
            <w:bookmarkEnd w:id="2"/>
            <w:r w:rsidR="005D1E69" w:rsidRPr="00127E4D">
              <w:rPr>
                <w:rFonts w:ascii="Arial Black" w:hAnsi="Arial Black"/>
                <w:caps/>
                <w:sz w:val="15"/>
              </w:rPr>
              <w:t>27</w:t>
            </w:r>
            <w:r w:rsidR="00FA2D00" w:rsidRPr="00127E4D">
              <w:rPr>
                <w:rFonts w:ascii="Arial Black" w:hAnsi="Arial Black"/>
                <w:caps/>
                <w:sz w:val="15"/>
              </w:rPr>
              <w:t xml:space="preserve"> de julio de 2015</w:t>
            </w:r>
          </w:p>
        </w:tc>
      </w:tr>
    </w:tbl>
    <w:p w:rsidR="008B2CC1" w:rsidRPr="00127E4D" w:rsidRDefault="008B2CC1" w:rsidP="008B2CC1"/>
    <w:p w:rsidR="008B2CC1" w:rsidRPr="00127E4D" w:rsidRDefault="008B2CC1" w:rsidP="008B2CC1"/>
    <w:p w:rsidR="008B2CC1" w:rsidRPr="00127E4D" w:rsidRDefault="008B2CC1" w:rsidP="008B2CC1"/>
    <w:p w:rsidR="008B2CC1" w:rsidRPr="00127E4D" w:rsidRDefault="008B2CC1" w:rsidP="008B2CC1"/>
    <w:p w:rsidR="008B2CC1" w:rsidRPr="00127E4D" w:rsidRDefault="008B2CC1" w:rsidP="008B2CC1"/>
    <w:p w:rsidR="00B67CDC" w:rsidRPr="00127E4D" w:rsidRDefault="00FB218B" w:rsidP="00B67CDC">
      <w:pPr>
        <w:rPr>
          <w:b/>
          <w:sz w:val="28"/>
          <w:szCs w:val="28"/>
        </w:rPr>
      </w:pPr>
      <w:r w:rsidRPr="00127E4D">
        <w:rPr>
          <w:b/>
          <w:sz w:val="28"/>
          <w:szCs w:val="28"/>
        </w:rPr>
        <w:t>Comité del Programa y Presupuesto</w:t>
      </w:r>
    </w:p>
    <w:p w:rsidR="003845C1" w:rsidRPr="00127E4D" w:rsidRDefault="003845C1" w:rsidP="003845C1"/>
    <w:p w:rsidR="003845C1" w:rsidRPr="00127E4D" w:rsidRDefault="003845C1" w:rsidP="003845C1"/>
    <w:p w:rsidR="00FB218B" w:rsidRPr="00127E4D" w:rsidRDefault="00FB218B" w:rsidP="00FB218B">
      <w:pPr>
        <w:rPr>
          <w:b/>
          <w:sz w:val="24"/>
          <w:szCs w:val="24"/>
        </w:rPr>
      </w:pPr>
      <w:r w:rsidRPr="00127E4D">
        <w:rPr>
          <w:b/>
          <w:sz w:val="24"/>
          <w:szCs w:val="24"/>
        </w:rPr>
        <w:t>Vigesimocuarta sesión</w:t>
      </w:r>
    </w:p>
    <w:p w:rsidR="008B2CC1" w:rsidRPr="00127E4D" w:rsidRDefault="00FB218B" w:rsidP="00FB218B">
      <w:r w:rsidRPr="00127E4D">
        <w:rPr>
          <w:b/>
          <w:sz w:val="24"/>
          <w:szCs w:val="24"/>
        </w:rPr>
        <w:t>Ginebra, 14 a 18 de septiembre de 2015</w:t>
      </w:r>
    </w:p>
    <w:p w:rsidR="006025FB" w:rsidRPr="00127E4D" w:rsidRDefault="006025FB" w:rsidP="006025FB"/>
    <w:p w:rsidR="006025FB" w:rsidRPr="00127E4D" w:rsidRDefault="006025FB" w:rsidP="006025FB"/>
    <w:p w:rsidR="006025FB" w:rsidRPr="00127E4D" w:rsidRDefault="006025FB" w:rsidP="006025FB"/>
    <w:p w:rsidR="008913B2" w:rsidRPr="00127E4D" w:rsidRDefault="008913B2" w:rsidP="008913B2">
      <w:pPr>
        <w:rPr>
          <w:caps/>
          <w:sz w:val="24"/>
        </w:rPr>
      </w:pPr>
      <w:bookmarkStart w:id="3" w:name="TitleOfDoc"/>
      <w:bookmarkEnd w:id="3"/>
      <w:r w:rsidRPr="00127E4D">
        <w:rPr>
          <w:caps/>
          <w:sz w:val="24"/>
        </w:rPr>
        <w:t>Informe sobre LOS AVANCES REALIZADOS EN LA aplicación de las recomendaciones de la Dependencia Común de Inspección (DCI) DIRIGIDAS A los órganos legislativos de la OMPI</w:t>
      </w:r>
    </w:p>
    <w:p w:rsidR="00395D27" w:rsidRPr="00127E4D" w:rsidRDefault="00395D27" w:rsidP="00395D27">
      <w:pPr>
        <w:rPr>
          <w:caps/>
          <w:sz w:val="24"/>
        </w:rPr>
      </w:pPr>
    </w:p>
    <w:p w:rsidR="00395D27" w:rsidRPr="00127E4D" w:rsidRDefault="00395D27" w:rsidP="00395D27"/>
    <w:p w:rsidR="00395D27" w:rsidRPr="00127E4D" w:rsidRDefault="00395D27" w:rsidP="00395D27">
      <w:pPr>
        <w:rPr>
          <w:i/>
        </w:rPr>
      </w:pPr>
      <w:bookmarkStart w:id="4" w:name="Prepared"/>
      <w:bookmarkEnd w:id="4"/>
      <w:r w:rsidRPr="00127E4D">
        <w:rPr>
          <w:i/>
        </w:rPr>
        <w:t>prepar</w:t>
      </w:r>
      <w:r w:rsidR="008913B2" w:rsidRPr="00127E4D">
        <w:rPr>
          <w:i/>
        </w:rPr>
        <w:t>a</w:t>
      </w:r>
      <w:r w:rsidRPr="00127E4D">
        <w:rPr>
          <w:i/>
        </w:rPr>
        <w:t>d</w:t>
      </w:r>
      <w:r w:rsidR="008913B2" w:rsidRPr="00127E4D">
        <w:rPr>
          <w:i/>
        </w:rPr>
        <w:t>o</w:t>
      </w:r>
      <w:r w:rsidRPr="00127E4D">
        <w:rPr>
          <w:i/>
        </w:rPr>
        <w:t xml:space="preserve"> </w:t>
      </w:r>
      <w:r w:rsidR="00DE5B60">
        <w:rPr>
          <w:i/>
        </w:rPr>
        <w:t>por la Secretaría</w:t>
      </w:r>
    </w:p>
    <w:p w:rsidR="00395D27" w:rsidRPr="00127E4D" w:rsidRDefault="00395D27" w:rsidP="00395D27"/>
    <w:p w:rsidR="00395D27" w:rsidRPr="00127E4D" w:rsidRDefault="00395D27" w:rsidP="00395D27"/>
    <w:p w:rsidR="00395D27" w:rsidRPr="00127E4D" w:rsidRDefault="00395D27" w:rsidP="00395D27"/>
    <w:p w:rsidR="00395D27" w:rsidRPr="00127E4D" w:rsidRDefault="00395D27" w:rsidP="00395D27"/>
    <w:p w:rsidR="008913B2" w:rsidRPr="00127E4D" w:rsidRDefault="008913B2" w:rsidP="008913B2">
      <w:pPr>
        <w:pStyle w:val="ONUME"/>
      </w:pPr>
      <w:r w:rsidRPr="00127E4D">
        <w:t>E</w:t>
      </w:r>
      <w:r w:rsidR="007E1C51" w:rsidRPr="00127E4D">
        <w:t>n e</w:t>
      </w:r>
      <w:r w:rsidRPr="00127E4D">
        <w:t xml:space="preserve">l presente documento </w:t>
      </w:r>
      <w:r w:rsidR="007E1C51" w:rsidRPr="00127E4D">
        <w:t xml:space="preserve">se </w:t>
      </w:r>
      <w:r w:rsidRPr="00127E4D">
        <w:t xml:space="preserve">ofrece un panorama del estado de aplicación de las recomendaciones dirigidas a los órganos legislativos de la OMPI como resultado de los exámenes realizados por la Dependencia Común de Inspección (DCI) durante el período de 2010 a 2014, e incluye las recomendaciones dirigidas a los órganos legislativos de la OMPI a resultas del Examen de la DCI de la Gestión y la Administración </w:t>
      </w:r>
      <w:r w:rsidR="003424EC">
        <w:t>en</w:t>
      </w:r>
      <w:r w:rsidRPr="00127E4D">
        <w:t xml:space="preserve"> la OMPI.</w:t>
      </w:r>
    </w:p>
    <w:p w:rsidR="00395D27" w:rsidRPr="00127E4D" w:rsidRDefault="007165C4" w:rsidP="00395D27">
      <w:pPr>
        <w:pStyle w:val="ONUME"/>
      </w:pPr>
      <w:r w:rsidRPr="00127E4D">
        <w:t>El estado de aplicación de las recomendaciones en comparación con el informe anterior puede verificarse más fácil</w:t>
      </w:r>
      <w:r w:rsidR="003424EC">
        <w:t>mente en la actualidad</w:t>
      </w:r>
      <w:r w:rsidRPr="00127E4D">
        <w:t xml:space="preserve"> </w:t>
      </w:r>
      <w:r w:rsidR="003424EC">
        <w:t>gracias a</w:t>
      </w:r>
      <w:r w:rsidRPr="00127E4D">
        <w:t xml:space="preserve"> los recuadros de comentarios que se han introducido recientemente y que figuran en los cuadros.</w:t>
      </w:r>
    </w:p>
    <w:p w:rsidR="00395D27" w:rsidRPr="00127E4D" w:rsidRDefault="007165C4" w:rsidP="00740583">
      <w:pPr>
        <w:pStyle w:val="ONUME"/>
      </w:pPr>
      <w:r w:rsidRPr="00127E4D">
        <w:t xml:space="preserve">En resumen, cabe señalar que en los cinco últimos años, la DCI ha emitido un total de </w:t>
      </w:r>
      <w:r w:rsidR="00395D27" w:rsidRPr="00127E4D">
        <w:t xml:space="preserve">57 </w:t>
      </w:r>
      <w:r w:rsidRPr="00127E4D">
        <w:t>informes, notas y cartas sobre asuntos de gestión, y que se ha reducido el número de informes en los dos últimos años.  De los 57 documentos, 47 eran informes, 30 de los cuales aplicables a la OMPI.  La OMPI ha realizado avances en los tres últimos años a la hora de dar por aplicadas las recomendaciones de la DCI, incluidas las dirigidas al</w:t>
      </w:r>
      <w:r w:rsidR="00740583" w:rsidRPr="00127E4D">
        <w:t xml:space="preserve"> Jefe Ejecutivo y a los órganos legislativos</w:t>
      </w:r>
      <w:r w:rsidR="00395D27" w:rsidRPr="00127E4D">
        <w:rPr>
          <w:rStyle w:val="FootnoteReference"/>
        </w:rPr>
        <w:footnoteReference w:id="2"/>
      </w:r>
      <w:r w:rsidR="002568F4">
        <w:t>.</w:t>
      </w:r>
    </w:p>
    <w:p w:rsidR="00395D27" w:rsidRPr="00127E4D" w:rsidRDefault="00395D27" w:rsidP="00395D27">
      <w:pPr>
        <w:pStyle w:val="ONUME"/>
        <w:numPr>
          <w:ilvl w:val="0"/>
          <w:numId w:val="0"/>
        </w:numPr>
      </w:pPr>
    </w:p>
    <w:p w:rsidR="00395D27" w:rsidRPr="00127E4D" w:rsidRDefault="00740583" w:rsidP="00395D27">
      <w:pPr>
        <w:jc w:val="center"/>
        <w:rPr>
          <w:b/>
        </w:rPr>
      </w:pPr>
      <w:r w:rsidRPr="00127E4D">
        <w:rPr>
          <w:b/>
        </w:rPr>
        <w:lastRenderedPageBreak/>
        <w:t>Gráfico</w:t>
      </w:r>
      <w:r w:rsidR="00395D27" w:rsidRPr="00127E4D">
        <w:rPr>
          <w:b/>
        </w:rPr>
        <w:t xml:space="preserve"> 1.</w:t>
      </w:r>
      <w:r w:rsidR="007A502C">
        <w:rPr>
          <w:b/>
        </w:rPr>
        <w:t xml:space="preserve"> </w:t>
      </w:r>
      <w:r w:rsidR="00395D27" w:rsidRPr="00127E4D">
        <w:rPr>
          <w:b/>
        </w:rPr>
        <w:t xml:space="preserve"> </w:t>
      </w:r>
      <w:r w:rsidRPr="00127E4D">
        <w:rPr>
          <w:b/>
        </w:rPr>
        <w:t>Informes, notas y cartas sobre asuntos de gestión de la DCI</w:t>
      </w:r>
    </w:p>
    <w:p w:rsidR="00395D27" w:rsidRPr="00127E4D" w:rsidRDefault="00395D27" w:rsidP="00395D27">
      <w:pPr>
        <w:jc w:val="center"/>
      </w:pPr>
    </w:p>
    <w:p w:rsidR="00395D27" w:rsidRPr="00127E4D" w:rsidRDefault="00AE1B4C" w:rsidP="00395D27">
      <w:pPr>
        <w:jc w:val="center"/>
      </w:pPr>
      <w:r>
        <w:rPr>
          <w:noProof/>
          <w:lang w:val="en-US" w:eastAsia="en-US"/>
        </w:rPr>
        <w:drawing>
          <wp:inline distT="0" distB="0" distL="0" distR="0" wp14:anchorId="4E32AA54" wp14:editId="08BD2D0A">
            <wp:extent cx="5940425" cy="3116819"/>
            <wp:effectExtent l="0" t="0" r="22225" b="2667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95D27" w:rsidRPr="00127E4D" w:rsidRDefault="00395D27" w:rsidP="00395D27">
      <w:pPr>
        <w:jc w:val="center"/>
      </w:pPr>
    </w:p>
    <w:p w:rsidR="00395D27" w:rsidRPr="00127E4D" w:rsidRDefault="00740583" w:rsidP="00395D27">
      <w:pPr>
        <w:jc w:val="center"/>
        <w:rPr>
          <w:b/>
        </w:rPr>
      </w:pPr>
      <w:r w:rsidRPr="00127E4D">
        <w:rPr>
          <w:b/>
        </w:rPr>
        <w:t>Gráfico</w:t>
      </w:r>
      <w:r w:rsidR="00395D27" w:rsidRPr="00127E4D">
        <w:rPr>
          <w:b/>
        </w:rPr>
        <w:t xml:space="preserve"> 2. </w:t>
      </w:r>
      <w:r w:rsidR="007A502C">
        <w:rPr>
          <w:b/>
        </w:rPr>
        <w:t xml:space="preserve"> </w:t>
      </w:r>
      <w:r w:rsidR="00EB6804" w:rsidRPr="00127E4D">
        <w:rPr>
          <w:b/>
        </w:rPr>
        <w:t>Número</w:t>
      </w:r>
      <w:r w:rsidRPr="00127E4D">
        <w:rPr>
          <w:b/>
        </w:rPr>
        <w:t xml:space="preserve"> de recomendaciones de la DCI </w:t>
      </w:r>
      <w:r w:rsidR="00395D27" w:rsidRPr="00127E4D">
        <w:rPr>
          <w:b/>
        </w:rPr>
        <w:t xml:space="preserve">– </w:t>
      </w:r>
      <w:r w:rsidRPr="00127E4D">
        <w:rPr>
          <w:b/>
        </w:rPr>
        <w:t>nuevas, aplicadas, pendientes al final del año</w:t>
      </w:r>
    </w:p>
    <w:p w:rsidR="00395D27" w:rsidRPr="00127E4D" w:rsidRDefault="00395D27" w:rsidP="00395D27">
      <w:pPr>
        <w:jc w:val="center"/>
      </w:pPr>
    </w:p>
    <w:p w:rsidR="00395D27" w:rsidRPr="00127E4D" w:rsidRDefault="00FC75A7" w:rsidP="00395D27">
      <w:pPr>
        <w:jc w:val="center"/>
      </w:pPr>
      <w:r>
        <w:rPr>
          <w:noProof/>
          <w:lang w:val="en-US" w:eastAsia="en-US"/>
        </w:rPr>
        <w:drawing>
          <wp:inline distT="0" distB="0" distL="0" distR="0" wp14:anchorId="3B16D391" wp14:editId="4643B2A4">
            <wp:extent cx="5476875" cy="3505200"/>
            <wp:effectExtent l="0" t="0" r="9525" b="1905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95D27" w:rsidRPr="00127E4D" w:rsidRDefault="00395D27" w:rsidP="00395D27">
      <w:pPr>
        <w:jc w:val="center"/>
      </w:pPr>
    </w:p>
    <w:p w:rsidR="00AE1B4C" w:rsidRDefault="00AE1B4C">
      <w:r>
        <w:br w:type="page"/>
      </w:r>
    </w:p>
    <w:p w:rsidR="00395D27" w:rsidRPr="00127E4D" w:rsidRDefault="00395D27" w:rsidP="00395D27">
      <w:pPr>
        <w:jc w:val="center"/>
      </w:pPr>
    </w:p>
    <w:p w:rsidR="00395D27" w:rsidRPr="00127E4D" w:rsidRDefault="00740583" w:rsidP="00395D27">
      <w:pPr>
        <w:jc w:val="center"/>
        <w:rPr>
          <w:b/>
        </w:rPr>
      </w:pPr>
      <w:r w:rsidRPr="00127E4D">
        <w:rPr>
          <w:b/>
        </w:rPr>
        <w:t>Gráfico</w:t>
      </w:r>
      <w:r w:rsidR="00395D27" w:rsidRPr="00127E4D">
        <w:rPr>
          <w:b/>
        </w:rPr>
        <w:t xml:space="preserve"> 3. </w:t>
      </w:r>
      <w:r w:rsidR="007A502C">
        <w:rPr>
          <w:b/>
        </w:rPr>
        <w:t xml:space="preserve"> </w:t>
      </w:r>
      <w:r w:rsidRPr="00127E4D">
        <w:rPr>
          <w:b/>
        </w:rPr>
        <w:t>Recomendaciones de la DCI 2010-2013 – Situación a final de</w:t>
      </w:r>
      <w:r w:rsidR="00395D27" w:rsidRPr="00127E4D">
        <w:rPr>
          <w:b/>
        </w:rPr>
        <w:t xml:space="preserve"> 2013</w:t>
      </w:r>
    </w:p>
    <w:p w:rsidR="00395D27" w:rsidRPr="00127E4D" w:rsidRDefault="00395D27" w:rsidP="00395D27">
      <w:pPr>
        <w:jc w:val="center"/>
        <w:rPr>
          <w:b/>
        </w:rPr>
      </w:pPr>
    </w:p>
    <w:p w:rsidR="00395D27" w:rsidRPr="00127E4D" w:rsidRDefault="00AE1B4C" w:rsidP="00395D27">
      <w:pPr>
        <w:jc w:val="center"/>
      </w:pPr>
      <w:r>
        <w:rPr>
          <w:noProof/>
          <w:lang w:val="en-US" w:eastAsia="en-US"/>
        </w:rPr>
        <w:drawing>
          <wp:inline distT="0" distB="0" distL="0" distR="0" wp14:anchorId="5B95D27D" wp14:editId="5AD4AF57">
            <wp:extent cx="5592726" cy="3242930"/>
            <wp:effectExtent l="0" t="0" r="27305" b="1524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95D27" w:rsidRPr="00127E4D" w:rsidRDefault="00395D27" w:rsidP="00395D27">
      <w:pPr>
        <w:jc w:val="center"/>
      </w:pPr>
    </w:p>
    <w:p w:rsidR="00395D27" w:rsidRPr="00127E4D" w:rsidRDefault="00395D27" w:rsidP="00395D27">
      <w:pPr>
        <w:jc w:val="center"/>
        <w:rPr>
          <w:b/>
        </w:rPr>
      </w:pPr>
    </w:p>
    <w:p w:rsidR="00395D27" w:rsidRPr="00127E4D" w:rsidRDefault="00395D27" w:rsidP="00395D27">
      <w:pPr>
        <w:jc w:val="center"/>
        <w:rPr>
          <w:b/>
        </w:rPr>
      </w:pPr>
    </w:p>
    <w:p w:rsidR="00395D27" w:rsidRPr="00127E4D" w:rsidRDefault="00395D27" w:rsidP="00395D27">
      <w:pPr>
        <w:jc w:val="center"/>
        <w:rPr>
          <w:b/>
        </w:rPr>
      </w:pPr>
    </w:p>
    <w:p w:rsidR="00395D27" w:rsidRPr="00127E4D" w:rsidRDefault="00740583" w:rsidP="00395D27">
      <w:pPr>
        <w:jc w:val="center"/>
        <w:rPr>
          <w:b/>
        </w:rPr>
      </w:pPr>
      <w:r w:rsidRPr="00127E4D">
        <w:rPr>
          <w:b/>
        </w:rPr>
        <w:t>Gráfico</w:t>
      </w:r>
      <w:r w:rsidR="00395D27" w:rsidRPr="00127E4D">
        <w:rPr>
          <w:b/>
        </w:rPr>
        <w:t xml:space="preserve"> 4.</w:t>
      </w:r>
      <w:r w:rsidR="007A502C">
        <w:rPr>
          <w:b/>
        </w:rPr>
        <w:t xml:space="preserve"> </w:t>
      </w:r>
      <w:r w:rsidR="00395D27" w:rsidRPr="00127E4D">
        <w:rPr>
          <w:b/>
        </w:rPr>
        <w:t xml:space="preserve"> </w:t>
      </w:r>
      <w:r w:rsidRPr="00127E4D">
        <w:rPr>
          <w:b/>
        </w:rPr>
        <w:t xml:space="preserve">Recomendaciones de la DCI </w:t>
      </w:r>
      <w:r w:rsidR="00395D27" w:rsidRPr="00127E4D">
        <w:rPr>
          <w:b/>
        </w:rPr>
        <w:t>2010-2014 –</w:t>
      </w:r>
      <w:r w:rsidRPr="00127E4D">
        <w:rPr>
          <w:b/>
        </w:rPr>
        <w:t xml:space="preserve">Situación a final de </w:t>
      </w:r>
      <w:r w:rsidR="00395D27" w:rsidRPr="00127E4D">
        <w:rPr>
          <w:b/>
        </w:rPr>
        <w:t>2014</w:t>
      </w:r>
    </w:p>
    <w:p w:rsidR="00395D27" w:rsidRPr="00127E4D" w:rsidRDefault="00395D27" w:rsidP="00395D27"/>
    <w:p w:rsidR="00395D27" w:rsidRPr="00127E4D" w:rsidRDefault="00AE1B4C" w:rsidP="00395D27">
      <w:pPr>
        <w:jc w:val="center"/>
      </w:pPr>
      <w:r>
        <w:rPr>
          <w:noProof/>
          <w:lang w:val="en-US" w:eastAsia="en-US"/>
        </w:rPr>
        <w:drawing>
          <wp:inline distT="0" distB="0" distL="0" distR="0" wp14:anchorId="7CD07E9E" wp14:editId="5878E5B5">
            <wp:extent cx="5619749" cy="3092449"/>
            <wp:effectExtent l="0" t="0" r="19685" b="1333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95D27" w:rsidRPr="00127E4D" w:rsidRDefault="00395D27" w:rsidP="00395D27"/>
    <w:p w:rsidR="00395D27" w:rsidRPr="00127E4D" w:rsidRDefault="00395D27" w:rsidP="00395D27"/>
    <w:p w:rsidR="00AE1B4C" w:rsidRDefault="00AE1B4C">
      <w:r>
        <w:br w:type="page"/>
      </w:r>
    </w:p>
    <w:p w:rsidR="00395D27" w:rsidRPr="00127E4D" w:rsidRDefault="00395D27" w:rsidP="00395D27"/>
    <w:p w:rsidR="00395D27" w:rsidRPr="00127E4D" w:rsidRDefault="00740583" w:rsidP="00395D27">
      <w:pPr>
        <w:jc w:val="center"/>
        <w:rPr>
          <w:b/>
        </w:rPr>
      </w:pPr>
      <w:r w:rsidRPr="00127E4D">
        <w:rPr>
          <w:b/>
        </w:rPr>
        <w:t>Gráfico</w:t>
      </w:r>
      <w:r w:rsidR="00395D27" w:rsidRPr="00127E4D">
        <w:rPr>
          <w:b/>
        </w:rPr>
        <w:t xml:space="preserve"> 5. </w:t>
      </w:r>
      <w:r w:rsidR="007A502C">
        <w:rPr>
          <w:b/>
        </w:rPr>
        <w:t xml:space="preserve"> </w:t>
      </w:r>
      <w:r w:rsidR="00EB6804" w:rsidRPr="00127E4D">
        <w:rPr>
          <w:b/>
        </w:rPr>
        <w:t xml:space="preserve">Recomendaciones </w:t>
      </w:r>
      <w:r w:rsidRPr="00127E4D">
        <w:rPr>
          <w:b/>
        </w:rPr>
        <w:t xml:space="preserve">de la DCI dirigidas a los órganos legislativos </w:t>
      </w:r>
      <w:r w:rsidR="00395D27" w:rsidRPr="00127E4D">
        <w:rPr>
          <w:b/>
        </w:rPr>
        <w:t>2010-2014</w:t>
      </w:r>
    </w:p>
    <w:p w:rsidR="00395D27" w:rsidRPr="00127E4D" w:rsidRDefault="00395D27" w:rsidP="00395D27">
      <w:pPr>
        <w:jc w:val="center"/>
        <w:rPr>
          <w:b/>
        </w:rPr>
      </w:pPr>
    </w:p>
    <w:p w:rsidR="00395D27" w:rsidRPr="00127E4D" w:rsidRDefault="00395D27" w:rsidP="00395D27">
      <w:pPr>
        <w:jc w:val="center"/>
        <w:rPr>
          <w:b/>
        </w:rPr>
      </w:pPr>
    </w:p>
    <w:p w:rsidR="00395D27" w:rsidRPr="00127E4D" w:rsidRDefault="00AE1B4C" w:rsidP="00395D27">
      <w:pPr>
        <w:jc w:val="center"/>
      </w:pPr>
      <w:r>
        <w:rPr>
          <w:noProof/>
          <w:lang w:val="en-US" w:eastAsia="en-US"/>
        </w:rPr>
        <w:drawing>
          <wp:inline distT="0" distB="0" distL="0" distR="0" wp14:anchorId="1B0F88B3" wp14:editId="08665518">
            <wp:extent cx="5019675" cy="3052763"/>
            <wp:effectExtent l="0" t="0" r="9525" b="1460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95D27" w:rsidRPr="00127E4D" w:rsidRDefault="00395D27" w:rsidP="00395D27">
      <w:pPr>
        <w:jc w:val="center"/>
      </w:pPr>
    </w:p>
    <w:p w:rsidR="00395D27" w:rsidRPr="00127E4D" w:rsidRDefault="00395D27" w:rsidP="00395D27">
      <w:pPr>
        <w:jc w:val="center"/>
      </w:pPr>
    </w:p>
    <w:p w:rsidR="00395D27" w:rsidRPr="00127E4D" w:rsidRDefault="00395D27" w:rsidP="00395D27">
      <w:pPr>
        <w:jc w:val="center"/>
      </w:pPr>
    </w:p>
    <w:p w:rsidR="00395D27" w:rsidRPr="00127E4D" w:rsidRDefault="00EB6804" w:rsidP="00395D27">
      <w:pPr>
        <w:pStyle w:val="ONUME"/>
      </w:pPr>
      <w:r w:rsidRPr="00127E4D">
        <w:t>La OMPI colabora ampliamente con la DCI a fin de i) efectuar aportaciones a los informes elaborados por la DCI;  ii) examinar los proyectos de informes y recomendaciones y proporcionar comentarios y aportaci</w:t>
      </w:r>
      <w:r w:rsidR="0042139D">
        <w:t>ones al respecto cuando proceda</w:t>
      </w:r>
      <w:r w:rsidRPr="00127E4D">
        <w:t xml:space="preserve"> y iii)  aplicar las recomendaciones según resulte apropiado.</w:t>
      </w:r>
    </w:p>
    <w:p w:rsidR="008913B2" w:rsidRPr="00127E4D" w:rsidRDefault="008913B2" w:rsidP="008913B2">
      <w:pPr>
        <w:pStyle w:val="ONUME"/>
      </w:pPr>
      <w:r w:rsidRPr="00127E4D">
        <w:t xml:space="preserve">En el Anexo del presente documento figuran </w:t>
      </w:r>
      <w:r w:rsidR="003424EC">
        <w:t>varias</w:t>
      </w:r>
      <w:r w:rsidRPr="00127E4D">
        <w:t xml:space="preserve"> recomendaciones dirigidas a los órganos legislativos de las organizaciones del sistema de las Naciones Unidas</w:t>
      </w:r>
      <w:r w:rsidR="00395D27" w:rsidRPr="00127E4D">
        <w:t xml:space="preserve">, </w:t>
      </w:r>
      <w:r w:rsidRPr="00127E4D">
        <w:t xml:space="preserve">cuando esas recomendaciones estén señaladas </w:t>
      </w:r>
      <w:r w:rsidR="003C14C8" w:rsidRPr="00127E4D">
        <w:t>a fin de que la OMPI adopte medidas al respecto.  El estado actual de aceptación/aplicación de las recomendaciones refleja las propuestas y evaluaciones de la Secretaría, en la medida en que haya sido posible proporcionarlas, a fin de que sean consideradas por los Estados miembros.</w:t>
      </w:r>
    </w:p>
    <w:p w:rsidR="0006322B" w:rsidRPr="00127E4D" w:rsidRDefault="0006322B" w:rsidP="00395D27">
      <w:pPr>
        <w:pStyle w:val="ONUME"/>
      </w:pPr>
      <w:r w:rsidRPr="00127E4D">
        <w:t>En el Anexo se exponen las recomendaciones pendientes en el momento de redactar el presente informe así como las que han sido aplicadas desde que se publicara el último informe sobre la aplicación de las recomendaciones de la DCI (documento WO/PBC/22/23).  Se subraya el hecho de que en el cuadro adjunto figuran únicamente las novedades más recientes en relación con las recomendaciones.  En el cuadro actualizado han dejado de figurar las recomendaciones que se consideraron “aplicadas” o “no pertinentes” en el informe anterior.</w:t>
      </w:r>
    </w:p>
    <w:p w:rsidR="00395D27" w:rsidRPr="00127E4D" w:rsidRDefault="00BE6BA9" w:rsidP="00395D27">
      <w:pPr>
        <w:pStyle w:val="ONUME"/>
      </w:pPr>
      <w:r w:rsidRPr="00127E4D">
        <w:t xml:space="preserve">A fin de facilitar la evaluación de los avances realizados en </w:t>
      </w:r>
      <w:r w:rsidR="003424EC">
        <w:t xml:space="preserve">el examen </w:t>
      </w:r>
      <w:r w:rsidRPr="00127E4D">
        <w:t>o aplicación de las recomendaciones, se han proporcionado notas respecto de cada recomendación para subrayar si se trata de recomendaciones nuevas o actualizadas o sin cambios en relación con el informe anterior.</w:t>
      </w:r>
    </w:p>
    <w:p w:rsidR="00395D27" w:rsidRPr="00127E4D" w:rsidRDefault="0006322B" w:rsidP="0006322B">
      <w:pPr>
        <w:pStyle w:val="ONUME"/>
      </w:pPr>
      <w:r w:rsidRPr="00127E4D">
        <w:t xml:space="preserve">En el último informe eran 12 las recomendaciones dirigidas a los órganos legislativos de la OMPI que fueron consideradas como finalizadas o no pertinentes, razón por la cual no figuran en el presente informe.  Se han incorporado al informe siete nuevas recomendaciones, lo que eleva a un total de 20 las recomendaciones </w:t>
      </w:r>
      <w:r w:rsidR="003424EC">
        <w:t xml:space="preserve">que figuran </w:t>
      </w:r>
      <w:r w:rsidRPr="00127E4D">
        <w:t xml:space="preserve">en el Anexo, de las cuales </w:t>
      </w:r>
    </w:p>
    <w:p w:rsidR="00395D27" w:rsidRPr="00127E4D" w:rsidRDefault="0006322B" w:rsidP="00395D27">
      <w:pPr>
        <w:pStyle w:val="ONUME"/>
        <w:numPr>
          <w:ilvl w:val="1"/>
          <w:numId w:val="5"/>
        </w:numPr>
      </w:pPr>
      <w:r w:rsidRPr="00127E4D">
        <w:t>Once han sido aceptadas y aplicadas</w:t>
      </w:r>
      <w:r w:rsidR="00395D27" w:rsidRPr="00127E4D">
        <w:t>;</w:t>
      </w:r>
    </w:p>
    <w:p w:rsidR="00395D27" w:rsidRPr="00127E4D" w:rsidRDefault="004D3565" w:rsidP="00395D27">
      <w:pPr>
        <w:pStyle w:val="ONUME"/>
        <w:numPr>
          <w:ilvl w:val="1"/>
          <w:numId w:val="5"/>
        </w:numPr>
      </w:pPr>
      <w:r w:rsidRPr="00127E4D">
        <w:lastRenderedPageBreak/>
        <w:t>Una ha sido aceptada y se halla en curso de aplicación</w:t>
      </w:r>
      <w:r w:rsidR="00395D27" w:rsidRPr="00127E4D">
        <w:t>;</w:t>
      </w:r>
    </w:p>
    <w:p w:rsidR="00395D27" w:rsidRPr="00127E4D" w:rsidRDefault="004D3565" w:rsidP="00395D27">
      <w:pPr>
        <w:pStyle w:val="ONUME"/>
        <w:numPr>
          <w:ilvl w:val="1"/>
          <w:numId w:val="5"/>
        </w:numPr>
      </w:pPr>
      <w:r w:rsidRPr="00127E4D">
        <w:t xml:space="preserve">Ocho siguen siendo objeto de </w:t>
      </w:r>
      <w:r w:rsidR="00BD1949">
        <w:t>examen.</w:t>
      </w:r>
    </w:p>
    <w:p w:rsidR="00395D27" w:rsidRPr="00127E4D" w:rsidRDefault="0006322B" w:rsidP="00395D27">
      <w:pPr>
        <w:pStyle w:val="ONUME"/>
      </w:pPr>
      <w:r w:rsidRPr="00127E4D">
        <w:t>Se propone el siguiente párrafo de decisión</w:t>
      </w:r>
      <w:r w:rsidR="00395D27" w:rsidRPr="00127E4D">
        <w:t>.</w:t>
      </w:r>
    </w:p>
    <w:p w:rsidR="0006322B" w:rsidRPr="00127E4D" w:rsidRDefault="0006322B" w:rsidP="0006322B">
      <w:pPr>
        <w:pStyle w:val="ONUME"/>
        <w:ind w:left="5103"/>
        <w:rPr>
          <w:i/>
        </w:rPr>
      </w:pPr>
      <w:r w:rsidRPr="00127E4D">
        <w:rPr>
          <w:i/>
          <w:color w:val="000000"/>
        </w:rPr>
        <w:t>El Comité del Programa y Presupuesto (PBC):</w:t>
      </w:r>
    </w:p>
    <w:p w:rsidR="00395D27" w:rsidRPr="00127E4D" w:rsidRDefault="00395D27" w:rsidP="0006322B">
      <w:pPr>
        <w:pStyle w:val="ONUME"/>
        <w:numPr>
          <w:ilvl w:val="0"/>
          <w:numId w:val="0"/>
        </w:numPr>
        <w:ind w:left="5534"/>
        <w:rPr>
          <w:i/>
        </w:rPr>
      </w:pPr>
      <w:r w:rsidRPr="00127E4D">
        <w:rPr>
          <w:i/>
        </w:rPr>
        <w:t xml:space="preserve">i) </w:t>
      </w:r>
      <w:r w:rsidR="00BE6BA9" w:rsidRPr="00127E4D">
        <w:rPr>
          <w:i/>
        </w:rPr>
        <w:t>tomó nota del presente informe</w:t>
      </w:r>
      <w:r w:rsidRPr="00127E4D">
        <w:rPr>
          <w:i/>
        </w:rPr>
        <w:t>;</w:t>
      </w:r>
    </w:p>
    <w:p w:rsidR="00395D27" w:rsidRPr="00127E4D" w:rsidRDefault="00395D27" w:rsidP="00BE6BA9">
      <w:pPr>
        <w:pStyle w:val="ONUME"/>
        <w:numPr>
          <w:ilvl w:val="0"/>
          <w:numId w:val="0"/>
        </w:numPr>
        <w:ind w:left="5534"/>
        <w:rPr>
          <w:i/>
        </w:rPr>
      </w:pPr>
      <w:r w:rsidRPr="00127E4D">
        <w:rPr>
          <w:i/>
        </w:rPr>
        <w:t xml:space="preserve">ii) </w:t>
      </w:r>
      <w:r w:rsidR="00BE6BA9" w:rsidRPr="00127E4D">
        <w:rPr>
          <w:i/>
        </w:rPr>
        <w:t xml:space="preserve">acogió con agrado y suscribió la aplicación de las recomendaciones contenidas en el </w:t>
      </w:r>
      <w:r w:rsidR="0059519A" w:rsidRPr="00127E4D">
        <w:rPr>
          <w:i/>
        </w:rPr>
        <w:t xml:space="preserve">documento </w:t>
      </w:r>
      <w:r w:rsidRPr="00127E4D">
        <w:rPr>
          <w:i/>
        </w:rPr>
        <w:t>JIU/REP/2014/8 (</w:t>
      </w:r>
      <w:r w:rsidR="00BE6BA9" w:rsidRPr="00127E4D">
        <w:rPr>
          <w:i/>
        </w:rPr>
        <w:t xml:space="preserve">Recomendación </w:t>
      </w:r>
      <w:r w:rsidRPr="00127E4D">
        <w:rPr>
          <w:i/>
        </w:rPr>
        <w:t>2); JIU/REP/2014/6 (</w:t>
      </w:r>
      <w:r w:rsidR="00BE6BA9" w:rsidRPr="00127E4D">
        <w:rPr>
          <w:i/>
        </w:rPr>
        <w:t>Recomendación</w:t>
      </w:r>
      <w:r w:rsidRPr="00127E4D">
        <w:rPr>
          <w:i/>
        </w:rPr>
        <w:t xml:space="preserve"> 3 </w:t>
      </w:r>
      <w:r w:rsidR="00BE6BA9" w:rsidRPr="00127E4D">
        <w:rPr>
          <w:i/>
        </w:rPr>
        <w:t>y</w:t>
      </w:r>
      <w:r w:rsidRPr="00127E4D">
        <w:rPr>
          <w:i/>
        </w:rPr>
        <w:t xml:space="preserve"> 4); JIU/REP/2014/3 (</w:t>
      </w:r>
      <w:r w:rsidR="00BE6BA9" w:rsidRPr="00127E4D">
        <w:rPr>
          <w:i/>
        </w:rPr>
        <w:t>Recomendación</w:t>
      </w:r>
      <w:r w:rsidRPr="00127E4D">
        <w:rPr>
          <w:i/>
        </w:rPr>
        <w:t xml:space="preserve"> 2); JIU/REP/2014/1 (</w:t>
      </w:r>
      <w:r w:rsidR="00BE6BA9" w:rsidRPr="00127E4D">
        <w:rPr>
          <w:i/>
        </w:rPr>
        <w:t>Recomendación</w:t>
      </w:r>
      <w:r w:rsidRPr="00127E4D">
        <w:rPr>
          <w:i/>
        </w:rPr>
        <w:t xml:space="preserve"> 1 </w:t>
      </w:r>
      <w:r w:rsidR="00BE6BA9" w:rsidRPr="00127E4D">
        <w:rPr>
          <w:i/>
        </w:rPr>
        <w:t>y</w:t>
      </w:r>
      <w:r w:rsidRPr="00127E4D">
        <w:rPr>
          <w:i/>
        </w:rPr>
        <w:t xml:space="preserve"> 2); JIU/REP/2012/10 (</w:t>
      </w:r>
      <w:r w:rsidR="00BE6BA9" w:rsidRPr="00127E4D">
        <w:rPr>
          <w:i/>
        </w:rPr>
        <w:t>Recomendación</w:t>
      </w:r>
      <w:r w:rsidRPr="00127E4D">
        <w:rPr>
          <w:i/>
        </w:rPr>
        <w:t xml:space="preserve"> 8); JIU/REP/2011/4 (</w:t>
      </w:r>
      <w:r w:rsidR="00BE6BA9" w:rsidRPr="00127E4D">
        <w:rPr>
          <w:i/>
        </w:rPr>
        <w:t>Recomendación</w:t>
      </w:r>
      <w:r w:rsidRPr="00127E4D">
        <w:rPr>
          <w:i/>
        </w:rPr>
        <w:t xml:space="preserve"> 12); JIU/REP/2011/1 (</w:t>
      </w:r>
      <w:r w:rsidR="00BE6BA9" w:rsidRPr="00127E4D">
        <w:rPr>
          <w:i/>
        </w:rPr>
        <w:t>Recomendación</w:t>
      </w:r>
      <w:r w:rsidRPr="00127E4D">
        <w:rPr>
          <w:i/>
        </w:rPr>
        <w:t xml:space="preserve"> 2); JIU/REP/2010/3 (</w:t>
      </w:r>
      <w:r w:rsidR="00BE6BA9" w:rsidRPr="00127E4D">
        <w:rPr>
          <w:i/>
        </w:rPr>
        <w:t>Recomendación</w:t>
      </w:r>
      <w:r w:rsidRPr="00127E4D">
        <w:rPr>
          <w:i/>
        </w:rPr>
        <w:t xml:space="preserve"> 6 </w:t>
      </w:r>
      <w:r w:rsidR="00BE6BA9" w:rsidRPr="00127E4D">
        <w:rPr>
          <w:i/>
        </w:rPr>
        <w:t>y</w:t>
      </w:r>
      <w:r w:rsidRPr="00127E4D">
        <w:rPr>
          <w:i/>
        </w:rPr>
        <w:t xml:space="preserve"> 8) </w:t>
      </w:r>
      <w:r w:rsidR="00BE6BA9" w:rsidRPr="00127E4D">
        <w:rPr>
          <w:i/>
        </w:rPr>
        <w:t xml:space="preserve">según se expone en el presente informe;  y </w:t>
      </w:r>
    </w:p>
    <w:p w:rsidR="00395D27" w:rsidRPr="00127E4D" w:rsidRDefault="00395D27" w:rsidP="00BE6BA9">
      <w:pPr>
        <w:pStyle w:val="ONUME"/>
        <w:numPr>
          <w:ilvl w:val="0"/>
          <w:numId w:val="0"/>
        </w:numPr>
        <w:ind w:left="5534"/>
        <w:rPr>
          <w:i/>
        </w:rPr>
      </w:pPr>
      <w:r w:rsidRPr="00127E4D">
        <w:rPr>
          <w:i/>
        </w:rPr>
        <w:t xml:space="preserve">iii) </w:t>
      </w:r>
      <w:r w:rsidR="00BE6BA9" w:rsidRPr="00127E4D">
        <w:rPr>
          <w:i/>
        </w:rPr>
        <w:t xml:space="preserve">tomó nota de las recomendaciones de la Dependencia Común de Inspección (DCI) pendientes de aplicación </w:t>
      </w:r>
      <w:r w:rsidR="00315FB2" w:rsidRPr="00127E4D">
        <w:rPr>
          <w:i/>
        </w:rPr>
        <w:t>sometidas a consideración de</w:t>
      </w:r>
      <w:r w:rsidR="00BE6BA9" w:rsidRPr="00127E4D">
        <w:rPr>
          <w:i/>
        </w:rPr>
        <w:t xml:space="preserve"> los Estados miembros respecto de las que la Secretaría  proporcionará información actualizada según proceda en la 25ª sesión del PBC</w:t>
      </w:r>
      <w:r w:rsidRPr="00127E4D">
        <w:rPr>
          <w:i/>
        </w:rPr>
        <w:t>.</w:t>
      </w:r>
    </w:p>
    <w:p w:rsidR="00395D27" w:rsidRPr="00127E4D" w:rsidRDefault="00395D27" w:rsidP="00395D27">
      <w:pPr>
        <w:keepNext/>
        <w:keepLines/>
        <w:ind w:left="5103"/>
        <w:rPr>
          <w:i/>
        </w:rPr>
      </w:pPr>
    </w:p>
    <w:p w:rsidR="00395D27" w:rsidRPr="00127E4D" w:rsidRDefault="00395D27" w:rsidP="00395D27">
      <w:pPr>
        <w:keepNext/>
        <w:keepLines/>
        <w:ind w:left="5103"/>
        <w:rPr>
          <w:i/>
        </w:rPr>
      </w:pPr>
    </w:p>
    <w:p w:rsidR="00395D27" w:rsidRPr="00127E4D" w:rsidRDefault="00395D27" w:rsidP="00395D27">
      <w:pPr>
        <w:keepNext/>
        <w:keepLines/>
        <w:ind w:left="5103"/>
        <w:rPr>
          <w:i/>
        </w:rPr>
      </w:pPr>
    </w:p>
    <w:p w:rsidR="00395D27" w:rsidRPr="00127E4D" w:rsidRDefault="00395D27" w:rsidP="00395D27">
      <w:pPr>
        <w:pStyle w:val="Endofdocument-Annex"/>
        <w:rPr>
          <w:lang w:val="es-ES"/>
        </w:rPr>
        <w:sectPr w:rsidR="00395D27" w:rsidRPr="00127E4D" w:rsidSect="00ED308B">
          <w:headerReference w:type="default" r:id="rId15"/>
          <w:endnotePr>
            <w:numFmt w:val="decimal"/>
          </w:endnotePr>
          <w:pgSz w:w="11907" w:h="16840" w:code="9"/>
          <w:pgMar w:top="567" w:right="1134" w:bottom="1418" w:left="1418" w:header="567" w:footer="1021" w:gutter="0"/>
          <w:pgNumType w:start="1"/>
          <w:cols w:space="720"/>
          <w:titlePg/>
          <w:docGrid w:linePitch="299"/>
        </w:sectPr>
      </w:pPr>
      <w:r w:rsidRPr="00127E4D">
        <w:rPr>
          <w:lang w:val="es-ES"/>
        </w:rPr>
        <w:t>[</w:t>
      </w:r>
      <w:r w:rsidR="0006322B" w:rsidRPr="00127E4D">
        <w:rPr>
          <w:lang w:val="es-ES"/>
        </w:rPr>
        <w:t>Sigue el Anexo</w:t>
      </w:r>
      <w:r w:rsidRPr="00127E4D">
        <w:rPr>
          <w:lang w:val="es-ES"/>
        </w:rPr>
        <w:t>]</w:t>
      </w:r>
    </w:p>
    <w:p w:rsidR="0006322B" w:rsidRPr="00127E4D" w:rsidRDefault="0006322B" w:rsidP="0006322B">
      <w:pPr>
        <w:tabs>
          <w:tab w:val="left" w:pos="6820"/>
        </w:tabs>
        <w:rPr>
          <w:b/>
        </w:rPr>
      </w:pPr>
      <w:r w:rsidRPr="00127E4D">
        <w:rPr>
          <w:b/>
        </w:rPr>
        <w:lastRenderedPageBreak/>
        <w:t>RECOMENDACIONES DE LA DCI DIRIGIDAS A LOS ÓRGANOS LEGISLATIVOS DE LA OMPI</w:t>
      </w:r>
    </w:p>
    <w:p w:rsidR="00395D27" w:rsidRPr="00127E4D" w:rsidRDefault="00395D27" w:rsidP="0006322B">
      <w:pPr>
        <w:tabs>
          <w:tab w:val="left" w:pos="6820"/>
        </w:tabs>
        <w:rPr>
          <w:b/>
        </w:rPr>
      </w:pPr>
    </w:p>
    <w:p w:rsidR="00395D27" w:rsidRPr="00127E4D" w:rsidRDefault="00395D27" w:rsidP="00395D27"/>
    <w:p w:rsidR="00395D27" w:rsidRPr="00127E4D" w:rsidRDefault="00395D27" w:rsidP="00D3169D">
      <w:pPr>
        <w:ind w:left="567" w:hanging="567"/>
      </w:pPr>
      <w:r w:rsidRPr="00127E4D">
        <w:t>I.</w:t>
      </w:r>
      <w:r w:rsidRPr="00127E4D">
        <w:tab/>
      </w:r>
      <w:r w:rsidR="00D31C04" w:rsidRPr="00127E4D">
        <w:t>RECOMENDACIONES PROCEDENTES DE LOS EXÁMENES DE LA DCI EFECTUADOS EN 2014</w:t>
      </w:r>
    </w:p>
    <w:p w:rsidR="00395D27" w:rsidRPr="00127E4D" w:rsidRDefault="00395D27" w:rsidP="00395D27">
      <w:pPr>
        <w:rPr>
          <w:b/>
        </w:rPr>
      </w:pPr>
    </w:p>
    <w:p w:rsidR="00395D27" w:rsidRPr="00127E4D" w:rsidRDefault="00395D27" w:rsidP="00395D27">
      <w:pPr>
        <w:rPr>
          <w:b/>
        </w:rPr>
      </w:pPr>
    </w:p>
    <w:p w:rsidR="00395D27" w:rsidRPr="00127E4D" w:rsidRDefault="00395D27" w:rsidP="00395D27">
      <w:pPr>
        <w:pStyle w:val="ListParagraph"/>
        <w:numPr>
          <w:ilvl w:val="0"/>
          <w:numId w:val="11"/>
        </w:numPr>
      </w:pPr>
      <w:r w:rsidRPr="00127E4D">
        <w:t>JIU/REP/2014/9 “</w:t>
      </w:r>
      <w:r w:rsidR="000E1077" w:rsidRPr="00127E4D">
        <w:t>Gestión y administración de los contratos en el sistema de las Naciones Unidas</w:t>
      </w:r>
      <w:r w:rsidRPr="00127E4D">
        <w:t>”</w:t>
      </w:r>
    </w:p>
    <w:p w:rsidR="00395D27" w:rsidRPr="00127E4D" w:rsidRDefault="00395D27" w:rsidP="00395D27"/>
    <w:p w:rsidR="00A766D9" w:rsidRPr="00127E4D" w:rsidRDefault="00A766D9" w:rsidP="00395D27">
      <w:r w:rsidRPr="00127E4D">
        <w:t>La DCI emitió este informe el 26 de marzo de</w:t>
      </w:r>
      <w:r w:rsidR="00395D27" w:rsidRPr="00127E4D">
        <w:t xml:space="preserve"> 2015.  </w:t>
      </w:r>
      <w:r w:rsidRPr="00127E4D">
        <w:t>Por lo tanto, todas las recomendaciones son nuevas en el contexto del informe sobre los avances que se presenta a los Estados miembros.</w:t>
      </w:r>
    </w:p>
    <w:p w:rsidR="00395D27" w:rsidRPr="00127E4D" w:rsidRDefault="00395D27" w:rsidP="00395D27">
      <w:pPr>
        <w:rPr>
          <w:b/>
        </w:rPr>
      </w:pPr>
    </w:p>
    <w:p w:rsidR="00395D27" w:rsidRPr="00127E4D" w:rsidRDefault="00395D27" w:rsidP="00395D27">
      <w:pPr>
        <w:rPr>
          <w:b/>
        </w:rPr>
      </w:pPr>
    </w:p>
    <w:tbl>
      <w:tblPr>
        <w:tblStyle w:val="TableGrid"/>
        <w:tblW w:w="9781" w:type="dxa"/>
        <w:tblInd w:w="-34" w:type="dxa"/>
        <w:tblLayout w:type="fixed"/>
        <w:tblLook w:val="04A0" w:firstRow="1" w:lastRow="0" w:firstColumn="1" w:lastColumn="0" w:noHBand="0" w:noVBand="1"/>
      </w:tblPr>
      <w:tblGrid>
        <w:gridCol w:w="2694"/>
        <w:gridCol w:w="1559"/>
        <w:gridCol w:w="1418"/>
        <w:gridCol w:w="1417"/>
        <w:gridCol w:w="2693"/>
      </w:tblGrid>
      <w:tr w:rsidR="00395D27" w:rsidRPr="00127E4D" w:rsidTr="00ED308B">
        <w:trPr>
          <w:tblHeader/>
        </w:trPr>
        <w:tc>
          <w:tcPr>
            <w:tcW w:w="2694" w:type="dxa"/>
            <w:vMerge w:val="restart"/>
            <w:shd w:val="clear" w:color="auto" w:fill="DAEEF3" w:themeFill="accent5" w:themeFillTint="33"/>
            <w:tcMar>
              <w:top w:w="85" w:type="dxa"/>
            </w:tcMar>
            <w:vAlign w:val="center"/>
          </w:tcPr>
          <w:p w:rsidR="00395D27" w:rsidRPr="00127E4D" w:rsidRDefault="007E2EF3" w:rsidP="00ED308B">
            <w:pPr>
              <w:jc w:val="center"/>
              <w:rPr>
                <w:b/>
                <w:sz w:val="18"/>
                <w:szCs w:val="18"/>
              </w:rPr>
            </w:pPr>
            <w:r w:rsidRPr="00127E4D">
              <w:rPr>
                <w:b/>
                <w:sz w:val="18"/>
                <w:szCs w:val="18"/>
              </w:rPr>
              <w:t>Recomendaciones</w:t>
            </w:r>
          </w:p>
        </w:tc>
        <w:tc>
          <w:tcPr>
            <w:tcW w:w="1559" w:type="dxa"/>
            <w:vMerge w:val="restart"/>
            <w:shd w:val="clear" w:color="auto" w:fill="DAEEF3" w:themeFill="accent5" w:themeFillTint="33"/>
            <w:tcMar>
              <w:top w:w="85" w:type="dxa"/>
            </w:tcMar>
            <w:vAlign w:val="center"/>
          </w:tcPr>
          <w:p w:rsidR="00395D27" w:rsidRPr="00127E4D" w:rsidRDefault="000E1077" w:rsidP="00ED308B">
            <w:pPr>
              <w:jc w:val="center"/>
              <w:rPr>
                <w:b/>
                <w:sz w:val="18"/>
                <w:szCs w:val="18"/>
              </w:rPr>
            </w:pPr>
            <w:r w:rsidRPr="00127E4D">
              <w:rPr>
                <w:b/>
                <w:sz w:val="18"/>
                <w:szCs w:val="18"/>
              </w:rPr>
              <w:t>Funcionario encargado</w:t>
            </w:r>
          </w:p>
        </w:tc>
        <w:tc>
          <w:tcPr>
            <w:tcW w:w="2835" w:type="dxa"/>
            <w:gridSpan w:val="2"/>
            <w:tcBorders>
              <w:bottom w:val="single" w:sz="4" w:space="0" w:color="auto"/>
            </w:tcBorders>
            <w:shd w:val="clear" w:color="auto" w:fill="DAEEF3" w:themeFill="accent5" w:themeFillTint="33"/>
            <w:tcMar>
              <w:top w:w="85" w:type="dxa"/>
            </w:tcMar>
            <w:vAlign w:val="center"/>
          </w:tcPr>
          <w:p w:rsidR="00395D27" w:rsidRPr="00127E4D" w:rsidRDefault="000E1077" w:rsidP="00ED308B">
            <w:pPr>
              <w:jc w:val="center"/>
              <w:rPr>
                <w:b/>
                <w:sz w:val="18"/>
                <w:szCs w:val="18"/>
              </w:rPr>
            </w:pPr>
            <w:r w:rsidRPr="00127E4D">
              <w:rPr>
                <w:b/>
                <w:sz w:val="18"/>
                <w:szCs w:val="18"/>
              </w:rPr>
              <w:t>Estado de aceptación</w:t>
            </w:r>
          </w:p>
        </w:tc>
        <w:tc>
          <w:tcPr>
            <w:tcW w:w="2693" w:type="dxa"/>
            <w:vMerge w:val="restart"/>
            <w:shd w:val="clear" w:color="auto" w:fill="DAEEF3" w:themeFill="accent5" w:themeFillTint="33"/>
            <w:tcMar>
              <w:top w:w="85" w:type="dxa"/>
            </w:tcMar>
            <w:vAlign w:val="center"/>
          </w:tcPr>
          <w:p w:rsidR="00395D27" w:rsidRPr="00127E4D" w:rsidRDefault="00D971F8" w:rsidP="00ED308B">
            <w:pPr>
              <w:spacing w:after="200"/>
              <w:jc w:val="center"/>
              <w:rPr>
                <w:b/>
                <w:sz w:val="18"/>
                <w:szCs w:val="18"/>
              </w:rPr>
            </w:pPr>
            <w:r w:rsidRPr="00127E4D">
              <w:rPr>
                <w:b/>
                <w:sz w:val="18"/>
                <w:szCs w:val="18"/>
              </w:rPr>
              <w:t>Evaluación Equipo directivo/Coordinador</w:t>
            </w:r>
          </w:p>
        </w:tc>
      </w:tr>
      <w:tr w:rsidR="00395D27" w:rsidRPr="00127E4D" w:rsidTr="00ED308B">
        <w:trPr>
          <w:tblHeader/>
        </w:trPr>
        <w:tc>
          <w:tcPr>
            <w:tcW w:w="2694" w:type="dxa"/>
            <w:vMerge/>
            <w:tcMar>
              <w:top w:w="85" w:type="dxa"/>
            </w:tcMar>
          </w:tcPr>
          <w:p w:rsidR="00395D27" w:rsidRPr="00127E4D" w:rsidRDefault="00395D27" w:rsidP="00ED308B">
            <w:pPr>
              <w:rPr>
                <w:sz w:val="18"/>
                <w:szCs w:val="18"/>
              </w:rPr>
            </w:pPr>
          </w:p>
        </w:tc>
        <w:tc>
          <w:tcPr>
            <w:tcW w:w="1559" w:type="dxa"/>
            <w:vMerge/>
            <w:shd w:val="clear" w:color="auto" w:fill="DAEEF3" w:themeFill="accent5" w:themeFillTint="33"/>
            <w:tcMar>
              <w:top w:w="85" w:type="dxa"/>
            </w:tcMar>
          </w:tcPr>
          <w:p w:rsidR="00395D27" w:rsidRPr="00127E4D" w:rsidRDefault="00395D27" w:rsidP="00ED308B">
            <w:pPr>
              <w:rPr>
                <w:b/>
                <w:sz w:val="18"/>
                <w:szCs w:val="18"/>
              </w:rPr>
            </w:pPr>
          </w:p>
        </w:tc>
        <w:tc>
          <w:tcPr>
            <w:tcW w:w="1418" w:type="dxa"/>
            <w:shd w:val="clear" w:color="auto" w:fill="DAEEF3" w:themeFill="accent5" w:themeFillTint="33"/>
            <w:tcMar>
              <w:top w:w="85" w:type="dxa"/>
            </w:tcMar>
            <w:vAlign w:val="center"/>
          </w:tcPr>
          <w:p w:rsidR="00395D27" w:rsidRPr="00127E4D" w:rsidRDefault="000E1077" w:rsidP="00ED308B">
            <w:pPr>
              <w:jc w:val="center"/>
              <w:rPr>
                <w:sz w:val="18"/>
                <w:szCs w:val="18"/>
              </w:rPr>
            </w:pPr>
            <w:r w:rsidRPr="00127E4D">
              <w:rPr>
                <w:b/>
                <w:sz w:val="16"/>
                <w:szCs w:val="18"/>
              </w:rPr>
              <w:t>Aceptación</w:t>
            </w:r>
          </w:p>
        </w:tc>
        <w:tc>
          <w:tcPr>
            <w:tcW w:w="1417" w:type="dxa"/>
            <w:shd w:val="clear" w:color="auto" w:fill="DAEEF3" w:themeFill="accent5" w:themeFillTint="33"/>
            <w:tcMar>
              <w:top w:w="85" w:type="dxa"/>
            </w:tcMar>
            <w:vAlign w:val="center"/>
          </w:tcPr>
          <w:p w:rsidR="00395D27" w:rsidRPr="00127E4D" w:rsidRDefault="000E1077" w:rsidP="00ED308B">
            <w:pPr>
              <w:jc w:val="center"/>
              <w:rPr>
                <w:sz w:val="18"/>
                <w:szCs w:val="18"/>
              </w:rPr>
            </w:pPr>
            <w:r w:rsidRPr="00127E4D">
              <w:rPr>
                <w:b/>
                <w:sz w:val="16"/>
                <w:szCs w:val="18"/>
              </w:rPr>
              <w:t>Aplicación</w:t>
            </w:r>
          </w:p>
        </w:tc>
        <w:tc>
          <w:tcPr>
            <w:tcW w:w="2693" w:type="dxa"/>
            <w:vMerge/>
            <w:shd w:val="clear" w:color="auto" w:fill="DAEEF3" w:themeFill="accent5" w:themeFillTint="33"/>
            <w:tcMar>
              <w:top w:w="85" w:type="dxa"/>
            </w:tcMar>
          </w:tcPr>
          <w:p w:rsidR="00395D27" w:rsidRPr="00127E4D" w:rsidRDefault="00395D27" w:rsidP="00ED308B">
            <w:pPr>
              <w:spacing w:after="200"/>
              <w:rPr>
                <w:b/>
                <w:sz w:val="16"/>
                <w:szCs w:val="18"/>
              </w:rPr>
            </w:pPr>
          </w:p>
        </w:tc>
      </w:tr>
      <w:tr w:rsidR="00395D27" w:rsidRPr="00127E4D" w:rsidTr="00ED308B">
        <w:tc>
          <w:tcPr>
            <w:tcW w:w="2694" w:type="dxa"/>
            <w:tcMar>
              <w:top w:w="85" w:type="dxa"/>
              <w:bottom w:w="85" w:type="dxa"/>
            </w:tcMar>
            <w:vAlign w:val="center"/>
          </w:tcPr>
          <w:p w:rsidR="006F1A90" w:rsidRPr="00127E4D" w:rsidRDefault="00395D27" w:rsidP="006F1A90">
            <w:pPr>
              <w:pStyle w:val="Default"/>
              <w:rPr>
                <w:rFonts w:ascii="Arial" w:hAnsi="Arial" w:cs="Arial"/>
                <w:bCs/>
                <w:sz w:val="18"/>
                <w:szCs w:val="18"/>
                <w:lang w:val="es-ES"/>
              </w:rPr>
            </w:pPr>
            <w:r w:rsidRPr="00127E4D">
              <w:rPr>
                <w:bCs/>
                <w:noProof/>
                <w:sz w:val="18"/>
                <w:szCs w:val="18"/>
              </w:rPr>
              <w:drawing>
                <wp:anchor distT="0" distB="0" distL="114300" distR="114300" simplePos="0" relativeHeight="251660288" behindDoc="1" locked="0" layoutInCell="1" allowOverlap="1" wp14:anchorId="74FBF864" wp14:editId="01750A92">
                  <wp:simplePos x="0" y="0"/>
                  <wp:positionH relativeFrom="column">
                    <wp:posOffset>-258445</wp:posOffset>
                  </wp:positionH>
                  <wp:positionV relativeFrom="paragraph">
                    <wp:posOffset>-13970</wp:posOffset>
                  </wp:positionV>
                  <wp:extent cx="228600" cy="228600"/>
                  <wp:effectExtent l="0" t="0" r="0" b="0"/>
                  <wp:wrapTight wrapText="bothSides">
                    <wp:wrapPolygon edited="0">
                      <wp:start x="3600" y="0"/>
                      <wp:lineTo x="0" y="5400"/>
                      <wp:lineTo x="0" y="14400"/>
                      <wp:lineTo x="3600" y="19800"/>
                      <wp:lineTo x="16200" y="19800"/>
                      <wp:lineTo x="19800" y="14400"/>
                      <wp:lineTo x="19800" y="5400"/>
                      <wp:lineTo x="16200" y="0"/>
                      <wp:lineTo x="3600" y="0"/>
                    </wp:wrapPolygon>
                  </wp:wrapTight>
                  <wp:docPr id="13" name="Picture 13"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7E4D">
              <w:rPr>
                <w:rFonts w:ascii="Arial" w:hAnsi="Arial" w:cs="Arial"/>
                <w:bCs/>
                <w:sz w:val="18"/>
                <w:szCs w:val="18"/>
                <w:lang w:val="es-ES"/>
              </w:rPr>
              <w:t xml:space="preserve">Rec. 1  </w:t>
            </w:r>
            <w:r w:rsidR="006F1A90" w:rsidRPr="00127E4D">
              <w:rPr>
                <w:rFonts w:ascii="Arial" w:hAnsi="Arial" w:cs="Arial"/>
                <w:bCs/>
                <w:sz w:val="18"/>
                <w:szCs w:val="18"/>
                <w:lang w:val="es-ES"/>
              </w:rPr>
              <w:t>Los órganos legislativos de las organizaciones del sistema de las Naciones</w:t>
            </w:r>
          </w:p>
          <w:p w:rsidR="006F1A90" w:rsidRPr="00127E4D" w:rsidRDefault="006F1A90" w:rsidP="006F1A90">
            <w:pPr>
              <w:pStyle w:val="Default"/>
              <w:rPr>
                <w:rFonts w:ascii="Arial" w:hAnsi="Arial" w:cs="Arial"/>
                <w:bCs/>
                <w:sz w:val="18"/>
                <w:szCs w:val="18"/>
                <w:lang w:val="es-ES"/>
              </w:rPr>
            </w:pPr>
            <w:r w:rsidRPr="00127E4D">
              <w:rPr>
                <w:rFonts w:ascii="Arial" w:hAnsi="Arial" w:cs="Arial"/>
                <w:bCs/>
                <w:sz w:val="18"/>
                <w:szCs w:val="18"/>
                <w:lang w:val="es-ES"/>
              </w:rPr>
              <w:t>Unidas deben impartir orientaciones a los jefes ejecutivos de sus organizaciones para</w:t>
            </w:r>
          </w:p>
          <w:p w:rsidR="006F1A90" w:rsidRPr="00127E4D" w:rsidRDefault="006F1A90" w:rsidP="006F1A90">
            <w:pPr>
              <w:pStyle w:val="Default"/>
              <w:rPr>
                <w:rFonts w:ascii="Arial" w:hAnsi="Arial" w:cs="Arial"/>
                <w:bCs/>
                <w:sz w:val="18"/>
                <w:szCs w:val="18"/>
                <w:lang w:val="es-ES"/>
              </w:rPr>
            </w:pPr>
            <w:r w:rsidRPr="00127E4D">
              <w:rPr>
                <w:rFonts w:ascii="Arial" w:hAnsi="Arial" w:cs="Arial"/>
                <w:bCs/>
                <w:sz w:val="18"/>
                <w:szCs w:val="18"/>
                <w:lang w:val="es-ES"/>
              </w:rPr>
              <w:t>que actualicen y, cuando sea</w:t>
            </w:r>
          </w:p>
          <w:p w:rsidR="006F1A90" w:rsidRPr="00127E4D" w:rsidRDefault="006F1A90" w:rsidP="006F1A90">
            <w:pPr>
              <w:pStyle w:val="Default"/>
              <w:rPr>
                <w:rFonts w:ascii="Arial" w:hAnsi="Arial" w:cs="Arial"/>
                <w:bCs/>
                <w:sz w:val="18"/>
                <w:szCs w:val="18"/>
                <w:lang w:val="es-ES"/>
              </w:rPr>
            </w:pPr>
            <w:r w:rsidRPr="00127E4D">
              <w:rPr>
                <w:rFonts w:ascii="Arial" w:hAnsi="Arial" w:cs="Arial"/>
                <w:bCs/>
                <w:sz w:val="18"/>
                <w:szCs w:val="18"/>
                <w:lang w:val="es-ES"/>
              </w:rPr>
              <w:t>necesario, establezcan políticas, procedimientos,</w:t>
            </w:r>
          </w:p>
          <w:p w:rsidR="006F1A90" w:rsidRPr="00127E4D" w:rsidRDefault="006F1A90" w:rsidP="00ED308B">
            <w:pPr>
              <w:pStyle w:val="Default"/>
              <w:rPr>
                <w:rFonts w:ascii="Arial" w:hAnsi="Arial" w:cs="Arial"/>
                <w:bCs/>
                <w:sz w:val="18"/>
                <w:szCs w:val="18"/>
                <w:lang w:val="es-ES"/>
              </w:rPr>
            </w:pPr>
            <w:r w:rsidRPr="00127E4D">
              <w:rPr>
                <w:rFonts w:ascii="Arial" w:hAnsi="Arial" w:cs="Arial"/>
                <w:bCs/>
                <w:sz w:val="18"/>
                <w:szCs w:val="18"/>
                <w:lang w:val="es-ES"/>
              </w:rPr>
              <w:t>orientaciones y sistemas de seguimiento específicos para garantizar la gestión efectiva</w:t>
            </w:r>
            <w:r w:rsidR="00ED308B" w:rsidRPr="00127E4D">
              <w:rPr>
                <w:rFonts w:ascii="Arial" w:hAnsi="Arial" w:cs="Arial"/>
                <w:bCs/>
                <w:sz w:val="18"/>
                <w:szCs w:val="18"/>
                <w:lang w:val="es-ES"/>
              </w:rPr>
              <w:t xml:space="preserve"> </w:t>
            </w:r>
            <w:r w:rsidRPr="00127E4D">
              <w:rPr>
                <w:rFonts w:ascii="Arial" w:hAnsi="Arial" w:cs="Arial"/>
                <w:bCs/>
                <w:sz w:val="18"/>
                <w:szCs w:val="18"/>
                <w:lang w:val="es-ES"/>
              </w:rPr>
              <w:t>y eficiente de las actividades contractuales con posterioridad a la adjudicación.</w:t>
            </w:r>
          </w:p>
        </w:tc>
        <w:tc>
          <w:tcPr>
            <w:tcW w:w="1559" w:type="dxa"/>
            <w:tcMar>
              <w:top w:w="85" w:type="dxa"/>
            </w:tcMar>
          </w:tcPr>
          <w:p w:rsidR="00395D27" w:rsidRPr="00127E4D" w:rsidRDefault="00395D27" w:rsidP="003A52AD">
            <w:pPr>
              <w:rPr>
                <w:sz w:val="18"/>
                <w:szCs w:val="18"/>
              </w:rPr>
            </w:pPr>
            <w:r w:rsidRPr="00127E4D">
              <w:rPr>
                <w:sz w:val="18"/>
                <w:szCs w:val="18"/>
              </w:rPr>
              <w:t>Director</w:t>
            </w:r>
            <w:r w:rsidR="003A52AD" w:rsidRPr="00127E4D">
              <w:rPr>
                <w:sz w:val="18"/>
                <w:szCs w:val="18"/>
              </w:rPr>
              <w:t>a</w:t>
            </w:r>
            <w:r w:rsidRPr="00127E4D">
              <w:rPr>
                <w:sz w:val="18"/>
                <w:szCs w:val="18"/>
              </w:rPr>
              <w:t xml:space="preserve">, </w:t>
            </w:r>
            <w:r w:rsidR="003A52AD" w:rsidRPr="00127E4D">
              <w:rPr>
                <w:sz w:val="18"/>
                <w:szCs w:val="18"/>
              </w:rPr>
              <w:t>División de Adquisiciones y Viajes</w:t>
            </w:r>
          </w:p>
        </w:tc>
        <w:tc>
          <w:tcPr>
            <w:tcW w:w="1418" w:type="dxa"/>
            <w:tcMar>
              <w:top w:w="85" w:type="dxa"/>
            </w:tcMar>
          </w:tcPr>
          <w:p w:rsidR="00395D27" w:rsidRPr="00127E4D" w:rsidRDefault="008D6382" w:rsidP="00ED308B">
            <w:pPr>
              <w:rPr>
                <w:sz w:val="18"/>
                <w:szCs w:val="18"/>
              </w:rPr>
            </w:pPr>
            <w:r w:rsidRPr="00127E4D">
              <w:rPr>
                <w:sz w:val="18"/>
                <w:szCs w:val="18"/>
              </w:rPr>
              <w:t>Aceptada</w:t>
            </w:r>
          </w:p>
        </w:tc>
        <w:tc>
          <w:tcPr>
            <w:tcW w:w="1417" w:type="dxa"/>
            <w:tcMar>
              <w:top w:w="85" w:type="dxa"/>
            </w:tcMar>
          </w:tcPr>
          <w:p w:rsidR="00395D27" w:rsidRPr="00127E4D" w:rsidRDefault="008D6382" w:rsidP="00ED308B">
            <w:pPr>
              <w:rPr>
                <w:sz w:val="18"/>
                <w:szCs w:val="18"/>
              </w:rPr>
            </w:pPr>
            <w:r w:rsidRPr="00127E4D">
              <w:rPr>
                <w:sz w:val="18"/>
                <w:szCs w:val="18"/>
              </w:rPr>
              <w:t>En curso de aplicación</w:t>
            </w:r>
          </w:p>
        </w:tc>
        <w:tc>
          <w:tcPr>
            <w:tcW w:w="2693" w:type="dxa"/>
            <w:tcMar>
              <w:top w:w="85" w:type="dxa"/>
            </w:tcMar>
          </w:tcPr>
          <w:p w:rsidR="00ED308B" w:rsidRPr="00127E4D" w:rsidRDefault="00ED308B" w:rsidP="00ED308B">
            <w:pPr>
              <w:rPr>
                <w:sz w:val="18"/>
                <w:szCs w:val="18"/>
              </w:rPr>
            </w:pPr>
            <w:r w:rsidRPr="00127E4D">
              <w:rPr>
                <w:sz w:val="18"/>
                <w:szCs w:val="18"/>
              </w:rPr>
              <w:t>Se deben efectuar reuniones dos veces al año con los proveedores considerados “estratégicos” en el plan anual de adquisiciones y debe tener lugar un examen del desempeño de los proveedores sobre la base de indicadores clave de rendimiento determinados previamente.  Se ha elaborado una plantilla de desempeño de los proveedores y el examen del rendimiento tendrá lugar a lo largo de 2015 según lo previsto.</w:t>
            </w:r>
          </w:p>
        </w:tc>
      </w:tr>
      <w:tr w:rsidR="00395D27" w:rsidRPr="00127E4D" w:rsidTr="00F11530">
        <w:trPr>
          <w:trHeight w:val="4307"/>
        </w:trPr>
        <w:tc>
          <w:tcPr>
            <w:tcW w:w="2694" w:type="dxa"/>
            <w:tcMar>
              <w:top w:w="85" w:type="dxa"/>
              <w:bottom w:w="85" w:type="dxa"/>
            </w:tcMar>
          </w:tcPr>
          <w:p w:rsidR="00395D27" w:rsidRPr="00127E4D" w:rsidRDefault="00395D27" w:rsidP="006F1A90">
            <w:pPr>
              <w:pStyle w:val="Default"/>
              <w:rPr>
                <w:rFonts w:ascii="Arial" w:hAnsi="Arial" w:cs="Arial"/>
                <w:bCs/>
                <w:sz w:val="18"/>
                <w:szCs w:val="18"/>
                <w:lang w:val="es-ES"/>
              </w:rPr>
            </w:pPr>
            <w:r w:rsidRPr="00127E4D">
              <w:rPr>
                <w:rFonts w:ascii="Arial" w:hAnsi="Arial" w:cs="Arial"/>
                <w:bCs/>
                <w:noProof/>
                <w:sz w:val="18"/>
                <w:szCs w:val="18"/>
              </w:rPr>
              <w:drawing>
                <wp:anchor distT="0" distB="0" distL="114300" distR="114300" simplePos="0" relativeHeight="251659264" behindDoc="1" locked="0" layoutInCell="1" allowOverlap="1" wp14:anchorId="02232848" wp14:editId="19CD1033">
                  <wp:simplePos x="0" y="0"/>
                  <wp:positionH relativeFrom="column">
                    <wp:posOffset>-276860</wp:posOffset>
                  </wp:positionH>
                  <wp:positionV relativeFrom="paragraph">
                    <wp:posOffset>-15240</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14" name="Picture 14"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7E4D">
              <w:rPr>
                <w:rFonts w:ascii="Arial" w:hAnsi="Arial" w:cs="Arial"/>
                <w:bCs/>
                <w:sz w:val="18"/>
                <w:szCs w:val="18"/>
                <w:lang w:val="es-ES"/>
              </w:rPr>
              <w:t xml:space="preserve">Rec. 3  </w:t>
            </w:r>
            <w:r w:rsidR="006F1A90" w:rsidRPr="00127E4D">
              <w:rPr>
                <w:rFonts w:ascii="Arial" w:hAnsi="Arial" w:cs="Arial"/>
                <w:bCs/>
                <w:sz w:val="18"/>
                <w:szCs w:val="18"/>
                <w:lang w:val="es-ES"/>
              </w:rPr>
              <w:t>Los órganos legislativos de las organizaciones del sistema de las Naciones Unidas deben impartir orientaciones a los jefes ejecutivos de sus organizaciones para que pongan en marcha un sistema por el que las personas designadas para gestionar contratos con posterioridad a la adjudicación sean notificadas por escrito de que han de rendir cuentas y de las responsabilidades que contraen al gestionar un contrato y posean las calificaciones requeridas para gestionar el contrato.</w:t>
            </w:r>
          </w:p>
        </w:tc>
        <w:tc>
          <w:tcPr>
            <w:tcW w:w="1559" w:type="dxa"/>
            <w:tcMar>
              <w:top w:w="85" w:type="dxa"/>
            </w:tcMar>
          </w:tcPr>
          <w:p w:rsidR="00395D27" w:rsidRPr="00127E4D" w:rsidRDefault="003A52AD" w:rsidP="00ED308B">
            <w:pPr>
              <w:rPr>
                <w:sz w:val="18"/>
                <w:szCs w:val="18"/>
              </w:rPr>
            </w:pPr>
            <w:r w:rsidRPr="00127E4D">
              <w:rPr>
                <w:sz w:val="18"/>
                <w:szCs w:val="18"/>
              </w:rPr>
              <w:t>Directora, División de Adquisiciones y Viajes</w:t>
            </w:r>
          </w:p>
        </w:tc>
        <w:tc>
          <w:tcPr>
            <w:tcW w:w="1418" w:type="dxa"/>
            <w:tcMar>
              <w:top w:w="85" w:type="dxa"/>
            </w:tcMar>
          </w:tcPr>
          <w:p w:rsidR="00395D27" w:rsidRPr="00127E4D" w:rsidRDefault="00DE1BF1" w:rsidP="00ED308B">
            <w:pPr>
              <w:rPr>
                <w:sz w:val="18"/>
                <w:szCs w:val="18"/>
              </w:rPr>
            </w:pPr>
            <w:r w:rsidRPr="00127E4D">
              <w:rPr>
                <w:sz w:val="18"/>
                <w:szCs w:val="18"/>
              </w:rPr>
              <w:t>En examen</w:t>
            </w:r>
          </w:p>
        </w:tc>
        <w:tc>
          <w:tcPr>
            <w:tcW w:w="1417" w:type="dxa"/>
            <w:tcMar>
              <w:top w:w="85" w:type="dxa"/>
            </w:tcMar>
          </w:tcPr>
          <w:p w:rsidR="00395D27" w:rsidRPr="00127E4D" w:rsidRDefault="00395D27" w:rsidP="00ED308B">
            <w:pPr>
              <w:rPr>
                <w:sz w:val="18"/>
                <w:szCs w:val="18"/>
              </w:rPr>
            </w:pPr>
          </w:p>
        </w:tc>
        <w:tc>
          <w:tcPr>
            <w:tcW w:w="2693" w:type="dxa"/>
            <w:shd w:val="clear" w:color="auto" w:fill="auto"/>
            <w:tcMar>
              <w:top w:w="85" w:type="dxa"/>
            </w:tcMar>
          </w:tcPr>
          <w:p w:rsidR="00ED308B" w:rsidRPr="00127E4D" w:rsidRDefault="00ED308B" w:rsidP="00805BC2">
            <w:pPr>
              <w:rPr>
                <w:sz w:val="18"/>
                <w:szCs w:val="18"/>
                <w:highlight w:val="yellow"/>
              </w:rPr>
            </w:pPr>
            <w:r w:rsidRPr="00127E4D">
              <w:rPr>
                <w:sz w:val="18"/>
                <w:szCs w:val="18"/>
              </w:rPr>
              <w:t xml:space="preserve">La División de Adquisiciones celebrará consultas con distintos programas para explicar la importancia de la función del </w:t>
            </w:r>
            <w:r w:rsidR="00805BC2">
              <w:rPr>
                <w:sz w:val="18"/>
                <w:szCs w:val="18"/>
              </w:rPr>
              <w:t>gestor</w:t>
            </w:r>
            <w:r w:rsidRPr="00127E4D">
              <w:rPr>
                <w:sz w:val="18"/>
                <w:szCs w:val="18"/>
              </w:rPr>
              <w:t xml:space="preserve"> de contratos y las responsabilidades conexas, y </w:t>
            </w:r>
            <w:r w:rsidR="000A2961" w:rsidRPr="00127E4D">
              <w:rPr>
                <w:sz w:val="18"/>
                <w:szCs w:val="18"/>
              </w:rPr>
              <w:t>acordará</w:t>
            </w:r>
            <w:r w:rsidRPr="00127E4D">
              <w:rPr>
                <w:sz w:val="18"/>
                <w:szCs w:val="18"/>
              </w:rPr>
              <w:t xml:space="preserve"> un proceso de designación </w:t>
            </w:r>
            <w:r w:rsidR="000A2961" w:rsidRPr="00127E4D">
              <w:rPr>
                <w:sz w:val="18"/>
                <w:szCs w:val="18"/>
              </w:rPr>
              <w:t>oficial.</w:t>
            </w:r>
          </w:p>
        </w:tc>
      </w:tr>
    </w:tbl>
    <w:p w:rsidR="00395D27" w:rsidRPr="00127E4D" w:rsidRDefault="00395D27" w:rsidP="00395D27"/>
    <w:p w:rsidR="00395D27" w:rsidRPr="00127E4D" w:rsidRDefault="00395D27" w:rsidP="00395D27">
      <w:pPr>
        <w:pStyle w:val="ListParagraph"/>
        <w:numPr>
          <w:ilvl w:val="0"/>
          <w:numId w:val="11"/>
        </w:numPr>
      </w:pPr>
      <w:r w:rsidRPr="00127E4D">
        <w:lastRenderedPageBreak/>
        <w:t>JIU/REP/2014/8, “</w:t>
      </w:r>
      <w:r w:rsidR="00F11530" w:rsidRPr="00127E4D">
        <w:t>La utilización del personal que no es de plantilla y de modalidades contractuales conexas en las organizaciones del sistema de las Naciones Unidas</w:t>
      </w:r>
      <w:r w:rsidRPr="00127E4D">
        <w:t>”</w:t>
      </w:r>
    </w:p>
    <w:p w:rsidR="00395D27" w:rsidRPr="00127E4D" w:rsidRDefault="00395D27" w:rsidP="00395D27"/>
    <w:p w:rsidR="005B5753" w:rsidRPr="00127E4D" w:rsidRDefault="005B5753" w:rsidP="005B5753">
      <w:r w:rsidRPr="00127E4D">
        <w:t>La DCI emitió este informe el 20 de abril de 2015.  Por lo tanto, todas las recomendaciones son nuevas en el contexto del informe sobre los avances que se presenta a los Estados miembros.</w:t>
      </w:r>
    </w:p>
    <w:p w:rsidR="00395D27" w:rsidRPr="00127E4D" w:rsidRDefault="00395D27" w:rsidP="00395D27"/>
    <w:p w:rsidR="00395D27" w:rsidRPr="00127E4D" w:rsidRDefault="00395D27" w:rsidP="00395D27"/>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395D27" w:rsidRPr="00127E4D" w:rsidTr="00ED308B">
        <w:trPr>
          <w:tblHeader/>
        </w:trPr>
        <w:tc>
          <w:tcPr>
            <w:tcW w:w="2660" w:type="dxa"/>
            <w:vMerge w:val="restart"/>
            <w:shd w:val="clear" w:color="auto" w:fill="B6DDE8" w:themeFill="accent5" w:themeFillTint="66"/>
            <w:tcMar>
              <w:top w:w="85" w:type="dxa"/>
              <w:bottom w:w="85" w:type="dxa"/>
            </w:tcMar>
            <w:vAlign w:val="center"/>
          </w:tcPr>
          <w:p w:rsidR="00395D27" w:rsidRPr="00127E4D" w:rsidRDefault="00AF12F1" w:rsidP="00ED308B">
            <w:pPr>
              <w:jc w:val="center"/>
              <w:rPr>
                <w:b/>
                <w:sz w:val="18"/>
                <w:szCs w:val="18"/>
              </w:rPr>
            </w:pPr>
            <w:r w:rsidRPr="00127E4D">
              <w:rPr>
                <w:b/>
                <w:sz w:val="18"/>
                <w:szCs w:val="18"/>
              </w:rPr>
              <w:t>Recomendación</w:t>
            </w:r>
          </w:p>
        </w:tc>
        <w:tc>
          <w:tcPr>
            <w:tcW w:w="1559" w:type="dxa"/>
            <w:vMerge w:val="restart"/>
            <w:shd w:val="clear" w:color="auto" w:fill="B6DDE8" w:themeFill="accent5" w:themeFillTint="66"/>
            <w:tcMar>
              <w:top w:w="85" w:type="dxa"/>
              <w:bottom w:w="85" w:type="dxa"/>
            </w:tcMar>
            <w:vAlign w:val="center"/>
          </w:tcPr>
          <w:p w:rsidR="00395D27" w:rsidRPr="00127E4D" w:rsidRDefault="000E1077" w:rsidP="00ED308B">
            <w:pPr>
              <w:jc w:val="center"/>
              <w:rPr>
                <w:b/>
                <w:sz w:val="18"/>
                <w:szCs w:val="18"/>
              </w:rPr>
            </w:pPr>
            <w:r w:rsidRPr="00127E4D">
              <w:rPr>
                <w:b/>
                <w:sz w:val="18"/>
                <w:szCs w:val="18"/>
              </w:rPr>
              <w:t>Funcionario encargado</w:t>
            </w:r>
          </w:p>
        </w:tc>
        <w:tc>
          <w:tcPr>
            <w:tcW w:w="2835" w:type="dxa"/>
            <w:gridSpan w:val="2"/>
            <w:shd w:val="clear" w:color="auto" w:fill="B6DDE8" w:themeFill="accent5" w:themeFillTint="66"/>
            <w:tcMar>
              <w:top w:w="85" w:type="dxa"/>
              <w:bottom w:w="85" w:type="dxa"/>
            </w:tcMar>
            <w:vAlign w:val="center"/>
          </w:tcPr>
          <w:p w:rsidR="00395D27" w:rsidRPr="00127E4D" w:rsidRDefault="000E1077" w:rsidP="00ED308B">
            <w:pPr>
              <w:jc w:val="center"/>
              <w:rPr>
                <w:b/>
                <w:sz w:val="18"/>
                <w:szCs w:val="18"/>
              </w:rPr>
            </w:pPr>
            <w:r w:rsidRPr="00127E4D">
              <w:rPr>
                <w:b/>
                <w:sz w:val="18"/>
                <w:szCs w:val="18"/>
              </w:rPr>
              <w:t>Estado de aceptación</w:t>
            </w:r>
          </w:p>
        </w:tc>
        <w:tc>
          <w:tcPr>
            <w:tcW w:w="2517" w:type="dxa"/>
            <w:vMerge w:val="restart"/>
            <w:shd w:val="clear" w:color="auto" w:fill="B6DDE8" w:themeFill="accent5" w:themeFillTint="66"/>
            <w:tcMar>
              <w:top w:w="85" w:type="dxa"/>
              <w:bottom w:w="85" w:type="dxa"/>
            </w:tcMar>
            <w:vAlign w:val="center"/>
          </w:tcPr>
          <w:p w:rsidR="00395D27" w:rsidRPr="00127E4D" w:rsidRDefault="00D971F8" w:rsidP="00ED308B">
            <w:pPr>
              <w:jc w:val="center"/>
              <w:rPr>
                <w:b/>
                <w:sz w:val="18"/>
                <w:szCs w:val="18"/>
              </w:rPr>
            </w:pPr>
            <w:r w:rsidRPr="00127E4D">
              <w:rPr>
                <w:b/>
                <w:sz w:val="18"/>
                <w:szCs w:val="18"/>
              </w:rPr>
              <w:t>Evaluación Equipo directivo/Coordinador</w:t>
            </w:r>
          </w:p>
        </w:tc>
      </w:tr>
      <w:tr w:rsidR="00395D27" w:rsidRPr="00127E4D" w:rsidTr="00ED308B">
        <w:trPr>
          <w:tblHeader/>
        </w:trPr>
        <w:tc>
          <w:tcPr>
            <w:tcW w:w="2660" w:type="dxa"/>
            <w:vMerge/>
            <w:shd w:val="clear" w:color="auto" w:fill="B6DDE8" w:themeFill="accent5" w:themeFillTint="66"/>
            <w:tcMar>
              <w:top w:w="85" w:type="dxa"/>
              <w:bottom w:w="85" w:type="dxa"/>
            </w:tcMar>
          </w:tcPr>
          <w:p w:rsidR="00395D27" w:rsidRPr="00127E4D" w:rsidRDefault="00395D27" w:rsidP="00ED308B">
            <w:pPr>
              <w:rPr>
                <w:b/>
                <w:sz w:val="18"/>
                <w:szCs w:val="18"/>
              </w:rPr>
            </w:pPr>
          </w:p>
        </w:tc>
        <w:tc>
          <w:tcPr>
            <w:tcW w:w="1559" w:type="dxa"/>
            <w:vMerge/>
            <w:shd w:val="clear" w:color="auto" w:fill="B6DDE8" w:themeFill="accent5" w:themeFillTint="66"/>
            <w:tcMar>
              <w:top w:w="85" w:type="dxa"/>
              <w:bottom w:w="85" w:type="dxa"/>
            </w:tcMar>
          </w:tcPr>
          <w:p w:rsidR="00395D27" w:rsidRPr="00127E4D" w:rsidRDefault="00395D27" w:rsidP="00ED308B">
            <w:pPr>
              <w:rPr>
                <w:b/>
                <w:sz w:val="18"/>
                <w:szCs w:val="18"/>
              </w:rPr>
            </w:pPr>
          </w:p>
        </w:tc>
        <w:tc>
          <w:tcPr>
            <w:tcW w:w="1418" w:type="dxa"/>
            <w:shd w:val="clear" w:color="auto" w:fill="B6DDE8" w:themeFill="accent5" w:themeFillTint="66"/>
            <w:tcMar>
              <w:top w:w="85" w:type="dxa"/>
              <w:bottom w:w="85" w:type="dxa"/>
            </w:tcMar>
            <w:vAlign w:val="center"/>
          </w:tcPr>
          <w:p w:rsidR="00395D27" w:rsidRPr="00127E4D" w:rsidRDefault="00D601BC" w:rsidP="00ED308B">
            <w:pPr>
              <w:jc w:val="center"/>
              <w:rPr>
                <w:b/>
                <w:sz w:val="16"/>
                <w:szCs w:val="18"/>
              </w:rPr>
            </w:pPr>
            <w:r w:rsidRPr="00127E4D">
              <w:rPr>
                <w:b/>
                <w:sz w:val="16"/>
                <w:szCs w:val="18"/>
              </w:rPr>
              <w:t>Aceptación</w:t>
            </w:r>
          </w:p>
        </w:tc>
        <w:tc>
          <w:tcPr>
            <w:tcW w:w="1417" w:type="dxa"/>
            <w:shd w:val="clear" w:color="auto" w:fill="B6DDE8" w:themeFill="accent5" w:themeFillTint="66"/>
            <w:tcMar>
              <w:top w:w="85" w:type="dxa"/>
              <w:bottom w:w="85" w:type="dxa"/>
            </w:tcMar>
            <w:vAlign w:val="center"/>
          </w:tcPr>
          <w:p w:rsidR="00395D27" w:rsidRPr="00127E4D" w:rsidRDefault="000E1077" w:rsidP="00ED308B">
            <w:pPr>
              <w:jc w:val="center"/>
              <w:rPr>
                <w:b/>
                <w:sz w:val="16"/>
                <w:szCs w:val="18"/>
              </w:rPr>
            </w:pPr>
            <w:r w:rsidRPr="00127E4D">
              <w:rPr>
                <w:b/>
                <w:sz w:val="16"/>
                <w:szCs w:val="18"/>
              </w:rPr>
              <w:t>Aplicación</w:t>
            </w:r>
          </w:p>
        </w:tc>
        <w:tc>
          <w:tcPr>
            <w:tcW w:w="2517" w:type="dxa"/>
            <w:vMerge/>
            <w:shd w:val="clear" w:color="auto" w:fill="B6DDE8" w:themeFill="accent5" w:themeFillTint="66"/>
            <w:tcMar>
              <w:top w:w="85" w:type="dxa"/>
              <w:bottom w:w="85" w:type="dxa"/>
            </w:tcMar>
          </w:tcPr>
          <w:p w:rsidR="00395D27" w:rsidRPr="00127E4D" w:rsidRDefault="00395D27" w:rsidP="00ED308B">
            <w:pPr>
              <w:rPr>
                <w:b/>
                <w:sz w:val="18"/>
                <w:szCs w:val="18"/>
              </w:rPr>
            </w:pPr>
          </w:p>
        </w:tc>
      </w:tr>
      <w:tr w:rsidR="00395D27" w:rsidRPr="00127E4D" w:rsidTr="00ED308B">
        <w:tc>
          <w:tcPr>
            <w:tcW w:w="2660" w:type="dxa"/>
            <w:tcMar>
              <w:top w:w="85" w:type="dxa"/>
              <w:bottom w:w="85" w:type="dxa"/>
            </w:tcMar>
          </w:tcPr>
          <w:p w:rsidR="00395D27" w:rsidRPr="00127E4D" w:rsidRDefault="00395D27" w:rsidP="00F11530">
            <w:pPr>
              <w:rPr>
                <w:sz w:val="18"/>
                <w:szCs w:val="18"/>
              </w:rPr>
            </w:pPr>
            <w:r w:rsidRPr="00127E4D">
              <w:rPr>
                <w:bCs/>
                <w:noProof/>
                <w:sz w:val="18"/>
                <w:szCs w:val="18"/>
                <w:lang w:val="en-US" w:eastAsia="en-US"/>
              </w:rPr>
              <w:drawing>
                <wp:anchor distT="0" distB="0" distL="114300" distR="114300" simplePos="0" relativeHeight="251668480" behindDoc="1" locked="0" layoutInCell="1" allowOverlap="1" wp14:anchorId="6AF342C9" wp14:editId="11560ACD">
                  <wp:simplePos x="0" y="0"/>
                  <wp:positionH relativeFrom="column">
                    <wp:posOffset>-58420</wp:posOffset>
                  </wp:positionH>
                  <wp:positionV relativeFrom="paragraph">
                    <wp:posOffset>-43815</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16" name="Picture 16"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7E4D">
              <w:rPr>
                <w:color w:val="000000"/>
                <w:sz w:val="18"/>
                <w:szCs w:val="18"/>
              </w:rPr>
              <w:t xml:space="preserve">Rec. 2  </w:t>
            </w:r>
            <w:r w:rsidR="00F11530" w:rsidRPr="00127E4D">
              <w:rPr>
                <w:color w:val="000000"/>
                <w:sz w:val="18"/>
                <w:szCs w:val="18"/>
              </w:rPr>
              <w:t>Los órganos legislativos/rectores de las organizaciones del sistema de las Naciones Unidas deben ejercer sistemáticamente sus funciones de supervisión de la utilización del personal que no es de plantilla por medio de exámenes periódicos de la información/datos del personal que no es de plantilla proporcionados por los respectivos jefes ejecutivos.</w:t>
            </w:r>
          </w:p>
        </w:tc>
        <w:tc>
          <w:tcPr>
            <w:tcW w:w="1559" w:type="dxa"/>
            <w:tcMar>
              <w:top w:w="85" w:type="dxa"/>
              <w:bottom w:w="85" w:type="dxa"/>
            </w:tcMar>
          </w:tcPr>
          <w:p w:rsidR="00F11530" w:rsidRPr="00127E4D" w:rsidRDefault="00F11530" w:rsidP="00F11530">
            <w:pPr>
              <w:rPr>
                <w:sz w:val="18"/>
                <w:szCs w:val="18"/>
              </w:rPr>
            </w:pPr>
            <w:r w:rsidRPr="00127E4D">
              <w:rPr>
                <w:sz w:val="18"/>
                <w:szCs w:val="18"/>
              </w:rPr>
              <w:t xml:space="preserve">Directora, </w:t>
            </w:r>
          </w:p>
          <w:p w:rsidR="00F11530" w:rsidRPr="00127E4D" w:rsidRDefault="00F11530" w:rsidP="00F11530">
            <w:pPr>
              <w:rPr>
                <w:sz w:val="18"/>
                <w:szCs w:val="18"/>
              </w:rPr>
            </w:pPr>
            <w:r w:rsidRPr="00127E4D">
              <w:rPr>
                <w:sz w:val="18"/>
                <w:szCs w:val="18"/>
              </w:rPr>
              <w:t xml:space="preserve">Depto. de </w:t>
            </w:r>
          </w:p>
          <w:p w:rsidR="00F11530" w:rsidRPr="00127E4D" w:rsidRDefault="00F11530" w:rsidP="00F11530">
            <w:pPr>
              <w:rPr>
                <w:sz w:val="18"/>
                <w:szCs w:val="18"/>
              </w:rPr>
            </w:pPr>
            <w:r w:rsidRPr="00127E4D">
              <w:rPr>
                <w:sz w:val="18"/>
                <w:szCs w:val="18"/>
              </w:rPr>
              <w:t xml:space="preserve">Planificación </w:t>
            </w:r>
          </w:p>
          <w:p w:rsidR="00F11530" w:rsidRPr="00127E4D" w:rsidRDefault="00F11530" w:rsidP="00F11530">
            <w:pPr>
              <w:rPr>
                <w:sz w:val="18"/>
                <w:szCs w:val="18"/>
              </w:rPr>
            </w:pPr>
            <w:r w:rsidRPr="00127E4D">
              <w:rPr>
                <w:sz w:val="18"/>
                <w:szCs w:val="18"/>
              </w:rPr>
              <w:t xml:space="preserve">de Programas </w:t>
            </w:r>
          </w:p>
          <w:p w:rsidR="00F11530" w:rsidRPr="00127E4D" w:rsidRDefault="00F11530" w:rsidP="00F11530">
            <w:pPr>
              <w:rPr>
                <w:sz w:val="18"/>
                <w:szCs w:val="18"/>
              </w:rPr>
            </w:pPr>
            <w:r w:rsidRPr="00127E4D">
              <w:rPr>
                <w:sz w:val="18"/>
                <w:szCs w:val="18"/>
              </w:rPr>
              <w:t xml:space="preserve">y Finanzas </w:t>
            </w:r>
          </w:p>
          <w:p w:rsidR="00F11530" w:rsidRPr="00127E4D" w:rsidRDefault="00F11530" w:rsidP="00F11530">
            <w:pPr>
              <w:rPr>
                <w:sz w:val="18"/>
                <w:szCs w:val="18"/>
              </w:rPr>
            </w:pPr>
            <w:r w:rsidRPr="00127E4D">
              <w:rPr>
                <w:sz w:val="18"/>
                <w:szCs w:val="18"/>
              </w:rPr>
              <w:t>(Contralor)</w:t>
            </w:r>
          </w:p>
          <w:p w:rsidR="00395D27" w:rsidRPr="00127E4D" w:rsidRDefault="00395D27" w:rsidP="00ED308B">
            <w:pPr>
              <w:rPr>
                <w:sz w:val="18"/>
                <w:szCs w:val="18"/>
              </w:rPr>
            </w:pPr>
          </w:p>
        </w:tc>
        <w:tc>
          <w:tcPr>
            <w:tcW w:w="1418" w:type="dxa"/>
            <w:tcMar>
              <w:top w:w="85" w:type="dxa"/>
              <w:bottom w:w="85" w:type="dxa"/>
            </w:tcMar>
          </w:tcPr>
          <w:p w:rsidR="00395D27" w:rsidRPr="00127E4D" w:rsidRDefault="008D6382" w:rsidP="00ED308B">
            <w:pPr>
              <w:rPr>
                <w:sz w:val="18"/>
                <w:szCs w:val="18"/>
              </w:rPr>
            </w:pPr>
            <w:r w:rsidRPr="00127E4D">
              <w:rPr>
                <w:sz w:val="18"/>
                <w:szCs w:val="18"/>
              </w:rPr>
              <w:t>Aceptada</w:t>
            </w:r>
          </w:p>
        </w:tc>
        <w:tc>
          <w:tcPr>
            <w:tcW w:w="1417" w:type="dxa"/>
            <w:tcMar>
              <w:top w:w="85" w:type="dxa"/>
              <w:bottom w:w="85" w:type="dxa"/>
            </w:tcMar>
          </w:tcPr>
          <w:p w:rsidR="00395D27" w:rsidRPr="00127E4D" w:rsidRDefault="008D6382" w:rsidP="00ED308B">
            <w:pPr>
              <w:rPr>
                <w:sz w:val="18"/>
                <w:szCs w:val="18"/>
              </w:rPr>
            </w:pPr>
            <w:r w:rsidRPr="00127E4D">
              <w:rPr>
                <w:sz w:val="18"/>
                <w:szCs w:val="18"/>
              </w:rPr>
              <w:t>Aplicada</w:t>
            </w:r>
          </w:p>
        </w:tc>
        <w:tc>
          <w:tcPr>
            <w:tcW w:w="2517" w:type="dxa"/>
            <w:tcMar>
              <w:top w:w="85" w:type="dxa"/>
              <w:bottom w:w="85" w:type="dxa"/>
            </w:tcMar>
          </w:tcPr>
          <w:p w:rsidR="00395D27" w:rsidRPr="00127E4D" w:rsidRDefault="004C6A8F" w:rsidP="00ED308B">
            <w:pPr>
              <w:rPr>
                <w:sz w:val="18"/>
                <w:szCs w:val="18"/>
              </w:rPr>
            </w:pPr>
            <w:r w:rsidRPr="00127E4D">
              <w:rPr>
                <w:sz w:val="18"/>
                <w:szCs w:val="18"/>
              </w:rPr>
              <w:t>Se presentan informes a los Estados miembros para que puedan ejercer su función de supervisión como parte del Informe de gestión financiera y el Informe sobre el rendimiento de los programas (PPR).</w:t>
            </w:r>
          </w:p>
        </w:tc>
      </w:tr>
    </w:tbl>
    <w:p w:rsidR="00395D27" w:rsidRPr="00127E4D" w:rsidRDefault="00395D27" w:rsidP="00395D27"/>
    <w:p w:rsidR="00395D27" w:rsidRPr="00127E4D" w:rsidRDefault="00395D27" w:rsidP="00395D27"/>
    <w:p w:rsidR="00395D27" w:rsidRPr="00127E4D" w:rsidRDefault="004C6A8F" w:rsidP="00395D27">
      <w:pPr>
        <w:pStyle w:val="ListParagraph"/>
        <w:numPr>
          <w:ilvl w:val="0"/>
          <w:numId w:val="11"/>
        </w:numPr>
      </w:pPr>
      <w:r w:rsidRPr="00127E4D">
        <w:t>JIU/REP/2014/6, “</w:t>
      </w:r>
      <w:r w:rsidR="00127E4D" w:rsidRPr="00127E4D">
        <w:t>Análisis</w:t>
      </w:r>
      <w:r w:rsidRPr="00127E4D">
        <w:t xml:space="preserve"> de la función de evaluación en el sistema de las Naciones Unidas</w:t>
      </w:r>
      <w:r w:rsidR="00395D27" w:rsidRPr="00127E4D">
        <w:t>”</w:t>
      </w:r>
    </w:p>
    <w:p w:rsidR="00395D27" w:rsidRPr="00127E4D" w:rsidRDefault="00395D27" w:rsidP="00395D27"/>
    <w:p w:rsidR="007B771E" w:rsidRPr="00127E4D" w:rsidRDefault="007B771E" w:rsidP="007B771E">
      <w:r w:rsidRPr="00127E4D">
        <w:t>La DCI emitió este informe el 31 de marzo de 2015.  Por lo tanto, todas las recomendaciones son nuevas en el contexto del informe sobre los avances que se presenta a los Estados miembros.</w:t>
      </w:r>
    </w:p>
    <w:p w:rsidR="00395D27" w:rsidRPr="00127E4D" w:rsidRDefault="00395D27" w:rsidP="00395D27"/>
    <w:p w:rsidR="00395D27" w:rsidRPr="00127E4D" w:rsidRDefault="00395D27" w:rsidP="00395D27"/>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395D27" w:rsidRPr="00127E4D" w:rsidTr="00ED308B">
        <w:trPr>
          <w:tblHeader/>
        </w:trPr>
        <w:tc>
          <w:tcPr>
            <w:tcW w:w="2660" w:type="dxa"/>
            <w:vMerge w:val="restart"/>
            <w:shd w:val="clear" w:color="auto" w:fill="B6DDE8" w:themeFill="accent5" w:themeFillTint="66"/>
            <w:tcMar>
              <w:top w:w="85" w:type="dxa"/>
              <w:bottom w:w="85" w:type="dxa"/>
            </w:tcMar>
            <w:vAlign w:val="center"/>
          </w:tcPr>
          <w:p w:rsidR="00395D27" w:rsidRPr="00127E4D" w:rsidRDefault="00AF12F1" w:rsidP="00ED308B">
            <w:pPr>
              <w:rPr>
                <w:b/>
                <w:sz w:val="18"/>
                <w:szCs w:val="18"/>
              </w:rPr>
            </w:pPr>
            <w:r w:rsidRPr="00127E4D">
              <w:rPr>
                <w:b/>
                <w:sz w:val="18"/>
                <w:szCs w:val="18"/>
              </w:rPr>
              <w:t>Recomendación</w:t>
            </w:r>
          </w:p>
        </w:tc>
        <w:tc>
          <w:tcPr>
            <w:tcW w:w="1559" w:type="dxa"/>
            <w:vMerge w:val="restart"/>
            <w:shd w:val="clear" w:color="auto" w:fill="B6DDE8" w:themeFill="accent5" w:themeFillTint="66"/>
            <w:tcMar>
              <w:top w:w="85" w:type="dxa"/>
              <w:bottom w:w="85" w:type="dxa"/>
            </w:tcMar>
            <w:vAlign w:val="center"/>
          </w:tcPr>
          <w:p w:rsidR="00395D27" w:rsidRPr="00127E4D" w:rsidRDefault="000E1077" w:rsidP="00ED308B">
            <w:pPr>
              <w:keepNext/>
              <w:keepLines/>
              <w:jc w:val="center"/>
              <w:rPr>
                <w:b/>
                <w:sz w:val="18"/>
                <w:szCs w:val="18"/>
              </w:rPr>
            </w:pPr>
            <w:r w:rsidRPr="00127E4D">
              <w:rPr>
                <w:b/>
                <w:sz w:val="18"/>
                <w:szCs w:val="18"/>
              </w:rPr>
              <w:t>Funcionario encargado</w:t>
            </w:r>
          </w:p>
        </w:tc>
        <w:tc>
          <w:tcPr>
            <w:tcW w:w="2835" w:type="dxa"/>
            <w:gridSpan w:val="2"/>
            <w:shd w:val="clear" w:color="auto" w:fill="B6DDE8" w:themeFill="accent5" w:themeFillTint="66"/>
            <w:tcMar>
              <w:top w:w="85" w:type="dxa"/>
              <w:bottom w:w="85" w:type="dxa"/>
            </w:tcMar>
          </w:tcPr>
          <w:p w:rsidR="00395D27" w:rsidRPr="00127E4D" w:rsidRDefault="000E1077" w:rsidP="00ED308B">
            <w:pPr>
              <w:keepNext/>
              <w:keepLines/>
              <w:jc w:val="center"/>
              <w:rPr>
                <w:b/>
                <w:sz w:val="18"/>
                <w:szCs w:val="18"/>
              </w:rPr>
            </w:pPr>
            <w:r w:rsidRPr="00127E4D">
              <w:rPr>
                <w:b/>
                <w:sz w:val="18"/>
                <w:szCs w:val="18"/>
              </w:rPr>
              <w:t>Estado de aceptación</w:t>
            </w:r>
          </w:p>
        </w:tc>
        <w:tc>
          <w:tcPr>
            <w:tcW w:w="2517" w:type="dxa"/>
            <w:vMerge w:val="restart"/>
            <w:shd w:val="clear" w:color="auto" w:fill="B6DDE8" w:themeFill="accent5" w:themeFillTint="66"/>
            <w:tcMar>
              <w:top w:w="85" w:type="dxa"/>
              <w:bottom w:w="85" w:type="dxa"/>
            </w:tcMar>
            <w:vAlign w:val="center"/>
          </w:tcPr>
          <w:p w:rsidR="00395D27" w:rsidRPr="00127E4D" w:rsidRDefault="00D971F8" w:rsidP="00ED308B">
            <w:pPr>
              <w:keepNext/>
              <w:keepLines/>
              <w:jc w:val="center"/>
              <w:rPr>
                <w:b/>
                <w:sz w:val="18"/>
                <w:szCs w:val="18"/>
              </w:rPr>
            </w:pPr>
            <w:r w:rsidRPr="00127E4D">
              <w:rPr>
                <w:b/>
                <w:sz w:val="18"/>
                <w:szCs w:val="18"/>
              </w:rPr>
              <w:t>Evaluación Equipo directivo/Coordinador</w:t>
            </w:r>
          </w:p>
        </w:tc>
      </w:tr>
      <w:tr w:rsidR="00395D27" w:rsidRPr="00127E4D" w:rsidTr="00ED308B">
        <w:trPr>
          <w:tblHeader/>
        </w:trPr>
        <w:tc>
          <w:tcPr>
            <w:tcW w:w="2660" w:type="dxa"/>
            <w:vMerge/>
            <w:shd w:val="clear" w:color="auto" w:fill="B6DDE8" w:themeFill="accent5" w:themeFillTint="66"/>
            <w:tcMar>
              <w:top w:w="85" w:type="dxa"/>
              <w:bottom w:w="85" w:type="dxa"/>
            </w:tcMar>
          </w:tcPr>
          <w:p w:rsidR="00395D27" w:rsidRPr="00127E4D" w:rsidRDefault="00395D27" w:rsidP="00ED308B">
            <w:pPr>
              <w:keepNext/>
              <w:keepLines/>
              <w:rPr>
                <w:b/>
                <w:sz w:val="18"/>
                <w:szCs w:val="18"/>
              </w:rPr>
            </w:pPr>
          </w:p>
        </w:tc>
        <w:tc>
          <w:tcPr>
            <w:tcW w:w="1559" w:type="dxa"/>
            <w:vMerge/>
            <w:shd w:val="clear" w:color="auto" w:fill="B6DDE8" w:themeFill="accent5" w:themeFillTint="66"/>
            <w:tcMar>
              <w:top w:w="85" w:type="dxa"/>
              <w:bottom w:w="85" w:type="dxa"/>
            </w:tcMar>
          </w:tcPr>
          <w:p w:rsidR="00395D27" w:rsidRPr="00127E4D" w:rsidRDefault="00395D27" w:rsidP="00ED308B">
            <w:pPr>
              <w:keepNext/>
              <w:keepLines/>
              <w:rPr>
                <w:b/>
                <w:sz w:val="18"/>
                <w:szCs w:val="18"/>
              </w:rPr>
            </w:pPr>
          </w:p>
        </w:tc>
        <w:tc>
          <w:tcPr>
            <w:tcW w:w="1418" w:type="dxa"/>
            <w:shd w:val="clear" w:color="auto" w:fill="B6DDE8" w:themeFill="accent5" w:themeFillTint="66"/>
            <w:tcMar>
              <w:top w:w="85" w:type="dxa"/>
              <w:bottom w:w="85" w:type="dxa"/>
            </w:tcMar>
            <w:vAlign w:val="center"/>
          </w:tcPr>
          <w:p w:rsidR="00395D27" w:rsidRPr="00127E4D" w:rsidRDefault="000E1077" w:rsidP="00ED308B">
            <w:pPr>
              <w:keepNext/>
              <w:keepLines/>
              <w:jc w:val="center"/>
              <w:rPr>
                <w:b/>
                <w:sz w:val="16"/>
                <w:szCs w:val="18"/>
              </w:rPr>
            </w:pPr>
            <w:r w:rsidRPr="00127E4D">
              <w:rPr>
                <w:b/>
                <w:sz w:val="16"/>
                <w:szCs w:val="18"/>
              </w:rPr>
              <w:t>Aceptación</w:t>
            </w:r>
          </w:p>
        </w:tc>
        <w:tc>
          <w:tcPr>
            <w:tcW w:w="1417" w:type="dxa"/>
            <w:shd w:val="clear" w:color="auto" w:fill="B6DDE8" w:themeFill="accent5" w:themeFillTint="66"/>
            <w:tcMar>
              <w:top w:w="85" w:type="dxa"/>
              <w:bottom w:w="85" w:type="dxa"/>
            </w:tcMar>
            <w:vAlign w:val="center"/>
          </w:tcPr>
          <w:p w:rsidR="00395D27" w:rsidRPr="00127E4D" w:rsidRDefault="000E1077" w:rsidP="00ED308B">
            <w:pPr>
              <w:keepNext/>
              <w:keepLines/>
              <w:jc w:val="center"/>
              <w:rPr>
                <w:b/>
                <w:sz w:val="16"/>
                <w:szCs w:val="18"/>
              </w:rPr>
            </w:pPr>
            <w:r w:rsidRPr="00127E4D">
              <w:rPr>
                <w:b/>
                <w:sz w:val="16"/>
                <w:szCs w:val="18"/>
              </w:rPr>
              <w:t>Aplicación</w:t>
            </w:r>
          </w:p>
        </w:tc>
        <w:tc>
          <w:tcPr>
            <w:tcW w:w="2517" w:type="dxa"/>
            <w:vMerge/>
            <w:shd w:val="clear" w:color="auto" w:fill="B6DDE8" w:themeFill="accent5" w:themeFillTint="66"/>
            <w:tcMar>
              <w:top w:w="85" w:type="dxa"/>
              <w:bottom w:w="85" w:type="dxa"/>
            </w:tcMar>
          </w:tcPr>
          <w:p w:rsidR="00395D27" w:rsidRPr="00127E4D" w:rsidRDefault="00395D27" w:rsidP="00ED308B">
            <w:pPr>
              <w:keepNext/>
              <w:keepLines/>
              <w:rPr>
                <w:b/>
                <w:sz w:val="18"/>
                <w:szCs w:val="18"/>
              </w:rPr>
            </w:pPr>
          </w:p>
        </w:tc>
      </w:tr>
      <w:tr w:rsidR="00395D27" w:rsidRPr="00127E4D" w:rsidTr="00ED308B">
        <w:tc>
          <w:tcPr>
            <w:tcW w:w="2660" w:type="dxa"/>
            <w:tcMar>
              <w:top w:w="85" w:type="dxa"/>
              <w:bottom w:w="85" w:type="dxa"/>
            </w:tcMar>
          </w:tcPr>
          <w:p w:rsidR="00395D27" w:rsidRPr="00127E4D" w:rsidRDefault="00395D27" w:rsidP="00661B29">
            <w:pPr>
              <w:pStyle w:val="Default"/>
              <w:rPr>
                <w:sz w:val="18"/>
                <w:szCs w:val="18"/>
                <w:lang w:val="es-ES"/>
              </w:rPr>
            </w:pPr>
            <w:r w:rsidRPr="00127E4D">
              <w:rPr>
                <w:rFonts w:ascii="Arial" w:hAnsi="Arial" w:cs="Arial"/>
                <w:bCs/>
                <w:noProof/>
                <w:sz w:val="18"/>
                <w:szCs w:val="18"/>
              </w:rPr>
              <w:drawing>
                <wp:anchor distT="0" distB="0" distL="114300" distR="114300" simplePos="0" relativeHeight="251661312" behindDoc="1" locked="0" layoutInCell="1" allowOverlap="1" wp14:anchorId="2CE91A3D" wp14:editId="05A05FBE">
                  <wp:simplePos x="0" y="0"/>
                  <wp:positionH relativeFrom="column">
                    <wp:posOffset>-58420</wp:posOffset>
                  </wp:positionH>
                  <wp:positionV relativeFrom="paragraph">
                    <wp:posOffset>2540</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17" name="Picture 17"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7E4D">
              <w:rPr>
                <w:rFonts w:ascii="Arial" w:hAnsi="Arial" w:cs="Arial"/>
                <w:bCs/>
                <w:sz w:val="18"/>
                <w:szCs w:val="18"/>
                <w:lang w:val="es-ES"/>
              </w:rPr>
              <w:t xml:space="preserve">Rec. 3  </w:t>
            </w:r>
            <w:r w:rsidR="00654235" w:rsidRPr="00127E4D">
              <w:rPr>
                <w:rFonts w:ascii="Arial" w:hAnsi="Arial" w:cs="Arial"/>
                <w:bCs/>
                <w:sz w:val="18"/>
                <w:szCs w:val="18"/>
                <w:lang w:val="es-ES"/>
              </w:rPr>
              <w:t xml:space="preserve">Los órganos legislativos deben pedir a los jefes ejecutivos de las organizaciones del sistema de las Naciones Unidas que elaboren marcos presupuestarios y planes de asignación de recursos </w:t>
            </w:r>
            <w:r w:rsidR="00661B29" w:rsidRPr="00127E4D">
              <w:rPr>
                <w:rFonts w:ascii="Arial" w:hAnsi="Arial" w:cs="Arial"/>
                <w:bCs/>
                <w:sz w:val="18"/>
                <w:szCs w:val="18"/>
                <w:lang w:val="es-ES"/>
              </w:rPr>
              <w:t xml:space="preserve">de gran alcance </w:t>
            </w:r>
            <w:r w:rsidR="00654235" w:rsidRPr="00127E4D">
              <w:rPr>
                <w:rFonts w:ascii="Arial" w:hAnsi="Arial" w:cs="Arial"/>
                <w:bCs/>
                <w:sz w:val="18"/>
                <w:szCs w:val="18"/>
                <w:lang w:val="es-ES"/>
              </w:rPr>
              <w:t>para sus respectivas funciones de evaluación, sobre la base del costo de mantenimiento de una función de evaluación eficaz y sostenible que añada valor a la organización.  Los planes deben someterse a consideración de los órganos legislativos en el marco de los mecanismos y procesos presupuestarios y de presentación de informes que existen actualmente.</w:t>
            </w:r>
          </w:p>
        </w:tc>
        <w:tc>
          <w:tcPr>
            <w:tcW w:w="1559" w:type="dxa"/>
            <w:tcMar>
              <w:top w:w="85" w:type="dxa"/>
              <w:bottom w:w="85" w:type="dxa"/>
            </w:tcMar>
          </w:tcPr>
          <w:p w:rsidR="00395D27" w:rsidRPr="00127E4D" w:rsidRDefault="00395D27" w:rsidP="00417B23">
            <w:pPr>
              <w:rPr>
                <w:sz w:val="18"/>
                <w:szCs w:val="18"/>
              </w:rPr>
            </w:pPr>
            <w:r w:rsidRPr="00127E4D">
              <w:rPr>
                <w:sz w:val="18"/>
                <w:szCs w:val="18"/>
              </w:rPr>
              <w:t xml:space="preserve">Director, </w:t>
            </w:r>
            <w:r w:rsidR="00417B23" w:rsidRPr="00127E4D">
              <w:rPr>
                <w:sz w:val="18"/>
                <w:szCs w:val="18"/>
              </w:rPr>
              <w:t>División de Supervisión Interna</w:t>
            </w:r>
            <w:r w:rsidRPr="00127E4D">
              <w:rPr>
                <w:sz w:val="18"/>
                <w:szCs w:val="18"/>
              </w:rPr>
              <w:t xml:space="preserve"> (D</w:t>
            </w:r>
            <w:r w:rsidR="00417B23" w:rsidRPr="00127E4D">
              <w:rPr>
                <w:sz w:val="18"/>
                <w:szCs w:val="18"/>
              </w:rPr>
              <w:t>SI</w:t>
            </w:r>
            <w:r w:rsidRPr="00127E4D">
              <w:rPr>
                <w:sz w:val="18"/>
                <w:szCs w:val="18"/>
              </w:rPr>
              <w:t>)</w:t>
            </w:r>
          </w:p>
        </w:tc>
        <w:tc>
          <w:tcPr>
            <w:tcW w:w="1418" w:type="dxa"/>
            <w:tcMar>
              <w:top w:w="85" w:type="dxa"/>
              <w:bottom w:w="85" w:type="dxa"/>
            </w:tcMar>
          </w:tcPr>
          <w:p w:rsidR="00395D27" w:rsidRPr="00127E4D" w:rsidRDefault="008D6382" w:rsidP="00ED308B">
            <w:pPr>
              <w:rPr>
                <w:sz w:val="18"/>
                <w:szCs w:val="18"/>
              </w:rPr>
            </w:pPr>
            <w:r w:rsidRPr="00127E4D">
              <w:rPr>
                <w:sz w:val="18"/>
                <w:szCs w:val="18"/>
              </w:rPr>
              <w:t>Aceptada</w:t>
            </w:r>
          </w:p>
        </w:tc>
        <w:tc>
          <w:tcPr>
            <w:tcW w:w="1417" w:type="dxa"/>
            <w:tcMar>
              <w:top w:w="85" w:type="dxa"/>
              <w:bottom w:w="85" w:type="dxa"/>
            </w:tcMar>
          </w:tcPr>
          <w:p w:rsidR="00395D27" w:rsidRPr="00127E4D" w:rsidRDefault="008D6382" w:rsidP="00ED308B">
            <w:pPr>
              <w:rPr>
                <w:sz w:val="18"/>
                <w:szCs w:val="18"/>
              </w:rPr>
            </w:pPr>
            <w:r w:rsidRPr="00127E4D">
              <w:rPr>
                <w:sz w:val="18"/>
                <w:szCs w:val="18"/>
              </w:rPr>
              <w:t>Aplicada</w:t>
            </w:r>
          </w:p>
        </w:tc>
        <w:tc>
          <w:tcPr>
            <w:tcW w:w="2517" w:type="dxa"/>
            <w:tcMar>
              <w:top w:w="85" w:type="dxa"/>
              <w:bottom w:w="85" w:type="dxa"/>
            </w:tcMar>
          </w:tcPr>
          <w:p w:rsidR="00417B23" w:rsidRPr="00127E4D" w:rsidRDefault="00661B29" w:rsidP="00417B23">
            <w:pPr>
              <w:rPr>
                <w:sz w:val="18"/>
                <w:szCs w:val="18"/>
              </w:rPr>
            </w:pPr>
            <w:r w:rsidRPr="00127E4D">
              <w:rPr>
                <w:sz w:val="18"/>
                <w:szCs w:val="18"/>
              </w:rPr>
              <w:t xml:space="preserve">En los párrafos </w:t>
            </w:r>
            <w:r w:rsidR="00395D27" w:rsidRPr="00127E4D">
              <w:rPr>
                <w:sz w:val="18"/>
                <w:szCs w:val="18"/>
              </w:rPr>
              <w:t xml:space="preserve">40 </w:t>
            </w:r>
            <w:r w:rsidRPr="00127E4D">
              <w:rPr>
                <w:sz w:val="18"/>
                <w:szCs w:val="18"/>
              </w:rPr>
              <w:t>y 41 de la Carta de Supervisión Interna de la OMPI se dispone lo siguiente:</w:t>
            </w:r>
            <w:r w:rsidR="00395D27" w:rsidRPr="00127E4D">
              <w:rPr>
                <w:sz w:val="18"/>
                <w:szCs w:val="18"/>
              </w:rPr>
              <w:t xml:space="preserve"> “40. </w:t>
            </w:r>
            <w:r w:rsidR="00417B23" w:rsidRPr="00127E4D">
              <w:rPr>
                <w:sz w:val="18"/>
                <w:szCs w:val="18"/>
              </w:rPr>
              <w:t xml:space="preserve">Al presentar las propuestas de presupuesto por programas a los Estados miembros, el Director General tendrá en cuenta la necesidad de velar por la independencia operativa de la función de supervisión interna y facilitará los recursos necesarios para que el Director de la DSI pueda llevar a cabo los objetivos de su mandato. En tales propuestas se indicará claramente la consignación de los recursos financieros y humanos, con inclusión de los servicios que se presten internamente o mediante subcontratación externa, ya </w:t>
            </w:r>
            <w:r w:rsidR="00417B23" w:rsidRPr="00127E4D">
              <w:rPr>
                <w:sz w:val="18"/>
                <w:szCs w:val="18"/>
              </w:rPr>
              <w:lastRenderedPageBreak/>
              <w:t>sea ésta última total o parcial, y en ellas se tendrá además en cuenta el asesoramiento de la CCIS.</w:t>
            </w:r>
          </w:p>
          <w:p w:rsidR="00395D27" w:rsidRPr="00127E4D" w:rsidRDefault="00395D27" w:rsidP="00ED308B">
            <w:pPr>
              <w:rPr>
                <w:sz w:val="18"/>
                <w:szCs w:val="18"/>
              </w:rPr>
            </w:pPr>
          </w:p>
          <w:p w:rsidR="00395D27" w:rsidRPr="00127E4D" w:rsidRDefault="00395D27" w:rsidP="00ED308B">
            <w:pPr>
              <w:rPr>
                <w:sz w:val="18"/>
                <w:szCs w:val="18"/>
              </w:rPr>
            </w:pPr>
            <w:r w:rsidRPr="00127E4D">
              <w:rPr>
                <w:sz w:val="18"/>
                <w:szCs w:val="18"/>
              </w:rPr>
              <w:t xml:space="preserve">41. </w:t>
            </w:r>
            <w:r w:rsidR="00661B29" w:rsidRPr="00127E4D">
              <w:rPr>
                <w:sz w:val="18"/>
                <w:szCs w:val="18"/>
              </w:rPr>
              <w:t xml:space="preserve">El Director de la DSI velará por que la División esté constituida por miembros del personal nombrados de conformidad con el Estatuto y Reglamento del Personal, quienes poseerán colectivamente los conocimientos, las aptitudes y otras competencias necesarias para ejecutar las funciones de supervisión.  Además, fomentará el constante perfeccionamiento profesional a fin de satisfacer los requisitos de la Carta.  </w:t>
            </w:r>
            <w:r w:rsidRPr="00127E4D">
              <w:rPr>
                <w:sz w:val="18"/>
                <w:szCs w:val="18"/>
              </w:rPr>
              <w:t>“</w:t>
            </w:r>
            <w:r w:rsidR="00661B29" w:rsidRPr="00127E4D">
              <w:rPr>
                <w:sz w:val="18"/>
                <w:szCs w:val="18"/>
              </w:rPr>
              <w:t>En estas disposiciones se tienen en cuenta las cuestiones planteadas en la recomendación sobre la asignación presupuestaria y de recursos.  El presupuesto de supervisión, que contiene recursos para la evaluación, es examinado y aprobado por los Estados miembros.</w:t>
            </w:r>
            <w:r w:rsidRPr="00127E4D">
              <w:rPr>
                <w:sz w:val="18"/>
                <w:szCs w:val="18"/>
              </w:rPr>
              <w:t>”</w:t>
            </w:r>
          </w:p>
        </w:tc>
      </w:tr>
      <w:tr w:rsidR="00395D27" w:rsidRPr="00127E4D" w:rsidTr="00ED308B">
        <w:tc>
          <w:tcPr>
            <w:tcW w:w="2660" w:type="dxa"/>
            <w:tcMar>
              <w:top w:w="85" w:type="dxa"/>
              <w:bottom w:w="85" w:type="dxa"/>
            </w:tcMar>
          </w:tcPr>
          <w:p w:rsidR="00395D27" w:rsidRPr="00127E4D" w:rsidRDefault="00395D27" w:rsidP="00ED308B">
            <w:pPr>
              <w:pStyle w:val="Default"/>
              <w:rPr>
                <w:rFonts w:ascii="Arial" w:hAnsi="Arial" w:cs="Arial"/>
                <w:bCs/>
                <w:sz w:val="18"/>
                <w:szCs w:val="18"/>
                <w:lang w:val="es-ES"/>
              </w:rPr>
            </w:pPr>
            <w:r w:rsidRPr="00127E4D">
              <w:rPr>
                <w:rFonts w:ascii="Arial" w:hAnsi="Arial" w:cs="Arial"/>
                <w:bCs/>
                <w:noProof/>
                <w:sz w:val="18"/>
                <w:szCs w:val="18"/>
              </w:rPr>
              <w:lastRenderedPageBreak/>
              <w:drawing>
                <wp:anchor distT="0" distB="0" distL="114300" distR="114300" simplePos="0" relativeHeight="251662336" behindDoc="1" locked="0" layoutInCell="1" allowOverlap="1" wp14:anchorId="7485BDBC" wp14:editId="49CCBA9A">
                  <wp:simplePos x="0" y="0"/>
                  <wp:positionH relativeFrom="column">
                    <wp:posOffset>27305</wp:posOffset>
                  </wp:positionH>
                  <wp:positionV relativeFrom="paragraph">
                    <wp:posOffset>0</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18" name="Picture 18"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7E4D">
              <w:rPr>
                <w:rFonts w:ascii="Arial" w:hAnsi="Arial" w:cs="Arial"/>
                <w:bCs/>
                <w:sz w:val="18"/>
                <w:szCs w:val="18"/>
                <w:lang w:val="es-ES"/>
              </w:rPr>
              <w:t xml:space="preserve">Rec. 4  </w:t>
            </w:r>
            <w:r w:rsidR="00830861" w:rsidRPr="00127E4D">
              <w:rPr>
                <w:rFonts w:ascii="Arial" w:hAnsi="Arial" w:cs="Arial"/>
                <w:bCs/>
                <w:sz w:val="18"/>
                <w:szCs w:val="18"/>
                <w:lang w:val="es-ES"/>
              </w:rPr>
              <w:t xml:space="preserve">Los órganos legislativos deben </w:t>
            </w:r>
            <w:r w:rsidR="003217E8" w:rsidRPr="00127E4D">
              <w:rPr>
                <w:rFonts w:ascii="Arial" w:hAnsi="Arial" w:cs="Arial"/>
                <w:bCs/>
                <w:sz w:val="18"/>
                <w:szCs w:val="18"/>
                <w:lang w:val="es-ES"/>
              </w:rPr>
              <w:t>impartir orientaciones</w:t>
            </w:r>
            <w:r w:rsidR="000226BE" w:rsidRPr="00127E4D">
              <w:rPr>
                <w:rFonts w:ascii="Arial" w:hAnsi="Arial" w:cs="Arial"/>
                <w:bCs/>
                <w:sz w:val="18"/>
                <w:szCs w:val="18"/>
                <w:lang w:val="es-ES"/>
              </w:rPr>
              <w:t xml:space="preserve"> a los jefes ejecutivos de las organizaciones del sistema de las Naciones Unidas para que examinen y revisen, según proceda, las políticas existentes para el nombramiento de los directores de las oficinas de evaluación, a fin de fomentar la independencia, la integridad, la ética, la credibilidad y la inclusión, </w:t>
            </w:r>
            <w:r w:rsidR="002328E5" w:rsidRPr="00127E4D">
              <w:rPr>
                <w:rFonts w:ascii="Arial" w:hAnsi="Arial" w:cs="Arial"/>
                <w:bCs/>
                <w:sz w:val="18"/>
                <w:szCs w:val="18"/>
                <w:lang w:val="es-ES"/>
              </w:rPr>
              <w:t>teniendo debidamente en cuenta los criterios siguientes:</w:t>
            </w:r>
          </w:p>
          <w:p w:rsidR="00395D27" w:rsidRPr="00127E4D" w:rsidRDefault="00395D27" w:rsidP="00ED308B">
            <w:pPr>
              <w:pStyle w:val="Default"/>
              <w:rPr>
                <w:rFonts w:ascii="Arial" w:hAnsi="Arial" w:cs="Arial"/>
                <w:sz w:val="18"/>
                <w:szCs w:val="18"/>
                <w:lang w:val="es-ES"/>
              </w:rPr>
            </w:pPr>
          </w:p>
          <w:p w:rsidR="00395D27" w:rsidRPr="00127E4D" w:rsidRDefault="002328E5" w:rsidP="006535EF">
            <w:pPr>
              <w:pStyle w:val="Default"/>
              <w:numPr>
                <w:ilvl w:val="0"/>
                <w:numId w:val="10"/>
              </w:numPr>
              <w:ind w:left="360" w:hanging="270"/>
              <w:rPr>
                <w:rFonts w:ascii="Arial" w:hAnsi="Arial" w:cs="Arial"/>
                <w:sz w:val="18"/>
                <w:szCs w:val="18"/>
                <w:lang w:val="es-ES"/>
              </w:rPr>
            </w:pPr>
            <w:r w:rsidRPr="00127E4D">
              <w:rPr>
                <w:rFonts w:ascii="Arial" w:hAnsi="Arial" w:cs="Arial"/>
                <w:bCs/>
                <w:sz w:val="18"/>
                <w:szCs w:val="18"/>
                <w:lang w:val="es-ES"/>
              </w:rPr>
              <w:t>Debe</w:t>
            </w:r>
            <w:r w:rsidR="006535EF" w:rsidRPr="00127E4D">
              <w:rPr>
                <w:rFonts w:ascii="Arial" w:hAnsi="Arial" w:cs="Arial"/>
                <w:bCs/>
                <w:sz w:val="18"/>
                <w:szCs w:val="18"/>
                <w:lang w:val="es-ES"/>
              </w:rPr>
              <w:t>rá</w:t>
            </w:r>
            <w:r w:rsidRPr="00127E4D">
              <w:rPr>
                <w:rFonts w:ascii="Arial" w:hAnsi="Arial" w:cs="Arial"/>
                <w:bCs/>
                <w:sz w:val="18"/>
                <w:szCs w:val="18"/>
                <w:lang w:val="es-ES"/>
              </w:rPr>
              <w:t xml:space="preserve"> establecerse </w:t>
            </w:r>
            <w:r w:rsidR="006535EF" w:rsidRPr="00127E4D">
              <w:rPr>
                <w:rFonts w:ascii="Arial" w:hAnsi="Arial" w:cs="Arial"/>
                <w:bCs/>
                <w:sz w:val="18"/>
                <w:szCs w:val="18"/>
                <w:lang w:val="es-ES"/>
              </w:rPr>
              <w:t>un mandato único por un período no renovable de cinco a siete años, sin posibilidad de que el titular se reincorpore a la organización</w:t>
            </w:r>
            <w:r w:rsidR="00395D27" w:rsidRPr="00127E4D">
              <w:rPr>
                <w:rFonts w:ascii="Arial" w:hAnsi="Arial" w:cs="Arial"/>
                <w:bCs/>
                <w:sz w:val="18"/>
                <w:szCs w:val="18"/>
                <w:lang w:val="es-ES"/>
              </w:rPr>
              <w:t xml:space="preserve">; </w:t>
            </w:r>
          </w:p>
          <w:p w:rsidR="006535EF" w:rsidRPr="00127E4D" w:rsidRDefault="006535EF" w:rsidP="006535EF">
            <w:pPr>
              <w:pStyle w:val="Default"/>
              <w:numPr>
                <w:ilvl w:val="0"/>
                <w:numId w:val="10"/>
              </w:numPr>
              <w:ind w:left="360" w:hanging="270"/>
              <w:rPr>
                <w:rFonts w:ascii="Arial" w:hAnsi="Arial" w:cs="Arial"/>
                <w:bCs/>
                <w:sz w:val="18"/>
                <w:szCs w:val="18"/>
                <w:lang w:val="es-ES"/>
              </w:rPr>
            </w:pPr>
            <w:r w:rsidRPr="00127E4D">
              <w:rPr>
                <w:rFonts w:ascii="Arial" w:hAnsi="Arial" w:cs="Arial"/>
                <w:bCs/>
                <w:sz w:val="18"/>
                <w:szCs w:val="18"/>
                <w:lang w:val="es-ES"/>
              </w:rPr>
              <w:t xml:space="preserve">El jefe de la sección de evaluación deberá  poseer sólidas </w:t>
            </w:r>
            <w:r w:rsidRPr="00127E4D">
              <w:rPr>
                <w:rFonts w:ascii="Arial" w:hAnsi="Arial" w:cs="Arial"/>
                <w:bCs/>
                <w:sz w:val="18"/>
                <w:szCs w:val="18"/>
                <w:lang w:val="es-ES"/>
              </w:rPr>
              <w:lastRenderedPageBreak/>
              <w:t>cualificaciones y notable experiencia en evaluación</w:t>
            </w:r>
            <w:r w:rsidR="00395D27" w:rsidRPr="00127E4D">
              <w:rPr>
                <w:rFonts w:ascii="Arial" w:hAnsi="Arial" w:cs="Arial"/>
                <w:bCs/>
                <w:sz w:val="18"/>
                <w:szCs w:val="18"/>
                <w:lang w:val="es-ES"/>
              </w:rPr>
              <w:t>,</w:t>
            </w:r>
            <w:r w:rsidRPr="00127E4D">
              <w:rPr>
                <w:rFonts w:ascii="Arial" w:hAnsi="Arial" w:cs="Arial"/>
                <w:bCs/>
                <w:sz w:val="18"/>
                <w:szCs w:val="18"/>
                <w:lang w:val="es-ES"/>
              </w:rPr>
              <w:t xml:space="preserve"> </w:t>
            </w:r>
            <w:r w:rsidR="00395D27" w:rsidRPr="00127E4D">
              <w:rPr>
                <w:rFonts w:ascii="Arial" w:hAnsi="Arial" w:cs="Arial"/>
                <w:bCs/>
                <w:sz w:val="18"/>
                <w:szCs w:val="18"/>
                <w:lang w:val="es-ES"/>
              </w:rPr>
              <w:t xml:space="preserve"> complement</w:t>
            </w:r>
            <w:r w:rsidRPr="00127E4D">
              <w:rPr>
                <w:rFonts w:ascii="Arial" w:hAnsi="Arial" w:cs="Arial"/>
                <w:bCs/>
                <w:sz w:val="18"/>
                <w:szCs w:val="18"/>
                <w:lang w:val="es-ES"/>
              </w:rPr>
              <w:t>adas por la experiencia en los ámbitos conexos de planificación estratégica, investigación básica y operacional y gestión de conocimientos, y deberá tener excelentes dotes de gestión y liderazgo.</w:t>
            </w:r>
          </w:p>
          <w:p w:rsidR="00395D27" w:rsidRPr="00127E4D" w:rsidRDefault="00395D27" w:rsidP="00993D91">
            <w:pPr>
              <w:pStyle w:val="Default"/>
              <w:ind w:left="360"/>
              <w:rPr>
                <w:rFonts w:ascii="Arial" w:hAnsi="Arial" w:cs="Arial"/>
                <w:bCs/>
                <w:sz w:val="18"/>
                <w:szCs w:val="18"/>
                <w:lang w:val="es-ES"/>
              </w:rPr>
            </w:pPr>
          </w:p>
        </w:tc>
        <w:tc>
          <w:tcPr>
            <w:tcW w:w="1559" w:type="dxa"/>
            <w:tcMar>
              <w:top w:w="85" w:type="dxa"/>
              <w:bottom w:w="85" w:type="dxa"/>
            </w:tcMar>
          </w:tcPr>
          <w:p w:rsidR="00395D27" w:rsidRPr="00127E4D" w:rsidRDefault="00417B23" w:rsidP="00ED308B">
            <w:pPr>
              <w:rPr>
                <w:sz w:val="18"/>
                <w:szCs w:val="18"/>
              </w:rPr>
            </w:pPr>
            <w:r w:rsidRPr="00127E4D">
              <w:rPr>
                <w:sz w:val="18"/>
                <w:szCs w:val="18"/>
              </w:rPr>
              <w:lastRenderedPageBreak/>
              <w:t>Director, DSI</w:t>
            </w:r>
          </w:p>
        </w:tc>
        <w:tc>
          <w:tcPr>
            <w:tcW w:w="1418" w:type="dxa"/>
            <w:tcMar>
              <w:top w:w="85" w:type="dxa"/>
              <w:bottom w:w="85" w:type="dxa"/>
            </w:tcMar>
          </w:tcPr>
          <w:p w:rsidR="00395D27" w:rsidRPr="00127E4D" w:rsidRDefault="008D6382" w:rsidP="00ED308B">
            <w:pPr>
              <w:rPr>
                <w:sz w:val="18"/>
                <w:szCs w:val="18"/>
              </w:rPr>
            </w:pPr>
            <w:r w:rsidRPr="00127E4D">
              <w:rPr>
                <w:sz w:val="18"/>
                <w:szCs w:val="18"/>
              </w:rPr>
              <w:t>Aceptada</w:t>
            </w:r>
          </w:p>
        </w:tc>
        <w:tc>
          <w:tcPr>
            <w:tcW w:w="1417" w:type="dxa"/>
            <w:tcMar>
              <w:top w:w="85" w:type="dxa"/>
              <w:bottom w:w="85" w:type="dxa"/>
            </w:tcMar>
          </w:tcPr>
          <w:p w:rsidR="00395D27" w:rsidRPr="00127E4D" w:rsidRDefault="008D6382" w:rsidP="00ED308B">
            <w:pPr>
              <w:rPr>
                <w:sz w:val="18"/>
                <w:szCs w:val="18"/>
              </w:rPr>
            </w:pPr>
            <w:r w:rsidRPr="00127E4D">
              <w:rPr>
                <w:sz w:val="18"/>
                <w:szCs w:val="18"/>
              </w:rPr>
              <w:t>Aplicada</w:t>
            </w:r>
          </w:p>
        </w:tc>
        <w:tc>
          <w:tcPr>
            <w:tcW w:w="2517" w:type="dxa"/>
            <w:tcMar>
              <w:top w:w="85" w:type="dxa"/>
              <w:bottom w:w="85" w:type="dxa"/>
            </w:tcMar>
          </w:tcPr>
          <w:p w:rsidR="00395D27" w:rsidRPr="00127E4D" w:rsidRDefault="002328E5" w:rsidP="00ED308B">
            <w:pPr>
              <w:rPr>
                <w:sz w:val="18"/>
                <w:szCs w:val="18"/>
              </w:rPr>
            </w:pPr>
            <w:r w:rsidRPr="00127E4D">
              <w:rPr>
                <w:sz w:val="18"/>
                <w:szCs w:val="18"/>
              </w:rPr>
              <w:t xml:space="preserve">Las disposiciones de la Carta de Supervisión Interna garantizan que el nombramiento del Director de la Supervisión Interna, responsable de la evaluación, se halle en conformidad con la necesidad de independencia, integridad, ética, credibilidad e inclusión teniendo debidamente en cuenta la duración del mandato y las competencias.  La DCI reconoce esto en el párrafo 94 y el cuadro 9 de su informe </w:t>
            </w:r>
            <w:r w:rsidR="00395D27" w:rsidRPr="00127E4D">
              <w:rPr>
                <w:sz w:val="18"/>
                <w:szCs w:val="18"/>
              </w:rPr>
              <w:t xml:space="preserve">JIU/REP/2014/6. </w:t>
            </w:r>
            <w:r w:rsidRPr="00127E4D">
              <w:rPr>
                <w:sz w:val="18"/>
                <w:szCs w:val="18"/>
              </w:rPr>
              <w:t>Las disposiciones pertinentes de la Carta figuran en los párrafos siguientes</w:t>
            </w:r>
            <w:r w:rsidR="00395D27" w:rsidRPr="00127E4D">
              <w:rPr>
                <w:sz w:val="18"/>
                <w:szCs w:val="18"/>
              </w:rPr>
              <w:t>:</w:t>
            </w:r>
          </w:p>
          <w:p w:rsidR="00395D27" w:rsidRPr="00127E4D" w:rsidRDefault="00395D27" w:rsidP="00ED308B">
            <w:pPr>
              <w:rPr>
                <w:sz w:val="18"/>
                <w:szCs w:val="18"/>
              </w:rPr>
            </w:pPr>
          </w:p>
          <w:p w:rsidR="00661B29" w:rsidRPr="00127E4D" w:rsidRDefault="00395D27" w:rsidP="00661B29">
            <w:pPr>
              <w:rPr>
                <w:sz w:val="18"/>
                <w:szCs w:val="18"/>
              </w:rPr>
            </w:pPr>
            <w:r w:rsidRPr="00127E4D">
              <w:rPr>
                <w:sz w:val="18"/>
                <w:szCs w:val="18"/>
              </w:rPr>
              <w:t xml:space="preserve">42. </w:t>
            </w:r>
            <w:r w:rsidR="00417B23" w:rsidRPr="00127E4D">
              <w:rPr>
                <w:sz w:val="18"/>
                <w:szCs w:val="18"/>
              </w:rPr>
              <w:t xml:space="preserve">La persona que ocupe el puesto de Director de la DSI deberá poseer sólidas cualificaciones y competencias en </w:t>
            </w:r>
            <w:r w:rsidR="00417B23" w:rsidRPr="00127E4D">
              <w:rPr>
                <w:sz w:val="18"/>
                <w:szCs w:val="18"/>
              </w:rPr>
              <w:lastRenderedPageBreak/>
              <w:t>supervisión. La contratación del Director de la DSI deberá basarse en un proceso de selección internacional abierto y transparente que dirigirá el Director General, en consulta con la CCIS.</w:t>
            </w:r>
          </w:p>
          <w:p w:rsidR="00395D27" w:rsidRPr="00127E4D" w:rsidRDefault="00395D27" w:rsidP="00ED308B">
            <w:pPr>
              <w:rPr>
                <w:sz w:val="18"/>
                <w:szCs w:val="18"/>
              </w:rPr>
            </w:pPr>
          </w:p>
          <w:p w:rsidR="00395D27" w:rsidRPr="00127E4D" w:rsidRDefault="00395D27" w:rsidP="00ED308B">
            <w:pPr>
              <w:rPr>
                <w:sz w:val="18"/>
                <w:szCs w:val="18"/>
              </w:rPr>
            </w:pPr>
          </w:p>
          <w:p w:rsidR="00395D27" w:rsidRPr="00127E4D" w:rsidRDefault="00395D27" w:rsidP="00ED308B">
            <w:pPr>
              <w:rPr>
                <w:sz w:val="18"/>
                <w:szCs w:val="18"/>
              </w:rPr>
            </w:pPr>
            <w:r w:rsidRPr="00127E4D">
              <w:rPr>
                <w:sz w:val="18"/>
                <w:szCs w:val="18"/>
              </w:rPr>
              <w:t xml:space="preserve">43. </w:t>
            </w:r>
            <w:r w:rsidR="00417B23" w:rsidRPr="00127E4D">
              <w:rPr>
                <w:sz w:val="18"/>
                <w:szCs w:val="18"/>
              </w:rPr>
              <w:t>El Director de la DSI será nombrado por el Director General, tras la aprobación de la CCIS y del Comité de Coordinación. Ejercerá sus funciones durante un período de seis años, no renovable. Una vez terminado ese mandato, no tendrá derecho a ser empleado posteriormente por la OMPI. En la medida de lo posible, se tomarán las disposiciones necesarias para que el comienzo del mandato del Director de la DSI no coincida con el comienzo del mandato del nuevo Auditor Externo.</w:t>
            </w:r>
          </w:p>
          <w:p w:rsidR="00395D27" w:rsidRPr="00127E4D" w:rsidRDefault="00395D27" w:rsidP="00ED308B">
            <w:pPr>
              <w:rPr>
                <w:sz w:val="18"/>
                <w:szCs w:val="18"/>
              </w:rPr>
            </w:pPr>
          </w:p>
          <w:p w:rsidR="00417B23" w:rsidRPr="00127E4D" w:rsidRDefault="00395D27" w:rsidP="00417B23">
            <w:pPr>
              <w:rPr>
                <w:sz w:val="18"/>
                <w:szCs w:val="18"/>
              </w:rPr>
            </w:pPr>
            <w:r w:rsidRPr="00127E4D">
              <w:rPr>
                <w:sz w:val="18"/>
                <w:szCs w:val="18"/>
              </w:rPr>
              <w:t xml:space="preserve">44. </w:t>
            </w:r>
            <w:r w:rsidR="00417B23" w:rsidRPr="00127E4D">
              <w:rPr>
                <w:sz w:val="18"/>
                <w:szCs w:val="18"/>
              </w:rPr>
              <w:t>El Director General podrá destituir al Director de la DSI solo por motivos específicos y documentados, tras la aprobación de la CCIS y del Comité de Coordinación.</w:t>
            </w:r>
          </w:p>
          <w:p w:rsidR="00395D27" w:rsidRPr="00127E4D" w:rsidRDefault="00395D27" w:rsidP="00ED308B">
            <w:pPr>
              <w:rPr>
                <w:sz w:val="18"/>
                <w:szCs w:val="18"/>
              </w:rPr>
            </w:pPr>
          </w:p>
          <w:p w:rsidR="00395D27" w:rsidRPr="00127E4D" w:rsidRDefault="00395D27" w:rsidP="00417B23">
            <w:pPr>
              <w:rPr>
                <w:sz w:val="18"/>
                <w:szCs w:val="18"/>
              </w:rPr>
            </w:pPr>
            <w:r w:rsidRPr="00127E4D">
              <w:rPr>
                <w:sz w:val="18"/>
                <w:szCs w:val="18"/>
              </w:rPr>
              <w:t xml:space="preserve">45. </w:t>
            </w:r>
            <w:r w:rsidR="00417B23" w:rsidRPr="00127E4D">
              <w:rPr>
                <w:sz w:val="18"/>
                <w:szCs w:val="18"/>
              </w:rPr>
              <w:t>La evaluación de la actuación profesional del Director de la DSI correrá a cargo del Director General, tras haber recibido información de la CCIS y previa consulta con dicho Órgano.”</w:t>
            </w:r>
          </w:p>
        </w:tc>
      </w:tr>
    </w:tbl>
    <w:p w:rsidR="00395D27" w:rsidRPr="00127E4D" w:rsidRDefault="00395D27" w:rsidP="00395D27">
      <w:pPr>
        <w:rPr>
          <w:bCs/>
        </w:rPr>
      </w:pPr>
    </w:p>
    <w:p w:rsidR="00395D27" w:rsidRPr="00127E4D" w:rsidRDefault="00395D27" w:rsidP="00395D27">
      <w:pPr>
        <w:rPr>
          <w:bCs/>
        </w:rPr>
      </w:pPr>
    </w:p>
    <w:p w:rsidR="00395D27" w:rsidRPr="00127E4D" w:rsidRDefault="00395D27" w:rsidP="00BE0444">
      <w:pPr>
        <w:pStyle w:val="ListParagraph"/>
        <w:keepNext/>
        <w:keepLines/>
        <w:numPr>
          <w:ilvl w:val="0"/>
          <w:numId w:val="11"/>
        </w:numPr>
      </w:pPr>
      <w:r w:rsidRPr="00127E4D">
        <w:rPr>
          <w:bCs/>
        </w:rPr>
        <w:lastRenderedPageBreak/>
        <w:t>JIU/REP/2014/3</w:t>
      </w:r>
      <w:r w:rsidRPr="00127E4D">
        <w:t xml:space="preserve"> “</w:t>
      </w:r>
      <w:r w:rsidR="00993D91" w:rsidRPr="00127E4D">
        <w:t>Proyectos de obras de infraestructura/remodelación/construcción en las organizaciones del sistema de las Naciones Unidas</w:t>
      </w:r>
      <w:r w:rsidRPr="00127E4D">
        <w:t>”</w:t>
      </w:r>
    </w:p>
    <w:p w:rsidR="00395D27" w:rsidRPr="00127E4D" w:rsidRDefault="00395D27" w:rsidP="00BE0444">
      <w:pPr>
        <w:keepNext/>
        <w:keepLines/>
        <w:rPr>
          <w:b/>
        </w:rPr>
      </w:pPr>
    </w:p>
    <w:p w:rsidR="007B771E" w:rsidRPr="00127E4D" w:rsidRDefault="007B771E" w:rsidP="00BE0444">
      <w:pPr>
        <w:keepNext/>
        <w:keepLines/>
      </w:pPr>
      <w:r w:rsidRPr="00127E4D">
        <w:t>La DCI emitió este informe el 30 de septiembre de 2014.  Por lo tanto, todas las recomendaciones son nuevas en el contexto del informe sobre los avances que se presenta a los Estados miembros.</w:t>
      </w:r>
    </w:p>
    <w:p w:rsidR="00395D27" w:rsidRPr="00127E4D" w:rsidRDefault="00395D27" w:rsidP="00BE0444">
      <w:pPr>
        <w:keepNext/>
        <w:keepLines/>
        <w:rPr>
          <w:b/>
        </w:rPr>
      </w:pPr>
    </w:p>
    <w:p w:rsidR="00395D27" w:rsidRPr="00127E4D" w:rsidRDefault="00395D27" w:rsidP="00BE0444">
      <w:pPr>
        <w:keepNext/>
        <w:keepLines/>
        <w:rPr>
          <w:b/>
        </w:rPr>
      </w:pPr>
    </w:p>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395D27" w:rsidRPr="00127E4D" w:rsidTr="00ED308B">
        <w:trPr>
          <w:tblHeader/>
        </w:trPr>
        <w:tc>
          <w:tcPr>
            <w:tcW w:w="2660" w:type="dxa"/>
            <w:vMerge w:val="restart"/>
            <w:shd w:val="clear" w:color="auto" w:fill="B6DDE8" w:themeFill="accent5" w:themeFillTint="66"/>
            <w:tcMar>
              <w:top w:w="85" w:type="dxa"/>
              <w:bottom w:w="85" w:type="dxa"/>
            </w:tcMar>
            <w:vAlign w:val="center"/>
          </w:tcPr>
          <w:p w:rsidR="00395D27" w:rsidRPr="00127E4D" w:rsidRDefault="00AF12F1" w:rsidP="00BE0444">
            <w:pPr>
              <w:keepNext/>
              <w:keepLines/>
              <w:jc w:val="center"/>
              <w:rPr>
                <w:b/>
                <w:sz w:val="18"/>
                <w:szCs w:val="18"/>
              </w:rPr>
            </w:pPr>
            <w:r w:rsidRPr="00127E4D">
              <w:rPr>
                <w:b/>
                <w:sz w:val="18"/>
                <w:szCs w:val="18"/>
              </w:rPr>
              <w:t>Recomendación</w:t>
            </w:r>
          </w:p>
        </w:tc>
        <w:tc>
          <w:tcPr>
            <w:tcW w:w="1559" w:type="dxa"/>
            <w:vMerge w:val="restart"/>
            <w:shd w:val="clear" w:color="auto" w:fill="B6DDE8" w:themeFill="accent5" w:themeFillTint="66"/>
            <w:tcMar>
              <w:top w:w="85" w:type="dxa"/>
              <w:bottom w:w="85" w:type="dxa"/>
            </w:tcMar>
            <w:vAlign w:val="center"/>
          </w:tcPr>
          <w:p w:rsidR="00395D27" w:rsidRPr="00127E4D" w:rsidRDefault="000E1077" w:rsidP="00BE0444">
            <w:pPr>
              <w:keepNext/>
              <w:keepLines/>
              <w:jc w:val="center"/>
              <w:rPr>
                <w:b/>
                <w:sz w:val="18"/>
                <w:szCs w:val="18"/>
              </w:rPr>
            </w:pPr>
            <w:r w:rsidRPr="00127E4D">
              <w:rPr>
                <w:b/>
                <w:sz w:val="18"/>
                <w:szCs w:val="18"/>
              </w:rPr>
              <w:t>Funcionario encargado</w:t>
            </w:r>
          </w:p>
        </w:tc>
        <w:tc>
          <w:tcPr>
            <w:tcW w:w="2835" w:type="dxa"/>
            <w:gridSpan w:val="2"/>
            <w:shd w:val="clear" w:color="auto" w:fill="B6DDE8" w:themeFill="accent5" w:themeFillTint="66"/>
            <w:tcMar>
              <w:top w:w="85" w:type="dxa"/>
              <w:bottom w:w="85" w:type="dxa"/>
            </w:tcMar>
            <w:vAlign w:val="center"/>
          </w:tcPr>
          <w:p w:rsidR="00395D27" w:rsidRPr="00127E4D" w:rsidRDefault="000E1077" w:rsidP="00BE0444">
            <w:pPr>
              <w:keepNext/>
              <w:keepLines/>
              <w:jc w:val="center"/>
              <w:rPr>
                <w:b/>
                <w:sz w:val="18"/>
                <w:szCs w:val="18"/>
              </w:rPr>
            </w:pPr>
            <w:r w:rsidRPr="00127E4D">
              <w:rPr>
                <w:b/>
                <w:sz w:val="18"/>
                <w:szCs w:val="18"/>
              </w:rPr>
              <w:t>Estado de aceptación</w:t>
            </w:r>
          </w:p>
        </w:tc>
        <w:tc>
          <w:tcPr>
            <w:tcW w:w="2517" w:type="dxa"/>
            <w:vMerge w:val="restart"/>
            <w:shd w:val="clear" w:color="auto" w:fill="B6DDE8" w:themeFill="accent5" w:themeFillTint="66"/>
            <w:tcMar>
              <w:top w:w="85" w:type="dxa"/>
              <w:bottom w:w="85" w:type="dxa"/>
            </w:tcMar>
            <w:vAlign w:val="center"/>
          </w:tcPr>
          <w:p w:rsidR="00395D27" w:rsidRPr="00127E4D" w:rsidRDefault="00D971F8" w:rsidP="00BE0444">
            <w:pPr>
              <w:keepNext/>
              <w:keepLines/>
              <w:jc w:val="center"/>
              <w:rPr>
                <w:b/>
                <w:sz w:val="18"/>
                <w:szCs w:val="18"/>
              </w:rPr>
            </w:pPr>
            <w:r w:rsidRPr="00127E4D">
              <w:rPr>
                <w:b/>
                <w:sz w:val="18"/>
                <w:szCs w:val="18"/>
              </w:rPr>
              <w:t>Evaluación Equipo directivo/Coordinador</w:t>
            </w:r>
          </w:p>
        </w:tc>
      </w:tr>
      <w:tr w:rsidR="00395D27" w:rsidRPr="00127E4D" w:rsidTr="00ED308B">
        <w:trPr>
          <w:tblHeader/>
        </w:trPr>
        <w:tc>
          <w:tcPr>
            <w:tcW w:w="2660" w:type="dxa"/>
            <w:vMerge/>
            <w:shd w:val="clear" w:color="auto" w:fill="B6DDE8" w:themeFill="accent5" w:themeFillTint="66"/>
            <w:tcMar>
              <w:top w:w="85" w:type="dxa"/>
              <w:bottom w:w="85" w:type="dxa"/>
            </w:tcMar>
          </w:tcPr>
          <w:p w:rsidR="00395D27" w:rsidRPr="00127E4D" w:rsidRDefault="00395D27" w:rsidP="00BE0444">
            <w:pPr>
              <w:keepNext/>
              <w:keepLines/>
              <w:rPr>
                <w:b/>
                <w:sz w:val="18"/>
                <w:szCs w:val="18"/>
              </w:rPr>
            </w:pPr>
          </w:p>
        </w:tc>
        <w:tc>
          <w:tcPr>
            <w:tcW w:w="1559" w:type="dxa"/>
            <w:vMerge/>
            <w:shd w:val="clear" w:color="auto" w:fill="B6DDE8" w:themeFill="accent5" w:themeFillTint="66"/>
            <w:tcMar>
              <w:top w:w="85" w:type="dxa"/>
              <w:bottom w:w="85" w:type="dxa"/>
            </w:tcMar>
          </w:tcPr>
          <w:p w:rsidR="00395D27" w:rsidRPr="00127E4D" w:rsidRDefault="00395D27" w:rsidP="00BE0444">
            <w:pPr>
              <w:keepNext/>
              <w:keepLines/>
              <w:rPr>
                <w:b/>
                <w:sz w:val="18"/>
                <w:szCs w:val="18"/>
              </w:rPr>
            </w:pPr>
          </w:p>
        </w:tc>
        <w:tc>
          <w:tcPr>
            <w:tcW w:w="1418" w:type="dxa"/>
            <w:shd w:val="clear" w:color="auto" w:fill="B6DDE8" w:themeFill="accent5" w:themeFillTint="66"/>
            <w:tcMar>
              <w:top w:w="85" w:type="dxa"/>
              <w:bottom w:w="85" w:type="dxa"/>
            </w:tcMar>
            <w:vAlign w:val="center"/>
          </w:tcPr>
          <w:p w:rsidR="00395D27" w:rsidRPr="00127E4D" w:rsidRDefault="000E1077" w:rsidP="00BE0444">
            <w:pPr>
              <w:keepNext/>
              <w:keepLines/>
              <w:jc w:val="center"/>
              <w:rPr>
                <w:b/>
                <w:sz w:val="16"/>
                <w:szCs w:val="18"/>
              </w:rPr>
            </w:pPr>
            <w:r w:rsidRPr="00127E4D">
              <w:rPr>
                <w:b/>
                <w:sz w:val="16"/>
                <w:szCs w:val="18"/>
              </w:rPr>
              <w:t>Aceptación</w:t>
            </w:r>
          </w:p>
        </w:tc>
        <w:tc>
          <w:tcPr>
            <w:tcW w:w="1417" w:type="dxa"/>
            <w:shd w:val="clear" w:color="auto" w:fill="B6DDE8" w:themeFill="accent5" w:themeFillTint="66"/>
            <w:tcMar>
              <w:top w:w="85" w:type="dxa"/>
              <w:bottom w:w="85" w:type="dxa"/>
            </w:tcMar>
            <w:vAlign w:val="center"/>
          </w:tcPr>
          <w:p w:rsidR="00395D27" w:rsidRPr="00127E4D" w:rsidRDefault="000E1077" w:rsidP="00BE0444">
            <w:pPr>
              <w:keepNext/>
              <w:keepLines/>
              <w:jc w:val="center"/>
              <w:rPr>
                <w:b/>
                <w:sz w:val="16"/>
                <w:szCs w:val="18"/>
              </w:rPr>
            </w:pPr>
            <w:r w:rsidRPr="00127E4D">
              <w:rPr>
                <w:b/>
                <w:sz w:val="16"/>
                <w:szCs w:val="18"/>
              </w:rPr>
              <w:t>Aplicación</w:t>
            </w:r>
          </w:p>
        </w:tc>
        <w:tc>
          <w:tcPr>
            <w:tcW w:w="2517" w:type="dxa"/>
            <w:vMerge/>
            <w:shd w:val="clear" w:color="auto" w:fill="B6DDE8" w:themeFill="accent5" w:themeFillTint="66"/>
            <w:tcMar>
              <w:top w:w="85" w:type="dxa"/>
              <w:bottom w:w="85" w:type="dxa"/>
            </w:tcMar>
          </w:tcPr>
          <w:p w:rsidR="00395D27" w:rsidRPr="00127E4D" w:rsidRDefault="00395D27" w:rsidP="00BE0444">
            <w:pPr>
              <w:keepNext/>
              <w:keepLines/>
              <w:rPr>
                <w:b/>
                <w:sz w:val="18"/>
                <w:szCs w:val="18"/>
              </w:rPr>
            </w:pPr>
          </w:p>
        </w:tc>
      </w:tr>
      <w:tr w:rsidR="00395D27" w:rsidRPr="00127E4D" w:rsidTr="00ED308B">
        <w:tc>
          <w:tcPr>
            <w:tcW w:w="2660" w:type="dxa"/>
            <w:tcMar>
              <w:top w:w="85" w:type="dxa"/>
              <w:bottom w:w="85" w:type="dxa"/>
            </w:tcMar>
          </w:tcPr>
          <w:p w:rsidR="00993D91" w:rsidRPr="00127E4D" w:rsidRDefault="00395D27" w:rsidP="00BE0444">
            <w:pPr>
              <w:keepNext/>
              <w:keepLines/>
              <w:rPr>
                <w:sz w:val="18"/>
                <w:szCs w:val="18"/>
              </w:rPr>
            </w:pPr>
            <w:r w:rsidRPr="00127E4D">
              <w:rPr>
                <w:bCs/>
                <w:noProof/>
                <w:sz w:val="18"/>
                <w:szCs w:val="18"/>
                <w:lang w:val="en-US" w:eastAsia="en-US"/>
              </w:rPr>
              <w:drawing>
                <wp:anchor distT="0" distB="0" distL="114300" distR="114300" simplePos="0" relativeHeight="251663360" behindDoc="1" locked="0" layoutInCell="1" allowOverlap="1" wp14:anchorId="2377BCED" wp14:editId="43979F72">
                  <wp:simplePos x="0" y="0"/>
                  <wp:positionH relativeFrom="column">
                    <wp:posOffset>635</wp:posOffset>
                  </wp:positionH>
                  <wp:positionV relativeFrom="paragraph">
                    <wp:posOffset>5080</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19" name="Picture 19"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7E4D">
              <w:rPr>
                <w:sz w:val="18"/>
                <w:szCs w:val="18"/>
              </w:rPr>
              <w:t xml:space="preserve">Rec. 2  </w:t>
            </w:r>
            <w:r w:rsidR="00993D91" w:rsidRPr="00127E4D">
              <w:rPr>
                <w:sz w:val="18"/>
                <w:szCs w:val="18"/>
              </w:rPr>
              <w:t xml:space="preserve">Teniendo en cuenta el elevado costo y el elevado riesgo de los proyectos de obras de infraestructura/remodelación/ construcción, los órganos legislativos/rectores de las organizaciones del sistema de las Naciones Unidas deben desempeñar un papel de vigilancia y supervisión de sus respectivos proyectos de manera permanente, incluso durante las etapas previas a la planificación, la </w:t>
            </w:r>
            <w:r w:rsidR="00365417" w:rsidRPr="00127E4D">
              <w:rPr>
                <w:sz w:val="18"/>
                <w:szCs w:val="18"/>
              </w:rPr>
              <w:t>p</w:t>
            </w:r>
            <w:r w:rsidR="00993D91" w:rsidRPr="00127E4D">
              <w:rPr>
                <w:sz w:val="18"/>
                <w:szCs w:val="18"/>
              </w:rPr>
              <w:t>lanificación, la ejecución y la terminación, garantizando la eficacia en función de los costos y el logro de los objetivos generales de los proyectos.</w:t>
            </w:r>
          </w:p>
          <w:p w:rsidR="00395D27" w:rsidRPr="00127E4D" w:rsidRDefault="00395D27" w:rsidP="00BE0444">
            <w:pPr>
              <w:keepNext/>
              <w:keepLines/>
              <w:rPr>
                <w:sz w:val="18"/>
                <w:szCs w:val="18"/>
              </w:rPr>
            </w:pPr>
          </w:p>
        </w:tc>
        <w:tc>
          <w:tcPr>
            <w:tcW w:w="1559" w:type="dxa"/>
            <w:tcMar>
              <w:top w:w="85" w:type="dxa"/>
              <w:bottom w:w="85" w:type="dxa"/>
            </w:tcMar>
          </w:tcPr>
          <w:p w:rsidR="00395D27" w:rsidRPr="00127E4D" w:rsidRDefault="00395D27" w:rsidP="00BE0444">
            <w:pPr>
              <w:keepNext/>
              <w:keepLines/>
              <w:rPr>
                <w:sz w:val="18"/>
                <w:szCs w:val="18"/>
              </w:rPr>
            </w:pPr>
            <w:r w:rsidRPr="00127E4D">
              <w:rPr>
                <w:sz w:val="18"/>
                <w:szCs w:val="18"/>
              </w:rPr>
              <w:t>Director</w:t>
            </w:r>
            <w:r w:rsidR="00993D91" w:rsidRPr="00127E4D">
              <w:rPr>
                <w:sz w:val="18"/>
                <w:szCs w:val="18"/>
              </w:rPr>
              <w:t>a</w:t>
            </w:r>
            <w:r w:rsidRPr="00127E4D">
              <w:rPr>
                <w:sz w:val="18"/>
                <w:szCs w:val="18"/>
              </w:rPr>
              <w:t xml:space="preserve">, </w:t>
            </w:r>
            <w:r w:rsidR="00993D91" w:rsidRPr="00127E4D">
              <w:rPr>
                <w:sz w:val="18"/>
                <w:szCs w:val="18"/>
              </w:rPr>
              <w:t>División de Infraestructura de Locales</w:t>
            </w:r>
          </w:p>
        </w:tc>
        <w:tc>
          <w:tcPr>
            <w:tcW w:w="1418" w:type="dxa"/>
            <w:tcMar>
              <w:top w:w="85" w:type="dxa"/>
              <w:bottom w:w="85" w:type="dxa"/>
            </w:tcMar>
          </w:tcPr>
          <w:p w:rsidR="00395D27" w:rsidRPr="00127E4D" w:rsidRDefault="008D6382" w:rsidP="00BE0444">
            <w:pPr>
              <w:keepNext/>
              <w:keepLines/>
              <w:rPr>
                <w:sz w:val="18"/>
                <w:szCs w:val="18"/>
              </w:rPr>
            </w:pPr>
            <w:r w:rsidRPr="00127E4D">
              <w:rPr>
                <w:sz w:val="18"/>
                <w:szCs w:val="18"/>
              </w:rPr>
              <w:t>Aceptada</w:t>
            </w:r>
          </w:p>
        </w:tc>
        <w:tc>
          <w:tcPr>
            <w:tcW w:w="1417" w:type="dxa"/>
            <w:tcMar>
              <w:top w:w="85" w:type="dxa"/>
              <w:bottom w:w="85" w:type="dxa"/>
            </w:tcMar>
          </w:tcPr>
          <w:p w:rsidR="00395D27" w:rsidRPr="00127E4D" w:rsidRDefault="008D6382" w:rsidP="00BE0444">
            <w:pPr>
              <w:keepNext/>
              <w:keepLines/>
              <w:rPr>
                <w:sz w:val="18"/>
                <w:szCs w:val="18"/>
              </w:rPr>
            </w:pPr>
            <w:r w:rsidRPr="00127E4D">
              <w:rPr>
                <w:sz w:val="18"/>
                <w:szCs w:val="18"/>
              </w:rPr>
              <w:t>Aplicada</w:t>
            </w:r>
          </w:p>
        </w:tc>
        <w:tc>
          <w:tcPr>
            <w:tcW w:w="2517" w:type="dxa"/>
            <w:tcMar>
              <w:top w:w="85" w:type="dxa"/>
              <w:bottom w:w="85" w:type="dxa"/>
            </w:tcMar>
          </w:tcPr>
          <w:p w:rsidR="00395D27" w:rsidRPr="00127E4D" w:rsidRDefault="00365417" w:rsidP="00BE0444">
            <w:pPr>
              <w:keepNext/>
              <w:keepLines/>
              <w:rPr>
                <w:sz w:val="18"/>
              </w:rPr>
            </w:pPr>
            <w:r w:rsidRPr="00127E4D">
              <w:rPr>
                <w:sz w:val="18"/>
              </w:rPr>
              <w:t xml:space="preserve">Los Estados miembros examinan y aprueban dichos proyectos y supervisan y hacen un seguimiento de su aplicación, directamente mediante los informes sobre la marcha de los proyectos, así como mediante los informes pertinentes del Auditor Externo, la División de </w:t>
            </w:r>
            <w:r w:rsidR="00127E4D" w:rsidRPr="00127E4D">
              <w:rPr>
                <w:sz w:val="18"/>
              </w:rPr>
              <w:t>Supervisión</w:t>
            </w:r>
            <w:r w:rsidRPr="00127E4D">
              <w:rPr>
                <w:sz w:val="18"/>
              </w:rPr>
              <w:t xml:space="preserve"> Interna y la Comisión Consultiva Independiente de </w:t>
            </w:r>
            <w:r w:rsidR="00127E4D" w:rsidRPr="00127E4D">
              <w:rPr>
                <w:sz w:val="18"/>
              </w:rPr>
              <w:t>Supervisión</w:t>
            </w:r>
            <w:r w:rsidRPr="00127E4D">
              <w:rPr>
                <w:sz w:val="18"/>
              </w:rPr>
              <w:t>.</w:t>
            </w:r>
          </w:p>
        </w:tc>
      </w:tr>
    </w:tbl>
    <w:p w:rsidR="00395D27" w:rsidRPr="00127E4D" w:rsidRDefault="00395D27" w:rsidP="00395D27"/>
    <w:p w:rsidR="00395D27" w:rsidRPr="00127E4D" w:rsidRDefault="00395D27" w:rsidP="00395D27">
      <w:r w:rsidRPr="00127E4D">
        <w:br w:type="page"/>
      </w:r>
    </w:p>
    <w:p w:rsidR="00395D27" w:rsidRPr="00127E4D" w:rsidRDefault="00395D27" w:rsidP="00365417">
      <w:pPr>
        <w:pStyle w:val="ListParagraph"/>
        <w:numPr>
          <w:ilvl w:val="0"/>
          <w:numId w:val="11"/>
        </w:numPr>
        <w:rPr>
          <w:szCs w:val="22"/>
        </w:rPr>
      </w:pPr>
      <w:r w:rsidRPr="00127E4D">
        <w:rPr>
          <w:szCs w:val="22"/>
        </w:rPr>
        <w:lastRenderedPageBreak/>
        <w:t>JIU/2014/2 “</w:t>
      </w:r>
      <w:r w:rsidR="00365417" w:rsidRPr="00127E4D">
        <w:rPr>
          <w:szCs w:val="22"/>
        </w:rPr>
        <w:t>Examen de la gestión y la administración en la Organización Mundial de la Propiedad Intelectual (OMPI)</w:t>
      </w:r>
      <w:r w:rsidRPr="00127E4D">
        <w:rPr>
          <w:szCs w:val="22"/>
        </w:rPr>
        <w:t>”</w:t>
      </w:r>
    </w:p>
    <w:p w:rsidR="00395D27" w:rsidRPr="00127E4D" w:rsidRDefault="00395D27" w:rsidP="00395D27"/>
    <w:p w:rsidR="00395D27" w:rsidRPr="00127E4D" w:rsidRDefault="00395D27" w:rsidP="00395D27"/>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395D27" w:rsidRPr="00127E4D" w:rsidTr="00ED308B">
        <w:trPr>
          <w:tblHeader/>
        </w:trPr>
        <w:tc>
          <w:tcPr>
            <w:tcW w:w="2660" w:type="dxa"/>
            <w:vMerge w:val="restart"/>
            <w:shd w:val="clear" w:color="auto" w:fill="B6DDE8" w:themeFill="accent5" w:themeFillTint="66"/>
            <w:tcMar>
              <w:top w:w="85" w:type="dxa"/>
              <w:bottom w:w="85" w:type="dxa"/>
            </w:tcMar>
            <w:vAlign w:val="center"/>
          </w:tcPr>
          <w:p w:rsidR="00395D27" w:rsidRPr="00127E4D" w:rsidRDefault="00395D27" w:rsidP="00ED308B">
            <w:pPr>
              <w:jc w:val="center"/>
              <w:rPr>
                <w:b/>
              </w:rPr>
            </w:pPr>
            <w:r w:rsidRPr="00127E4D">
              <w:rPr>
                <w:b/>
              </w:rPr>
              <w:br w:type="page"/>
            </w:r>
            <w:r w:rsidR="00AF12F1" w:rsidRPr="00127E4D">
              <w:rPr>
                <w:b/>
                <w:sz w:val="18"/>
                <w:szCs w:val="18"/>
              </w:rPr>
              <w:t>Recomendación</w:t>
            </w:r>
          </w:p>
        </w:tc>
        <w:tc>
          <w:tcPr>
            <w:tcW w:w="1559" w:type="dxa"/>
            <w:vMerge w:val="restart"/>
            <w:shd w:val="clear" w:color="auto" w:fill="B6DDE8" w:themeFill="accent5" w:themeFillTint="66"/>
            <w:tcMar>
              <w:top w:w="85" w:type="dxa"/>
              <w:bottom w:w="85" w:type="dxa"/>
            </w:tcMar>
            <w:vAlign w:val="center"/>
          </w:tcPr>
          <w:p w:rsidR="00395D27" w:rsidRPr="00127E4D" w:rsidRDefault="000E1077" w:rsidP="00ED308B">
            <w:pPr>
              <w:jc w:val="center"/>
              <w:rPr>
                <w:b/>
                <w:sz w:val="18"/>
                <w:szCs w:val="18"/>
              </w:rPr>
            </w:pPr>
            <w:r w:rsidRPr="00127E4D">
              <w:rPr>
                <w:b/>
                <w:sz w:val="18"/>
                <w:szCs w:val="18"/>
              </w:rPr>
              <w:t>Funcionario encargado</w:t>
            </w:r>
          </w:p>
        </w:tc>
        <w:tc>
          <w:tcPr>
            <w:tcW w:w="2835" w:type="dxa"/>
            <w:gridSpan w:val="2"/>
            <w:shd w:val="clear" w:color="auto" w:fill="B6DDE8" w:themeFill="accent5" w:themeFillTint="66"/>
            <w:tcMar>
              <w:top w:w="85" w:type="dxa"/>
              <w:bottom w:w="85" w:type="dxa"/>
            </w:tcMar>
            <w:vAlign w:val="center"/>
          </w:tcPr>
          <w:p w:rsidR="00395D27" w:rsidRPr="00127E4D" w:rsidRDefault="000E1077" w:rsidP="00ED308B">
            <w:pPr>
              <w:jc w:val="center"/>
              <w:rPr>
                <w:b/>
                <w:sz w:val="18"/>
                <w:szCs w:val="18"/>
              </w:rPr>
            </w:pPr>
            <w:r w:rsidRPr="00127E4D">
              <w:rPr>
                <w:b/>
                <w:sz w:val="18"/>
                <w:szCs w:val="18"/>
              </w:rPr>
              <w:t>Estado de aceptación</w:t>
            </w:r>
            <w:r w:rsidR="00395D27" w:rsidRPr="00127E4D">
              <w:rPr>
                <w:b/>
                <w:sz w:val="18"/>
                <w:szCs w:val="18"/>
              </w:rPr>
              <w:t>*</w:t>
            </w:r>
          </w:p>
        </w:tc>
        <w:tc>
          <w:tcPr>
            <w:tcW w:w="2517" w:type="dxa"/>
            <w:vMerge w:val="restart"/>
            <w:shd w:val="clear" w:color="auto" w:fill="B6DDE8" w:themeFill="accent5" w:themeFillTint="66"/>
            <w:tcMar>
              <w:top w:w="85" w:type="dxa"/>
              <w:bottom w:w="85" w:type="dxa"/>
            </w:tcMar>
            <w:vAlign w:val="center"/>
          </w:tcPr>
          <w:p w:rsidR="00395D27" w:rsidRPr="00127E4D" w:rsidRDefault="00D971F8" w:rsidP="00ED308B">
            <w:pPr>
              <w:jc w:val="center"/>
              <w:rPr>
                <w:b/>
                <w:sz w:val="18"/>
                <w:szCs w:val="18"/>
              </w:rPr>
            </w:pPr>
            <w:r w:rsidRPr="00127E4D">
              <w:rPr>
                <w:b/>
                <w:sz w:val="18"/>
                <w:szCs w:val="18"/>
              </w:rPr>
              <w:t>Evaluación Equipo directivo/Coordinador</w:t>
            </w:r>
          </w:p>
        </w:tc>
      </w:tr>
      <w:tr w:rsidR="00395D27" w:rsidRPr="00127E4D" w:rsidTr="00ED308B">
        <w:trPr>
          <w:trHeight w:val="355"/>
          <w:tblHeader/>
        </w:trPr>
        <w:tc>
          <w:tcPr>
            <w:tcW w:w="2660" w:type="dxa"/>
            <w:vMerge/>
            <w:shd w:val="clear" w:color="auto" w:fill="B6DDE8" w:themeFill="accent5" w:themeFillTint="66"/>
          </w:tcPr>
          <w:p w:rsidR="00395D27" w:rsidRPr="00127E4D" w:rsidRDefault="00395D27" w:rsidP="00ED308B">
            <w:pPr>
              <w:rPr>
                <w:b/>
                <w:sz w:val="18"/>
                <w:szCs w:val="18"/>
              </w:rPr>
            </w:pPr>
          </w:p>
        </w:tc>
        <w:tc>
          <w:tcPr>
            <w:tcW w:w="1559" w:type="dxa"/>
            <w:vMerge/>
            <w:shd w:val="clear" w:color="auto" w:fill="B6DDE8" w:themeFill="accent5" w:themeFillTint="66"/>
          </w:tcPr>
          <w:p w:rsidR="00395D27" w:rsidRPr="00127E4D" w:rsidRDefault="00395D27" w:rsidP="00ED308B">
            <w:pPr>
              <w:rPr>
                <w:b/>
                <w:sz w:val="18"/>
                <w:szCs w:val="18"/>
              </w:rPr>
            </w:pPr>
          </w:p>
        </w:tc>
        <w:tc>
          <w:tcPr>
            <w:tcW w:w="1418" w:type="dxa"/>
            <w:shd w:val="clear" w:color="auto" w:fill="B6DDE8" w:themeFill="accent5" w:themeFillTint="66"/>
            <w:vAlign w:val="center"/>
          </w:tcPr>
          <w:p w:rsidR="00395D27" w:rsidRPr="00127E4D" w:rsidRDefault="000E1077" w:rsidP="00ED308B">
            <w:pPr>
              <w:jc w:val="center"/>
              <w:rPr>
                <w:b/>
                <w:sz w:val="16"/>
                <w:szCs w:val="18"/>
              </w:rPr>
            </w:pPr>
            <w:r w:rsidRPr="00127E4D">
              <w:rPr>
                <w:b/>
                <w:sz w:val="16"/>
                <w:szCs w:val="18"/>
              </w:rPr>
              <w:t>Aceptación</w:t>
            </w:r>
          </w:p>
        </w:tc>
        <w:tc>
          <w:tcPr>
            <w:tcW w:w="1417" w:type="dxa"/>
            <w:shd w:val="clear" w:color="auto" w:fill="B6DDE8" w:themeFill="accent5" w:themeFillTint="66"/>
            <w:vAlign w:val="center"/>
          </w:tcPr>
          <w:p w:rsidR="00395D27" w:rsidRPr="00127E4D" w:rsidRDefault="000E1077" w:rsidP="00ED308B">
            <w:pPr>
              <w:jc w:val="center"/>
              <w:rPr>
                <w:b/>
                <w:sz w:val="16"/>
                <w:szCs w:val="18"/>
              </w:rPr>
            </w:pPr>
            <w:r w:rsidRPr="00127E4D">
              <w:rPr>
                <w:b/>
                <w:sz w:val="16"/>
                <w:szCs w:val="18"/>
              </w:rPr>
              <w:t>Aplicación</w:t>
            </w:r>
          </w:p>
        </w:tc>
        <w:tc>
          <w:tcPr>
            <w:tcW w:w="2517" w:type="dxa"/>
            <w:vMerge/>
            <w:shd w:val="clear" w:color="auto" w:fill="B6DDE8" w:themeFill="accent5" w:themeFillTint="66"/>
          </w:tcPr>
          <w:p w:rsidR="00395D27" w:rsidRPr="00127E4D" w:rsidRDefault="00395D27" w:rsidP="00ED308B">
            <w:pPr>
              <w:rPr>
                <w:b/>
                <w:sz w:val="18"/>
                <w:szCs w:val="18"/>
              </w:rPr>
            </w:pPr>
          </w:p>
        </w:tc>
      </w:tr>
      <w:tr w:rsidR="00395D27" w:rsidRPr="00127E4D" w:rsidTr="00ED308B">
        <w:tc>
          <w:tcPr>
            <w:tcW w:w="2660" w:type="dxa"/>
            <w:tcMar>
              <w:top w:w="85" w:type="dxa"/>
              <w:bottom w:w="85" w:type="dxa"/>
            </w:tcMar>
          </w:tcPr>
          <w:p w:rsidR="00365417" w:rsidRPr="00127E4D" w:rsidRDefault="00395D27" w:rsidP="00365417">
            <w:pPr>
              <w:rPr>
                <w:sz w:val="18"/>
                <w:szCs w:val="18"/>
              </w:rPr>
            </w:pPr>
            <w:r w:rsidRPr="00127E4D">
              <w:rPr>
                <w:sz w:val="18"/>
                <w:szCs w:val="18"/>
              </w:rPr>
              <w:t xml:space="preserve">Rec. 1  </w:t>
            </w:r>
            <w:r w:rsidR="00365417" w:rsidRPr="00127E4D">
              <w:rPr>
                <w:sz w:val="18"/>
                <w:szCs w:val="18"/>
              </w:rPr>
              <w:t>La Asamblea General de la OMPI debe examinar el  marco de gobernanza de la OMPI así como sus prácticas vigentes con miras a reforzar la capacidad de los órganos rectores de orientar y supervisar la labor de la organización. Con ese fin, puede que los Estados miembros deseen considerar en sus deliberaciones las opciones que se proponen en el presente informe.</w:t>
            </w:r>
          </w:p>
          <w:p w:rsidR="00395D27" w:rsidRPr="00127E4D" w:rsidRDefault="00395D27" w:rsidP="00ED308B"/>
        </w:tc>
        <w:tc>
          <w:tcPr>
            <w:tcW w:w="1559" w:type="dxa"/>
          </w:tcPr>
          <w:p w:rsidR="00395D27" w:rsidRPr="00127E4D" w:rsidRDefault="00365417" w:rsidP="00365417">
            <w:pPr>
              <w:rPr>
                <w:sz w:val="18"/>
                <w:szCs w:val="18"/>
              </w:rPr>
            </w:pPr>
            <w:r w:rsidRPr="00127E4D">
              <w:rPr>
                <w:rFonts w:eastAsia="Calibri"/>
                <w:sz w:val="18"/>
                <w:szCs w:val="18"/>
              </w:rPr>
              <w:t>Subd</w:t>
            </w:r>
            <w:r w:rsidR="00395D27" w:rsidRPr="00127E4D">
              <w:rPr>
                <w:rFonts w:eastAsia="Calibri"/>
                <w:sz w:val="18"/>
                <w:szCs w:val="18"/>
              </w:rPr>
              <w:t xml:space="preserve">irector General </w:t>
            </w:r>
            <w:r w:rsidRPr="00127E4D">
              <w:rPr>
                <w:rFonts w:eastAsia="Calibri"/>
                <w:sz w:val="18"/>
                <w:szCs w:val="18"/>
              </w:rPr>
              <w:t>y Jefe de Gabinete</w:t>
            </w:r>
          </w:p>
        </w:tc>
        <w:tc>
          <w:tcPr>
            <w:tcW w:w="1418" w:type="dxa"/>
          </w:tcPr>
          <w:p w:rsidR="00395D27" w:rsidRPr="00127E4D" w:rsidRDefault="00395D27" w:rsidP="00ED308B">
            <w:pPr>
              <w:rPr>
                <w:sz w:val="18"/>
                <w:szCs w:val="18"/>
              </w:rPr>
            </w:pPr>
            <w:r w:rsidRPr="00127E4D">
              <w:rPr>
                <w:noProof/>
                <w:lang w:val="en-US" w:eastAsia="en-US"/>
              </w:rPr>
              <mc:AlternateContent>
                <mc:Choice Requires="wps">
                  <w:drawing>
                    <wp:anchor distT="0" distB="0" distL="114300" distR="114300" simplePos="0" relativeHeight="251670528" behindDoc="0" locked="0" layoutInCell="1" allowOverlap="1" wp14:anchorId="2674EE4F" wp14:editId="6EE716BA">
                      <wp:simplePos x="0" y="0"/>
                      <wp:positionH relativeFrom="column">
                        <wp:posOffset>59055</wp:posOffset>
                      </wp:positionH>
                      <wp:positionV relativeFrom="paragraph">
                        <wp:posOffset>453390</wp:posOffset>
                      </wp:positionV>
                      <wp:extent cx="1562100" cy="381000"/>
                      <wp:effectExtent l="0" t="0" r="19050" b="19050"/>
                      <wp:wrapNone/>
                      <wp:docPr id="15" name="Rounded Rectangle 15"/>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ED308B" w:rsidRPr="007A3F04" w:rsidRDefault="00ED308B" w:rsidP="00395D27">
                                  <w:pPr>
                                    <w:jc w:val="center"/>
                                  </w:pPr>
                                  <w:r>
                                    <w:rPr>
                                      <w:i/>
                                      <w:sz w:val="14"/>
                                      <w:szCs w:val="14"/>
                                    </w:rPr>
                                    <w:t xml:space="preserve">Cabe remitirse a los </w:t>
                                  </w:r>
                                  <w:r w:rsidRPr="007A3F04">
                                    <w:rPr>
                                      <w:i/>
                                      <w:sz w:val="14"/>
                                      <w:szCs w:val="14"/>
                                    </w:rPr>
                                    <w:t>document</w:t>
                                  </w:r>
                                  <w:r>
                                    <w:rPr>
                                      <w:i/>
                                      <w:sz w:val="14"/>
                                      <w:szCs w:val="14"/>
                                    </w:rPr>
                                    <w:t>os</w:t>
                                  </w:r>
                                  <w:r w:rsidRPr="007A3F04">
                                    <w:rPr>
                                      <w:i/>
                                      <w:sz w:val="14"/>
                                      <w:szCs w:val="14"/>
                                    </w:rPr>
                                    <w:t xml:space="preserve"> WO/PBC/23/4</w:t>
                                  </w:r>
                                  <w:r>
                                    <w:rPr>
                                      <w:i/>
                                      <w:sz w:val="14"/>
                                      <w:szCs w:val="14"/>
                                    </w:rPr>
                                    <w:t xml:space="preserve"> y WO/PBC/23/9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26" style="position:absolute;margin-left:4.65pt;margin-top:35.7pt;width:123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" fillcolor="window" strokecolor="#8eb4e3" strokeweight="2pt">
                      <v:textbox>
                        <w:txbxContent>
                          <w:p w:rsidR="00ED308B" w:rsidRPr="007A3F04" w:rsidRDefault="00ED308B" w:rsidP="00395D27">
                            <w:pPr>
                              <w:jc w:val="center"/>
                            </w:pPr>
                            <w:r>
                              <w:rPr>
                                <w:i/>
                                <w:sz w:val="14"/>
                                <w:szCs w:val="14"/>
                              </w:rPr>
                              <w:t xml:space="preserve">Cabe remitirse a los </w:t>
                            </w:r>
                            <w:r w:rsidRPr="007A3F04">
                              <w:rPr>
                                <w:i/>
                                <w:sz w:val="14"/>
                                <w:szCs w:val="14"/>
                              </w:rPr>
                              <w:t>document</w:t>
                            </w:r>
                            <w:r>
                              <w:rPr>
                                <w:i/>
                                <w:sz w:val="14"/>
                                <w:szCs w:val="14"/>
                              </w:rPr>
                              <w:t>os</w:t>
                            </w:r>
                            <w:r w:rsidRPr="007A3F04">
                              <w:rPr>
                                <w:i/>
                                <w:sz w:val="14"/>
                                <w:szCs w:val="14"/>
                              </w:rPr>
                              <w:t xml:space="preserve"> WO/PBC/23/4</w:t>
                            </w:r>
                            <w:r>
                              <w:rPr>
                                <w:i/>
                                <w:sz w:val="14"/>
                                <w:szCs w:val="14"/>
                              </w:rPr>
                              <w:t xml:space="preserve"> y WO/PBC/23/9</w:t>
                            </w:r>
                          </w:p>
                        </w:txbxContent>
                      </v:textbox>
                    </v:roundrect>
                  </w:pict>
                </mc:Fallback>
              </mc:AlternateContent>
            </w:r>
            <w:r w:rsidR="00DE1BF1" w:rsidRPr="00127E4D">
              <w:rPr>
                <w:sz w:val="18"/>
                <w:szCs w:val="18"/>
              </w:rPr>
              <w:t>En examen</w:t>
            </w:r>
          </w:p>
        </w:tc>
        <w:tc>
          <w:tcPr>
            <w:tcW w:w="1417" w:type="dxa"/>
          </w:tcPr>
          <w:p w:rsidR="00395D27" w:rsidRPr="00127E4D" w:rsidRDefault="00395D27" w:rsidP="00ED308B">
            <w:pPr>
              <w:rPr>
                <w:sz w:val="18"/>
                <w:szCs w:val="18"/>
              </w:rPr>
            </w:pPr>
          </w:p>
        </w:tc>
        <w:tc>
          <w:tcPr>
            <w:tcW w:w="2517" w:type="dxa"/>
          </w:tcPr>
          <w:p w:rsidR="00395D27" w:rsidRPr="00127E4D" w:rsidRDefault="006D1E3C" w:rsidP="00BE0444">
            <w:pPr>
              <w:spacing w:after="200"/>
              <w:rPr>
                <w:sz w:val="18"/>
                <w:szCs w:val="18"/>
              </w:rPr>
            </w:pPr>
            <w:r w:rsidRPr="00127E4D">
              <w:rPr>
                <w:rFonts w:eastAsia="Calibri"/>
                <w:sz w:val="18"/>
                <w:szCs w:val="18"/>
              </w:rPr>
              <w:t>El 30 de mayo de 2014 el  Director General de la OMPI envió una carta a la Presidenta de la Asamblea General de la OMPI, señalando</w:t>
            </w:r>
            <w:r w:rsidR="00DE1BF1" w:rsidRPr="00127E4D">
              <w:rPr>
                <w:rFonts w:eastAsia="Calibri"/>
                <w:sz w:val="18"/>
                <w:szCs w:val="18"/>
              </w:rPr>
              <w:t xml:space="preserve"> a </w:t>
            </w:r>
            <w:r w:rsidRPr="00127E4D">
              <w:rPr>
                <w:rFonts w:eastAsia="Calibri"/>
                <w:sz w:val="18"/>
                <w:szCs w:val="18"/>
              </w:rPr>
              <w:t xml:space="preserve">su atención esta recomendación. </w:t>
            </w:r>
            <w:r w:rsidR="00BE0444">
              <w:rPr>
                <w:rFonts w:eastAsia="Calibri"/>
                <w:sz w:val="18"/>
                <w:szCs w:val="18"/>
              </w:rPr>
              <w:t xml:space="preserve"> El Director General volvió a enviar una carta a la Presidenta el 30 de julio de 2015 recordándole esta recomendación. </w:t>
            </w:r>
            <w:r w:rsidRPr="00127E4D">
              <w:rPr>
                <w:rFonts w:eastAsia="Calibri"/>
                <w:sz w:val="18"/>
                <w:szCs w:val="18"/>
              </w:rPr>
              <w:t xml:space="preserve"> La cuestión de la gobernanza se examinó en la 22ª sesión del PBC en septiembre de 2014, así como en las reuniones de las Asambleas del mismo año.  La decisión de los Estados miembros consistió en </w:t>
            </w:r>
            <w:r w:rsidR="005F0D69">
              <w:rPr>
                <w:rFonts w:eastAsia="Calibri"/>
                <w:sz w:val="18"/>
                <w:szCs w:val="18"/>
              </w:rPr>
              <w:t>incluir</w:t>
            </w:r>
            <w:r w:rsidRPr="00127E4D">
              <w:rPr>
                <w:rFonts w:eastAsia="Calibri"/>
                <w:sz w:val="18"/>
                <w:szCs w:val="18"/>
              </w:rPr>
              <w:t xml:space="preserve"> esa cuestión en el orden del día de la 23ª sesión del PBC.  El PBC, tras los debates sobre ese punto del orden del día, decidió proseguir sus deliberaciones en su 24ª sesión. </w:t>
            </w:r>
          </w:p>
        </w:tc>
      </w:tr>
      <w:tr w:rsidR="00395D27" w:rsidRPr="00127E4D" w:rsidTr="00ED308B">
        <w:tc>
          <w:tcPr>
            <w:tcW w:w="2660" w:type="dxa"/>
            <w:tcMar>
              <w:top w:w="85" w:type="dxa"/>
              <w:bottom w:w="85" w:type="dxa"/>
            </w:tcMar>
          </w:tcPr>
          <w:p w:rsidR="006D1E3C" w:rsidRPr="00127E4D" w:rsidRDefault="00395D27" w:rsidP="006D1E3C">
            <w:pPr>
              <w:rPr>
                <w:sz w:val="18"/>
                <w:szCs w:val="18"/>
              </w:rPr>
            </w:pPr>
            <w:r w:rsidRPr="00127E4D">
              <w:rPr>
                <w:sz w:val="18"/>
                <w:szCs w:val="18"/>
              </w:rPr>
              <w:t xml:space="preserve">Rec. 6  </w:t>
            </w:r>
            <w:r w:rsidR="006D1E3C" w:rsidRPr="00127E4D">
              <w:rPr>
                <w:sz w:val="18"/>
                <w:szCs w:val="18"/>
              </w:rPr>
              <w:t>El Comité de Coordinación debe</w:t>
            </w:r>
            <w:r w:rsidR="003217E8" w:rsidRPr="00127E4D">
              <w:rPr>
                <w:sz w:val="18"/>
                <w:szCs w:val="18"/>
              </w:rPr>
              <w:t xml:space="preserve"> re</w:t>
            </w:r>
            <w:r w:rsidR="006D1E3C" w:rsidRPr="00127E4D">
              <w:rPr>
                <w:sz w:val="18"/>
                <w:szCs w:val="18"/>
              </w:rPr>
              <w:t>examinar los principios vigentes acerca de la distribución geográfica a fin de garantizar una mayor diversidad geográfica del personal profesional de la OMPI.</w:t>
            </w:r>
          </w:p>
          <w:p w:rsidR="00395D27" w:rsidRPr="00127E4D" w:rsidRDefault="00395D27" w:rsidP="00ED308B">
            <w:pPr>
              <w:rPr>
                <w:sz w:val="18"/>
                <w:szCs w:val="18"/>
              </w:rPr>
            </w:pPr>
          </w:p>
        </w:tc>
        <w:tc>
          <w:tcPr>
            <w:tcW w:w="1559" w:type="dxa"/>
          </w:tcPr>
          <w:p w:rsidR="00395D27" w:rsidRPr="00127E4D" w:rsidRDefault="00395D27" w:rsidP="00ED308B">
            <w:pPr>
              <w:rPr>
                <w:rFonts w:eastAsia="Calibri"/>
                <w:sz w:val="18"/>
                <w:szCs w:val="18"/>
              </w:rPr>
            </w:pPr>
            <w:r w:rsidRPr="00127E4D">
              <w:rPr>
                <w:sz w:val="18"/>
                <w:szCs w:val="18"/>
              </w:rPr>
              <w:t>Director</w:t>
            </w:r>
            <w:r w:rsidR="00365417" w:rsidRPr="00127E4D">
              <w:rPr>
                <w:sz w:val="18"/>
                <w:szCs w:val="18"/>
              </w:rPr>
              <w:t>a</w:t>
            </w:r>
            <w:r w:rsidRPr="00127E4D">
              <w:rPr>
                <w:sz w:val="18"/>
                <w:szCs w:val="18"/>
              </w:rPr>
              <w:t xml:space="preserve">, </w:t>
            </w:r>
            <w:r w:rsidR="00365417" w:rsidRPr="00127E4D">
              <w:rPr>
                <w:sz w:val="18"/>
                <w:szCs w:val="18"/>
              </w:rPr>
              <w:t xml:space="preserve">Departamento de Gestión de los Recursos Humanos </w:t>
            </w:r>
            <w:r w:rsidRPr="00127E4D">
              <w:rPr>
                <w:sz w:val="18"/>
                <w:szCs w:val="18"/>
              </w:rPr>
              <w:t>(</w:t>
            </w:r>
            <w:r w:rsidR="00365417" w:rsidRPr="00127E4D">
              <w:rPr>
                <w:sz w:val="18"/>
                <w:szCs w:val="18"/>
              </w:rPr>
              <w:t>DGRRHH</w:t>
            </w:r>
            <w:r w:rsidRPr="00127E4D">
              <w:rPr>
                <w:sz w:val="18"/>
                <w:szCs w:val="18"/>
              </w:rPr>
              <w:t>)</w:t>
            </w:r>
          </w:p>
        </w:tc>
        <w:tc>
          <w:tcPr>
            <w:tcW w:w="1418" w:type="dxa"/>
          </w:tcPr>
          <w:p w:rsidR="00395D27" w:rsidRPr="00127E4D" w:rsidRDefault="00395D27" w:rsidP="00ED308B">
            <w:pPr>
              <w:rPr>
                <w:sz w:val="18"/>
                <w:szCs w:val="18"/>
              </w:rPr>
            </w:pPr>
            <w:r w:rsidRPr="00127E4D">
              <w:rPr>
                <w:noProof/>
                <w:lang w:val="en-US" w:eastAsia="en-US"/>
              </w:rPr>
              <mc:AlternateContent>
                <mc:Choice Requires="wps">
                  <w:drawing>
                    <wp:anchor distT="0" distB="0" distL="114300" distR="114300" simplePos="0" relativeHeight="251672576" behindDoc="0" locked="0" layoutInCell="1" allowOverlap="1" wp14:anchorId="325FC918" wp14:editId="1FB26A5F">
                      <wp:simplePos x="0" y="0"/>
                      <wp:positionH relativeFrom="column">
                        <wp:posOffset>59055</wp:posOffset>
                      </wp:positionH>
                      <wp:positionV relativeFrom="paragraph">
                        <wp:posOffset>368300</wp:posOffset>
                      </wp:positionV>
                      <wp:extent cx="1562100" cy="38100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ED308B" w:rsidRPr="007A3F04" w:rsidRDefault="00ED308B" w:rsidP="00395D27">
                                  <w:pPr>
                                    <w:jc w:val="center"/>
                                  </w:pPr>
                                  <w:r>
                                    <w:rPr>
                                      <w:i/>
                                      <w:sz w:val="14"/>
                                      <w:szCs w:val="14"/>
                                    </w:rPr>
                                    <w:t xml:space="preserve">Cabe remitirse al </w:t>
                                  </w:r>
                                  <w:r w:rsidRPr="007A3F04">
                                    <w:rPr>
                                      <w:i/>
                                      <w:sz w:val="14"/>
                                      <w:szCs w:val="14"/>
                                    </w:rPr>
                                    <w:t>document</w:t>
                                  </w:r>
                                  <w:r>
                                    <w:rPr>
                                      <w:i/>
                                      <w:sz w:val="14"/>
                                      <w:szCs w:val="14"/>
                                    </w:rPr>
                                    <w:t>o</w:t>
                                  </w:r>
                                  <w:r w:rsidRPr="007A3F04">
                                    <w:rPr>
                                      <w:i/>
                                      <w:sz w:val="14"/>
                                      <w:szCs w:val="14"/>
                                    </w:rPr>
                                    <w:t xml:space="preserve"> WO/PBC/23/4</w:t>
                                  </w:r>
                                </w:p>
                                <w:p w:rsidR="00ED308B" w:rsidRPr="003810C3" w:rsidRDefault="00ED308B" w:rsidP="00395D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7" style="position:absolute;margin-left:4.65pt;margin-top:29pt;width:123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" fillcolor="window" strokecolor="#8eb4e3" strokeweight="2pt">
                      <v:textbox>
                        <w:txbxContent>
                          <w:p w:rsidR="00ED308B" w:rsidRPr="007A3F04" w:rsidRDefault="00ED308B" w:rsidP="00395D27">
                            <w:pPr>
                              <w:jc w:val="center"/>
                            </w:pPr>
                            <w:r>
                              <w:rPr>
                                <w:i/>
                                <w:sz w:val="14"/>
                                <w:szCs w:val="14"/>
                              </w:rPr>
                              <w:t xml:space="preserve">Cabe remitirse al </w:t>
                            </w:r>
                            <w:r w:rsidRPr="007A3F04">
                              <w:rPr>
                                <w:i/>
                                <w:sz w:val="14"/>
                                <w:szCs w:val="14"/>
                              </w:rPr>
                              <w:t>document</w:t>
                            </w:r>
                            <w:r>
                              <w:rPr>
                                <w:i/>
                                <w:sz w:val="14"/>
                                <w:szCs w:val="14"/>
                              </w:rPr>
                              <w:t>o</w:t>
                            </w:r>
                            <w:r w:rsidRPr="007A3F04">
                              <w:rPr>
                                <w:i/>
                                <w:sz w:val="14"/>
                                <w:szCs w:val="14"/>
                              </w:rPr>
                              <w:t xml:space="preserve"> WO/PBC/23/4</w:t>
                            </w:r>
                          </w:p>
                          <w:p w:rsidR="00ED308B" w:rsidRPr="003810C3" w:rsidRDefault="00ED308B" w:rsidP="00395D27">
                            <w:pPr>
                              <w:jc w:val="center"/>
                            </w:pPr>
                          </w:p>
                        </w:txbxContent>
                      </v:textbox>
                    </v:roundrect>
                  </w:pict>
                </mc:Fallback>
              </mc:AlternateContent>
            </w:r>
            <w:r w:rsidR="00DE1BF1" w:rsidRPr="00127E4D">
              <w:rPr>
                <w:sz w:val="18"/>
                <w:szCs w:val="18"/>
              </w:rPr>
              <w:t>En examen</w:t>
            </w:r>
          </w:p>
        </w:tc>
        <w:tc>
          <w:tcPr>
            <w:tcW w:w="1417" w:type="dxa"/>
          </w:tcPr>
          <w:p w:rsidR="00395D27" w:rsidRPr="00127E4D" w:rsidRDefault="00395D27" w:rsidP="00ED308B">
            <w:pPr>
              <w:rPr>
                <w:sz w:val="18"/>
                <w:szCs w:val="18"/>
              </w:rPr>
            </w:pPr>
          </w:p>
        </w:tc>
        <w:tc>
          <w:tcPr>
            <w:tcW w:w="2517" w:type="dxa"/>
          </w:tcPr>
          <w:p w:rsidR="00395D27" w:rsidRPr="00127E4D" w:rsidRDefault="00365417" w:rsidP="00BE0444">
            <w:pPr>
              <w:pStyle w:val="ONUME"/>
              <w:numPr>
                <w:ilvl w:val="0"/>
                <w:numId w:val="0"/>
              </w:numPr>
            </w:pPr>
            <w:r w:rsidRPr="00127E4D">
              <w:rPr>
                <w:sz w:val="18"/>
                <w:szCs w:val="18"/>
              </w:rPr>
              <w:t xml:space="preserve">El 30 de mayo de 2014 el </w:t>
            </w:r>
            <w:r w:rsidR="00395D27" w:rsidRPr="00127E4D">
              <w:rPr>
                <w:sz w:val="18"/>
                <w:szCs w:val="18"/>
              </w:rPr>
              <w:t xml:space="preserve"> Director General </w:t>
            </w:r>
            <w:r w:rsidRPr="00127E4D">
              <w:rPr>
                <w:sz w:val="18"/>
                <w:szCs w:val="18"/>
              </w:rPr>
              <w:t xml:space="preserve">de la OMPI envió una carta al Presidente del Comité de Coordinación de la OMPI, señalando </w:t>
            </w:r>
            <w:r w:rsidR="00DE1BF1" w:rsidRPr="00127E4D">
              <w:rPr>
                <w:sz w:val="18"/>
                <w:szCs w:val="18"/>
              </w:rPr>
              <w:t xml:space="preserve">a </w:t>
            </w:r>
            <w:r w:rsidRPr="00127E4D">
              <w:rPr>
                <w:sz w:val="18"/>
                <w:szCs w:val="18"/>
              </w:rPr>
              <w:t>su atención esta recomendación.</w:t>
            </w:r>
            <w:r w:rsidR="00BE0444">
              <w:rPr>
                <w:sz w:val="18"/>
                <w:szCs w:val="18"/>
              </w:rPr>
              <w:t xml:space="preserve">  </w:t>
            </w:r>
            <w:r w:rsidR="00BE0444">
              <w:rPr>
                <w:rFonts w:eastAsia="Calibri"/>
                <w:sz w:val="18"/>
                <w:szCs w:val="18"/>
              </w:rPr>
              <w:t xml:space="preserve">El Director General volvió a enviar una carta al Presidente el 30 de julio de 2015 recordándole esta recomendación. </w:t>
            </w:r>
            <w:r w:rsidR="00BE0444" w:rsidRPr="00127E4D">
              <w:rPr>
                <w:rFonts w:eastAsia="Calibri"/>
                <w:sz w:val="18"/>
                <w:szCs w:val="18"/>
              </w:rPr>
              <w:t xml:space="preserve"> </w:t>
            </w:r>
          </w:p>
        </w:tc>
      </w:tr>
    </w:tbl>
    <w:p w:rsidR="00395D27" w:rsidRPr="00127E4D" w:rsidRDefault="00395D27" w:rsidP="00395D27"/>
    <w:p w:rsidR="00395D27" w:rsidRPr="00127E4D" w:rsidRDefault="00395D27" w:rsidP="00395D27"/>
    <w:p w:rsidR="00395D27" w:rsidRPr="00127E4D" w:rsidRDefault="00395D27" w:rsidP="00BE0444">
      <w:pPr>
        <w:pStyle w:val="ListParagraph"/>
        <w:keepNext/>
        <w:keepLines/>
        <w:numPr>
          <w:ilvl w:val="0"/>
          <w:numId w:val="11"/>
        </w:numPr>
      </w:pPr>
      <w:r w:rsidRPr="00127E4D">
        <w:lastRenderedPageBreak/>
        <w:t>JIU/2014/1 “</w:t>
      </w:r>
      <w:r w:rsidR="00341422" w:rsidRPr="00127E4D">
        <w:t>Análisis de la labor de movilización de recursos en el sistema de las Naciones Unidas</w:t>
      </w:r>
      <w:r w:rsidRPr="00127E4D">
        <w:t>”</w:t>
      </w:r>
    </w:p>
    <w:p w:rsidR="00395D27" w:rsidRPr="00127E4D" w:rsidRDefault="00395D27" w:rsidP="00BE0444">
      <w:pPr>
        <w:keepNext/>
        <w:keepLines/>
      </w:pPr>
    </w:p>
    <w:p w:rsidR="007B771E" w:rsidRPr="00127E4D" w:rsidRDefault="007B771E" w:rsidP="00BE0444">
      <w:pPr>
        <w:keepNext/>
        <w:keepLines/>
      </w:pPr>
      <w:r w:rsidRPr="00127E4D">
        <w:t>La DCI emitió este informe el 5 de agosto de 2014.  Por lo tanto, todas las recomendaciones son nuevas en el contexto del informe sobre los avances que se presenta a los Estados miembros.</w:t>
      </w:r>
    </w:p>
    <w:p w:rsidR="00395D27" w:rsidRDefault="00395D27" w:rsidP="00BE0444">
      <w:pPr>
        <w:keepNext/>
        <w:keepLines/>
      </w:pPr>
    </w:p>
    <w:p w:rsidR="00395D27" w:rsidRPr="00127E4D" w:rsidRDefault="00395D27" w:rsidP="00BE0444">
      <w:pPr>
        <w:keepNext/>
        <w:keepLines/>
      </w:pPr>
    </w:p>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395D27" w:rsidRPr="00127E4D" w:rsidTr="00ED308B">
        <w:trPr>
          <w:tblHeader/>
        </w:trPr>
        <w:tc>
          <w:tcPr>
            <w:tcW w:w="2660" w:type="dxa"/>
            <w:vMerge w:val="restart"/>
            <w:shd w:val="clear" w:color="auto" w:fill="B6DDE8" w:themeFill="accent5" w:themeFillTint="66"/>
            <w:tcMar>
              <w:top w:w="85" w:type="dxa"/>
              <w:bottom w:w="85" w:type="dxa"/>
            </w:tcMar>
            <w:vAlign w:val="center"/>
          </w:tcPr>
          <w:p w:rsidR="00395D27" w:rsidRPr="00127E4D" w:rsidRDefault="00AF12F1" w:rsidP="00BE0444">
            <w:pPr>
              <w:keepNext/>
              <w:keepLines/>
              <w:jc w:val="center"/>
              <w:rPr>
                <w:b/>
                <w:sz w:val="18"/>
                <w:szCs w:val="18"/>
              </w:rPr>
            </w:pPr>
            <w:r w:rsidRPr="00127E4D">
              <w:rPr>
                <w:b/>
                <w:sz w:val="18"/>
                <w:szCs w:val="18"/>
              </w:rPr>
              <w:t>Recomendación</w:t>
            </w:r>
          </w:p>
        </w:tc>
        <w:tc>
          <w:tcPr>
            <w:tcW w:w="1559" w:type="dxa"/>
            <w:vMerge w:val="restart"/>
            <w:shd w:val="clear" w:color="auto" w:fill="B6DDE8" w:themeFill="accent5" w:themeFillTint="66"/>
            <w:tcMar>
              <w:top w:w="85" w:type="dxa"/>
              <w:bottom w:w="85" w:type="dxa"/>
            </w:tcMar>
            <w:vAlign w:val="center"/>
          </w:tcPr>
          <w:p w:rsidR="00395D27" w:rsidRPr="00127E4D" w:rsidRDefault="000E1077" w:rsidP="00BE0444">
            <w:pPr>
              <w:keepNext/>
              <w:keepLines/>
              <w:jc w:val="center"/>
              <w:rPr>
                <w:b/>
                <w:sz w:val="18"/>
                <w:szCs w:val="18"/>
              </w:rPr>
            </w:pPr>
            <w:r w:rsidRPr="00127E4D">
              <w:rPr>
                <w:b/>
                <w:sz w:val="18"/>
                <w:szCs w:val="18"/>
              </w:rPr>
              <w:t>Funcionario encargado</w:t>
            </w:r>
          </w:p>
        </w:tc>
        <w:tc>
          <w:tcPr>
            <w:tcW w:w="2835" w:type="dxa"/>
            <w:gridSpan w:val="2"/>
            <w:shd w:val="clear" w:color="auto" w:fill="B6DDE8" w:themeFill="accent5" w:themeFillTint="66"/>
            <w:tcMar>
              <w:top w:w="85" w:type="dxa"/>
              <w:bottom w:w="85" w:type="dxa"/>
            </w:tcMar>
            <w:vAlign w:val="center"/>
          </w:tcPr>
          <w:p w:rsidR="00395D27" w:rsidRPr="00127E4D" w:rsidRDefault="000E1077" w:rsidP="00BE0444">
            <w:pPr>
              <w:keepNext/>
              <w:keepLines/>
              <w:jc w:val="center"/>
              <w:rPr>
                <w:b/>
                <w:sz w:val="18"/>
                <w:szCs w:val="18"/>
              </w:rPr>
            </w:pPr>
            <w:r w:rsidRPr="00127E4D">
              <w:rPr>
                <w:b/>
                <w:sz w:val="18"/>
                <w:szCs w:val="18"/>
              </w:rPr>
              <w:t>Estado de aceptación</w:t>
            </w:r>
          </w:p>
        </w:tc>
        <w:tc>
          <w:tcPr>
            <w:tcW w:w="2517" w:type="dxa"/>
            <w:vMerge w:val="restart"/>
            <w:shd w:val="clear" w:color="auto" w:fill="B6DDE8" w:themeFill="accent5" w:themeFillTint="66"/>
            <w:tcMar>
              <w:top w:w="85" w:type="dxa"/>
              <w:bottom w:w="85" w:type="dxa"/>
            </w:tcMar>
            <w:vAlign w:val="center"/>
          </w:tcPr>
          <w:p w:rsidR="00395D27" w:rsidRPr="00127E4D" w:rsidRDefault="00D971F8" w:rsidP="00BE0444">
            <w:pPr>
              <w:keepNext/>
              <w:keepLines/>
              <w:jc w:val="center"/>
              <w:rPr>
                <w:b/>
                <w:sz w:val="18"/>
                <w:szCs w:val="18"/>
              </w:rPr>
            </w:pPr>
            <w:r w:rsidRPr="00127E4D">
              <w:rPr>
                <w:b/>
                <w:sz w:val="18"/>
                <w:szCs w:val="18"/>
              </w:rPr>
              <w:t>Evaluación Equipo directivo/Coordinador</w:t>
            </w:r>
          </w:p>
        </w:tc>
      </w:tr>
      <w:tr w:rsidR="00395D27" w:rsidRPr="00127E4D" w:rsidTr="00ED308B">
        <w:trPr>
          <w:tblHeader/>
        </w:trPr>
        <w:tc>
          <w:tcPr>
            <w:tcW w:w="2660" w:type="dxa"/>
            <w:vMerge/>
            <w:shd w:val="clear" w:color="auto" w:fill="B6DDE8" w:themeFill="accent5" w:themeFillTint="66"/>
            <w:tcMar>
              <w:top w:w="85" w:type="dxa"/>
              <w:bottom w:w="85" w:type="dxa"/>
            </w:tcMar>
          </w:tcPr>
          <w:p w:rsidR="00395D27" w:rsidRPr="00127E4D" w:rsidRDefault="00395D27" w:rsidP="00BE0444">
            <w:pPr>
              <w:keepNext/>
              <w:keepLines/>
              <w:rPr>
                <w:b/>
                <w:sz w:val="18"/>
                <w:szCs w:val="18"/>
              </w:rPr>
            </w:pPr>
          </w:p>
        </w:tc>
        <w:tc>
          <w:tcPr>
            <w:tcW w:w="1559" w:type="dxa"/>
            <w:vMerge/>
            <w:shd w:val="clear" w:color="auto" w:fill="B6DDE8" w:themeFill="accent5" w:themeFillTint="66"/>
            <w:tcMar>
              <w:top w:w="85" w:type="dxa"/>
              <w:bottom w:w="85" w:type="dxa"/>
            </w:tcMar>
          </w:tcPr>
          <w:p w:rsidR="00395D27" w:rsidRPr="00127E4D" w:rsidRDefault="00395D27" w:rsidP="00ED308B">
            <w:pPr>
              <w:rPr>
                <w:b/>
                <w:sz w:val="18"/>
                <w:szCs w:val="18"/>
              </w:rPr>
            </w:pPr>
          </w:p>
        </w:tc>
        <w:tc>
          <w:tcPr>
            <w:tcW w:w="1418" w:type="dxa"/>
            <w:shd w:val="clear" w:color="auto" w:fill="B6DDE8" w:themeFill="accent5" w:themeFillTint="66"/>
            <w:tcMar>
              <w:top w:w="85" w:type="dxa"/>
              <w:bottom w:w="85" w:type="dxa"/>
            </w:tcMar>
            <w:vAlign w:val="center"/>
          </w:tcPr>
          <w:p w:rsidR="00395D27" w:rsidRPr="00127E4D" w:rsidRDefault="000E1077" w:rsidP="00ED308B">
            <w:pPr>
              <w:jc w:val="center"/>
              <w:rPr>
                <w:b/>
                <w:sz w:val="16"/>
                <w:szCs w:val="18"/>
              </w:rPr>
            </w:pPr>
            <w:r w:rsidRPr="00127E4D">
              <w:rPr>
                <w:b/>
                <w:sz w:val="16"/>
                <w:szCs w:val="18"/>
              </w:rPr>
              <w:t>Aceptación</w:t>
            </w:r>
          </w:p>
        </w:tc>
        <w:tc>
          <w:tcPr>
            <w:tcW w:w="1417" w:type="dxa"/>
            <w:shd w:val="clear" w:color="auto" w:fill="B6DDE8" w:themeFill="accent5" w:themeFillTint="66"/>
            <w:tcMar>
              <w:top w:w="85" w:type="dxa"/>
              <w:bottom w:w="85" w:type="dxa"/>
            </w:tcMar>
            <w:vAlign w:val="center"/>
          </w:tcPr>
          <w:p w:rsidR="00395D27" w:rsidRPr="00127E4D" w:rsidRDefault="000E1077" w:rsidP="00ED308B">
            <w:pPr>
              <w:jc w:val="center"/>
              <w:rPr>
                <w:b/>
                <w:sz w:val="16"/>
                <w:szCs w:val="18"/>
              </w:rPr>
            </w:pPr>
            <w:r w:rsidRPr="00127E4D">
              <w:rPr>
                <w:b/>
                <w:sz w:val="16"/>
                <w:szCs w:val="18"/>
              </w:rPr>
              <w:t>Aplicación</w:t>
            </w:r>
          </w:p>
        </w:tc>
        <w:tc>
          <w:tcPr>
            <w:tcW w:w="2517" w:type="dxa"/>
            <w:vMerge/>
            <w:shd w:val="clear" w:color="auto" w:fill="B6DDE8" w:themeFill="accent5" w:themeFillTint="66"/>
            <w:tcMar>
              <w:top w:w="85" w:type="dxa"/>
              <w:bottom w:w="85" w:type="dxa"/>
            </w:tcMar>
          </w:tcPr>
          <w:p w:rsidR="00395D27" w:rsidRPr="00127E4D" w:rsidRDefault="00395D27" w:rsidP="00ED308B">
            <w:pPr>
              <w:rPr>
                <w:b/>
                <w:sz w:val="18"/>
                <w:szCs w:val="18"/>
              </w:rPr>
            </w:pPr>
          </w:p>
        </w:tc>
      </w:tr>
      <w:tr w:rsidR="00395D27" w:rsidRPr="00127E4D" w:rsidTr="00ED308B">
        <w:tc>
          <w:tcPr>
            <w:tcW w:w="2660" w:type="dxa"/>
            <w:tcMar>
              <w:top w:w="85" w:type="dxa"/>
              <w:bottom w:w="85" w:type="dxa"/>
            </w:tcMar>
          </w:tcPr>
          <w:p w:rsidR="00395D27" w:rsidRPr="00127E4D" w:rsidRDefault="00395D27" w:rsidP="00BE0444">
            <w:pPr>
              <w:keepNext/>
              <w:keepLines/>
              <w:rPr>
                <w:sz w:val="18"/>
                <w:szCs w:val="18"/>
              </w:rPr>
            </w:pPr>
            <w:r w:rsidRPr="00127E4D">
              <w:rPr>
                <w:bCs/>
                <w:noProof/>
                <w:sz w:val="18"/>
                <w:szCs w:val="18"/>
                <w:lang w:val="en-US" w:eastAsia="en-US"/>
              </w:rPr>
              <w:drawing>
                <wp:anchor distT="0" distB="0" distL="114300" distR="114300" simplePos="0" relativeHeight="251664384" behindDoc="1" locked="0" layoutInCell="1" allowOverlap="1" wp14:anchorId="79321AAD" wp14:editId="12365024">
                  <wp:simplePos x="0" y="0"/>
                  <wp:positionH relativeFrom="column">
                    <wp:posOffset>33020</wp:posOffset>
                  </wp:positionH>
                  <wp:positionV relativeFrom="paragraph">
                    <wp:posOffset>-1270</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20" name="Picture 20"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7E4D">
              <w:rPr>
                <w:rFonts w:eastAsiaTheme="minorHAnsi"/>
                <w:sz w:val="18"/>
                <w:szCs w:val="18"/>
                <w:lang w:eastAsia="en-US"/>
              </w:rPr>
              <w:t>Rec</w:t>
            </w:r>
            <w:r w:rsidR="003217E8" w:rsidRPr="00127E4D">
              <w:rPr>
                <w:rFonts w:eastAsiaTheme="minorHAnsi"/>
                <w:sz w:val="18"/>
                <w:szCs w:val="18"/>
                <w:lang w:eastAsia="en-US"/>
              </w:rPr>
              <w:t>. 1</w:t>
            </w:r>
            <w:r w:rsidRPr="00127E4D">
              <w:rPr>
                <w:rFonts w:eastAsiaTheme="minorHAnsi"/>
                <w:sz w:val="18"/>
                <w:szCs w:val="18"/>
                <w:lang w:eastAsia="en-US"/>
              </w:rPr>
              <w:t xml:space="preserve"> </w:t>
            </w:r>
            <w:r w:rsidR="006D1E3C" w:rsidRPr="00127E4D">
              <w:rPr>
                <w:rFonts w:eastAsiaTheme="minorHAnsi"/>
                <w:sz w:val="18"/>
                <w:szCs w:val="18"/>
                <w:lang w:eastAsia="en-US"/>
              </w:rPr>
              <w:t xml:space="preserve">Los órganos legislativos de las </w:t>
            </w:r>
            <w:r w:rsidR="006D1E3C" w:rsidRPr="00127E4D">
              <w:rPr>
                <w:sz w:val="18"/>
              </w:rPr>
              <w:t>organizaciones</w:t>
            </w:r>
            <w:r w:rsidR="006D1E3C" w:rsidRPr="00127E4D">
              <w:rPr>
                <w:rFonts w:eastAsiaTheme="minorHAnsi"/>
                <w:sz w:val="18"/>
                <w:szCs w:val="18"/>
                <w:lang w:eastAsia="en-US"/>
              </w:rPr>
              <w:t xml:space="preserve"> del sistema de las Naciones Unidas deberían revisar periódicamente la estrategia o política de movilización de recursos, entre otras cosas orientando desde el punto de vista político, y supervisando, la ejecución de dicha estrategia o política, y velando por que las actualizaciones periódicas de que sea objeto se sometan a seguimiento y </w:t>
            </w:r>
            <w:r w:rsidR="00127E4D" w:rsidRPr="00127E4D">
              <w:rPr>
                <w:rFonts w:eastAsiaTheme="minorHAnsi"/>
                <w:sz w:val="18"/>
                <w:szCs w:val="18"/>
                <w:lang w:eastAsia="en-US"/>
              </w:rPr>
              <w:t>revisión</w:t>
            </w:r>
            <w:r w:rsidR="006D1E3C" w:rsidRPr="00127E4D">
              <w:rPr>
                <w:rFonts w:eastAsiaTheme="minorHAnsi"/>
                <w:sz w:val="18"/>
                <w:szCs w:val="18"/>
                <w:lang w:eastAsia="en-US"/>
              </w:rPr>
              <w:t>.</w:t>
            </w:r>
          </w:p>
        </w:tc>
        <w:tc>
          <w:tcPr>
            <w:tcW w:w="1559" w:type="dxa"/>
            <w:tcMar>
              <w:top w:w="85" w:type="dxa"/>
              <w:bottom w:w="85" w:type="dxa"/>
            </w:tcMar>
          </w:tcPr>
          <w:p w:rsidR="00F11530" w:rsidRPr="00127E4D" w:rsidRDefault="00F11530" w:rsidP="00F11530">
            <w:pPr>
              <w:rPr>
                <w:rFonts w:eastAsia="Calibri"/>
                <w:sz w:val="18"/>
                <w:szCs w:val="18"/>
              </w:rPr>
            </w:pPr>
            <w:r w:rsidRPr="00127E4D">
              <w:rPr>
                <w:rFonts w:eastAsia="Calibri"/>
                <w:sz w:val="18"/>
                <w:szCs w:val="18"/>
              </w:rPr>
              <w:t>Directora, Dep</w:t>
            </w:r>
            <w:r w:rsidR="0020395E" w:rsidRPr="00127E4D">
              <w:rPr>
                <w:rFonts w:eastAsia="Calibri"/>
                <w:sz w:val="18"/>
                <w:szCs w:val="18"/>
              </w:rPr>
              <w:t>artamen</w:t>
            </w:r>
            <w:r w:rsidRPr="00127E4D">
              <w:rPr>
                <w:rFonts w:eastAsia="Calibri"/>
                <w:sz w:val="18"/>
                <w:szCs w:val="18"/>
              </w:rPr>
              <w:t>to de Planificación de Programas y Finanzas (Contralor)</w:t>
            </w:r>
          </w:p>
          <w:p w:rsidR="00395D27" w:rsidRPr="00127E4D" w:rsidRDefault="00395D27" w:rsidP="00ED308B">
            <w:pPr>
              <w:rPr>
                <w:sz w:val="18"/>
                <w:szCs w:val="18"/>
              </w:rPr>
            </w:pPr>
          </w:p>
        </w:tc>
        <w:tc>
          <w:tcPr>
            <w:tcW w:w="1418" w:type="dxa"/>
            <w:tcMar>
              <w:top w:w="85" w:type="dxa"/>
              <w:bottom w:w="85" w:type="dxa"/>
            </w:tcMar>
          </w:tcPr>
          <w:p w:rsidR="00395D27" w:rsidRPr="00127E4D" w:rsidRDefault="008D6382" w:rsidP="00ED308B">
            <w:pPr>
              <w:rPr>
                <w:sz w:val="18"/>
                <w:szCs w:val="18"/>
              </w:rPr>
            </w:pPr>
            <w:r w:rsidRPr="00127E4D">
              <w:rPr>
                <w:sz w:val="18"/>
                <w:szCs w:val="18"/>
              </w:rPr>
              <w:t>Aceptada</w:t>
            </w:r>
          </w:p>
        </w:tc>
        <w:tc>
          <w:tcPr>
            <w:tcW w:w="1417" w:type="dxa"/>
            <w:tcMar>
              <w:top w:w="85" w:type="dxa"/>
              <w:bottom w:w="85" w:type="dxa"/>
            </w:tcMar>
          </w:tcPr>
          <w:p w:rsidR="00395D27" w:rsidRPr="00127E4D" w:rsidRDefault="008D6382" w:rsidP="00ED308B">
            <w:pPr>
              <w:rPr>
                <w:sz w:val="18"/>
                <w:szCs w:val="18"/>
              </w:rPr>
            </w:pPr>
            <w:r w:rsidRPr="00127E4D">
              <w:rPr>
                <w:sz w:val="18"/>
                <w:szCs w:val="18"/>
              </w:rPr>
              <w:t>Aplicada</w:t>
            </w:r>
          </w:p>
        </w:tc>
        <w:tc>
          <w:tcPr>
            <w:tcW w:w="2517" w:type="dxa"/>
            <w:tcMar>
              <w:top w:w="85" w:type="dxa"/>
              <w:bottom w:w="85" w:type="dxa"/>
            </w:tcMar>
          </w:tcPr>
          <w:p w:rsidR="00395D27" w:rsidRPr="00127E4D" w:rsidRDefault="003217E8" w:rsidP="0084232F">
            <w:pPr>
              <w:rPr>
                <w:sz w:val="18"/>
                <w:szCs w:val="18"/>
              </w:rPr>
            </w:pPr>
            <w:r w:rsidRPr="00127E4D">
              <w:rPr>
                <w:sz w:val="18"/>
              </w:rPr>
              <w:t>Se</w:t>
            </w:r>
            <w:r w:rsidRPr="00127E4D">
              <w:rPr>
                <w:rFonts w:eastAsiaTheme="minorHAnsi"/>
                <w:sz w:val="18"/>
                <w:lang w:eastAsia="en-US"/>
              </w:rPr>
              <w:t xml:space="preserve"> proporciona información per</w:t>
            </w:r>
            <w:r w:rsidR="00271608" w:rsidRPr="00127E4D">
              <w:rPr>
                <w:rFonts w:eastAsiaTheme="minorHAnsi"/>
                <w:sz w:val="18"/>
                <w:lang w:eastAsia="en-US"/>
              </w:rPr>
              <w:t>ió</w:t>
            </w:r>
            <w:r w:rsidRPr="00127E4D">
              <w:rPr>
                <w:rFonts w:eastAsiaTheme="minorHAnsi"/>
                <w:sz w:val="18"/>
                <w:lang w:eastAsia="en-US"/>
              </w:rPr>
              <w:t>dicamente a los órganos legislativos de la OMPI, por medio del Comité del Programa y Presupuesto,  así como en las reuniones de las Asambleas de los Estados miembros en relación con la movilización y la utilización de las contribuciones voluntarias proporcionadas por los donantes a la Organización.  Est</w:t>
            </w:r>
            <w:r w:rsidR="0084232F">
              <w:rPr>
                <w:rFonts w:eastAsiaTheme="minorHAnsi"/>
                <w:sz w:val="18"/>
                <w:lang w:eastAsia="en-US"/>
              </w:rPr>
              <w:t>a labor se lleva a cabo</w:t>
            </w:r>
            <w:r w:rsidRPr="00127E4D">
              <w:rPr>
                <w:rFonts w:eastAsiaTheme="minorHAnsi"/>
                <w:sz w:val="18"/>
                <w:lang w:eastAsia="en-US"/>
              </w:rPr>
              <w:t xml:space="preserve"> mediante el documento del presupuesto por programas, el Informe de gestión financiera y el Informe sobre el rendimiento de los programas.</w:t>
            </w:r>
          </w:p>
        </w:tc>
      </w:tr>
      <w:tr w:rsidR="00395D27" w:rsidRPr="00127E4D" w:rsidTr="00ED308B">
        <w:tc>
          <w:tcPr>
            <w:tcW w:w="2660" w:type="dxa"/>
            <w:tcMar>
              <w:top w:w="85" w:type="dxa"/>
              <w:bottom w:w="85" w:type="dxa"/>
            </w:tcMar>
          </w:tcPr>
          <w:p w:rsidR="003217E8" w:rsidRPr="00127E4D" w:rsidRDefault="00395D27" w:rsidP="003217E8">
            <w:pPr>
              <w:rPr>
                <w:rFonts w:eastAsia="Times New Roman"/>
                <w:sz w:val="18"/>
                <w:szCs w:val="18"/>
              </w:rPr>
            </w:pPr>
            <w:r w:rsidRPr="00127E4D">
              <w:rPr>
                <w:bCs/>
                <w:noProof/>
                <w:sz w:val="18"/>
                <w:szCs w:val="18"/>
                <w:lang w:val="en-US" w:eastAsia="en-US"/>
              </w:rPr>
              <w:drawing>
                <wp:anchor distT="0" distB="0" distL="114300" distR="114300" simplePos="0" relativeHeight="251665408" behindDoc="1" locked="0" layoutInCell="1" allowOverlap="1" wp14:anchorId="5C7725B4" wp14:editId="61EE6280">
                  <wp:simplePos x="0" y="0"/>
                  <wp:positionH relativeFrom="column">
                    <wp:posOffset>-39370</wp:posOffset>
                  </wp:positionH>
                  <wp:positionV relativeFrom="paragraph">
                    <wp:posOffset>-66675</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21" name="Picture 21"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7E4D">
              <w:rPr>
                <w:rFonts w:eastAsia="Times New Roman"/>
                <w:sz w:val="18"/>
                <w:szCs w:val="18"/>
              </w:rPr>
              <w:t xml:space="preserve">Rec. 2  </w:t>
            </w:r>
            <w:r w:rsidR="003217E8" w:rsidRPr="00127E4D">
              <w:rPr>
                <w:rFonts w:eastAsia="Times New Roman"/>
                <w:sz w:val="18"/>
                <w:szCs w:val="18"/>
              </w:rPr>
              <w:t>La Asamblea General de las Naciones Unidas y los órganos legislativos de las organizaciones del sistema de las Naciones Unidas deberían pedir a los Estados miembros que, al hacer contribuciones con fines concretos, estas sean previsibles, se inscriban en el largo plazo y se ajusten al mandato básico y a las prioridades de las organizaciones.</w:t>
            </w:r>
          </w:p>
          <w:p w:rsidR="00395D27" w:rsidRPr="00127E4D" w:rsidRDefault="00395D27" w:rsidP="00ED308B">
            <w:pPr>
              <w:rPr>
                <w:sz w:val="18"/>
                <w:szCs w:val="18"/>
              </w:rPr>
            </w:pPr>
          </w:p>
        </w:tc>
        <w:tc>
          <w:tcPr>
            <w:tcW w:w="1559" w:type="dxa"/>
            <w:tcMar>
              <w:top w:w="85" w:type="dxa"/>
              <w:bottom w:w="85" w:type="dxa"/>
            </w:tcMar>
          </w:tcPr>
          <w:p w:rsidR="00395D27" w:rsidRPr="00127E4D" w:rsidRDefault="00395D27" w:rsidP="00BE0444">
            <w:pPr>
              <w:rPr>
                <w:rFonts w:eastAsia="Calibri"/>
                <w:sz w:val="18"/>
                <w:szCs w:val="18"/>
              </w:rPr>
            </w:pPr>
            <w:r w:rsidRPr="00127E4D">
              <w:rPr>
                <w:rFonts w:eastAsia="Calibri"/>
                <w:sz w:val="18"/>
                <w:szCs w:val="18"/>
              </w:rPr>
              <w:t>Director</w:t>
            </w:r>
            <w:r w:rsidR="00BE0444">
              <w:rPr>
                <w:rFonts w:eastAsia="Calibri"/>
                <w:sz w:val="18"/>
                <w:szCs w:val="18"/>
              </w:rPr>
              <w:t>a</w:t>
            </w:r>
            <w:r w:rsidRPr="00127E4D">
              <w:rPr>
                <w:rFonts w:eastAsia="Calibri"/>
                <w:sz w:val="18"/>
                <w:szCs w:val="18"/>
              </w:rPr>
              <w:t xml:space="preserve">, </w:t>
            </w:r>
            <w:r w:rsidR="003217E8" w:rsidRPr="00127E4D">
              <w:rPr>
                <w:rFonts w:eastAsia="Calibri"/>
                <w:sz w:val="18"/>
                <w:szCs w:val="18"/>
              </w:rPr>
              <w:t>División de Relaciones Exteriores</w:t>
            </w:r>
          </w:p>
        </w:tc>
        <w:tc>
          <w:tcPr>
            <w:tcW w:w="1418" w:type="dxa"/>
            <w:tcMar>
              <w:top w:w="85" w:type="dxa"/>
              <w:bottom w:w="85" w:type="dxa"/>
            </w:tcMar>
          </w:tcPr>
          <w:p w:rsidR="00395D27" w:rsidRPr="00127E4D" w:rsidRDefault="008D6382" w:rsidP="00ED308B">
            <w:pPr>
              <w:rPr>
                <w:sz w:val="18"/>
                <w:szCs w:val="18"/>
              </w:rPr>
            </w:pPr>
            <w:r w:rsidRPr="00127E4D">
              <w:rPr>
                <w:sz w:val="18"/>
                <w:szCs w:val="18"/>
              </w:rPr>
              <w:t>Aceptada</w:t>
            </w:r>
            <w:r w:rsidR="00395D27" w:rsidRPr="00127E4D">
              <w:rPr>
                <w:sz w:val="18"/>
                <w:szCs w:val="18"/>
              </w:rPr>
              <w:t xml:space="preserve"> </w:t>
            </w:r>
          </w:p>
        </w:tc>
        <w:tc>
          <w:tcPr>
            <w:tcW w:w="1417" w:type="dxa"/>
            <w:tcMar>
              <w:top w:w="85" w:type="dxa"/>
              <w:bottom w:w="85" w:type="dxa"/>
            </w:tcMar>
          </w:tcPr>
          <w:p w:rsidR="00395D27" w:rsidRPr="00127E4D" w:rsidRDefault="008D6382" w:rsidP="00ED308B">
            <w:pPr>
              <w:rPr>
                <w:sz w:val="18"/>
                <w:szCs w:val="18"/>
              </w:rPr>
            </w:pPr>
            <w:r w:rsidRPr="00127E4D">
              <w:rPr>
                <w:sz w:val="18"/>
                <w:szCs w:val="18"/>
              </w:rPr>
              <w:t>Aplicada</w:t>
            </w:r>
          </w:p>
        </w:tc>
        <w:tc>
          <w:tcPr>
            <w:tcW w:w="2517" w:type="dxa"/>
            <w:tcMar>
              <w:top w:w="85" w:type="dxa"/>
              <w:bottom w:w="85" w:type="dxa"/>
            </w:tcMar>
          </w:tcPr>
          <w:p w:rsidR="00395D27" w:rsidRPr="00127E4D" w:rsidRDefault="003217E8" w:rsidP="00F44EA4">
            <w:pPr>
              <w:rPr>
                <w:sz w:val="18"/>
              </w:rPr>
            </w:pPr>
            <w:r w:rsidRPr="00127E4D">
              <w:rPr>
                <w:sz w:val="18"/>
              </w:rPr>
              <w:t xml:space="preserve">El Reglamento Financiero y la Reglamentación Financiera de la OMPI exigen que la aceptación de contribuciones esté en concordancia con las políticas, objetivos y actividades de la Organización.  Al </w:t>
            </w:r>
            <w:r w:rsidR="008946E1" w:rsidRPr="00127E4D">
              <w:rPr>
                <w:sz w:val="18"/>
              </w:rPr>
              <w:t xml:space="preserve">suscribir </w:t>
            </w:r>
            <w:r w:rsidRPr="00127E4D">
              <w:rPr>
                <w:sz w:val="18"/>
              </w:rPr>
              <w:t xml:space="preserve">acuerdos de financiación con los donantes, </w:t>
            </w:r>
            <w:r w:rsidR="008946E1" w:rsidRPr="00127E4D">
              <w:rPr>
                <w:sz w:val="18"/>
              </w:rPr>
              <w:t xml:space="preserve">la OMPI vincula los objetivos de las contribuciones a los correspondientes resultados previstos de la Organización, y </w:t>
            </w:r>
            <w:r w:rsidR="00F44EA4" w:rsidRPr="00127E4D">
              <w:rPr>
                <w:sz w:val="18"/>
              </w:rPr>
              <w:t xml:space="preserve">en la medida de lo </w:t>
            </w:r>
            <w:r w:rsidR="008946E1" w:rsidRPr="00127E4D">
              <w:rPr>
                <w:sz w:val="18"/>
              </w:rPr>
              <w:t>posible, trata de suscribir acuerdos de financiación a largo plazo.</w:t>
            </w:r>
          </w:p>
        </w:tc>
      </w:tr>
    </w:tbl>
    <w:p w:rsidR="00395D27" w:rsidRPr="00127E4D" w:rsidRDefault="00395D27" w:rsidP="00395D27">
      <w:pPr>
        <w:rPr>
          <w:b/>
        </w:rPr>
      </w:pPr>
    </w:p>
    <w:p w:rsidR="00395D27" w:rsidRPr="00127E4D" w:rsidRDefault="00395D27" w:rsidP="00395D27">
      <w:r w:rsidRPr="00127E4D">
        <w:rPr>
          <w:b/>
        </w:rPr>
        <w:br w:type="page"/>
      </w:r>
      <w:r w:rsidRPr="00127E4D">
        <w:lastRenderedPageBreak/>
        <w:t>II.</w:t>
      </w:r>
      <w:r w:rsidRPr="00127E4D">
        <w:tab/>
      </w:r>
      <w:r w:rsidR="0059519A" w:rsidRPr="00127E4D">
        <w:t xml:space="preserve">RECOMENDACIONES PROCEDENTES DE LOS EXÁMENES DE LA DCI EFECTUADOS EN </w:t>
      </w:r>
      <w:r w:rsidRPr="00127E4D">
        <w:t>2012</w:t>
      </w:r>
    </w:p>
    <w:p w:rsidR="00395D27" w:rsidRPr="00127E4D" w:rsidRDefault="00395D27" w:rsidP="00395D27"/>
    <w:p w:rsidR="00395D27" w:rsidRPr="00127E4D" w:rsidRDefault="00395D27" w:rsidP="00395D27"/>
    <w:p w:rsidR="00395D27" w:rsidRPr="00127E4D" w:rsidRDefault="00395D27" w:rsidP="00395D27">
      <w:pPr>
        <w:pStyle w:val="ListParagraph"/>
        <w:numPr>
          <w:ilvl w:val="0"/>
          <w:numId w:val="12"/>
        </w:numPr>
      </w:pPr>
      <w:r w:rsidRPr="00127E4D">
        <w:t>JIU/REP/2012/12, “</w:t>
      </w:r>
      <w:r w:rsidR="00F44EA4" w:rsidRPr="00127E4D">
        <w:t>Planificación estratégica en el sistema de las Naciones Unidas</w:t>
      </w:r>
      <w:r w:rsidRPr="00127E4D">
        <w:t>”</w:t>
      </w:r>
    </w:p>
    <w:p w:rsidR="00395D27" w:rsidRPr="00127E4D" w:rsidRDefault="00395D27" w:rsidP="00395D27"/>
    <w:p w:rsidR="00395D27" w:rsidRPr="00127E4D" w:rsidRDefault="00395D27" w:rsidP="00395D27"/>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395D27" w:rsidRPr="00127E4D" w:rsidTr="00ED308B">
        <w:trPr>
          <w:tblHeader/>
        </w:trPr>
        <w:tc>
          <w:tcPr>
            <w:tcW w:w="2660" w:type="dxa"/>
            <w:vMerge w:val="restart"/>
            <w:shd w:val="clear" w:color="auto" w:fill="B6DDE8" w:themeFill="accent5" w:themeFillTint="66"/>
            <w:tcMar>
              <w:top w:w="85" w:type="dxa"/>
              <w:bottom w:w="85" w:type="dxa"/>
            </w:tcMar>
            <w:vAlign w:val="center"/>
          </w:tcPr>
          <w:p w:rsidR="00395D27" w:rsidRPr="00127E4D" w:rsidRDefault="00AF12F1" w:rsidP="00ED308B">
            <w:pPr>
              <w:jc w:val="center"/>
              <w:rPr>
                <w:b/>
                <w:sz w:val="18"/>
                <w:szCs w:val="18"/>
              </w:rPr>
            </w:pPr>
            <w:r w:rsidRPr="00127E4D">
              <w:rPr>
                <w:b/>
                <w:sz w:val="18"/>
                <w:szCs w:val="18"/>
              </w:rPr>
              <w:t>Recomendación</w:t>
            </w:r>
          </w:p>
        </w:tc>
        <w:tc>
          <w:tcPr>
            <w:tcW w:w="1559" w:type="dxa"/>
            <w:vMerge w:val="restart"/>
            <w:shd w:val="clear" w:color="auto" w:fill="B6DDE8" w:themeFill="accent5" w:themeFillTint="66"/>
            <w:tcMar>
              <w:top w:w="85" w:type="dxa"/>
              <w:bottom w:w="85" w:type="dxa"/>
            </w:tcMar>
            <w:vAlign w:val="center"/>
          </w:tcPr>
          <w:p w:rsidR="00395D27" w:rsidRPr="00127E4D" w:rsidRDefault="000E1077" w:rsidP="00ED308B">
            <w:pPr>
              <w:jc w:val="center"/>
              <w:rPr>
                <w:b/>
                <w:sz w:val="18"/>
                <w:szCs w:val="18"/>
              </w:rPr>
            </w:pPr>
            <w:r w:rsidRPr="00127E4D">
              <w:rPr>
                <w:b/>
                <w:sz w:val="18"/>
                <w:szCs w:val="18"/>
              </w:rPr>
              <w:t>Funcionario encargado</w:t>
            </w:r>
          </w:p>
        </w:tc>
        <w:tc>
          <w:tcPr>
            <w:tcW w:w="2835" w:type="dxa"/>
            <w:gridSpan w:val="2"/>
            <w:shd w:val="clear" w:color="auto" w:fill="B6DDE8" w:themeFill="accent5" w:themeFillTint="66"/>
            <w:tcMar>
              <w:top w:w="85" w:type="dxa"/>
              <w:bottom w:w="85" w:type="dxa"/>
            </w:tcMar>
            <w:vAlign w:val="center"/>
          </w:tcPr>
          <w:p w:rsidR="00395D27" w:rsidRPr="00127E4D" w:rsidRDefault="000E1077" w:rsidP="00ED308B">
            <w:pPr>
              <w:jc w:val="center"/>
              <w:rPr>
                <w:b/>
                <w:sz w:val="18"/>
                <w:szCs w:val="18"/>
              </w:rPr>
            </w:pPr>
            <w:r w:rsidRPr="00127E4D">
              <w:rPr>
                <w:b/>
                <w:sz w:val="18"/>
                <w:szCs w:val="18"/>
              </w:rPr>
              <w:t>Estado de aceptación</w:t>
            </w:r>
          </w:p>
        </w:tc>
        <w:tc>
          <w:tcPr>
            <w:tcW w:w="2517" w:type="dxa"/>
            <w:vMerge w:val="restart"/>
            <w:shd w:val="clear" w:color="auto" w:fill="B6DDE8" w:themeFill="accent5" w:themeFillTint="66"/>
            <w:tcMar>
              <w:top w:w="85" w:type="dxa"/>
              <w:bottom w:w="85" w:type="dxa"/>
            </w:tcMar>
            <w:vAlign w:val="center"/>
          </w:tcPr>
          <w:p w:rsidR="00395D27" w:rsidRPr="00127E4D" w:rsidRDefault="00D971F8" w:rsidP="00ED308B">
            <w:pPr>
              <w:jc w:val="center"/>
              <w:rPr>
                <w:b/>
                <w:sz w:val="18"/>
                <w:szCs w:val="18"/>
              </w:rPr>
            </w:pPr>
            <w:r w:rsidRPr="00127E4D">
              <w:rPr>
                <w:b/>
                <w:sz w:val="18"/>
                <w:szCs w:val="18"/>
              </w:rPr>
              <w:t>Evaluación Equipo directivo/Coordinador</w:t>
            </w:r>
          </w:p>
        </w:tc>
      </w:tr>
      <w:tr w:rsidR="00395D27" w:rsidRPr="00127E4D" w:rsidTr="000B3FFA">
        <w:trPr>
          <w:trHeight w:val="283"/>
          <w:tblHeader/>
        </w:trPr>
        <w:tc>
          <w:tcPr>
            <w:tcW w:w="2660" w:type="dxa"/>
            <w:vMerge/>
            <w:shd w:val="clear" w:color="auto" w:fill="B6DDE8" w:themeFill="accent5" w:themeFillTint="66"/>
            <w:tcMar>
              <w:top w:w="85" w:type="dxa"/>
              <w:bottom w:w="85" w:type="dxa"/>
            </w:tcMar>
          </w:tcPr>
          <w:p w:rsidR="00395D27" w:rsidRPr="00127E4D" w:rsidRDefault="00395D27" w:rsidP="00ED308B">
            <w:pPr>
              <w:rPr>
                <w:b/>
                <w:sz w:val="18"/>
                <w:szCs w:val="18"/>
              </w:rPr>
            </w:pPr>
          </w:p>
        </w:tc>
        <w:tc>
          <w:tcPr>
            <w:tcW w:w="1559" w:type="dxa"/>
            <w:vMerge/>
            <w:shd w:val="clear" w:color="auto" w:fill="B6DDE8" w:themeFill="accent5" w:themeFillTint="66"/>
            <w:tcMar>
              <w:top w:w="85" w:type="dxa"/>
              <w:bottom w:w="85" w:type="dxa"/>
            </w:tcMar>
          </w:tcPr>
          <w:p w:rsidR="00395D27" w:rsidRPr="00127E4D" w:rsidRDefault="00395D27" w:rsidP="00ED308B">
            <w:pPr>
              <w:rPr>
                <w:b/>
                <w:sz w:val="18"/>
                <w:szCs w:val="18"/>
              </w:rPr>
            </w:pPr>
          </w:p>
        </w:tc>
        <w:tc>
          <w:tcPr>
            <w:tcW w:w="1418" w:type="dxa"/>
            <w:shd w:val="clear" w:color="auto" w:fill="B6DDE8" w:themeFill="accent5" w:themeFillTint="66"/>
            <w:tcMar>
              <w:top w:w="85" w:type="dxa"/>
              <w:bottom w:w="85" w:type="dxa"/>
            </w:tcMar>
            <w:vAlign w:val="center"/>
          </w:tcPr>
          <w:p w:rsidR="00395D27" w:rsidRPr="00127E4D" w:rsidRDefault="000E1077" w:rsidP="00ED308B">
            <w:pPr>
              <w:jc w:val="center"/>
              <w:rPr>
                <w:b/>
                <w:sz w:val="16"/>
                <w:szCs w:val="18"/>
              </w:rPr>
            </w:pPr>
            <w:r w:rsidRPr="00127E4D">
              <w:rPr>
                <w:b/>
                <w:sz w:val="16"/>
                <w:szCs w:val="18"/>
              </w:rPr>
              <w:t>Aceptación</w:t>
            </w:r>
          </w:p>
        </w:tc>
        <w:tc>
          <w:tcPr>
            <w:tcW w:w="1417" w:type="dxa"/>
            <w:shd w:val="clear" w:color="auto" w:fill="B6DDE8" w:themeFill="accent5" w:themeFillTint="66"/>
            <w:tcMar>
              <w:top w:w="85" w:type="dxa"/>
              <w:bottom w:w="85" w:type="dxa"/>
            </w:tcMar>
            <w:vAlign w:val="center"/>
          </w:tcPr>
          <w:p w:rsidR="00395D27" w:rsidRPr="00127E4D" w:rsidRDefault="000E1077" w:rsidP="00ED308B">
            <w:pPr>
              <w:jc w:val="center"/>
              <w:rPr>
                <w:b/>
                <w:sz w:val="16"/>
                <w:szCs w:val="18"/>
              </w:rPr>
            </w:pPr>
            <w:r w:rsidRPr="00127E4D">
              <w:rPr>
                <w:b/>
                <w:sz w:val="16"/>
                <w:szCs w:val="18"/>
              </w:rPr>
              <w:t>Aplicación</w:t>
            </w:r>
          </w:p>
        </w:tc>
        <w:tc>
          <w:tcPr>
            <w:tcW w:w="2517" w:type="dxa"/>
            <w:vMerge/>
            <w:shd w:val="clear" w:color="auto" w:fill="B6DDE8" w:themeFill="accent5" w:themeFillTint="66"/>
            <w:tcMar>
              <w:top w:w="85" w:type="dxa"/>
              <w:bottom w:w="85" w:type="dxa"/>
            </w:tcMar>
          </w:tcPr>
          <w:p w:rsidR="00395D27" w:rsidRPr="00127E4D" w:rsidRDefault="00395D27" w:rsidP="00ED308B">
            <w:pPr>
              <w:rPr>
                <w:b/>
                <w:sz w:val="18"/>
                <w:szCs w:val="18"/>
              </w:rPr>
            </w:pPr>
          </w:p>
        </w:tc>
      </w:tr>
      <w:tr w:rsidR="00395D27" w:rsidRPr="00127E4D" w:rsidTr="00ED308B">
        <w:tc>
          <w:tcPr>
            <w:tcW w:w="2660" w:type="dxa"/>
            <w:tcMar>
              <w:top w:w="85" w:type="dxa"/>
              <w:bottom w:w="85" w:type="dxa"/>
            </w:tcMar>
          </w:tcPr>
          <w:p w:rsidR="00395D27" w:rsidRPr="00127E4D" w:rsidRDefault="00395D27" w:rsidP="00ED308B">
            <w:pPr>
              <w:rPr>
                <w:sz w:val="18"/>
                <w:szCs w:val="18"/>
              </w:rPr>
            </w:pPr>
            <w:r w:rsidRPr="00127E4D">
              <w:rPr>
                <w:sz w:val="18"/>
                <w:szCs w:val="18"/>
              </w:rPr>
              <w:t xml:space="preserve">Rec. 4  </w:t>
            </w:r>
            <w:r w:rsidR="000B3FFA" w:rsidRPr="00127E4D">
              <w:rPr>
                <w:sz w:val="18"/>
                <w:szCs w:val="18"/>
              </w:rPr>
              <w:t xml:space="preserve">Los órganos legislativos de las organizaciones del sistema de las Naciones Unidas deberían formular y definir marcos estratégicos sectoriales pertinentes a nivel de todo el sistema por conducto del Consejo Económico y Social para alcanzar los objetivos a largo plazo fijados en el Documento Final de la Cumbre Mundial 2005, aprobado por la Asamblea General en su resolución 60/1, así como los establecidos por las misiones y mandatos de las organizaciones del sistema como resultado de conferencias mundiales. </w:t>
            </w:r>
          </w:p>
        </w:tc>
        <w:tc>
          <w:tcPr>
            <w:tcW w:w="1559" w:type="dxa"/>
            <w:tcMar>
              <w:top w:w="85" w:type="dxa"/>
              <w:bottom w:w="85" w:type="dxa"/>
            </w:tcMar>
          </w:tcPr>
          <w:p w:rsidR="00F11530" w:rsidRPr="00127E4D" w:rsidRDefault="00F11530" w:rsidP="00F11530">
            <w:pPr>
              <w:rPr>
                <w:sz w:val="18"/>
                <w:szCs w:val="18"/>
              </w:rPr>
            </w:pPr>
            <w:r w:rsidRPr="00127E4D">
              <w:rPr>
                <w:sz w:val="18"/>
                <w:szCs w:val="18"/>
              </w:rPr>
              <w:t xml:space="preserve">Directora, </w:t>
            </w:r>
          </w:p>
          <w:p w:rsidR="00F11530" w:rsidRPr="00127E4D" w:rsidRDefault="00F11530" w:rsidP="00F11530">
            <w:pPr>
              <w:rPr>
                <w:sz w:val="18"/>
                <w:szCs w:val="18"/>
              </w:rPr>
            </w:pPr>
            <w:r w:rsidRPr="00127E4D">
              <w:rPr>
                <w:sz w:val="18"/>
                <w:szCs w:val="18"/>
              </w:rPr>
              <w:t xml:space="preserve">Depto. de </w:t>
            </w:r>
          </w:p>
          <w:p w:rsidR="00F11530" w:rsidRPr="00127E4D" w:rsidRDefault="00F11530" w:rsidP="00F11530">
            <w:pPr>
              <w:rPr>
                <w:sz w:val="18"/>
                <w:szCs w:val="18"/>
              </w:rPr>
            </w:pPr>
            <w:r w:rsidRPr="00127E4D">
              <w:rPr>
                <w:sz w:val="18"/>
                <w:szCs w:val="18"/>
              </w:rPr>
              <w:t xml:space="preserve">Planificación </w:t>
            </w:r>
          </w:p>
          <w:p w:rsidR="00F11530" w:rsidRPr="00127E4D" w:rsidRDefault="00F11530" w:rsidP="00F11530">
            <w:pPr>
              <w:rPr>
                <w:sz w:val="18"/>
                <w:szCs w:val="18"/>
              </w:rPr>
            </w:pPr>
            <w:r w:rsidRPr="00127E4D">
              <w:rPr>
                <w:sz w:val="18"/>
                <w:szCs w:val="18"/>
              </w:rPr>
              <w:t xml:space="preserve">de Programas </w:t>
            </w:r>
          </w:p>
          <w:p w:rsidR="00F11530" w:rsidRPr="00127E4D" w:rsidRDefault="00F11530" w:rsidP="00F11530">
            <w:pPr>
              <w:rPr>
                <w:sz w:val="18"/>
                <w:szCs w:val="18"/>
              </w:rPr>
            </w:pPr>
            <w:r w:rsidRPr="00127E4D">
              <w:rPr>
                <w:sz w:val="18"/>
                <w:szCs w:val="18"/>
              </w:rPr>
              <w:t xml:space="preserve">y Finanzas </w:t>
            </w:r>
          </w:p>
          <w:p w:rsidR="00F11530" w:rsidRPr="00127E4D" w:rsidRDefault="00F11530" w:rsidP="00F11530">
            <w:pPr>
              <w:rPr>
                <w:sz w:val="18"/>
                <w:szCs w:val="18"/>
              </w:rPr>
            </w:pPr>
            <w:r w:rsidRPr="00127E4D">
              <w:rPr>
                <w:sz w:val="18"/>
                <w:szCs w:val="18"/>
              </w:rPr>
              <w:t>(Contralor)</w:t>
            </w:r>
          </w:p>
          <w:p w:rsidR="00395D27" w:rsidRPr="00127E4D" w:rsidRDefault="00395D27" w:rsidP="00ED308B">
            <w:pPr>
              <w:rPr>
                <w:sz w:val="18"/>
                <w:szCs w:val="18"/>
              </w:rPr>
            </w:pPr>
          </w:p>
        </w:tc>
        <w:tc>
          <w:tcPr>
            <w:tcW w:w="1418" w:type="dxa"/>
            <w:tcMar>
              <w:top w:w="85" w:type="dxa"/>
              <w:bottom w:w="85" w:type="dxa"/>
            </w:tcMar>
          </w:tcPr>
          <w:p w:rsidR="00395D27" w:rsidRPr="00127E4D" w:rsidRDefault="00395D27" w:rsidP="00ED308B">
            <w:pPr>
              <w:rPr>
                <w:sz w:val="18"/>
                <w:szCs w:val="18"/>
              </w:rPr>
            </w:pPr>
            <w:r w:rsidRPr="00127E4D">
              <w:rPr>
                <w:noProof/>
                <w:lang w:val="en-US" w:eastAsia="en-US"/>
              </w:rPr>
              <mc:AlternateContent>
                <mc:Choice Requires="wps">
                  <w:drawing>
                    <wp:anchor distT="0" distB="0" distL="114300" distR="114300" simplePos="0" relativeHeight="251673600" behindDoc="0" locked="0" layoutInCell="1" allowOverlap="1" wp14:anchorId="1145A8DC" wp14:editId="386BCA07">
                      <wp:simplePos x="0" y="0"/>
                      <wp:positionH relativeFrom="column">
                        <wp:posOffset>49530</wp:posOffset>
                      </wp:positionH>
                      <wp:positionV relativeFrom="paragraph">
                        <wp:posOffset>856615</wp:posOffset>
                      </wp:positionV>
                      <wp:extent cx="1562100" cy="3810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ED308B" w:rsidRPr="003810C3" w:rsidRDefault="00ED308B" w:rsidP="00395D27">
                                  <w:pPr>
                                    <w:jc w:val="center"/>
                                    <w:rPr>
                                      <w:i/>
                                      <w:sz w:val="14"/>
                                      <w:szCs w:val="14"/>
                                    </w:rPr>
                                  </w:pPr>
                                  <w:r>
                                    <w:rPr>
                                      <w:i/>
                                      <w:sz w:val="14"/>
                                      <w:szCs w:val="14"/>
                                    </w:rPr>
                                    <w:t>Sin cambios con respecto a la situación anterior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8" style="position:absolute;margin-left:3.9pt;margin-top:67.45pt;width:123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" fillcolor="window" strokecolor="#8eb4e3" strokeweight="2pt">
                      <v:textbox>
                        <w:txbxContent>
                          <w:p w:rsidR="00ED308B" w:rsidRPr="003810C3" w:rsidRDefault="00ED308B" w:rsidP="00395D27">
                            <w:pPr>
                              <w:jc w:val="center"/>
                              <w:rPr>
                                <w:i/>
                                <w:sz w:val="14"/>
                                <w:szCs w:val="14"/>
                              </w:rPr>
                            </w:pPr>
                            <w:r>
                              <w:rPr>
                                <w:i/>
                                <w:sz w:val="14"/>
                                <w:szCs w:val="14"/>
                              </w:rPr>
                              <w:t>Sin cambios con respecto a la situación anterior</w:t>
                            </w:r>
                          </w:p>
                        </w:txbxContent>
                      </v:textbox>
                    </v:roundrect>
                  </w:pict>
                </mc:Fallback>
              </mc:AlternateContent>
            </w:r>
            <w:r w:rsidR="00DE1BF1" w:rsidRPr="00127E4D">
              <w:rPr>
                <w:sz w:val="18"/>
                <w:szCs w:val="18"/>
              </w:rPr>
              <w:t>En examen</w:t>
            </w:r>
          </w:p>
        </w:tc>
        <w:tc>
          <w:tcPr>
            <w:tcW w:w="1417" w:type="dxa"/>
            <w:tcMar>
              <w:top w:w="85" w:type="dxa"/>
              <w:bottom w:w="85" w:type="dxa"/>
            </w:tcMar>
          </w:tcPr>
          <w:p w:rsidR="00395D27" w:rsidRPr="00127E4D" w:rsidRDefault="00395D27" w:rsidP="00ED308B">
            <w:pPr>
              <w:rPr>
                <w:sz w:val="18"/>
                <w:szCs w:val="18"/>
              </w:rPr>
            </w:pPr>
          </w:p>
        </w:tc>
        <w:tc>
          <w:tcPr>
            <w:tcW w:w="2517" w:type="dxa"/>
            <w:tcMar>
              <w:top w:w="85" w:type="dxa"/>
              <w:bottom w:w="85" w:type="dxa"/>
            </w:tcMar>
          </w:tcPr>
          <w:p w:rsidR="00395D27" w:rsidRPr="00127E4D" w:rsidRDefault="00DE1BF1" w:rsidP="00ED308B">
            <w:pPr>
              <w:spacing w:after="200"/>
              <w:rPr>
                <w:sz w:val="18"/>
                <w:szCs w:val="18"/>
              </w:rPr>
            </w:pPr>
            <w:r w:rsidRPr="00127E4D">
              <w:rPr>
                <w:sz w:val="18"/>
                <w:szCs w:val="18"/>
              </w:rPr>
              <w:t>El plan estratégico a mediano plazo de la OMPI, actualmente en ejecución, cubre el quinquenio 2010/15, y el marco de la OMPI de gestión por resultados tiene una cobertura bienal. Habida cuenta de la naturaleza técnica y especializada de la labor que lleva a cabo la OMPI, ninguna de esas herramientas estratégicas de planificación son formuladas o definidas por conducto del Consejo Económico y Social de las Naciones Unidas. La OMPI sigue determinada a desempeñar la labor que le incumbe para contribuir al cumplimiento de los ODM.  En las actividades relacionadas con la Agenda para el Desarrollo se hace hincapié en la voluntad de prestar asistencia a los Estados miembros para beneficiarse del uso del sistema de propiedad intelectual en aras del desarrollo económico, social y cultural. Aun cuando la OMPI emprende importantes iniciativas en ese ámbito, habida cuenta de la naturaleza del apoyo que presta, puede ser difícil planificar directamente esa labor y dirigirla exactamente al logro de los ODM.</w:t>
            </w:r>
          </w:p>
        </w:tc>
      </w:tr>
    </w:tbl>
    <w:p w:rsidR="00395D27" w:rsidRPr="00127E4D" w:rsidRDefault="00395D27" w:rsidP="00395D27">
      <w:pPr>
        <w:rPr>
          <w:b/>
        </w:rPr>
      </w:pPr>
    </w:p>
    <w:p w:rsidR="00395D27" w:rsidRPr="00127E4D" w:rsidRDefault="00395D27" w:rsidP="00395D27">
      <w:pPr>
        <w:rPr>
          <w:b/>
        </w:rPr>
      </w:pPr>
    </w:p>
    <w:p w:rsidR="00395D27" w:rsidRPr="00127E4D" w:rsidRDefault="00395D27" w:rsidP="00BE0444">
      <w:pPr>
        <w:pStyle w:val="ListParagraph"/>
        <w:keepNext/>
        <w:keepLines/>
        <w:numPr>
          <w:ilvl w:val="0"/>
          <w:numId w:val="12"/>
        </w:numPr>
        <w:rPr>
          <w:b/>
        </w:rPr>
      </w:pPr>
      <w:r w:rsidRPr="00127E4D">
        <w:rPr>
          <w:szCs w:val="22"/>
        </w:rPr>
        <w:lastRenderedPageBreak/>
        <w:t>JIU/REP/2012/10, “</w:t>
      </w:r>
      <w:r w:rsidR="00DE1BF1" w:rsidRPr="00127E4D">
        <w:rPr>
          <w:szCs w:val="22"/>
        </w:rPr>
        <w:t>Relaciones entre el personal y la administración en los organismos especializados y el régimen común de las Naciones Unidas”</w:t>
      </w:r>
    </w:p>
    <w:p w:rsidR="00395D27" w:rsidRPr="00127E4D" w:rsidRDefault="00395D27" w:rsidP="00BE0444">
      <w:pPr>
        <w:keepNext/>
        <w:keepLines/>
        <w:rPr>
          <w:b/>
        </w:rPr>
      </w:pPr>
    </w:p>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395D27" w:rsidRPr="00127E4D" w:rsidTr="00ED308B">
        <w:trPr>
          <w:tblHeader/>
        </w:trPr>
        <w:tc>
          <w:tcPr>
            <w:tcW w:w="2660" w:type="dxa"/>
            <w:vMerge w:val="restart"/>
            <w:shd w:val="clear" w:color="auto" w:fill="B6DDE8" w:themeFill="accent5" w:themeFillTint="66"/>
            <w:tcMar>
              <w:top w:w="85" w:type="dxa"/>
              <w:bottom w:w="85" w:type="dxa"/>
            </w:tcMar>
            <w:vAlign w:val="center"/>
          </w:tcPr>
          <w:p w:rsidR="00395D27" w:rsidRPr="00127E4D" w:rsidRDefault="00395D27" w:rsidP="00BE0444">
            <w:pPr>
              <w:keepNext/>
              <w:keepLines/>
              <w:jc w:val="center"/>
              <w:rPr>
                <w:b/>
              </w:rPr>
            </w:pPr>
            <w:r w:rsidRPr="00127E4D">
              <w:rPr>
                <w:b/>
              </w:rPr>
              <w:br w:type="page"/>
            </w:r>
            <w:r w:rsidR="00AF12F1" w:rsidRPr="00127E4D">
              <w:rPr>
                <w:b/>
                <w:sz w:val="18"/>
                <w:szCs w:val="18"/>
              </w:rPr>
              <w:t>Recomendación</w:t>
            </w:r>
          </w:p>
        </w:tc>
        <w:tc>
          <w:tcPr>
            <w:tcW w:w="1559" w:type="dxa"/>
            <w:vMerge w:val="restart"/>
            <w:shd w:val="clear" w:color="auto" w:fill="B6DDE8" w:themeFill="accent5" w:themeFillTint="66"/>
            <w:tcMar>
              <w:top w:w="85" w:type="dxa"/>
              <w:bottom w:w="85" w:type="dxa"/>
            </w:tcMar>
            <w:vAlign w:val="center"/>
          </w:tcPr>
          <w:p w:rsidR="00395D27" w:rsidRPr="00127E4D" w:rsidRDefault="000E1077" w:rsidP="00BE0444">
            <w:pPr>
              <w:keepNext/>
              <w:keepLines/>
              <w:jc w:val="center"/>
              <w:rPr>
                <w:b/>
                <w:sz w:val="18"/>
                <w:szCs w:val="18"/>
              </w:rPr>
            </w:pPr>
            <w:r w:rsidRPr="00127E4D">
              <w:rPr>
                <w:b/>
                <w:sz w:val="18"/>
                <w:szCs w:val="18"/>
              </w:rPr>
              <w:t>Funcionario encargado</w:t>
            </w:r>
          </w:p>
        </w:tc>
        <w:tc>
          <w:tcPr>
            <w:tcW w:w="2835" w:type="dxa"/>
            <w:gridSpan w:val="2"/>
            <w:shd w:val="clear" w:color="auto" w:fill="B6DDE8" w:themeFill="accent5" w:themeFillTint="66"/>
            <w:tcMar>
              <w:top w:w="85" w:type="dxa"/>
              <w:bottom w:w="85" w:type="dxa"/>
            </w:tcMar>
            <w:vAlign w:val="center"/>
          </w:tcPr>
          <w:p w:rsidR="00395D27" w:rsidRPr="00127E4D" w:rsidRDefault="000E1077" w:rsidP="00BE0444">
            <w:pPr>
              <w:keepNext/>
              <w:keepLines/>
              <w:jc w:val="center"/>
              <w:rPr>
                <w:b/>
                <w:sz w:val="18"/>
                <w:szCs w:val="18"/>
              </w:rPr>
            </w:pPr>
            <w:r w:rsidRPr="00127E4D">
              <w:rPr>
                <w:b/>
                <w:sz w:val="18"/>
                <w:szCs w:val="18"/>
              </w:rPr>
              <w:t>Estado de aceptación</w:t>
            </w:r>
          </w:p>
        </w:tc>
        <w:tc>
          <w:tcPr>
            <w:tcW w:w="2517" w:type="dxa"/>
            <w:vMerge w:val="restart"/>
            <w:shd w:val="clear" w:color="auto" w:fill="B6DDE8" w:themeFill="accent5" w:themeFillTint="66"/>
            <w:tcMar>
              <w:top w:w="85" w:type="dxa"/>
              <w:bottom w:w="85" w:type="dxa"/>
            </w:tcMar>
            <w:vAlign w:val="center"/>
          </w:tcPr>
          <w:p w:rsidR="00395D27" w:rsidRPr="00127E4D" w:rsidRDefault="00D971F8" w:rsidP="00BE0444">
            <w:pPr>
              <w:keepNext/>
              <w:keepLines/>
              <w:jc w:val="center"/>
              <w:rPr>
                <w:b/>
                <w:sz w:val="18"/>
                <w:szCs w:val="18"/>
              </w:rPr>
            </w:pPr>
            <w:r w:rsidRPr="00127E4D">
              <w:rPr>
                <w:b/>
                <w:sz w:val="18"/>
                <w:szCs w:val="18"/>
              </w:rPr>
              <w:t>Evaluación Equipo directivo/Coordinador</w:t>
            </w:r>
          </w:p>
        </w:tc>
      </w:tr>
      <w:tr w:rsidR="00395D27" w:rsidRPr="00127E4D" w:rsidTr="00ED308B">
        <w:trPr>
          <w:trHeight w:val="355"/>
          <w:tblHeader/>
        </w:trPr>
        <w:tc>
          <w:tcPr>
            <w:tcW w:w="2660" w:type="dxa"/>
            <w:vMerge/>
            <w:shd w:val="clear" w:color="auto" w:fill="B6DDE8" w:themeFill="accent5" w:themeFillTint="66"/>
          </w:tcPr>
          <w:p w:rsidR="00395D27" w:rsidRPr="00127E4D" w:rsidRDefault="00395D27" w:rsidP="00BE0444">
            <w:pPr>
              <w:keepNext/>
              <w:keepLines/>
              <w:rPr>
                <w:b/>
                <w:sz w:val="18"/>
                <w:szCs w:val="18"/>
              </w:rPr>
            </w:pPr>
          </w:p>
        </w:tc>
        <w:tc>
          <w:tcPr>
            <w:tcW w:w="1559" w:type="dxa"/>
            <w:vMerge/>
            <w:shd w:val="clear" w:color="auto" w:fill="B6DDE8" w:themeFill="accent5" w:themeFillTint="66"/>
          </w:tcPr>
          <w:p w:rsidR="00395D27" w:rsidRPr="00127E4D" w:rsidRDefault="00395D27" w:rsidP="00BE0444">
            <w:pPr>
              <w:keepNext/>
              <w:keepLines/>
              <w:rPr>
                <w:b/>
                <w:sz w:val="18"/>
                <w:szCs w:val="18"/>
              </w:rPr>
            </w:pPr>
          </w:p>
        </w:tc>
        <w:tc>
          <w:tcPr>
            <w:tcW w:w="1418" w:type="dxa"/>
            <w:shd w:val="clear" w:color="auto" w:fill="B6DDE8" w:themeFill="accent5" w:themeFillTint="66"/>
            <w:vAlign w:val="center"/>
          </w:tcPr>
          <w:p w:rsidR="00395D27" w:rsidRPr="00127E4D" w:rsidRDefault="000E1077" w:rsidP="00BE0444">
            <w:pPr>
              <w:keepNext/>
              <w:keepLines/>
              <w:jc w:val="center"/>
              <w:rPr>
                <w:b/>
                <w:sz w:val="16"/>
                <w:szCs w:val="18"/>
              </w:rPr>
            </w:pPr>
            <w:r w:rsidRPr="00127E4D">
              <w:rPr>
                <w:b/>
                <w:sz w:val="16"/>
                <w:szCs w:val="18"/>
              </w:rPr>
              <w:t>Aceptación</w:t>
            </w:r>
          </w:p>
        </w:tc>
        <w:tc>
          <w:tcPr>
            <w:tcW w:w="1417" w:type="dxa"/>
            <w:shd w:val="clear" w:color="auto" w:fill="B6DDE8" w:themeFill="accent5" w:themeFillTint="66"/>
            <w:vAlign w:val="center"/>
          </w:tcPr>
          <w:p w:rsidR="00395D27" w:rsidRPr="00127E4D" w:rsidRDefault="000E1077" w:rsidP="00BE0444">
            <w:pPr>
              <w:keepNext/>
              <w:keepLines/>
              <w:jc w:val="center"/>
              <w:rPr>
                <w:b/>
                <w:sz w:val="16"/>
                <w:szCs w:val="18"/>
              </w:rPr>
            </w:pPr>
            <w:r w:rsidRPr="00127E4D">
              <w:rPr>
                <w:b/>
                <w:sz w:val="16"/>
                <w:szCs w:val="18"/>
              </w:rPr>
              <w:t>Aplicación</w:t>
            </w:r>
          </w:p>
        </w:tc>
        <w:tc>
          <w:tcPr>
            <w:tcW w:w="2517" w:type="dxa"/>
            <w:vMerge/>
            <w:shd w:val="clear" w:color="auto" w:fill="B6DDE8" w:themeFill="accent5" w:themeFillTint="66"/>
          </w:tcPr>
          <w:p w:rsidR="00395D27" w:rsidRPr="00127E4D" w:rsidRDefault="00395D27" w:rsidP="00BE0444">
            <w:pPr>
              <w:keepNext/>
              <w:keepLines/>
              <w:rPr>
                <w:b/>
                <w:sz w:val="18"/>
                <w:szCs w:val="18"/>
              </w:rPr>
            </w:pPr>
          </w:p>
        </w:tc>
      </w:tr>
      <w:tr w:rsidR="00395D27" w:rsidRPr="00127E4D" w:rsidTr="00ED308B">
        <w:tc>
          <w:tcPr>
            <w:tcW w:w="2660" w:type="dxa"/>
            <w:tcMar>
              <w:top w:w="85" w:type="dxa"/>
              <w:bottom w:w="85" w:type="dxa"/>
            </w:tcMar>
          </w:tcPr>
          <w:p w:rsidR="00395D27" w:rsidRPr="00127E4D" w:rsidRDefault="00DE1BF1" w:rsidP="00BE0444">
            <w:pPr>
              <w:keepNext/>
              <w:keepLines/>
              <w:rPr>
                <w:sz w:val="18"/>
                <w:szCs w:val="18"/>
              </w:rPr>
            </w:pPr>
            <w:r w:rsidRPr="00127E4D">
              <w:rPr>
                <w:sz w:val="18"/>
                <w:szCs w:val="18"/>
              </w:rPr>
              <w:t>Rec. 8.  Los órganos legislativos o rectores de las organizaciones que se examinan deben confiar a sus Jefes Ejecutivos el mandato de otorgar prioridad a la elaboración de una fórmula para la distribución de la carga que supone la financiación de todos los gastos asociados a la función de representación de los funcionarios de las federaciones del personal reconocidas por el estatuto y el reglamento de la CAPI.</w:t>
            </w:r>
            <w:r w:rsidR="00271608" w:rsidRPr="00127E4D">
              <w:rPr>
                <w:sz w:val="18"/>
                <w:szCs w:val="18"/>
              </w:rPr>
              <w:t xml:space="preserve"> </w:t>
            </w:r>
          </w:p>
        </w:tc>
        <w:tc>
          <w:tcPr>
            <w:tcW w:w="1559" w:type="dxa"/>
            <w:tcMar>
              <w:top w:w="85" w:type="dxa"/>
              <w:bottom w:w="85" w:type="dxa"/>
            </w:tcMar>
          </w:tcPr>
          <w:p w:rsidR="00395D27" w:rsidRPr="00127E4D" w:rsidRDefault="00395D27" w:rsidP="00BE0444">
            <w:pPr>
              <w:keepNext/>
              <w:keepLines/>
              <w:rPr>
                <w:sz w:val="18"/>
                <w:szCs w:val="18"/>
              </w:rPr>
            </w:pPr>
            <w:r w:rsidRPr="00127E4D">
              <w:rPr>
                <w:sz w:val="18"/>
                <w:szCs w:val="18"/>
              </w:rPr>
              <w:t>Director, HRMD</w:t>
            </w:r>
          </w:p>
        </w:tc>
        <w:tc>
          <w:tcPr>
            <w:tcW w:w="1418" w:type="dxa"/>
            <w:tcMar>
              <w:top w:w="85" w:type="dxa"/>
              <w:bottom w:w="85" w:type="dxa"/>
            </w:tcMar>
          </w:tcPr>
          <w:p w:rsidR="00395D27" w:rsidRPr="00127E4D" w:rsidRDefault="00395D27" w:rsidP="00BE0444">
            <w:pPr>
              <w:keepNext/>
              <w:keepLines/>
              <w:rPr>
                <w:sz w:val="18"/>
                <w:szCs w:val="18"/>
              </w:rPr>
            </w:pPr>
            <w:r w:rsidRPr="00127E4D">
              <w:rPr>
                <w:noProof/>
                <w:lang w:val="en-US" w:eastAsia="en-US"/>
              </w:rPr>
              <mc:AlternateContent>
                <mc:Choice Requires="wps">
                  <w:drawing>
                    <wp:anchor distT="0" distB="0" distL="114300" distR="114300" simplePos="0" relativeHeight="251666432" behindDoc="0" locked="0" layoutInCell="1" allowOverlap="1" wp14:anchorId="53E35B37" wp14:editId="542F2180">
                      <wp:simplePos x="0" y="0"/>
                      <wp:positionH relativeFrom="column">
                        <wp:posOffset>49530</wp:posOffset>
                      </wp:positionH>
                      <wp:positionV relativeFrom="paragraph">
                        <wp:posOffset>541655</wp:posOffset>
                      </wp:positionV>
                      <wp:extent cx="1562100" cy="23812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1562100" cy="238125"/>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ED308B" w:rsidRDefault="00ED308B" w:rsidP="00395D27">
                                  <w:pPr>
                                    <w:jc w:val="center"/>
                                  </w:pPr>
                                  <w:r>
                                    <w:rPr>
                                      <w:i/>
                                      <w:sz w:val="14"/>
                                      <w:szCs w:val="14"/>
                                    </w:rPr>
                                    <w:t>Anteriormente</w:t>
                                  </w:r>
                                  <w:r w:rsidRPr="00337266">
                                    <w:rPr>
                                      <w:i/>
                                      <w:sz w:val="14"/>
                                      <w:szCs w:val="14"/>
                                    </w:rPr>
                                    <w:t xml:space="preserve"> “</w:t>
                                  </w:r>
                                  <w:r w:rsidR="00F11530">
                                    <w:rPr>
                                      <w:i/>
                                      <w:sz w:val="14"/>
                                      <w:szCs w:val="14"/>
                                    </w:rPr>
                                    <w:t>A estudio</w:t>
                                  </w:r>
                                  <w:r w:rsidRPr="00337266">
                                    <w:rPr>
                                      <w:i/>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9" style="position:absolute;margin-left:3.9pt;margin-top:42.65pt;width:123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" fillcolor="window" strokecolor="#8eb4e3" strokeweight="2pt">
                      <v:textbox>
                        <w:txbxContent>
                          <w:p w:rsidR="00ED308B" w:rsidRDefault="00ED308B" w:rsidP="00395D27">
                            <w:pPr>
                              <w:jc w:val="center"/>
                            </w:pPr>
                            <w:r>
                              <w:rPr>
                                <w:i/>
                                <w:sz w:val="14"/>
                                <w:szCs w:val="14"/>
                              </w:rPr>
                              <w:t>Anteriormente</w:t>
                            </w:r>
                            <w:r w:rsidRPr="00337266">
                              <w:rPr>
                                <w:i/>
                                <w:sz w:val="14"/>
                                <w:szCs w:val="14"/>
                              </w:rPr>
                              <w:t xml:space="preserve"> “</w:t>
                            </w:r>
                            <w:r w:rsidR="00F11530">
                              <w:rPr>
                                <w:i/>
                                <w:sz w:val="14"/>
                                <w:szCs w:val="14"/>
                              </w:rPr>
                              <w:t>A estudio</w:t>
                            </w:r>
                            <w:r w:rsidRPr="00337266">
                              <w:rPr>
                                <w:i/>
                                <w:sz w:val="14"/>
                                <w:szCs w:val="14"/>
                              </w:rPr>
                              <w:t>”</w:t>
                            </w:r>
                          </w:p>
                        </w:txbxContent>
                      </v:textbox>
                    </v:roundrect>
                  </w:pict>
                </mc:Fallback>
              </mc:AlternateContent>
            </w:r>
            <w:r w:rsidR="008D6382" w:rsidRPr="00127E4D">
              <w:rPr>
                <w:sz w:val="18"/>
                <w:szCs w:val="18"/>
              </w:rPr>
              <w:t>Aceptada</w:t>
            </w:r>
          </w:p>
        </w:tc>
        <w:tc>
          <w:tcPr>
            <w:tcW w:w="1417" w:type="dxa"/>
            <w:tcMar>
              <w:top w:w="85" w:type="dxa"/>
              <w:bottom w:w="85" w:type="dxa"/>
            </w:tcMar>
          </w:tcPr>
          <w:p w:rsidR="00395D27" w:rsidRPr="00127E4D" w:rsidRDefault="008D6382" w:rsidP="00BE0444">
            <w:pPr>
              <w:keepNext/>
              <w:keepLines/>
              <w:rPr>
                <w:sz w:val="18"/>
                <w:szCs w:val="18"/>
              </w:rPr>
            </w:pPr>
            <w:r w:rsidRPr="00127E4D">
              <w:rPr>
                <w:sz w:val="18"/>
                <w:szCs w:val="18"/>
              </w:rPr>
              <w:t>Aplicada</w:t>
            </w:r>
          </w:p>
        </w:tc>
        <w:tc>
          <w:tcPr>
            <w:tcW w:w="2517" w:type="dxa"/>
            <w:tcMar>
              <w:top w:w="85" w:type="dxa"/>
              <w:bottom w:w="85" w:type="dxa"/>
            </w:tcMar>
          </w:tcPr>
          <w:p w:rsidR="00395D27" w:rsidRPr="00127E4D" w:rsidRDefault="00271608" w:rsidP="00BE0444">
            <w:pPr>
              <w:keepNext/>
              <w:keepLines/>
              <w:rPr>
                <w:sz w:val="18"/>
                <w:szCs w:val="18"/>
              </w:rPr>
            </w:pPr>
            <w:r w:rsidRPr="00127E4D">
              <w:rPr>
                <w:sz w:val="18"/>
                <w:szCs w:val="18"/>
              </w:rPr>
              <w:t xml:space="preserve">De conformidad con la recomendación, el Comité de Alto Nivel sobre Gestión de la Junta de los Jefes Ejecutivos ha recibido el mandato de examinar esta cuestión con carácter prioritario.  </w:t>
            </w:r>
            <w:r w:rsidR="00AF12F1" w:rsidRPr="00127E4D">
              <w:rPr>
                <w:sz w:val="18"/>
                <w:szCs w:val="18"/>
              </w:rPr>
              <w:t>L</w:t>
            </w:r>
            <w:r w:rsidRPr="00127E4D">
              <w:rPr>
                <w:sz w:val="18"/>
                <w:szCs w:val="18"/>
              </w:rPr>
              <w:t xml:space="preserve">a última reunión del Comité de Alto Nivel sobre Gestión, en marzo de 2015, ha emprendido </w:t>
            </w:r>
            <w:r w:rsidR="00AF12F1" w:rsidRPr="00127E4D">
              <w:rPr>
                <w:sz w:val="18"/>
                <w:szCs w:val="18"/>
              </w:rPr>
              <w:t>es</w:t>
            </w:r>
            <w:r w:rsidRPr="00127E4D">
              <w:rPr>
                <w:sz w:val="18"/>
                <w:szCs w:val="18"/>
              </w:rPr>
              <w:t xml:space="preserve">a labor y </w:t>
            </w:r>
            <w:r w:rsidR="00AF12F1" w:rsidRPr="00127E4D">
              <w:rPr>
                <w:sz w:val="18"/>
                <w:szCs w:val="18"/>
              </w:rPr>
              <w:t>examinará</w:t>
            </w:r>
            <w:r w:rsidRPr="00127E4D">
              <w:rPr>
                <w:sz w:val="18"/>
                <w:szCs w:val="18"/>
              </w:rPr>
              <w:t xml:space="preserve"> </w:t>
            </w:r>
            <w:r w:rsidR="00AF12F1" w:rsidRPr="00127E4D">
              <w:rPr>
                <w:sz w:val="18"/>
                <w:szCs w:val="18"/>
              </w:rPr>
              <w:t xml:space="preserve">el asunto </w:t>
            </w:r>
            <w:r w:rsidRPr="00127E4D">
              <w:rPr>
                <w:sz w:val="18"/>
                <w:szCs w:val="18"/>
              </w:rPr>
              <w:t>en consecuencia.</w:t>
            </w:r>
          </w:p>
        </w:tc>
      </w:tr>
    </w:tbl>
    <w:p w:rsidR="00395D27" w:rsidRPr="00127E4D" w:rsidRDefault="00395D27" w:rsidP="00395D27">
      <w:pPr>
        <w:pStyle w:val="ListParagraph"/>
        <w:rPr>
          <w:szCs w:val="22"/>
        </w:rPr>
      </w:pPr>
    </w:p>
    <w:p w:rsidR="00395D27" w:rsidRPr="00127E4D" w:rsidRDefault="00395D27" w:rsidP="00395D27">
      <w:pPr>
        <w:pStyle w:val="ListParagraph"/>
        <w:rPr>
          <w:szCs w:val="22"/>
        </w:rPr>
      </w:pPr>
    </w:p>
    <w:p w:rsidR="00395D27" w:rsidRPr="00127E4D" w:rsidRDefault="00395D27" w:rsidP="00395D27">
      <w:pPr>
        <w:pStyle w:val="ListParagraph"/>
        <w:numPr>
          <w:ilvl w:val="0"/>
          <w:numId w:val="12"/>
        </w:numPr>
        <w:rPr>
          <w:szCs w:val="22"/>
        </w:rPr>
      </w:pPr>
      <w:r w:rsidRPr="00127E4D">
        <w:rPr>
          <w:szCs w:val="22"/>
        </w:rPr>
        <w:t>JIU/REP/2012/9 “</w:t>
      </w:r>
      <w:r w:rsidR="00AF12F1" w:rsidRPr="00127E4D">
        <w:rPr>
          <w:szCs w:val="22"/>
        </w:rPr>
        <w:t>Pago de sumas fijas en lugar de prestaciones”</w:t>
      </w:r>
    </w:p>
    <w:p w:rsidR="00395D27" w:rsidRPr="00127E4D" w:rsidRDefault="00395D27" w:rsidP="00395D27">
      <w:pPr>
        <w:rPr>
          <w:b/>
        </w:rPr>
      </w:pPr>
    </w:p>
    <w:p w:rsidR="00395D27" w:rsidRPr="00127E4D" w:rsidRDefault="00395D27" w:rsidP="00395D27">
      <w:pPr>
        <w:rPr>
          <w:b/>
        </w:rPr>
      </w:pPr>
    </w:p>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395D27" w:rsidRPr="00127E4D" w:rsidTr="00ED308B">
        <w:trPr>
          <w:tblHeader/>
        </w:trPr>
        <w:tc>
          <w:tcPr>
            <w:tcW w:w="2660" w:type="dxa"/>
            <w:vMerge w:val="restart"/>
            <w:shd w:val="clear" w:color="auto" w:fill="B6DDE8" w:themeFill="accent5" w:themeFillTint="66"/>
            <w:tcMar>
              <w:top w:w="85" w:type="dxa"/>
              <w:bottom w:w="85" w:type="dxa"/>
            </w:tcMar>
            <w:vAlign w:val="center"/>
          </w:tcPr>
          <w:p w:rsidR="00395D27" w:rsidRPr="00127E4D" w:rsidRDefault="00395D27" w:rsidP="00ED308B">
            <w:pPr>
              <w:jc w:val="center"/>
              <w:rPr>
                <w:b/>
              </w:rPr>
            </w:pPr>
            <w:r w:rsidRPr="00127E4D">
              <w:rPr>
                <w:b/>
              </w:rPr>
              <w:br w:type="page"/>
            </w:r>
            <w:r w:rsidR="00AF12F1" w:rsidRPr="00127E4D">
              <w:rPr>
                <w:b/>
                <w:sz w:val="18"/>
                <w:szCs w:val="18"/>
              </w:rPr>
              <w:t>Recomendación</w:t>
            </w:r>
          </w:p>
        </w:tc>
        <w:tc>
          <w:tcPr>
            <w:tcW w:w="1559" w:type="dxa"/>
            <w:vMerge w:val="restart"/>
            <w:shd w:val="clear" w:color="auto" w:fill="B6DDE8" w:themeFill="accent5" w:themeFillTint="66"/>
            <w:tcMar>
              <w:top w:w="85" w:type="dxa"/>
              <w:bottom w:w="85" w:type="dxa"/>
            </w:tcMar>
            <w:vAlign w:val="center"/>
          </w:tcPr>
          <w:p w:rsidR="00395D27" w:rsidRPr="00127E4D" w:rsidRDefault="000E1077" w:rsidP="00ED308B">
            <w:pPr>
              <w:jc w:val="center"/>
              <w:rPr>
                <w:b/>
                <w:sz w:val="18"/>
                <w:szCs w:val="18"/>
              </w:rPr>
            </w:pPr>
            <w:r w:rsidRPr="00127E4D">
              <w:rPr>
                <w:b/>
                <w:sz w:val="18"/>
                <w:szCs w:val="18"/>
              </w:rPr>
              <w:t>Funcionario encargado</w:t>
            </w:r>
          </w:p>
        </w:tc>
        <w:tc>
          <w:tcPr>
            <w:tcW w:w="2835" w:type="dxa"/>
            <w:gridSpan w:val="2"/>
            <w:shd w:val="clear" w:color="auto" w:fill="B6DDE8" w:themeFill="accent5" w:themeFillTint="66"/>
            <w:tcMar>
              <w:top w:w="85" w:type="dxa"/>
              <w:bottom w:w="85" w:type="dxa"/>
            </w:tcMar>
            <w:vAlign w:val="center"/>
          </w:tcPr>
          <w:p w:rsidR="00395D27" w:rsidRPr="00127E4D" w:rsidRDefault="000E1077" w:rsidP="00ED308B">
            <w:pPr>
              <w:jc w:val="center"/>
              <w:rPr>
                <w:b/>
                <w:sz w:val="18"/>
                <w:szCs w:val="18"/>
              </w:rPr>
            </w:pPr>
            <w:r w:rsidRPr="00127E4D">
              <w:rPr>
                <w:b/>
                <w:sz w:val="18"/>
                <w:szCs w:val="18"/>
              </w:rPr>
              <w:t>Estado de aceptación</w:t>
            </w:r>
          </w:p>
        </w:tc>
        <w:tc>
          <w:tcPr>
            <w:tcW w:w="2517" w:type="dxa"/>
            <w:vMerge w:val="restart"/>
            <w:shd w:val="clear" w:color="auto" w:fill="B6DDE8" w:themeFill="accent5" w:themeFillTint="66"/>
            <w:tcMar>
              <w:top w:w="85" w:type="dxa"/>
              <w:bottom w:w="85" w:type="dxa"/>
            </w:tcMar>
            <w:vAlign w:val="center"/>
          </w:tcPr>
          <w:p w:rsidR="00395D27" w:rsidRPr="00127E4D" w:rsidRDefault="00D971F8" w:rsidP="00ED308B">
            <w:pPr>
              <w:jc w:val="center"/>
              <w:rPr>
                <w:b/>
                <w:sz w:val="18"/>
                <w:szCs w:val="18"/>
              </w:rPr>
            </w:pPr>
            <w:r w:rsidRPr="00127E4D">
              <w:rPr>
                <w:b/>
                <w:sz w:val="18"/>
                <w:szCs w:val="18"/>
              </w:rPr>
              <w:t>Evaluación Equipo directivo/Coordinador</w:t>
            </w:r>
          </w:p>
        </w:tc>
      </w:tr>
      <w:tr w:rsidR="00395D27" w:rsidRPr="00127E4D" w:rsidTr="00ED308B">
        <w:trPr>
          <w:tblHeader/>
        </w:trPr>
        <w:tc>
          <w:tcPr>
            <w:tcW w:w="2660" w:type="dxa"/>
            <w:vMerge/>
            <w:shd w:val="clear" w:color="auto" w:fill="B6DDE8" w:themeFill="accent5" w:themeFillTint="66"/>
          </w:tcPr>
          <w:p w:rsidR="00395D27" w:rsidRPr="00127E4D" w:rsidRDefault="00395D27" w:rsidP="00ED308B">
            <w:pPr>
              <w:rPr>
                <w:b/>
                <w:sz w:val="18"/>
                <w:szCs w:val="18"/>
              </w:rPr>
            </w:pPr>
          </w:p>
        </w:tc>
        <w:tc>
          <w:tcPr>
            <w:tcW w:w="1559" w:type="dxa"/>
            <w:vMerge/>
            <w:shd w:val="clear" w:color="auto" w:fill="B6DDE8" w:themeFill="accent5" w:themeFillTint="66"/>
          </w:tcPr>
          <w:p w:rsidR="00395D27" w:rsidRPr="00127E4D" w:rsidRDefault="00395D27" w:rsidP="00ED308B">
            <w:pPr>
              <w:rPr>
                <w:b/>
                <w:sz w:val="18"/>
                <w:szCs w:val="18"/>
              </w:rPr>
            </w:pPr>
          </w:p>
        </w:tc>
        <w:tc>
          <w:tcPr>
            <w:tcW w:w="1418" w:type="dxa"/>
            <w:shd w:val="clear" w:color="auto" w:fill="B6DDE8" w:themeFill="accent5" w:themeFillTint="66"/>
            <w:tcMar>
              <w:top w:w="85" w:type="dxa"/>
              <w:bottom w:w="85" w:type="dxa"/>
            </w:tcMar>
            <w:vAlign w:val="center"/>
          </w:tcPr>
          <w:p w:rsidR="00395D27" w:rsidRPr="00127E4D" w:rsidRDefault="000E1077" w:rsidP="000E1077">
            <w:pPr>
              <w:jc w:val="center"/>
              <w:rPr>
                <w:b/>
                <w:sz w:val="16"/>
                <w:szCs w:val="18"/>
              </w:rPr>
            </w:pPr>
            <w:r w:rsidRPr="00127E4D">
              <w:rPr>
                <w:b/>
                <w:sz w:val="16"/>
                <w:szCs w:val="18"/>
              </w:rPr>
              <w:t>Aceptación</w:t>
            </w:r>
          </w:p>
        </w:tc>
        <w:tc>
          <w:tcPr>
            <w:tcW w:w="1417" w:type="dxa"/>
            <w:shd w:val="clear" w:color="auto" w:fill="B6DDE8" w:themeFill="accent5" w:themeFillTint="66"/>
            <w:tcMar>
              <w:top w:w="85" w:type="dxa"/>
              <w:bottom w:w="85" w:type="dxa"/>
            </w:tcMar>
            <w:vAlign w:val="center"/>
          </w:tcPr>
          <w:p w:rsidR="00395D27" w:rsidRPr="00127E4D" w:rsidRDefault="000E1077" w:rsidP="00ED308B">
            <w:pPr>
              <w:jc w:val="center"/>
              <w:rPr>
                <w:b/>
                <w:sz w:val="16"/>
                <w:szCs w:val="18"/>
              </w:rPr>
            </w:pPr>
            <w:r w:rsidRPr="00127E4D">
              <w:rPr>
                <w:b/>
                <w:sz w:val="16"/>
                <w:szCs w:val="18"/>
              </w:rPr>
              <w:t>Aplicación</w:t>
            </w:r>
          </w:p>
        </w:tc>
        <w:tc>
          <w:tcPr>
            <w:tcW w:w="2517" w:type="dxa"/>
            <w:vMerge/>
            <w:shd w:val="clear" w:color="auto" w:fill="B6DDE8" w:themeFill="accent5" w:themeFillTint="66"/>
          </w:tcPr>
          <w:p w:rsidR="00395D27" w:rsidRPr="00127E4D" w:rsidRDefault="00395D27" w:rsidP="00ED308B">
            <w:pPr>
              <w:rPr>
                <w:b/>
                <w:sz w:val="18"/>
                <w:szCs w:val="18"/>
              </w:rPr>
            </w:pPr>
          </w:p>
        </w:tc>
      </w:tr>
      <w:tr w:rsidR="00395D27" w:rsidRPr="00127E4D" w:rsidTr="00ED308B">
        <w:tc>
          <w:tcPr>
            <w:tcW w:w="2660" w:type="dxa"/>
            <w:tcMar>
              <w:top w:w="85" w:type="dxa"/>
              <w:bottom w:w="85" w:type="dxa"/>
            </w:tcMar>
            <w:vAlign w:val="center"/>
          </w:tcPr>
          <w:p w:rsidR="00395D27" w:rsidRPr="00127E4D" w:rsidRDefault="00271608" w:rsidP="00ED308B">
            <w:pPr>
              <w:rPr>
                <w:sz w:val="18"/>
                <w:szCs w:val="18"/>
              </w:rPr>
            </w:pPr>
            <w:r w:rsidRPr="00127E4D">
              <w:rPr>
                <w:sz w:val="18"/>
                <w:szCs w:val="18"/>
              </w:rPr>
              <w:t>Rec. 3.  Los órganos legislativos/rectores de las organizaciones del sistema de las Naciones Unidas deben pedir a sus respectivos Jefes Ejecutivos que, si no lo han hecho aún, suspendan el pago del porcentaje adicional de las dietas (el 15% o el 40%) a los funcionarios que viajen con cargo al presupuesto de la Organización.</w:t>
            </w:r>
          </w:p>
        </w:tc>
        <w:tc>
          <w:tcPr>
            <w:tcW w:w="1559" w:type="dxa"/>
            <w:tcMar>
              <w:top w:w="85" w:type="dxa"/>
              <w:bottom w:w="85" w:type="dxa"/>
            </w:tcMar>
          </w:tcPr>
          <w:p w:rsidR="00395D27" w:rsidRPr="00127E4D" w:rsidRDefault="00AF12F1" w:rsidP="00ED308B">
            <w:pPr>
              <w:rPr>
                <w:sz w:val="18"/>
                <w:szCs w:val="18"/>
              </w:rPr>
            </w:pPr>
            <w:r w:rsidRPr="00127E4D">
              <w:rPr>
                <w:sz w:val="18"/>
              </w:rPr>
              <w:t>Directora, División de Adquisiciones y Viajes</w:t>
            </w:r>
          </w:p>
        </w:tc>
        <w:tc>
          <w:tcPr>
            <w:tcW w:w="1418" w:type="dxa"/>
            <w:tcMar>
              <w:top w:w="85" w:type="dxa"/>
              <w:bottom w:w="85" w:type="dxa"/>
            </w:tcMar>
          </w:tcPr>
          <w:p w:rsidR="00395D27" w:rsidRPr="00127E4D" w:rsidRDefault="00395D27" w:rsidP="00ED308B">
            <w:pPr>
              <w:rPr>
                <w:sz w:val="18"/>
                <w:szCs w:val="18"/>
              </w:rPr>
            </w:pPr>
            <w:r w:rsidRPr="00127E4D">
              <w:rPr>
                <w:noProof/>
                <w:lang w:val="en-US" w:eastAsia="en-US"/>
              </w:rPr>
              <mc:AlternateContent>
                <mc:Choice Requires="wps">
                  <w:drawing>
                    <wp:anchor distT="0" distB="0" distL="114300" distR="114300" simplePos="0" relativeHeight="251674624" behindDoc="0" locked="0" layoutInCell="1" allowOverlap="1" wp14:anchorId="1D8809D5" wp14:editId="06EDE069">
                      <wp:simplePos x="0" y="0"/>
                      <wp:positionH relativeFrom="column">
                        <wp:posOffset>59055</wp:posOffset>
                      </wp:positionH>
                      <wp:positionV relativeFrom="paragraph">
                        <wp:posOffset>495300</wp:posOffset>
                      </wp:positionV>
                      <wp:extent cx="1562100" cy="450850"/>
                      <wp:effectExtent l="0" t="0" r="19050" b="25400"/>
                      <wp:wrapNone/>
                      <wp:docPr id="24" name="Rounded Rectangle 24"/>
                      <wp:cNvGraphicFramePr/>
                      <a:graphic xmlns:a="http://schemas.openxmlformats.org/drawingml/2006/main">
                        <a:graphicData uri="http://schemas.microsoft.com/office/word/2010/wordprocessingShape">
                          <wps:wsp>
                            <wps:cNvSpPr/>
                            <wps:spPr>
                              <a:xfrm>
                                <a:off x="0" y="0"/>
                                <a:ext cx="1562100" cy="45085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ED308B" w:rsidRPr="003810C3" w:rsidRDefault="00ED308B" w:rsidP="00395D27">
                                  <w:pPr>
                                    <w:jc w:val="center"/>
                                    <w:rPr>
                                      <w:i/>
                                      <w:sz w:val="14"/>
                                      <w:szCs w:val="14"/>
                                    </w:rPr>
                                  </w:pPr>
                                  <w:r>
                                    <w:rPr>
                                      <w:i/>
                                      <w:sz w:val="14"/>
                                      <w:szCs w:val="14"/>
                                    </w:rPr>
                                    <w:t>Sin cambios con respecto a la situación anterior</w:t>
                                  </w:r>
                                </w:p>
                                <w:p w:rsidR="00ED308B" w:rsidRPr="003810C3" w:rsidRDefault="00ED308B" w:rsidP="00395D27">
                                  <w:pPr>
                                    <w:jc w:val="center"/>
                                  </w:pPr>
                                  <w:r>
                                    <w:rPr>
                                      <w:i/>
                                      <w:sz w:val="14"/>
                                      <w:szCs w:val="14"/>
                                    </w:rPr>
                                    <w:t>Se ha actualizado la evaluación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30" style="position:absolute;margin-left:4.65pt;margin-top:39pt;width:123pt;height: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" fillcolor="window" strokecolor="#8eb4e3" strokeweight="2pt">
                      <v:textbox>
                        <w:txbxContent>
                          <w:p w:rsidR="00ED308B" w:rsidRPr="003810C3" w:rsidRDefault="00ED308B" w:rsidP="00395D27">
                            <w:pPr>
                              <w:jc w:val="center"/>
                              <w:rPr>
                                <w:i/>
                                <w:sz w:val="14"/>
                                <w:szCs w:val="14"/>
                              </w:rPr>
                            </w:pPr>
                            <w:r>
                              <w:rPr>
                                <w:i/>
                                <w:sz w:val="14"/>
                                <w:szCs w:val="14"/>
                              </w:rPr>
                              <w:t>Sin cambios con respecto a la situación anterior</w:t>
                            </w:r>
                          </w:p>
                          <w:p w:rsidR="00ED308B" w:rsidRPr="003810C3" w:rsidRDefault="00ED308B" w:rsidP="00395D27">
                            <w:pPr>
                              <w:jc w:val="center"/>
                            </w:pPr>
                            <w:r>
                              <w:rPr>
                                <w:i/>
                                <w:sz w:val="14"/>
                                <w:szCs w:val="14"/>
                              </w:rPr>
                              <w:t>Se ha actualizado la evaluación</w:t>
                            </w:r>
                          </w:p>
                        </w:txbxContent>
                      </v:textbox>
                    </v:roundrect>
                  </w:pict>
                </mc:Fallback>
              </mc:AlternateContent>
            </w:r>
            <w:r w:rsidR="00DE1BF1" w:rsidRPr="00127E4D">
              <w:rPr>
                <w:sz w:val="18"/>
                <w:szCs w:val="18"/>
              </w:rPr>
              <w:t>En examen</w:t>
            </w:r>
          </w:p>
        </w:tc>
        <w:tc>
          <w:tcPr>
            <w:tcW w:w="1417" w:type="dxa"/>
            <w:tcMar>
              <w:top w:w="85" w:type="dxa"/>
              <w:bottom w:w="85" w:type="dxa"/>
            </w:tcMar>
          </w:tcPr>
          <w:p w:rsidR="00395D27" w:rsidRPr="00127E4D" w:rsidRDefault="00395D27" w:rsidP="00ED308B">
            <w:pPr>
              <w:rPr>
                <w:sz w:val="18"/>
                <w:szCs w:val="18"/>
              </w:rPr>
            </w:pPr>
          </w:p>
        </w:tc>
        <w:tc>
          <w:tcPr>
            <w:tcW w:w="2517" w:type="dxa"/>
            <w:tcMar>
              <w:top w:w="85" w:type="dxa"/>
              <w:bottom w:w="85" w:type="dxa"/>
            </w:tcMar>
          </w:tcPr>
          <w:p w:rsidR="00AF12F1" w:rsidRPr="00127E4D" w:rsidRDefault="00AF12F1" w:rsidP="00D260BE">
            <w:pPr>
              <w:rPr>
                <w:sz w:val="18"/>
                <w:szCs w:val="18"/>
              </w:rPr>
            </w:pPr>
            <w:r w:rsidRPr="00127E4D">
              <w:rPr>
                <w:sz w:val="18"/>
                <w:szCs w:val="18"/>
              </w:rPr>
              <w:t xml:space="preserve">La OMPI está llevando a cabo un análisis </w:t>
            </w:r>
            <w:r w:rsidR="00D260BE">
              <w:rPr>
                <w:sz w:val="18"/>
                <w:szCs w:val="18"/>
              </w:rPr>
              <w:t>comparativo</w:t>
            </w:r>
            <w:r w:rsidR="000134F2" w:rsidRPr="00127E4D">
              <w:rPr>
                <w:sz w:val="18"/>
                <w:szCs w:val="18"/>
              </w:rPr>
              <w:t xml:space="preserve"> y </w:t>
            </w:r>
            <w:r w:rsidR="00D260BE">
              <w:rPr>
                <w:sz w:val="18"/>
                <w:szCs w:val="18"/>
              </w:rPr>
              <w:t xml:space="preserve">de </w:t>
            </w:r>
            <w:r w:rsidRPr="00127E4D">
              <w:rPr>
                <w:sz w:val="18"/>
                <w:szCs w:val="18"/>
              </w:rPr>
              <w:t>costos para avanzar en esta cuestión.</w:t>
            </w:r>
          </w:p>
        </w:tc>
      </w:tr>
    </w:tbl>
    <w:p w:rsidR="00395D27" w:rsidRPr="00127E4D" w:rsidRDefault="00395D27" w:rsidP="00395D27">
      <w:pPr>
        <w:rPr>
          <w:b/>
        </w:rPr>
      </w:pPr>
    </w:p>
    <w:p w:rsidR="00395D27" w:rsidRPr="00127E4D" w:rsidRDefault="00395D27" w:rsidP="00395D27">
      <w:pPr>
        <w:rPr>
          <w:b/>
        </w:rPr>
      </w:pPr>
      <w:r w:rsidRPr="00127E4D">
        <w:rPr>
          <w:b/>
        </w:rPr>
        <w:br w:type="page"/>
      </w:r>
    </w:p>
    <w:p w:rsidR="00395D27" w:rsidRPr="00127E4D" w:rsidRDefault="00395D27" w:rsidP="00395D27">
      <w:r w:rsidRPr="00127E4D">
        <w:lastRenderedPageBreak/>
        <w:t>III.</w:t>
      </w:r>
      <w:r w:rsidRPr="00127E4D">
        <w:tab/>
      </w:r>
      <w:r w:rsidR="0059519A" w:rsidRPr="00127E4D">
        <w:t xml:space="preserve">RECOMENDACIONES PROCEDENTES DE LOS EXÁMENES DE LA DCI EFECTUADOS EN </w:t>
      </w:r>
      <w:r w:rsidRPr="00127E4D">
        <w:t>2011</w:t>
      </w:r>
    </w:p>
    <w:p w:rsidR="00395D27" w:rsidRPr="00127E4D" w:rsidRDefault="00395D27" w:rsidP="00395D27"/>
    <w:p w:rsidR="00395D27" w:rsidRPr="00127E4D" w:rsidRDefault="00395D27" w:rsidP="00395D27"/>
    <w:p w:rsidR="00395D27" w:rsidRPr="00127E4D" w:rsidRDefault="00395D27" w:rsidP="00395D27">
      <w:pPr>
        <w:pStyle w:val="ListParagraph"/>
        <w:numPr>
          <w:ilvl w:val="0"/>
          <w:numId w:val="13"/>
        </w:numPr>
      </w:pPr>
      <w:r w:rsidRPr="00127E4D">
        <w:t xml:space="preserve">JIU/REP/2011/4, </w:t>
      </w:r>
      <w:r w:rsidR="00271608" w:rsidRPr="00127E4D">
        <w:t>“El multilingüismo en las organizaciones del sistema de las Naciones Unidas:  Estado de aplicación”</w:t>
      </w:r>
    </w:p>
    <w:p w:rsidR="00395D27" w:rsidRPr="00127E4D" w:rsidRDefault="00395D27" w:rsidP="00395D27"/>
    <w:p w:rsidR="00395D27" w:rsidRPr="00127E4D" w:rsidRDefault="00395D27" w:rsidP="00395D27"/>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395D27" w:rsidRPr="00127E4D" w:rsidTr="00ED308B">
        <w:trPr>
          <w:tblHeader/>
        </w:trPr>
        <w:tc>
          <w:tcPr>
            <w:tcW w:w="2660" w:type="dxa"/>
            <w:vMerge w:val="restart"/>
            <w:shd w:val="clear" w:color="auto" w:fill="B6DDE8" w:themeFill="accent5" w:themeFillTint="66"/>
            <w:tcMar>
              <w:top w:w="85" w:type="dxa"/>
              <w:bottom w:w="85" w:type="dxa"/>
            </w:tcMar>
            <w:vAlign w:val="center"/>
          </w:tcPr>
          <w:p w:rsidR="00395D27" w:rsidRPr="00127E4D" w:rsidRDefault="00395D27" w:rsidP="00271608">
            <w:pPr>
              <w:jc w:val="center"/>
              <w:rPr>
                <w:b/>
              </w:rPr>
            </w:pPr>
            <w:r w:rsidRPr="00127E4D">
              <w:rPr>
                <w:b/>
              </w:rPr>
              <w:br w:type="page"/>
            </w:r>
            <w:r w:rsidR="00271608" w:rsidRPr="00127E4D">
              <w:rPr>
                <w:b/>
                <w:sz w:val="18"/>
                <w:szCs w:val="18"/>
              </w:rPr>
              <w:t>Recomendación</w:t>
            </w:r>
          </w:p>
        </w:tc>
        <w:tc>
          <w:tcPr>
            <w:tcW w:w="1559" w:type="dxa"/>
            <w:vMerge w:val="restart"/>
            <w:shd w:val="clear" w:color="auto" w:fill="B6DDE8" w:themeFill="accent5" w:themeFillTint="66"/>
            <w:tcMar>
              <w:top w:w="85" w:type="dxa"/>
              <w:bottom w:w="85" w:type="dxa"/>
            </w:tcMar>
            <w:vAlign w:val="center"/>
          </w:tcPr>
          <w:p w:rsidR="00395D27" w:rsidRPr="00127E4D" w:rsidRDefault="000E1077" w:rsidP="00ED308B">
            <w:pPr>
              <w:jc w:val="center"/>
              <w:rPr>
                <w:b/>
                <w:sz w:val="18"/>
                <w:szCs w:val="18"/>
              </w:rPr>
            </w:pPr>
            <w:r w:rsidRPr="00127E4D">
              <w:rPr>
                <w:b/>
                <w:sz w:val="18"/>
                <w:szCs w:val="18"/>
              </w:rPr>
              <w:t>Funcionario encargado</w:t>
            </w:r>
          </w:p>
        </w:tc>
        <w:tc>
          <w:tcPr>
            <w:tcW w:w="2835" w:type="dxa"/>
            <w:gridSpan w:val="2"/>
            <w:shd w:val="clear" w:color="auto" w:fill="B6DDE8" w:themeFill="accent5" w:themeFillTint="66"/>
            <w:tcMar>
              <w:top w:w="85" w:type="dxa"/>
              <w:bottom w:w="85" w:type="dxa"/>
            </w:tcMar>
            <w:vAlign w:val="center"/>
          </w:tcPr>
          <w:p w:rsidR="00395D27" w:rsidRPr="00127E4D" w:rsidRDefault="000E1077" w:rsidP="00ED308B">
            <w:pPr>
              <w:jc w:val="center"/>
              <w:rPr>
                <w:b/>
                <w:sz w:val="18"/>
                <w:szCs w:val="18"/>
              </w:rPr>
            </w:pPr>
            <w:r w:rsidRPr="00127E4D">
              <w:rPr>
                <w:b/>
                <w:sz w:val="18"/>
                <w:szCs w:val="18"/>
              </w:rPr>
              <w:t>Estado de aceptación</w:t>
            </w:r>
          </w:p>
        </w:tc>
        <w:tc>
          <w:tcPr>
            <w:tcW w:w="2517" w:type="dxa"/>
            <w:vMerge w:val="restart"/>
            <w:shd w:val="clear" w:color="auto" w:fill="B6DDE8" w:themeFill="accent5" w:themeFillTint="66"/>
            <w:tcMar>
              <w:top w:w="85" w:type="dxa"/>
              <w:bottom w:w="85" w:type="dxa"/>
            </w:tcMar>
            <w:vAlign w:val="center"/>
          </w:tcPr>
          <w:p w:rsidR="00395D27" w:rsidRPr="00127E4D" w:rsidRDefault="00D971F8" w:rsidP="00ED308B">
            <w:pPr>
              <w:jc w:val="center"/>
              <w:rPr>
                <w:b/>
                <w:sz w:val="18"/>
                <w:szCs w:val="18"/>
              </w:rPr>
            </w:pPr>
            <w:r w:rsidRPr="00127E4D">
              <w:rPr>
                <w:b/>
                <w:sz w:val="18"/>
                <w:szCs w:val="18"/>
              </w:rPr>
              <w:t>Evaluación Equipo directivo/Coordinador</w:t>
            </w:r>
          </w:p>
        </w:tc>
      </w:tr>
      <w:tr w:rsidR="00395D27" w:rsidRPr="00127E4D" w:rsidTr="00ED308B">
        <w:trPr>
          <w:tblHeader/>
        </w:trPr>
        <w:tc>
          <w:tcPr>
            <w:tcW w:w="2660" w:type="dxa"/>
            <w:vMerge/>
            <w:shd w:val="clear" w:color="auto" w:fill="B6DDE8" w:themeFill="accent5" w:themeFillTint="66"/>
          </w:tcPr>
          <w:p w:rsidR="00395D27" w:rsidRPr="00127E4D" w:rsidRDefault="00395D27" w:rsidP="00ED308B">
            <w:pPr>
              <w:rPr>
                <w:b/>
                <w:sz w:val="18"/>
                <w:szCs w:val="18"/>
              </w:rPr>
            </w:pPr>
          </w:p>
        </w:tc>
        <w:tc>
          <w:tcPr>
            <w:tcW w:w="1559" w:type="dxa"/>
            <w:vMerge/>
            <w:shd w:val="clear" w:color="auto" w:fill="B6DDE8" w:themeFill="accent5" w:themeFillTint="66"/>
          </w:tcPr>
          <w:p w:rsidR="00395D27" w:rsidRPr="00127E4D" w:rsidRDefault="00395D27" w:rsidP="00ED308B">
            <w:pPr>
              <w:rPr>
                <w:b/>
                <w:sz w:val="18"/>
                <w:szCs w:val="18"/>
              </w:rPr>
            </w:pPr>
          </w:p>
        </w:tc>
        <w:tc>
          <w:tcPr>
            <w:tcW w:w="1418" w:type="dxa"/>
            <w:shd w:val="clear" w:color="auto" w:fill="B6DDE8" w:themeFill="accent5" w:themeFillTint="66"/>
            <w:tcMar>
              <w:top w:w="85" w:type="dxa"/>
              <w:bottom w:w="85" w:type="dxa"/>
            </w:tcMar>
            <w:vAlign w:val="center"/>
          </w:tcPr>
          <w:p w:rsidR="00395D27" w:rsidRPr="00127E4D" w:rsidRDefault="000E1077" w:rsidP="00ED308B">
            <w:pPr>
              <w:jc w:val="center"/>
              <w:rPr>
                <w:b/>
                <w:sz w:val="16"/>
                <w:szCs w:val="18"/>
              </w:rPr>
            </w:pPr>
            <w:r w:rsidRPr="00127E4D">
              <w:rPr>
                <w:b/>
                <w:sz w:val="16"/>
                <w:szCs w:val="18"/>
              </w:rPr>
              <w:t>Aceptación</w:t>
            </w:r>
          </w:p>
        </w:tc>
        <w:tc>
          <w:tcPr>
            <w:tcW w:w="1417" w:type="dxa"/>
            <w:shd w:val="clear" w:color="auto" w:fill="B6DDE8" w:themeFill="accent5" w:themeFillTint="66"/>
            <w:tcMar>
              <w:top w:w="85" w:type="dxa"/>
              <w:bottom w:w="85" w:type="dxa"/>
            </w:tcMar>
            <w:vAlign w:val="center"/>
          </w:tcPr>
          <w:p w:rsidR="00395D27" w:rsidRPr="00127E4D" w:rsidRDefault="000E1077" w:rsidP="00ED308B">
            <w:pPr>
              <w:jc w:val="center"/>
              <w:rPr>
                <w:b/>
                <w:sz w:val="16"/>
                <w:szCs w:val="18"/>
              </w:rPr>
            </w:pPr>
            <w:r w:rsidRPr="00127E4D">
              <w:rPr>
                <w:b/>
                <w:sz w:val="16"/>
                <w:szCs w:val="18"/>
              </w:rPr>
              <w:t>Aplicación</w:t>
            </w:r>
          </w:p>
        </w:tc>
        <w:tc>
          <w:tcPr>
            <w:tcW w:w="2517" w:type="dxa"/>
            <w:vMerge/>
            <w:shd w:val="clear" w:color="auto" w:fill="B6DDE8" w:themeFill="accent5" w:themeFillTint="66"/>
          </w:tcPr>
          <w:p w:rsidR="00395D27" w:rsidRPr="00127E4D" w:rsidRDefault="00395D27" w:rsidP="00ED308B">
            <w:pPr>
              <w:rPr>
                <w:b/>
                <w:sz w:val="18"/>
                <w:szCs w:val="18"/>
              </w:rPr>
            </w:pPr>
          </w:p>
        </w:tc>
      </w:tr>
      <w:tr w:rsidR="00395D27" w:rsidRPr="00127E4D" w:rsidTr="00ED308B">
        <w:tc>
          <w:tcPr>
            <w:tcW w:w="2660" w:type="dxa"/>
            <w:tcMar>
              <w:top w:w="85" w:type="dxa"/>
              <w:bottom w:w="85" w:type="dxa"/>
            </w:tcMar>
            <w:vAlign w:val="center"/>
          </w:tcPr>
          <w:p w:rsidR="00395D27" w:rsidRPr="00127E4D" w:rsidRDefault="00271608" w:rsidP="00ED308B">
            <w:pPr>
              <w:rPr>
                <w:sz w:val="18"/>
                <w:szCs w:val="18"/>
              </w:rPr>
            </w:pPr>
            <w:r w:rsidRPr="00127E4D">
              <w:rPr>
                <w:sz w:val="18"/>
                <w:szCs w:val="18"/>
              </w:rPr>
              <w:t>Rec. 12.  Los órganos legislativos de las organizaciones del sistema de las Naciones Unidas deberían orientar y aprobar el apoyo necesario a los Jefes Ejecutivos para desarrollar sitios web multilingües en todos sus idiomas oficiales o de trabajo, prestando la debida atención a las singularidades lingüísticas de los lugares de destino.</w:t>
            </w:r>
          </w:p>
        </w:tc>
        <w:tc>
          <w:tcPr>
            <w:tcW w:w="1559" w:type="dxa"/>
            <w:tcMar>
              <w:top w:w="85" w:type="dxa"/>
              <w:bottom w:w="85" w:type="dxa"/>
            </w:tcMar>
          </w:tcPr>
          <w:p w:rsidR="00395D27" w:rsidRPr="00127E4D" w:rsidRDefault="00395D27" w:rsidP="00ED308B">
            <w:pPr>
              <w:rPr>
                <w:sz w:val="18"/>
                <w:szCs w:val="18"/>
              </w:rPr>
            </w:pPr>
            <w:r w:rsidRPr="00127E4D">
              <w:rPr>
                <w:sz w:val="18"/>
                <w:szCs w:val="18"/>
              </w:rPr>
              <w:t xml:space="preserve">Director, </w:t>
            </w:r>
            <w:r w:rsidR="00271608" w:rsidRPr="00127E4D">
              <w:rPr>
                <w:sz w:val="18"/>
                <w:szCs w:val="18"/>
              </w:rPr>
              <w:t>Departamento Lingüístico y de Conferencias</w:t>
            </w:r>
          </w:p>
        </w:tc>
        <w:tc>
          <w:tcPr>
            <w:tcW w:w="1418" w:type="dxa"/>
            <w:tcMar>
              <w:top w:w="85" w:type="dxa"/>
              <w:bottom w:w="85" w:type="dxa"/>
            </w:tcMar>
          </w:tcPr>
          <w:p w:rsidR="00395D27" w:rsidRPr="00127E4D" w:rsidRDefault="00395D27" w:rsidP="00ED308B">
            <w:pPr>
              <w:rPr>
                <w:sz w:val="18"/>
                <w:szCs w:val="18"/>
              </w:rPr>
            </w:pPr>
            <w:r w:rsidRPr="00127E4D">
              <w:rPr>
                <w:noProof/>
                <w:lang w:val="en-US" w:eastAsia="en-US"/>
              </w:rPr>
              <mc:AlternateContent>
                <mc:Choice Requires="wps">
                  <w:drawing>
                    <wp:anchor distT="0" distB="0" distL="114300" distR="114300" simplePos="0" relativeHeight="251669504" behindDoc="0" locked="0" layoutInCell="1" allowOverlap="1" wp14:anchorId="6EC6E02D" wp14:editId="5E931BDA">
                      <wp:simplePos x="0" y="0"/>
                      <wp:positionH relativeFrom="column">
                        <wp:posOffset>59055</wp:posOffset>
                      </wp:positionH>
                      <wp:positionV relativeFrom="paragraph">
                        <wp:posOffset>521335</wp:posOffset>
                      </wp:positionV>
                      <wp:extent cx="1562100" cy="36195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1562100" cy="36195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ED308B" w:rsidRDefault="00ED308B" w:rsidP="00395D27">
                                  <w:pPr>
                                    <w:jc w:val="center"/>
                                  </w:pPr>
                                  <w:r>
                                    <w:rPr>
                                      <w:i/>
                                      <w:sz w:val="14"/>
                                      <w:szCs w:val="14"/>
                                    </w:rPr>
                                    <w:t>Anteriormente</w:t>
                                  </w:r>
                                  <w:r w:rsidRPr="00337266">
                                    <w:rPr>
                                      <w:i/>
                                      <w:sz w:val="14"/>
                                      <w:szCs w:val="14"/>
                                    </w:rPr>
                                    <w:t xml:space="preserve"> “</w:t>
                                  </w:r>
                                  <w:r>
                                    <w:rPr>
                                      <w:i/>
                                      <w:sz w:val="14"/>
                                      <w:szCs w:val="14"/>
                                    </w:rPr>
                                    <w:t>En curso de aplicación</w:t>
                                  </w:r>
                                  <w:r w:rsidRPr="00337266">
                                    <w:rPr>
                                      <w:i/>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31" style="position:absolute;margin-left:4.65pt;margin-top:41.05pt;width:123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" fillcolor="window" strokecolor="#8eb4e3" strokeweight="2pt">
                      <v:textbox>
                        <w:txbxContent>
                          <w:p w:rsidR="00ED308B" w:rsidRDefault="00ED308B" w:rsidP="00395D27">
                            <w:pPr>
                              <w:jc w:val="center"/>
                            </w:pPr>
                            <w:r>
                              <w:rPr>
                                <w:i/>
                                <w:sz w:val="14"/>
                                <w:szCs w:val="14"/>
                              </w:rPr>
                              <w:t>Anteriormente</w:t>
                            </w:r>
                            <w:r w:rsidRPr="00337266">
                              <w:rPr>
                                <w:i/>
                                <w:sz w:val="14"/>
                                <w:szCs w:val="14"/>
                              </w:rPr>
                              <w:t xml:space="preserve"> “</w:t>
                            </w:r>
                            <w:r>
                              <w:rPr>
                                <w:i/>
                                <w:sz w:val="14"/>
                                <w:szCs w:val="14"/>
                              </w:rPr>
                              <w:t>En curso de aplicación</w:t>
                            </w:r>
                            <w:r w:rsidRPr="00337266">
                              <w:rPr>
                                <w:i/>
                                <w:sz w:val="14"/>
                                <w:szCs w:val="14"/>
                              </w:rPr>
                              <w:t>”</w:t>
                            </w:r>
                          </w:p>
                        </w:txbxContent>
                      </v:textbox>
                    </v:roundrect>
                  </w:pict>
                </mc:Fallback>
              </mc:AlternateContent>
            </w:r>
            <w:r w:rsidR="008D6382" w:rsidRPr="00127E4D">
              <w:rPr>
                <w:sz w:val="18"/>
                <w:szCs w:val="18"/>
              </w:rPr>
              <w:t>Aceptada</w:t>
            </w:r>
          </w:p>
        </w:tc>
        <w:tc>
          <w:tcPr>
            <w:tcW w:w="1417" w:type="dxa"/>
            <w:tcMar>
              <w:top w:w="85" w:type="dxa"/>
              <w:bottom w:w="85" w:type="dxa"/>
            </w:tcMar>
          </w:tcPr>
          <w:p w:rsidR="00395D27" w:rsidRPr="00127E4D" w:rsidRDefault="008D6382" w:rsidP="00ED308B">
            <w:pPr>
              <w:rPr>
                <w:sz w:val="18"/>
                <w:szCs w:val="18"/>
              </w:rPr>
            </w:pPr>
            <w:r w:rsidRPr="00127E4D">
              <w:rPr>
                <w:sz w:val="18"/>
                <w:szCs w:val="18"/>
              </w:rPr>
              <w:t>Aplicada</w:t>
            </w:r>
          </w:p>
        </w:tc>
        <w:tc>
          <w:tcPr>
            <w:tcW w:w="2517" w:type="dxa"/>
            <w:tcMar>
              <w:top w:w="85" w:type="dxa"/>
              <w:bottom w:w="85" w:type="dxa"/>
            </w:tcMar>
          </w:tcPr>
          <w:p w:rsidR="00395D27" w:rsidRPr="00127E4D" w:rsidRDefault="000134F2" w:rsidP="00ED308B">
            <w:pPr>
              <w:rPr>
                <w:sz w:val="18"/>
                <w:szCs w:val="18"/>
              </w:rPr>
            </w:pPr>
            <w:r w:rsidRPr="00127E4D">
              <w:rPr>
                <w:sz w:val="18"/>
                <w:szCs w:val="18"/>
              </w:rPr>
              <w:t>El sitio web de la OMPI está disponible en todos los idiomas oficiales de las Naciones Unidas.</w:t>
            </w:r>
          </w:p>
        </w:tc>
      </w:tr>
    </w:tbl>
    <w:p w:rsidR="00395D27" w:rsidRPr="00127E4D" w:rsidRDefault="00395D27" w:rsidP="00395D27">
      <w:pPr>
        <w:rPr>
          <w:b/>
        </w:rPr>
      </w:pPr>
    </w:p>
    <w:p w:rsidR="00395D27" w:rsidRPr="00127E4D" w:rsidRDefault="00395D27" w:rsidP="00395D27">
      <w:pPr>
        <w:rPr>
          <w:b/>
        </w:rPr>
      </w:pPr>
    </w:p>
    <w:p w:rsidR="00395D27" w:rsidRPr="00127E4D" w:rsidRDefault="00395D27" w:rsidP="00271608">
      <w:pPr>
        <w:pStyle w:val="ListParagraph"/>
        <w:numPr>
          <w:ilvl w:val="0"/>
          <w:numId w:val="13"/>
        </w:numPr>
      </w:pPr>
      <w:r w:rsidRPr="00127E4D">
        <w:t xml:space="preserve">JIU/REP/2011/3, </w:t>
      </w:r>
      <w:r w:rsidR="00271608" w:rsidRPr="00127E4D">
        <w:t>“La cooperación Sur-Sur y la cooperación triangular en el sistema de las Naciones Unidas”</w:t>
      </w:r>
    </w:p>
    <w:p w:rsidR="00395D27" w:rsidRPr="00127E4D" w:rsidRDefault="00395D27" w:rsidP="00395D27">
      <w:pPr>
        <w:rPr>
          <w:b/>
        </w:rPr>
      </w:pPr>
    </w:p>
    <w:p w:rsidR="00395D27" w:rsidRPr="00127E4D" w:rsidRDefault="00395D27" w:rsidP="00395D27">
      <w:pPr>
        <w:rPr>
          <w:b/>
        </w:rPr>
      </w:pPr>
    </w:p>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395D27" w:rsidRPr="00127E4D" w:rsidTr="00ED308B">
        <w:trPr>
          <w:tblHeader/>
        </w:trPr>
        <w:tc>
          <w:tcPr>
            <w:tcW w:w="2660" w:type="dxa"/>
            <w:vMerge w:val="restart"/>
            <w:shd w:val="clear" w:color="auto" w:fill="B6DDE8" w:themeFill="accent5" w:themeFillTint="66"/>
            <w:tcMar>
              <w:top w:w="85" w:type="dxa"/>
              <w:bottom w:w="85" w:type="dxa"/>
            </w:tcMar>
            <w:vAlign w:val="center"/>
          </w:tcPr>
          <w:p w:rsidR="00395D27" w:rsidRPr="00127E4D" w:rsidRDefault="00395D27" w:rsidP="00271608">
            <w:pPr>
              <w:jc w:val="center"/>
              <w:rPr>
                <w:b/>
              </w:rPr>
            </w:pPr>
            <w:r w:rsidRPr="00127E4D">
              <w:rPr>
                <w:b/>
              </w:rPr>
              <w:br w:type="page"/>
            </w:r>
            <w:r w:rsidR="00271608" w:rsidRPr="00127E4D">
              <w:rPr>
                <w:b/>
                <w:sz w:val="18"/>
                <w:szCs w:val="18"/>
              </w:rPr>
              <w:t>Recomendación</w:t>
            </w:r>
          </w:p>
        </w:tc>
        <w:tc>
          <w:tcPr>
            <w:tcW w:w="1559" w:type="dxa"/>
            <w:vMerge w:val="restart"/>
            <w:shd w:val="clear" w:color="auto" w:fill="B6DDE8" w:themeFill="accent5" w:themeFillTint="66"/>
            <w:tcMar>
              <w:top w:w="85" w:type="dxa"/>
              <w:bottom w:w="85" w:type="dxa"/>
            </w:tcMar>
            <w:vAlign w:val="center"/>
          </w:tcPr>
          <w:p w:rsidR="00395D27" w:rsidRPr="00127E4D" w:rsidRDefault="000E1077" w:rsidP="00ED308B">
            <w:pPr>
              <w:jc w:val="center"/>
              <w:rPr>
                <w:b/>
                <w:sz w:val="18"/>
                <w:szCs w:val="18"/>
              </w:rPr>
            </w:pPr>
            <w:r w:rsidRPr="00127E4D">
              <w:rPr>
                <w:b/>
                <w:sz w:val="18"/>
                <w:szCs w:val="18"/>
              </w:rPr>
              <w:t>Funcionario encargado</w:t>
            </w:r>
          </w:p>
        </w:tc>
        <w:tc>
          <w:tcPr>
            <w:tcW w:w="2835" w:type="dxa"/>
            <w:gridSpan w:val="2"/>
            <w:shd w:val="clear" w:color="auto" w:fill="B6DDE8" w:themeFill="accent5" w:themeFillTint="66"/>
            <w:tcMar>
              <w:top w:w="85" w:type="dxa"/>
              <w:bottom w:w="85" w:type="dxa"/>
            </w:tcMar>
            <w:vAlign w:val="center"/>
          </w:tcPr>
          <w:p w:rsidR="00395D27" w:rsidRPr="00127E4D" w:rsidRDefault="000E1077" w:rsidP="00ED308B">
            <w:pPr>
              <w:jc w:val="center"/>
              <w:rPr>
                <w:b/>
                <w:sz w:val="18"/>
                <w:szCs w:val="18"/>
              </w:rPr>
            </w:pPr>
            <w:r w:rsidRPr="00127E4D">
              <w:rPr>
                <w:b/>
                <w:sz w:val="18"/>
                <w:szCs w:val="18"/>
              </w:rPr>
              <w:t>Estado de aceptación</w:t>
            </w:r>
          </w:p>
        </w:tc>
        <w:tc>
          <w:tcPr>
            <w:tcW w:w="2517" w:type="dxa"/>
            <w:vMerge w:val="restart"/>
            <w:shd w:val="clear" w:color="auto" w:fill="B6DDE8" w:themeFill="accent5" w:themeFillTint="66"/>
            <w:tcMar>
              <w:top w:w="85" w:type="dxa"/>
              <w:bottom w:w="85" w:type="dxa"/>
            </w:tcMar>
            <w:vAlign w:val="center"/>
          </w:tcPr>
          <w:p w:rsidR="00395D27" w:rsidRPr="00127E4D" w:rsidRDefault="00D971F8" w:rsidP="00ED308B">
            <w:pPr>
              <w:jc w:val="center"/>
              <w:rPr>
                <w:b/>
                <w:sz w:val="18"/>
                <w:szCs w:val="18"/>
              </w:rPr>
            </w:pPr>
            <w:r w:rsidRPr="00127E4D">
              <w:rPr>
                <w:b/>
                <w:sz w:val="18"/>
                <w:szCs w:val="18"/>
              </w:rPr>
              <w:t>Evaluación Equipo directivo/Coordinador</w:t>
            </w:r>
          </w:p>
        </w:tc>
      </w:tr>
      <w:tr w:rsidR="00395D27" w:rsidRPr="00127E4D" w:rsidTr="00ED308B">
        <w:trPr>
          <w:tblHeader/>
        </w:trPr>
        <w:tc>
          <w:tcPr>
            <w:tcW w:w="2660" w:type="dxa"/>
            <w:vMerge/>
            <w:shd w:val="clear" w:color="auto" w:fill="B6DDE8" w:themeFill="accent5" w:themeFillTint="66"/>
          </w:tcPr>
          <w:p w:rsidR="00395D27" w:rsidRPr="00127E4D" w:rsidRDefault="00395D27" w:rsidP="00ED308B">
            <w:pPr>
              <w:rPr>
                <w:b/>
                <w:sz w:val="18"/>
                <w:szCs w:val="18"/>
              </w:rPr>
            </w:pPr>
          </w:p>
        </w:tc>
        <w:tc>
          <w:tcPr>
            <w:tcW w:w="1559" w:type="dxa"/>
            <w:vMerge/>
            <w:shd w:val="clear" w:color="auto" w:fill="B6DDE8" w:themeFill="accent5" w:themeFillTint="66"/>
          </w:tcPr>
          <w:p w:rsidR="00395D27" w:rsidRPr="00127E4D" w:rsidRDefault="00395D27" w:rsidP="00ED308B">
            <w:pPr>
              <w:rPr>
                <w:b/>
                <w:sz w:val="18"/>
                <w:szCs w:val="18"/>
              </w:rPr>
            </w:pPr>
          </w:p>
        </w:tc>
        <w:tc>
          <w:tcPr>
            <w:tcW w:w="1418" w:type="dxa"/>
            <w:shd w:val="clear" w:color="auto" w:fill="B6DDE8" w:themeFill="accent5" w:themeFillTint="66"/>
            <w:tcMar>
              <w:top w:w="85" w:type="dxa"/>
              <w:bottom w:w="85" w:type="dxa"/>
            </w:tcMar>
            <w:vAlign w:val="center"/>
          </w:tcPr>
          <w:p w:rsidR="00395D27" w:rsidRPr="00127E4D" w:rsidRDefault="000E1077" w:rsidP="00ED308B">
            <w:pPr>
              <w:jc w:val="center"/>
              <w:rPr>
                <w:b/>
                <w:sz w:val="16"/>
                <w:szCs w:val="18"/>
              </w:rPr>
            </w:pPr>
            <w:r w:rsidRPr="00127E4D">
              <w:rPr>
                <w:b/>
                <w:sz w:val="16"/>
                <w:szCs w:val="18"/>
              </w:rPr>
              <w:t>Aceptación</w:t>
            </w:r>
          </w:p>
        </w:tc>
        <w:tc>
          <w:tcPr>
            <w:tcW w:w="1417" w:type="dxa"/>
            <w:shd w:val="clear" w:color="auto" w:fill="B6DDE8" w:themeFill="accent5" w:themeFillTint="66"/>
            <w:tcMar>
              <w:top w:w="85" w:type="dxa"/>
              <w:bottom w:w="85" w:type="dxa"/>
            </w:tcMar>
            <w:vAlign w:val="center"/>
          </w:tcPr>
          <w:p w:rsidR="00395D27" w:rsidRPr="00127E4D" w:rsidRDefault="000E1077" w:rsidP="00ED308B">
            <w:pPr>
              <w:jc w:val="center"/>
              <w:rPr>
                <w:b/>
                <w:sz w:val="16"/>
                <w:szCs w:val="18"/>
              </w:rPr>
            </w:pPr>
            <w:r w:rsidRPr="00127E4D">
              <w:rPr>
                <w:b/>
                <w:sz w:val="16"/>
                <w:szCs w:val="18"/>
              </w:rPr>
              <w:t>Aplicación</w:t>
            </w:r>
          </w:p>
        </w:tc>
        <w:tc>
          <w:tcPr>
            <w:tcW w:w="2517" w:type="dxa"/>
            <w:vMerge/>
            <w:shd w:val="clear" w:color="auto" w:fill="B6DDE8" w:themeFill="accent5" w:themeFillTint="66"/>
          </w:tcPr>
          <w:p w:rsidR="00395D27" w:rsidRPr="00127E4D" w:rsidRDefault="00395D27" w:rsidP="00ED308B">
            <w:pPr>
              <w:rPr>
                <w:b/>
                <w:sz w:val="18"/>
                <w:szCs w:val="18"/>
              </w:rPr>
            </w:pPr>
          </w:p>
        </w:tc>
      </w:tr>
      <w:tr w:rsidR="00395D27" w:rsidRPr="00127E4D" w:rsidTr="00ED308B">
        <w:tc>
          <w:tcPr>
            <w:tcW w:w="2660" w:type="dxa"/>
            <w:tcMar>
              <w:top w:w="85" w:type="dxa"/>
              <w:bottom w:w="85" w:type="dxa"/>
            </w:tcMar>
          </w:tcPr>
          <w:p w:rsidR="00395D27" w:rsidRPr="00127E4D" w:rsidRDefault="00271608" w:rsidP="00ED308B">
            <w:pPr>
              <w:rPr>
                <w:sz w:val="18"/>
                <w:szCs w:val="18"/>
              </w:rPr>
            </w:pPr>
            <w:r w:rsidRPr="00127E4D">
              <w:rPr>
                <w:sz w:val="18"/>
                <w:szCs w:val="18"/>
              </w:rPr>
              <w:t>Rec. 3.  Los órganos legislativos de las organizaciones de las Naciones Unidas deberían pedir a los Jefes Ejecutivos que establezcan estructuras, mecanismos y coordinadores localizables y específicamente encargados de desarrollar la política institucional y la estrategia de apoyo concreta de cada organización y de proveer a la coordinación de la cooperación Sur-Sur y triangular desde sus respectivas organizaciones y entre ellas, mediante las reasignación que corresponda del personal y los recursos necesarios para ello.</w:t>
            </w:r>
          </w:p>
        </w:tc>
        <w:tc>
          <w:tcPr>
            <w:tcW w:w="1559" w:type="dxa"/>
            <w:tcMar>
              <w:top w:w="85" w:type="dxa"/>
              <w:bottom w:w="85" w:type="dxa"/>
            </w:tcMar>
          </w:tcPr>
          <w:p w:rsidR="00395D27" w:rsidRPr="00127E4D" w:rsidRDefault="00271608" w:rsidP="00ED308B">
            <w:pPr>
              <w:rPr>
                <w:sz w:val="18"/>
                <w:szCs w:val="18"/>
              </w:rPr>
            </w:pPr>
            <w:r w:rsidRPr="00127E4D">
              <w:rPr>
                <w:sz w:val="18"/>
                <w:szCs w:val="18"/>
              </w:rPr>
              <w:t>Director de la División de Coordinación de la Agenda para el Desarrollo</w:t>
            </w:r>
          </w:p>
        </w:tc>
        <w:tc>
          <w:tcPr>
            <w:tcW w:w="1418" w:type="dxa"/>
            <w:tcMar>
              <w:top w:w="85" w:type="dxa"/>
              <w:bottom w:w="85" w:type="dxa"/>
            </w:tcMar>
          </w:tcPr>
          <w:p w:rsidR="00395D27" w:rsidRPr="00127E4D" w:rsidRDefault="00395D27" w:rsidP="00ED308B">
            <w:pPr>
              <w:rPr>
                <w:sz w:val="18"/>
                <w:szCs w:val="18"/>
              </w:rPr>
            </w:pPr>
            <w:r w:rsidRPr="00127E4D">
              <w:rPr>
                <w:noProof/>
                <w:lang w:val="en-US" w:eastAsia="en-US"/>
              </w:rPr>
              <mc:AlternateContent>
                <mc:Choice Requires="wps">
                  <w:drawing>
                    <wp:anchor distT="0" distB="0" distL="114300" distR="114300" simplePos="0" relativeHeight="251675648" behindDoc="0" locked="0" layoutInCell="1" allowOverlap="1" wp14:anchorId="4CA05DA0" wp14:editId="3F349E63">
                      <wp:simplePos x="0" y="0"/>
                      <wp:positionH relativeFrom="column">
                        <wp:posOffset>46355</wp:posOffset>
                      </wp:positionH>
                      <wp:positionV relativeFrom="paragraph">
                        <wp:posOffset>632460</wp:posOffset>
                      </wp:positionV>
                      <wp:extent cx="1562100" cy="488950"/>
                      <wp:effectExtent l="0" t="0" r="19050" b="25400"/>
                      <wp:wrapNone/>
                      <wp:docPr id="25" name="Rounded Rectangle 25"/>
                      <wp:cNvGraphicFramePr/>
                      <a:graphic xmlns:a="http://schemas.openxmlformats.org/drawingml/2006/main">
                        <a:graphicData uri="http://schemas.microsoft.com/office/word/2010/wordprocessingShape">
                          <wps:wsp>
                            <wps:cNvSpPr/>
                            <wps:spPr>
                              <a:xfrm>
                                <a:off x="0" y="0"/>
                                <a:ext cx="1562100" cy="48895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ED308B" w:rsidRPr="008D6382" w:rsidRDefault="00ED308B" w:rsidP="008D6382">
                                  <w:pPr>
                                    <w:jc w:val="center"/>
                                    <w:rPr>
                                      <w:i/>
                                      <w:sz w:val="14"/>
                                      <w:szCs w:val="14"/>
                                    </w:rPr>
                                  </w:pPr>
                                  <w:r w:rsidRPr="008D6382">
                                    <w:rPr>
                                      <w:i/>
                                      <w:sz w:val="14"/>
                                      <w:szCs w:val="14"/>
                                    </w:rPr>
                                    <w:t>Sin cambios con respecto a la situación anterior</w:t>
                                  </w:r>
                                </w:p>
                                <w:p w:rsidR="00ED308B" w:rsidRPr="008D6382" w:rsidRDefault="00ED308B" w:rsidP="008D6382">
                                  <w:pPr>
                                    <w:jc w:val="center"/>
                                    <w:rPr>
                                      <w:i/>
                                      <w:sz w:val="14"/>
                                      <w:szCs w:val="14"/>
                                    </w:rPr>
                                  </w:pPr>
                                  <w:r w:rsidRPr="008D6382">
                                    <w:rPr>
                                      <w:i/>
                                      <w:sz w:val="14"/>
                                      <w:szCs w:val="14"/>
                                    </w:rPr>
                                    <w:t>Se ha actualizado la evaluación</w:t>
                                  </w:r>
                                </w:p>
                                <w:p w:rsidR="00ED308B" w:rsidRPr="003810C3" w:rsidRDefault="00ED308B" w:rsidP="00395D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 o:spid="_x0000_s1032" style="position:absolute;margin-left:3.65pt;margin-top:49.8pt;width:123pt;height:3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" fillcolor="window" strokecolor="#8eb4e3" strokeweight="2pt">
                      <v:textbox>
                        <w:txbxContent>
                          <w:p w:rsidR="00ED308B" w:rsidRPr="008D6382" w:rsidRDefault="00ED308B" w:rsidP="008D6382">
                            <w:pPr>
                              <w:jc w:val="center"/>
                              <w:rPr>
                                <w:i/>
                                <w:sz w:val="14"/>
                                <w:szCs w:val="14"/>
                              </w:rPr>
                            </w:pPr>
                            <w:r w:rsidRPr="008D6382">
                              <w:rPr>
                                <w:i/>
                                <w:sz w:val="14"/>
                                <w:szCs w:val="14"/>
                              </w:rPr>
                              <w:t>Sin cambios con respecto a la situación anterior</w:t>
                            </w:r>
                          </w:p>
                          <w:p w:rsidR="00ED308B" w:rsidRPr="008D6382" w:rsidRDefault="00ED308B" w:rsidP="008D6382">
                            <w:pPr>
                              <w:jc w:val="center"/>
                              <w:rPr>
                                <w:i/>
                                <w:sz w:val="14"/>
                                <w:szCs w:val="14"/>
                              </w:rPr>
                            </w:pPr>
                            <w:r w:rsidRPr="008D6382">
                              <w:rPr>
                                <w:i/>
                                <w:sz w:val="14"/>
                                <w:szCs w:val="14"/>
                              </w:rPr>
                              <w:t>Se ha actualizado la evaluación</w:t>
                            </w:r>
                          </w:p>
                          <w:p w:rsidR="00ED308B" w:rsidRPr="003810C3" w:rsidRDefault="00ED308B" w:rsidP="00395D27">
                            <w:pPr>
                              <w:jc w:val="center"/>
                            </w:pPr>
                          </w:p>
                        </w:txbxContent>
                      </v:textbox>
                    </v:roundrect>
                  </w:pict>
                </mc:Fallback>
              </mc:AlternateContent>
            </w:r>
            <w:r w:rsidR="00DE1BF1" w:rsidRPr="00127E4D">
              <w:rPr>
                <w:sz w:val="18"/>
                <w:szCs w:val="18"/>
              </w:rPr>
              <w:t>En examen</w:t>
            </w:r>
          </w:p>
        </w:tc>
        <w:tc>
          <w:tcPr>
            <w:tcW w:w="1417" w:type="dxa"/>
            <w:tcMar>
              <w:top w:w="85" w:type="dxa"/>
              <w:bottom w:w="85" w:type="dxa"/>
            </w:tcMar>
          </w:tcPr>
          <w:p w:rsidR="00395D27" w:rsidRPr="00127E4D" w:rsidRDefault="00395D27" w:rsidP="00ED308B">
            <w:pPr>
              <w:rPr>
                <w:sz w:val="18"/>
                <w:szCs w:val="18"/>
              </w:rPr>
            </w:pPr>
          </w:p>
        </w:tc>
        <w:tc>
          <w:tcPr>
            <w:tcW w:w="2517" w:type="dxa"/>
            <w:tcMar>
              <w:top w:w="85" w:type="dxa"/>
              <w:bottom w:w="85" w:type="dxa"/>
            </w:tcMar>
          </w:tcPr>
          <w:p w:rsidR="00395D27" w:rsidRPr="00127E4D" w:rsidRDefault="00CA14EA" w:rsidP="001A03EC">
            <w:pPr>
              <w:rPr>
                <w:sz w:val="18"/>
                <w:szCs w:val="18"/>
              </w:rPr>
            </w:pPr>
            <w:r w:rsidRPr="00127E4D">
              <w:rPr>
                <w:sz w:val="18"/>
                <w:szCs w:val="18"/>
              </w:rPr>
              <w:t xml:space="preserve">A finales de junio de 2015 se terminó de ejecutar el proyecto de la Agenda para el Desarrollo relativo a la intensificación de la cooperación Sur-Sur en materia de P.I. y desarrollo entre los países en desarrollo y los PMA.  Una de las actividades restantes que proporcionará </w:t>
            </w:r>
            <w:r w:rsidR="001A03EC" w:rsidRPr="00127E4D">
              <w:rPr>
                <w:sz w:val="18"/>
                <w:szCs w:val="18"/>
              </w:rPr>
              <w:t xml:space="preserve">una aportación fundamental a la política y estrategia de apoyo de la Organización a la promoción de la cooperación Sur-Sur es la descripción de las actividades Sur-Sur existentes en la OMPI y el estudio de las buenas prácticas en otras organizaciones de las NN.UU.  La finalización de esta actividad permitirá a la Organización establecer un enfoque detallado en este ámbito. </w:t>
            </w:r>
          </w:p>
        </w:tc>
      </w:tr>
      <w:tr w:rsidR="00395D27" w:rsidRPr="00127E4D" w:rsidTr="00ED308B">
        <w:tc>
          <w:tcPr>
            <w:tcW w:w="2660" w:type="dxa"/>
            <w:tcMar>
              <w:top w:w="85" w:type="dxa"/>
              <w:bottom w:w="85" w:type="dxa"/>
            </w:tcMar>
          </w:tcPr>
          <w:p w:rsidR="00395D27" w:rsidRPr="00127E4D" w:rsidRDefault="00271608" w:rsidP="00BE0444">
            <w:pPr>
              <w:keepNext/>
              <w:keepLines/>
              <w:rPr>
                <w:sz w:val="18"/>
                <w:szCs w:val="18"/>
              </w:rPr>
            </w:pPr>
            <w:r w:rsidRPr="00127E4D">
              <w:rPr>
                <w:sz w:val="18"/>
                <w:szCs w:val="18"/>
              </w:rPr>
              <w:lastRenderedPageBreak/>
              <w:t>Rec. 9.  Los órganos legislativos y rectores de las organizaciones del sistema de las Naciones Unidas deberían pedir a los Jefes Ejecutivos que destinen un porcentaje determinado –no menos del 0,5%– de los recursos del presupuesto básico al fomento de la cooperación Sur-Sur en sus respectivas esferas de competencia, en consulta con los países destinatarios de los programas;  y que convengan con los países donantes en destinar una determinada parte de los recursos extrapresupuestarios a financiar las actividades de cooperación Sur-Sur y de cooperación triangular.</w:t>
            </w:r>
          </w:p>
        </w:tc>
        <w:tc>
          <w:tcPr>
            <w:tcW w:w="1559" w:type="dxa"/>
            <w:tcMar>
              <w:top w:w="85" w:type="dxa"/>
              <w:bottom w:w="85" w:type="dxa"/>
            </w:tcMar>
          </w:tcPr>
          <w:p w:rsidR="00395D27" w:rsidRPr="00127E4D" w:rsidRDefault="00395D27" w:rsidP="00ED308B">
            <w:pPr>
              <w:rPr>
                <w:sz w:val="18"/>
                <w:szCs w:val="18"/>
              </w:rPr>
            </w:pPr>
            <w:r w:rsidRPr="00127E4D">
              <w:rPr>
                <w:sz w:val="18"/>
                <w:szCs w:val="18"/>
              </w:rPr>
              <w:t>Director, DACD</w:t>
            </w:r>
          </w:p>
        </w:tc>
        <w:tc>
          <w:tcPr>
            <w:tcW w:w="1418" w:type="dxa"/>
            <w:tcMar>
              <w:top w:w="85" w:type="dxa"/>
              <w:bottom w:w="85" w:type="dxa"/>
            </w:tcMar>
          </w:tcPr>
          <w:p w:rsidR="00395D27" w:rsidRPr="00127E4D" w:rsidRDefault="00395D27" w:rsidP="00ED308B">
            <w:pPr>
              <w:rPr>
                <w:sz w:val="18"/>
                <w:szCs w:val="18"/>
              </w:rPr>
            </w:pPr>
            <w:r w:rsidRPr="00127E4D">
              <w:rPr>
                <w:noProof/>
                <w:lang w:val="en-US" w:eastAsia="en-US"/>
              </w:rPr>
              <mc:AlternateContent>
                <mc:Choice Requires="wps">
                  <w:drawing>
                    <wp:anchor distT="0" distB="0" distL="114300" distR="114300" simplePos="0" relativeHeight="251676672" behindDoc="0" locked="0" layoutInCell="1" allowOverlap="1" wp14:anchorId="60AD1EF2" wp14:editId="6C8901BA">
                      <wp:simplePos x="0" y="0"/>
                      <wp:positionH relativeFrom="column">
                        <wp:posOffset>59055</wp:posOffset>
                      </wp:positionH>
                      <wp:positionV relativeFrom="paragraph">
                        <wp:posOffset>409575</wp:posOffset>
                      </wp:positionV>
                      <wp:extent cx="1562100" cy="469900"/>
                      <wp:effectExtent l="0" t="0" r="19050" b="25400"/>
                      <wp:wrapNone/>
                      <wp:docPr id="26" name="Rounded Rectangle 26"/>
                      <wp:cNvGraphicFramePr/>
                      <a:graphic xmlns:a="http://schemas.openxmlformats.org/drawingml/2006/main">
                        <a:graphicData uri="http://schemas.microsoft.com/office/word/2010/wordprocessingShape">
                          <wps:wsp>
                            <wps:cNvSpPr/>
                            <wps:spPr>
                              <a:xfrm>
                                <a:off x="0" y="0"/>
                                <a:ext cx="1562100" cy="4699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ED308B" w:rsidRPr="008D6382" w:rsidRDefault="00ED308B" w:rsidP="008D6382">
                                  <w:pPr>
                                    <w:jc w:val="center"/>
                                    <w:rPr>
                                      <w:i/>
                                      <w:sz w:val="14"/>
                                      <w:szCs w:val="14"/>
                                    </w:rPr>
                                  </w:pPr>
                                  <w:r w:rsidRPr="008D6382">
                                    <w:rPr>
                                      <w:i/>
                                      <w:sz w:val="14"/>
                                      <w:szCs w:val="14"/>
                                    </w:rPr>
                                    <w:t>Sin cambios con respecto a la situación anterior</w:t>
                                  </w:r>
                                </w:p>
                                <w:p w:rsidR="00ED308B" w:rsidRPr="008D6382" w:rsidRDefault="00ED308B" w:rsidP="008D6382">
                                  <w:pPr>
                                    <w:jc w:val="center"/>
                                    <w:rPr>
                                      <w:i/>
                                      <w:sz w:val="14"/>
                                      <w:szCs w:val="14"/>
                                    </w:rPr>
                                  </w:pPr>
                                  <w:r w:rsidRPr="008D6382">
                                    <w:rPr>
                                      <w:i/>
                                      <w:sz w:val="14"/>
                                      <w:szCs w:val="14"/>
                                    </w:rPr>
                                    <w:t>Se ha actualizado la evaluación</w:t>
                                  </w:r>
                                </w:p>
                                <w:p w:rsidR="00ED308B" w:rsidRPr="003810C3" w:rsidRDefault="00ED308B" w:rsidP="00395D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33" style="position:absolute;margin-left:4.65pt;margin-top:32.25pt;width:123pt;height: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" fillcolor="window" strokecolor="#8eb4e3" strokeweight="2pt">
                      <v:textbox>
                        <w:txbxContent>
                          <w:p w:rsidR="00ED308B" w:rsidRPr="008D6382" w:rsidRDefault="00ED308B" w:rsidP="008D6382">
                            <w:pPr>
                              <w:jc w:val="center"/>
                              <w:rPr>
                                <w:i/>
                                <w:sz w:val="14"/>
                                <w:szCs w:val="14"/>
                              </w:rPr>
                            </w:pPr>
                            <w:r w:rsidRPr="008D6382">
                              <w:rPr>
                                <w:i/>
                                <w:sz w:val="14"/>
                                <w:szCs w:val="14"/>
                              </w:rPr>
                              <w:t>Sin cambios con respecto a la situación anterior</w:t>
                            </w:r>
                          </w:p>
                          <w:p w:rsidR="00ED308B" w:rsidRPr="008D6382" w:rsidRDefault="00ED308B" w:rsidP="008D6382">
                            <w:pPr>
                              <w:jc w:val="center"/>
                              <w:rPr>
                                <w:i/>
                                <w:sz w:val="14"/>
                                <w:szCs w:val="14"/>
                              </w:rPr>
                            </w:pPr>
                            <w:r w:rsidRPr="008D6382">
                              <w:rPr>
                                <w:i/>
                                <w:sz w:val="14"/>
                                <w:szCs w:val="14"/>
                              </w:rPr>
                              <w:t>Se ha actualizado la evaluación</w:t>
                            </w:r>
                          </w:p>
                          <w:p w:rsidR="00ED308B" w:rsidRPr="003810C3" w:rsidRDefault="00ED308B" w:rsidP="00395D27">
                            <w:pPr>
                              <w:jc w:val="center"/>
                            </w:pPr>
                          </w:p>
                        </w:txbxContent>
                      </v:textbox>
                    </v:roundrect>
                  </w:pict>
                </mc:Fallback>
              </mc:AlternateContent>
            </w:r>
            <w:r w:rsidR="00DE1BF1" w:rsidRPr="00127E4D">
              <w:rPr>
                <w:sz w:val="18"/>
                <w:szCs w:val="18"/>
              </w:rPr>
              <w:t>En examen</w:t>
            </w:r>
          </w:p>
        </w:tc>
        <w:tc>
          <w:tcPr>
            <w:tcW w:w="1417" w:type="dxa"/>
            <w:tcMar>
              <w:top w:w="85" w:type="dxa"/>
              <w:bottom w:w="85" w:type="dxa"/>
            </w:tcMar>
          </w:tcPr>
          <w:p w:rsidR="00395D27" w:rsidRPr="00127E4D" w:rsidRDefault="00395D27" w:rsidP="00ED308B">
            <w:pPr>
              <w:rPr>
                <w:sz w:val="18"/>
                <w:szCs w:val="18"/>
              </w:rPr>
            </w:pPr>
          </w:p>
        </w:tc>
        <w:tc>
          <w:tcPr>
            <w:tcW w:w="2517" w:type="dxa"/>
            <w:tcMar>
              <w:top w:w="85" w:type="dxa"/>
              <w:bottom w:w="85" w:type="dxa"/>
            </w:tcMar>
          </w:tcPr>
          <w:p w:rsidR="00395D27" w:rsidRPr="00127E4D" w:rsidRDefault="001A03EC" w:rsidP="00ED308B">
            <w:pPr>
              <w:rPr>
                <w:sz w:val="18"/>
                <w:szCs w:val="18"/>
                <w:highlight w:val="yellow"/>
              </w:rPr>
            </w:pPr>
            <w:r w:rsidRPr="00127E4D">
              <w:rPr>
                <w:sz w:val="18"/>
                <w:szCs w:val="18"/>
              </w:rPr>
              <w:t>A finales de junio de 2015 se terminó de ejecutar el proyecto de la Agenda para el Desarrollo relativo a la intensificación de la cooperación Sur-Sur en materia de P.I. y desarrollo entre los países en desarrollo y los PMA.  Una de las actividades restantes que proporcionará una aportación fundamental a la política y estrategia de apoyo de la Organización a la promoción de la cooperación Sur-Sur es la descripción de las actividades Sur-Sur existentes en la OMPI y el estudio de las buenas prácticas en otras organizaciones de las NN.UU.  La finalización de esta actividad permitirá a la Organización establecer un enfoque detallado en este ámbito.</w:t>
            </w:r>
          </w:p>
        </w:tc>
      </w:tr>
    </w:tbl>
    <w:p w:rsidR="00395D27" w:rsidRPr="00127E4D" w:rsidRDefault="00395D27" w:rsidP="00395D27">
      <w:pPr>
        <w:rPr>
          <w:b/>
        </w:rPr>
      </w:pPr>
    </w:p>
    <w:p w:rsidR="00395D27" w:rsidRPr="00127E4D" w:rsidRDefault="00395D27" w:rsidP="00395D27">
      <w:pPr>
        <w:rPr>
          <w:b/>
        </w:rPr>
      </w:pPr>
    </w:p>
    <w:p w:rsidR="00395D27" w:rsidRPr="00127E4D" w:rsidRDefault="00395D27" w:rsidP="00BE0444">
      <w:pPr>
        <w:pStyle w:val="ListParagraph"/>
        <w:numPr>
          <w:ilvl w:val="0"/>
          <w:numId w:val="13"/>
        </w:numPr>
      </w:pPr>
      <w:r w:rsidRPr="00127E4D">
        <w:t>JIU/REP/2011/1, “</w:t>
      </w:r>
      <w:r w:rsidR="00127E4D" w:rsidRPr="00127E4D">
        <w:t>Examen del servicio médico en las organizaciones del sistema de las Naciones Unidas</w:t>
      </w:r>
      <w:r w:rsidRPr="00127E4D">
        <w:t>”</w:t>
      </w:r>
    </w:p>
    <w:p w:rsidR="00395D27" w:rsidRPr="00127E4D" w:rsidRDefault="00395D27" w:rsidP="00395D27">
      <w:pPr>
        <w:rPr>
          <w:b/>
        </w:rPr>
      </w:pPr>
    </w:p>
    <w:p w:rsidR="00395D27" w:rsidRPr="00127E4D" w:rsidRDefault="00395D27" w:rsidP="00395D27">
      <w:pPr>
        <w:rPr>
          <w:b/>
        </w:rPr>
      </w:pPr>
    </w:p>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395D27" w:rsidRPr="00127E4D" w:rsidTr="00ED308B">
        <w:trPr>
          <w:tblHeader/>
        </w:trPr>
        <w:tc>
          <w:tcPr>
            <w:tcW w:w="2660" w:type="dxa"/>
            <w:vMerge w:val="restart"/>
            <w:shd w:val="clear" w:color="auto" w:fill="B6DDE8" w:themeFill="accent5" w:themeFillTint="66"/>
            <w:tcMar>
              <w:top w:w="85" w:type="dxa"/>
              <w:bottom w:w="85" w:type="dxa"/>
            </w:tcMar>
            <w:vAlign w:val="center"/>
          </w:tcPr>
          <w:p w:rsidR="00395D27" w:rsidRPr="00127E4D" w:rsidRDefault="00395D27" w:rsidP="00ED308B">
            <w:pPr>
              <w:jc w:val="center"/>
              <w:rPr>
                <w:b/>
              </w:rPr>
            </w:pPr>
            <w:r w:rsidRPr="00127E4D">
              <w:rPr>
                <w:b/>
              </w:rPr>
              <w:br w:type="page"/>
            </w:r>
            <w:r w:rsidR="00AF12F1" w:rsidRPr="00127E4D">
              <w:rPr>
                <w:b/>
                <w:sz w:val="18"/>
                <w:szCs w:val="18"/>
              </w:rPr>
              <w:t>Recomendación</w:t>
            </w:r>
          </w:p>
        </w:tc>
        <w:tc>
          <w:tcPr>
            <w:tcW w:w="1559" w:type="dxa"/>
            <w:vMerge w:val="restart"/>
            <w:shd w:val="clear" w:color="auto" w:fill="B6DDE8" w:themeFill="accent5" w:themeFillTint="66"/>
            <w:tcMar>
              <w:top w:w="85" w:type="dxa"/>
              <w:bottom w:w="85" w:type="dxa"/>
            </w:tcMar>
            <w:vAlign w:val="center"/>
          </w:tcPr>
          <w:p w:rsidR="00395D27" w:rsidRPr="00127E4D" w:rsidRDefault="000E1077" w:rsidP="00ED308B">
            <w:pPr>
              <w:jc w:val="center"/>
              <w:rPr>
                <w:b/>
                <w:sz w:val="18"/>
                <w:szCs w:val="18"/>
              </w:rPr>
            </w:pPr>
            <w:r w:rsidRPr="00127E4D">
              <w:rPr>
                <w:b/>
                <w:sz w:val="18"/>
                <w:szCs w:val="18"/>
              </w:rPr>
              <w:t>Funcionario encargado</w:t>
            </w:r>
          </w:p>
        </w:tc>
        <w:tc>
          <w:tcPr>
            <w:tcW w:w="2835" w:type="dxa"/>
            <w:gridSpan w:val="2"/>
            <w:shd w:val="clear" w:color="auto" w:fill="B6DDE8" w:themeFill="accent5" w:themeFillTint="66"/>
            <w:tcMar>
              <w:top w:w="85" w:type="dxa"/>
              <w:bottom w:w="85" w:type="dxa"/>
            </w:tcMar>
            <w:vAlign w:val="center"/>
          </w:tcPr>
          <w:p w:rsidR="00395D27" w:rsidRPr="00127E4D" w:rsidRDefault="000E1077" w:rsidP="00ED308B">
            <w:pPr>
              <w:jc w:val="center"/>
              <w:rPr>
                <w:b/>
                <w:sz w:val="18"/>
                <w:szCs w:val="18"/>
              </w:rPr>
            </w:pPr>
            <w:r w:rsidRPr="00127E4D">
              <w:rPr>
                <w:b/>
                <w:sz w:val="18"/>
                <w:szCs w:val="18"/>
              </w:rPr>
              <w:t>Estado de aceptación</w:t>
            </w:r>
          </w:p>
        </w:tc>
        <w:tc>
          <w:tcPr>
            <w:tcW w:w="2517" w:type="dxa"/>
            <w:vMerge w:val="restart"/>
            <w:shd w:val="clear" w:color="auto" w:fill="B6DDE8" w:themeFill="accent5" w:themeFillTint="66"/>
            <w:tcMar>
              <w:top w:w="85" w:type="dxa"/>
              <w:bottom w:w="85" w:type="dxa"/>
            </w:tcMar>
            <w:vAlign w:val="center"/>
          </w:tcPr>
          <w:p w:rsidR="00395D27" w:rsidRPr="00127E4D" w:rsidRDefault="00D971F8" w:rsidP="00ED308B">
            <w:pPr>
              <w:jc w:val="center"/>
              <w:rPr>
                <w:b/>
                <w:sz w:val="18"/>
                <w:szCs w:val="18"/>
              </w:rPr>
            </w:pPr>
            <w:r w:rsidRPr="00127E4D">
              <w:rPr>
                <w:b/>
                <w:sz w:val="18"/>
                <w:szCs w:val="18"/>
              </w:rPr>
              <w:t>Evaluación Equipo directivo/Coordinador</w:t>
            </w:r>
          </w:p>
        </w:tc>
      </w:tr>
      <w:tr w:rsidR="00395D27" w:rsidRPr="00127E4D" w:rsidTr="00ED308B">
        <w:trPr>
          <w:tblHeader/>
        </w:trPr>
        <w:tc>
          <w:tcPr>
            <w:tcW w:w="2660" w:type="dxa"/>
            <w:vMerge/>
            <w:shd w:val="clear" w:color="auto" w:fill="B6DDE8" w:themeFill="accent5" w:themeFillTint="66"/>
          </w:tcPr>
          <w:p w:rsidR="00395D27" w:rsidRPr="00127E4D" w:rsidRDefault="00395D27" w:rsidP="00ED308B">
            <w:pPr>
              <w:rPr>
                <w:b/>
                <w:sz w:val="18"/>
                <w:szCs w:val="18"/>
              </w:rPr>
            </w:pPr>
          </w:p>
        </w:tc>
        <w:tc>
          <w:tcPr>
            <w:tcW w:w="1559" w:type="dxa"/>
            <w:vMerge/>
            <w:shd w:val="clear" w:color="auto" w:fill="B6DDE8" w:themeFill="accent5" w:themeFillTint="66"/>
          </w:tcPr>
          <w:p w:rsidR="00395D27" w:rsidRPr="00127E4D" w:rsidRDefault="00395D27" w:rsidP="00ED308B">
            <w:pPr>
              <w:rPr>
                <w:b/>
                <w:sz w:val="18"/>
                <w:szCs w:val="18"/>
              </w:rPr>
            </w:pPr>
          </w:p>
        </w:tc>
        <w:tc>
          <w:tcPr>
            <w:tcW w:w="1418" w:type="dxa"/>
            <w:shd w:val="clear" w:color="auto" w:fill="B6DDE8" w:themeFill="accent5" w:themeFillTint="66"/>
            <w:tcMar>
              <w:top w:w="85" w:type="dxa"/>
              <w:bottom w:w="85" w:type="dxa"/>
            </w:tcMar>
            <w:vAlign w:val="center"/>
          </w:tcPr>
          <w:p w:rsidR="00395D27" w:rsidRPr="00127E4D" w:rsidRDefault="000E1077" w:rsidP="00ED308B">
            <w:pPr>
              <w:jc w:val="center"/>
              <w:rPr>
                <w:b/>
                <w:sz w:val="16"/>
                <w:szCs w:val="18"/>
              </w:rPr>
            </w:pPr>
            <w:r w:rsidRPr="00127E4D">
              <w:rPr>
                <w:b/>
                <w:sz w:val="16"/>
                <w:szCs w:val="18"/>
              </w:rPr>
              <w:t>Aceptación</w:t>
            </w:r>
          </w:p>
        </w:tc>
        <w:tc>
          <w:tcPr>
            <w:tcW w:w="1417" w:type="dxa"/>
            <w:shd w:val="clear" w:color="auto" w:fill="B6DDE8" w:themeFill="accent5" w:themeFillTint="66"/>
            <w:tcMar>
              <w:top w:w="85" w:type="dxa"/>
              <w:bottom w:w="85" w:type="dxa"/>
            </w:tcMar>
            <w:vAlign w:val="center"/>
          </w:tcPr>
          <w:p w:rsidR="00395D27" w:rsidRPr="00127E4D" w:rsidRDefault="000E1077" w:rsidP="00ED308B">
            <w:pPr>
              <w:jc w:val="center"/>
              <w:rPr>
                <w:b/>
                <w:sz w:val="16"/>
                <w:szCs w:val="18"/>
              </w:rPr>
            </w:pPr>
            <w:r w:rsidRPr="00127E4D">
              <w:rPr>
                <w:b/>
                <w:sz w:val="16"/>
                <w:szCs w:val="18"/>
              </w:rPr>
              <w:t>Aplicación</w:t>
            </w:r>
          </w:p>
        </w:tc>
        <w:tc>
          <w:tcPr>
            <w:tcW w:w="2517" w:type="dxa"/>
            <w:vMerge/>
            <w:shd w:val="clear" w:color="auto" w:fill="B6DDE8" w:themeFill="accent5" w:themeFillTint="66"/>
          </w:tcPr>
          <w:p w:rsidR="00395D27" w:rsidRPr="00127E4D" w:rsidRDefault="00395D27" w:rsidP="00ED308B">
            <w:pPr>
              <w:rPr>
                <w:b/>
                <w:sz w:val="18"/>
                <w:szCs w:val="18"/>
              </w:rPr>
            </w:pPr>
          </w:p>
        </w:tc>
      </w:tr>
      <w:tr w:rsidR="00395D27" w:rsidRPr="00127E4D" w:rsidTr="007E2EF3">
        <w:trPr>
          <w:trHeight w:val="1426"/>
        </w:trPr>
        <w:tc>
          <w:tcPr>
            <w:tcW w:w="2660" w:type="dxa"/>
            <w:tcMar>
              <w:top w:w="85" w:type="dxa"/>
              <w:bottom w:w="85" w:type="dxa"/>
            </w:tcMar>
          </w:tcPr>
          <w:p w:rsidR="00395D27" w:rsidRPr="00127E4D" w:rsidRDefault="00271608" w:rsidP="00ED308B">
            <w:pPr>
              <w:rPr>
                <w:sz w:val="18"/>
                <w:szCs w:val="18"/>
              </w:rPr>
            </w:pPr>
            <w:r w:rsidRPr="00127E4D">
              <w:rPr>
                <w:sz w:val="18"/>
                <w:szCs w:val="18"/>
              </w:rPr>
              <w:t>Rec. 2.  Los órganos legislativos de las organizaciones del sistema de las Naciones Unidas deberían adoptar normas apropiadas con respecto a las cuestiones relacionadas con la seguridad y la salud en el trabajo, teniendo en cuenta y velando por su compatibilidad con las modificaciones que se introduzcan en las normas mínimas operativas de seguridad y salud en el trabajo.</w:t>
            </w:r>
          </w:p>
        </w:tc>
        <w:tc>
          <w:tcPr>
            <w:tcW w:w="1559" w:type="dxa"/>
            <w:tcMar>
              <w:top w:w="85" w:type="dxa"/>
              <w:bottom w:w="85" w:type="dxa"/>
            </w:tcMar>
          </w:tcPr>
          <w:p w:rsidR="00395D27" w:rsidRPr="00127E4D" w:rsidRDefault="00395D27" w:rsidP="00ED308B">
            <w:pPr>
              <w:rPr>
                <w:sz w:val="18"/>
                <w:szCs w:val="18"/>
              </w:rPr>
            </w:pPr>
            <w:r w:rsidRPr="00127E4D">
              <w:rPr>
                <w:sz w:val="18"/>
                <w:szCs w:val="18"/>
              </w:rPr>
              <w:t>Director</w:t>
            </w:r>
            <w:r w:rsidR="00271608" w:rsidRPr="00127E4D">
              <w:rPr>
                <w:sz w:val="18"/>
                <w:szCs w:val="18"/>
              </w:rPr>
              <w:t>a</w:t>
            </w:r>
            <w:r w:rsidRPr="00127E4D">
              <w:rPr>
                <w:sz w:val="18"/>
                <w:szCs w:val="18"/>
              </w:rPr>
              <w:t xml:space="preserve">, </w:t>
            </w:r>
            <w:r w:rsidR="00271608" w:rsidRPr="00127E4D">
              <w:rPr>
                <w:sz w:val="18"/>
                <w:szCs w:val="18"/>
              </w:rPr>
              <w:t>DGRRHH</w:t>
            </w:r>
          </w:p>
        </w:tc>
        <w:tc>
          <w:tcPr>
            <w:tcW w:w="1418" w:type="dxa"/>
            <w:tcMar>
              <w:top w:w="85" w:type="dxa"/>
              <w:bottom w:w="85" w:type="dxa"/>
            </w:tcMar>
          </w:tcPr>
          <w:p w:rsidR="00395D27" w:rsidRPr="00127E4D" w:rsidRDefault="00395D27" w:rsidP="00ED308B">
            <w:pPr>
              <w:rPr>
                <w:sz w:val="18"/>
                <w:szCs w:val="18"/>
              </w:rPr>
            </w:pPr>
            <w:r w:rsidRPr="00127E4D">
              <w:rPr>
                <w:noProof/>
                <w:lang w:val="en-US" w:eastAsia="en-US"/>
              </w:rPr>
              <mc:AlternateContent>
                <mc:Choice Requires="wps">
                  <w:drawing>
                    <wp:anchor distT="0" distB="0" distL="114300" distR="114300" simplePos="0" relativeHeight="251671552" behindDoc="0" locked="0" layoutInCell="1" allowOverlap="1" wp14:anchorId="5F143846" wp14:editId="25BFD170">
                      <wp:simplePos x="0" y="0"/>
                      <wp:positionH relativeFrom="column">
                        <wp:posOffset>59055</wp:posOffset>
                      </wp:positionH>
                      <wp:positionV relativeFrom="paragraph">
                        <wp:posOffset>608330</wp:posOffset>
                      </wp:positionV>
                      <wp:extent cx="1562100" cy="412750"/>
                      <wp:effectExtent l="0" t="0" r="19050" b="25400"/>
                      <wp:wrapNone/>
                      <wp:docPr id="22" name="Rounded Rectangle 22"/>
                      <wp:cNvGraphicFramePr/>
                      <a:graphic xmlns:a="http://schemas.openxmlformats.org/drawingml/2006/main">
                        <a:graphicData uri="http://schemas.microsoft.com/office/word/2010/wordprocessingShape">
                          <wps:wsp>
                            <wps:cNvSpPr/>
                            <wps:spPr>
                              <a:xfrm>
                                <a:off x="0" y="0"/>
                                <a:ext cx="1562100" cy="41275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ED308B" w:rsidRDefault="00ED308B" w:rsidP="00395D27">
                                  <w:pPr>
                                    <w:jc w:val="center"/>
                                  </w:pPr>
                                  <w:r>
                                    <w:rPr>
                                      <w:i/>
                                      <w:sz w:val="14"/>
                                      <w:szCs w:val="14"/>
                                    </w:rPr>
                                    <w:t>Anteriormente</w:t>
                                  </w:r>
                                  <w:r w:rsidRPr="00337266">
                                    <w:rPr>
                                      <w:i/>
                                      <w:sz w:val="14"/>
                                      <w:szCs w:val="14"/>
                                    </w:rPr>
                                    <w:t xml:space="preserve"> “</w:t>
                                  </w:r>
                                  <w:r>
                                    <w:rPr>
                                      <w:i/>
                                      <w:sz w:val="14"/>
                                      <w:szCs w:val="14"/>
                                    </w:rPr>
                                    <w:t>En curso de aplicación</w:t>
                                  </w:r>
                                  <w:r w:rsidRPr="00337266">
                                    <w:rPr>
                                      <w:i/>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2" o:spid="_x0000_s1034" style="position:absolute;margin-left:4.65pt;margin-top:47.9pt;width:123pt;height: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" fillcolor="window" strokecolor="#8eb4e3" strokeweight="2pt">
                      <v:textbox>
                        <w:txbxContent>
                          <w:p w:rsidR="00ED308B" w:rsidRDefault="00ED308B" w:rsidP="00395D27">
                            <w:pPr>
                              <w:jc w:val="center"/>
                            </w:pPr>
                            <w:r>
                              <w:rPr>
                                <w:i/>
                                <w:sz w:val="14"/>
                                <w:szCs w:val="14"/>
                              </w:rPr>
                              <w:t>Anteriormente</w:t>
                            </w:r>
                            <w:r w:rsidRPr="00337266">
                              <w:rPr>
                                <w:i/>
                                <w:sz w:val="14"/>
                                <w:szCs w:val="14"/>
                              </w:rPr>
                              <w:t xml:space="preserve"> “</w:t>
                            </w:r>
                            <w:r>
                              <w:rPr>
                                <w:i/>
                                <w:sz w:val="14"/>
                                <w:szCs w:val="14"/>
                              </w:rPr>
                              <w:t>En curso de aplicación</w:t>
                            </w:r>
                            <w:r w:rsidRPr="00337266">
                              <w:rPr>
                                <w:i/>
                                <w:sz w:val="14"/>
                                <w:szCs w:val="14"/>
                              </w:rPr>
                              <w:t>”</w:t>
                            </w:r>
                          </w:p>
                        </w:txbxContent>
                      </v:textbox>
                    </v:roundrect>
                  </w:pict>
                </mc:Fallback>
              </mc:AlternateContent>
            </w:r>
            <w:r w:rsidR="008D6382" w:rsidRPr="00127E4D">
              <w:rPr>
                <w:sz w:val="18"/>
                <w:szCs w:val="18"/>
              </w:rPr>
              <w:t>Aceptada</w:t>
            </w:r>
          </w:p>
        </w:tc>
        <w:tc>
          <w:tcPr>
            <w:tcW w:w="1417" w:type="dxa"/>
            <w:tcMar>
              <w:top w:w="85" w:type="dxa"/>
              <w:bottom w:w="85" w:type="dxa"/>
            </w:tcMar>
          </w:tcPr>
          <w:p w:rsidR="00395D27" w:rsidRPr="00127E4D" w:rsidRDefault="008D6382" w:rsidP="00ED308B">
            <w:pPr>
              <w:rPr>
                <w:sz w:val="18"/>
                <w:szCs w:val="18"/>
              </w:rPr>
            </w:pPr>
            <w:r w:rsidRPr="00127E4D">
              <w:rPr>
                <w:sz w:val="18"/>
                <w:szCs w:val="18"/>
              </w:rPr>
              <w:t>Aplicada</w:t>
            </w:r>
          </w:p>
        </w:tc>
        <w:tc>
          <w:tcPr>
            <w:tcW w:w="2517" w:type="dxa"/>
            <w:tcMar>
              <w:top w:w="85" w:type="dxa"/>
              <w:bottom w:w="85" w:type="dxa"/>
            </w:tcMar>
          </w:tcPr>
          <w:p w:rsidR="007E2EF3" w:rsidRPr="00127E4D" w:rsidRDefault="00271608" w:rsidP="00271608">
            <w:pPr>
              <w:rPr>
                <w:sz w:val="18"/>
                <w:szCs w:val="18"/>
              </w:rPr>
            </w:pPr>
            <w:r w:rsidRPr="00127E4D">
              <w:rPr>
                <w:sz w:val="18"/>
                <w:szCs w:val="18"/>
              </w:rPr>
              <w:t xml:space="preserve">En diciembre de 2013 comenzó a funcionar un Comité de Higiene y Seguridad del Trabajo que se reúne periódicamente para considerar y formular recomendaciones sobre asuntos que afectan a la higiene y seguridad del personal.  </w:t>
            </w:r>
          </w:p>
          <w:p w:rsidR="007E2EF3" w:rsidRPr="00127E4D" w:rsidRDefault="007E2EF3" w:rsidP="00271608">
            <w:pPr>
              <w:rPr>
                <w:sz w:val="18"/>
                <w:szCs w:val="18"/>
              </w:rPr>
            </w:pPr>
          </w:p>
          <w:p w:rsidR="00395D27" w:rsidRPr="00127E4D" w:rsidRDefault="007E2EF3" w:rsidP="00271608">
            <w:pPr>
              <w:rPr>
                <w:rFonts w:eastAsiaTheme="minorHAnsi"/>
                <w:sz w:val="18"/>
                <w:szCs w:val="18"/>
                <w:lang w:eastAsia="en-US"/>
              </w:rPr>
            </w:pPr>
            <w:r w:rsidRPr="00127E4D">
              <w:rPr>
                <w:rFonts w:eastAsiaTheme="minorHAnsi"/>
                <w:sz w:val="18"/>
                <w:szCs w:val="18"/>
                <w:lang w:eastAsia="en-US"/>
              </w:rPr>
              <w:t xml:space="preserve">Se expondrán detalladamente las normas pertinentes sobre higiene y seguridad en el trabajo en la política sobre el mismo tema, que se ha elaborado y que se publicará a lo largo de 2015.   </w:t>
            </w:r>
          </w:p>
          <w:p w:rsidR="007E2EF3" w:rsidRPr="00127E4D" w:rsidRDefault="007E2EF3" w:rsidP="00271608">
            <w:pPr>
              <w:rPr>
                <w:sz w:val="18"/>
                <w:szCs w:val="18"/>
                <w:highlight w:val="yellow"/>
              </w:rPr>
            </w:pPr>
          </w:p>
          <w:p w:rsidR="00395D27" w:rsidRPr="00127E4D" w:rsidRDefault="007E2EF3" w:rsidP="0084232F">
            <w:pPr>
              <w:rPr>
                <w:sz w:val="18"/>
                <w:szCs w:val="18"/>
              </w:rPr>
            </w:pPr>
            <w:r w:rsidRPr="00127E4D">
              <w:rPr>
                <w:sz w:val="18"/>
                <w:szCs w:val="18"/>
              </w:rPr>
              <w:t xml:space="preserve">Además, el proyecto de mejora de la seguridad y vigilancia está a punto de llegar a término tras cuatro </w:t>
            </w:r>
            <w:r w:rsidRPr="00127E4D">
              <w:rPr>
                <w:sz w:val="18"/>
                <w:szCs w:val="18"/>
              </w:rPr>
              <w:lastRenderedPageBreak/>
              <w:t xml:space="preserve">años de trabajo, a consecuencia del cual la OMPI satisfará con creces los requisitos para las sedes establecidos en las normas mínimas operativas de seguridad </w:t>
            </w:r>
            <w:r w:rsidR="0084232F">
              <w:rPr>
                <w:sz w:val="18"/>
                <w:szCs w:val="18"/>
              </w:rPr>
              <w:t xml:space="preserve">para las sedes </w:t>
            </w:r>
            <w:r w:rsidRPr="00127E4D">
              <w:rPr>
                <w:sz w:val="18"/>
                <w:szCs w:val="18"/>
              </w:rPr>
              <w:t xml:space="preserve">de las NN.UU. </w:t>
            </w:r>
          </w:p>
        </w:tc>
      </w:tr>
    </w:tbl>
    <w:p w:rsidR="00395D27" w:rsidRPr="00127E4D" w:rsidRDefault="00395D27" w:rsidP="00395D27">
      <w:pPr>
        <w:rPr>
          <w:b/>
        </w:rPr>
      </w:pPr>
    </w:p>
    <w:p w:rsidR="001758CB" w:rsidRDefault="001758CB">
      <w:pPr>
        <w:rPr>
          <w:b/>
        </w:rPr>
      </w:pPr>
      <w:r>
        <w:rPr>
          <w:b/>
        </w:rPr>
        <w:br w:type="page"/>
      </w:r>
    </w:p>
    <w:p w:rsidR="00395D27" w:rsidRPr="00127E4D" w:rsidRDefault="00395D27" w:rsidP="00395D27">
      <w:r w:rsidRPr="00127E4D">
        <w:lastRenderedPageBreak/>
        <w:t>IV.</w:t>
      </w:r>
      <w:r w:rsidRPr="00127E4D">
        <w:tab/>
      </w:r>
      <w:r w:rsidR="0059519A" w:rsidRPr="00127E4D">
        <w:t xml:space="preserve">RECOMENDACIONES PROCEDENTES DE LOS EXÁMENES DE LA DCI EFECTUADOS EN </w:t>
      </w:r>
      <w:r w:rsidRPr="00127E4D">
        <w:t>2010</w:t>
      </w:r>
    </w:p>
    <w:p w:rsidR="00395D27" w:rsidRPr="001758CB" w:rsidRDefault="00395D27" w:rsidP="00395D27">
      <w:pPr>
        <w:rPr>
          <w:sz w:val="20"/>
        </w:rPr>
      </w:pPr>
    </w:p>
    <w:p w:rsidR="00395D27" w:rsidRPr="001758CB" w:rsidRDefault="00395D27" w:rsidP="00395D27">
      <w:pPr>
        <w:rPr>
          <w:sz w:val="20"/>
        </w:rPr>
      </w:pPr>
    </w:p>
    <w:p w:rsidR="00395D27" w:rsidRPr="00127E4D" w:rsidRDefault="00395D27" w:rsidP="00395D27">
      <w:pPr>
        <w:pStyle w:val="ListParagraph"/>
        <w:numPr>
          <w:ilvl w:val="0"/>
          <w:numId w:val="14"/>
        </w:numPr>
      </w:pPr>
      <w:r w:rsidRPr="00127E4D">
        <w:t>JIU/REP/2010/7, “</w:t>
      </w:r>
      <w:r w:rsidR="00271608" w:rsidRPr="00127E4D">
        <w:t>Políticas y procedimientos para la administración de fondos fiduciarios en las organizaciones del sistema de las Naciones Unidas”</w:t>
      </w:r>
    </w:p>
    <w:p w:rsidR="00395D27" w:rsidRPr="001758CB" w:rsidRDefault="00395D27" w:rsidP="00395D27">
      <w:pPr>
        <w:rPr>
          <w:sz w:val="20"/>
        </w:rPr>
      </w:pPr>
    </w:p>
    <w:p w:rsidR="00395D27" w:rsidRPr="001758CB" w:rsidRDefault="00395D27" w:rsidP="00395D27">
      <w:pPr>
        <w:rPr>
          <w:sz w:val="20"/>
        </w:rPr>
      </w:pPr>
    </w:p>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395D27" w:rsidRPr="00127E4D" w:rsidTr="00ED308B">
        <w:trPr>
          <w:tblHeader/>
        </w:trPr>
        <w:tc>
          <w:tcPr>
            <w:tcW w:w="2660" w:type="dxa"/>
            <w:vMerge w:val="restart"/>
            <w:shd w:val="clear" w:color="auto" w:fill="B6DDE8" w:themeFill="accent5" w:themeFillTint="66"/>
            <w:tcMar>
              <w:top w:w="85" w:type="dxa"/>
              <w:bottom w:w="85" w:type="dxa"/>
            </w:tcMar>
            <w:vAlign w:val="center"/>
          </w:tcPr>
          <w:p w:rsidR="00395D27" w:rsidRPr="00127E4D" w:rsidRDefault="00395D27" w:rsidP="00271608">
            <w:pPr>
              <w:jc w:val="center"/>
              <w:rPr>
                <w:b/>
              </w:rPr>
            </w:pPr>
            <w:r w:rsidRPr="00127E4D">
              <w:rPr>
                <w:b/>
              </w:rPr>
              <w:br w:type="page"/>
            </w:r>
            <w:r w:rsidR="00271608" w:rsidRPr="00127E4D">
              <w:rPr>
                <w:b/>
                <w:sz w:val="18"/>
                <w:szCs w:val="18"/>
              </w:rPr>
              <w:t>Recomendación</w:t>
            </w:r>
          </w:p>
        </w:tc>
        <w:tc>
          <w:tcPr>
            <w:tcW w:w="1559" w:type="dxa"/>
            <w:vMerge w:val="restart"/>
            <w:shd w:val="clear" w:color="auto" w:fill="B6DDE8" w:themeFill="accent5" w:themeFillTint="66"/>
            <w:tcMar>
              <w:top w:w="85" w:type="dxa"/>
              <w:bottom w:w="85" w:type="dxa"/>
            </w:tcMar>
            <w:vAlign w:val="center"/>
          </w:tcPr>
          <w:p w:rsidR="00395D27" w:rsidRPr="00127E4D" w:rsidRDefault="000E1077" w:rsidP="00ED308B">
            <w:pPr>
              <w:jc w:val="center"/>
              <w:rPr>
                <w:b/>
                <w:sz w:val="18"/>
                <w:szCs w:val="18"/>
              </w:rPr>
            </w:pPr>
            <w:r w:rsidRPr="00127E4D">
              <w:rPr>
                <w:b/>
                <w:sz w:val="18"/>
                <w:szCs w:val="18"/>
              </w:rPr>
              <w:t>Funcionario encargado</w:t>
            </w:r>
          </w:p>
        </w:tc>
        <w:tc>
          <w:tcPr>
            <w:tcW w:w="2835" w:type="dxa"/>
            <w:gridSpan w:val="2"/>
            <w:shd w:val="clear" w:color="auto" w:fill="B6DDE8" w:themeFill="accent5" w:themeFillTint="66"/>
            <w:tcMar>
              <w:top w:w="85" w:type="dxa"/>
              <w:bottom w:w="85" w:type="dxa"/>
            </w:tcMar>
            <w:vAlign w:val="center"/>
          </w:tcPr>
          <w:p w:rsidR="00395D27" w:rsidRPr="00127E4D" w:rsidRDefault="000E1077" w:rsidP="00ED308B">
            <w:pPr>
              <w:jc w:val="center"/>
              <w:rPr>
                <w:b/>
                <w:sz w:val="18"/>
                <w:szCs w:val="18"/>
              </w:rPr>
            </w:pPr>
            <w:r w:rsidRPr="00127E4D">
              <w:rPr>
                <w:b/>
                <w:sz w:val="18"/>
                <w:szCs w:val="18"/>
              </w:rPr>
              <w:t>Estado de aceptación</w:t>
            </w:r>
          </w:p>
        </w:tc>
        <w:tc>
          <w:tcPr>
            <w:tcW w:w="2517" w:type="dxa"/>
            <w:vMerge w:val="restart"/>
            <w:shd w:val="clear" w:color="auto" w:fill="B6DDE8" w:themeFill="accent5" w:themeFillTint="66"/>
            <w:vAlign w:val="center"/>
          </w:tcPr>
          <w:p w:rsidR="00395D27" w:rsidRPr="00127E4D" w:rsidRDefault="00D971F8" w:rsidP="00ED308B">
            <w:pPr>
              <w:jc w:val="center"/>
              <w:rPr>
                <w:b/>
                <w:sz w:val="18"/>
                <w:szCs w:val="18"/>
              </w:rPr>
            </w:pPr>
            <w:r w:rsidRPr="00127E4D">
              <w:rPr>
                <w:b/>
                <w:sz w:val="18"/>
                <w:szCs w:val="18"/>
              </w:rPr>
              <w:t>Evaluación Equipo directivo/Coordinador</w:t>
            </w:r>
          </w:p>
        </w:tc>
      </w:tr>
      <w:tr w:rsidR="00395D27" w:rsidRPr="00127E4D" w:rsidTr="00ED308B">
        <w:trPr>
          <w:tblHeader/>
        </w:trPr>
        <w:tc>
          <w:tcPr>
            <w:tcW w:w="2660" w:type="dxa"/>
            <w:vMerge/>
            <w:shd w:val="clear" w:color="auto" w:fill="B6DDE8" w:themeFill="accent5" w:themeFillTint="66"/>
          </w:tcPr>
          <w:p w:rsidR="00395D27" w:rsidRPr="00127E4D" w:rsidRDefault="00395D27" w:rsidP="00ED308B">
            <w:pPr>
              <w:rPr>
                <w:b/>
                <w:sz w:val="18"/>
                <w:szCs w:val="18"/>
              </w:rPr>
            </w:pPr>
          </w:p>
        </w:tc>
        <w:tc>
          <w:tcPr>
            <w:tcW w:w="1559" w:type="dxa"/>
            <w:vMerge/>
            <w:shd w:val="clear" w:color="auto" w:fill="B6DDE8" w:themeFill="accent5" w:themeFillTint="66"/>
          </w:tcPr>
          <w:p w:rsidR="00395D27" w:rsidRPr="00127E4D" w:rsidRDefault="00395D27" w:rsidP="00ED308B">
            <w:pPr>
              <w:rPr>
                <w:b/>
                <w:sz w:val="18"/>
                <w:szCs w:val="18"/>
              </w:rPr>
            </w:pPr>
          </w:p>
        </w:tc>
        <w:tc>
          <w:tcPr>
            <w:tcW w:w="1418" w:type="dxa"/>
            <w:shd w:val="clear" w:color="auto" w:fill="B6DDE8" w:themeFill="accent5" w:themeFillTint="66"/>
            <w:tcMar>
              <w:top w:w="85" w:type="dxa"/>
              <w:bottom w:w="85" w:type="dxa"/>
            </w:tcMar>
            <w:vAlign w:val="center"/>
          </w:tcPr>
          <w:p w:rsidR="00395D27" w:rsidRPr="00127E4D" w:rsidRDefault="000E1077" w:rsidP="00ED308B">
            <w:pPr>
              <w:jc w:val="center"/>
              <w:rPr>
                <w:b/>
                <w:sz w:val="16"/>
                <w:szCs w:val="18"/>
              </w:rPr>
            </w:pPr>
            <w:r w:rsidRPr="00127E4D">
              <w:rPr>
                <w:b/>
                <w:sz w:val="16"/>
                <w:szCs w:val="18"/>
              </w:rPr>
              <w:t>Aceptación</w:t>
            </w:r>
          </w:p>
        </w:tc>
        <w:tc>
          <w:tcPr>
            <w:tcW w:w="1417" w:type="dxa"/>
            <w:shd w:val="clear" w:color="auto" w:fill="B6DDE8" w:themeFill="accent5" w:themeFillTint="66"/>
            <w:tcMar>
              <w:top w:w="85" w:type="dxa"/>
              <w:bottom w:w="85" w:type="dxa"/>
            </w:tcMar>
            <w:vAlign w:val="center"/>
          </w:tcPr>
          <w:p w:rsidR="00395D27" w:rsidRPr="00127E4D" w:rsidRDefault="000E1077" w:rsidP="00ED308B">
            <w:pPr>
              <w:jc w:val="center"/>
              <w:rPr>
                <w:b/>
                <w:sz w:val="16"/>
                <w:szCs w:val="18"/>
              </w:rPr>
            </w:pPr>
            <w:r w:rsidRPr="00127E4D">
              <w:rPr>
                <w:b/>
                <w:sz w:val="16"/>
                <w:szCs w:val="18"/>
              </w:rPr>
              <w:t>Aplicación</w:t>
            </w:r>
          </w:p>
        </w:tc>
        <w:tc>
          <w:tcPr>
            <w:tcW w:w="2517" w:type="dxa"/>
            <w:vMerge/>
            <w:shd w:val="clear" w:color="auto" w:fill="B6DDE8" w:themeFill="accent5" w:themeFillTint="66"/>
          </w:tcPr>
          <w:p w:rsidR="00395D27" w:rsidRPr="00127E4D" w:rsidRDefault="00395D27" w:rsidP="00ED308B">
            <w:pPr>
              <w:rPr>
                <w:b/>
                <w:sz w:val="18"/>
                <w:szCs w:val="18"/>
              </w:rPr>
            </w:pPr>
          </w:p>
        </w:tc>
      </w:tr>
      <w:tr w:rsidR="00395D27" w:rsidRPr="00127E4D" w:rsidTr="00ED308B">
        <w:tc>
          <w:tcPr>
            <w:tcW w:w="2660" w:type="dxa"/>
            <w:tcMar>
              <w:top w:w="85" w:type="dxa"/>
              <w:bottom w:w="85" w:type="dxa"/>
            </w:tcMar>
            <w:vAlign w:val="center"/>
          </w:tcPr>
          <w:p w:rsidR="00395D27" w:rsidRPr="00127E4D" w:rsidRDefault="00271608" w:rsidP="00ED308B">
            <w:pPr>
              <w:rPr>
                <w:sz w:val="18"/>
                <w:szCs w:val="18"/>
              </w:rPr>
            </w:pPr>
            <w:r w:rsidRPr="00127E4D">
              <w:rPr>
                <w:sz w:val="18"/>
                <w:szCs w:val="18"/>
              </w:rPr>
              <w:t>Rec. 7.  Los órganos legislativos de las organizaciones del sistema de las Naciones Unidas deberían examinar las políticas y los principios armonizados de recuperación de los gastos para los fondos fiduciarios y las actividades financiadas con cargo a otros recursos extrapresupuestarios, una vez acordados con la JJE, con miras a actualizar las políticas de recuperación de los gastos de sus organizaciones, según proceda.</w:t>
            </w:r>
          </w:p>
        </w:tc>
        <w:tc>
          <w:tcPr>
            <w:tcW w:w="1559" w:type="dxa"/>
            <w:tcMar>
              <w:top w:w="85" w:type="dxa"/>
              <w:bottom w:w="85" w:type="dxa"/>
            </w:tcMar>
          </w:tcPr>
          <w:p w:rsidR="00F11530" w:rsidRPr="00127E4D" w:rsidRDefault="00F11530" w:rsidP="00F11530">
            <w:pPr>
              <w:rPr>
                <w:sz w:val="18"/>
                <w:szCs w:val="18"/>
              </w:rPr>
            </w:pPr>
            <w:r w:rsidRPr="00127E4D">
              <w:rPr>
                <w:sz w:val="18"/>
                <w:szCs w:val="18"/>
              </w:rPr>
              <w:t xml:space="preserve">Directora, </w:t>
            </w:r>
          </w:p>
          <w:p w:rsidR="00F11530" w:rsidRPr="00127E4D" w:rsidRDefault="00F11530" w:rsidP="00F11530">
            <w:pPr>
              <w:rPr>
                <w:sz w:val="18"/>
                <w:szCs w:val="18"/>
              </w:rPr>
            </w:pPr>
            <w:r w:rsidRPr="00127E4D">
              <w:rPr>
                <w:sz w:val="18"/>
                <w:szCs w:val="18"/>
              </w:rPr>
              <w:t xml:space="preserve">Depto. de </w:t>
            </w:r>
          </w:p>
          <w:p w:rsidR="00F11530" w:rsidRPr="00127E4D" w:rsidRDefault="00F11530" w:rsidP="00F11530">
            <w:pPr>
              <w:rPr>
                <w:sz w:val="18"/>
                <w:szCs w:val="18"/>
              </w:rPr>
            </w:pPr>
            <w:r w:rsidRPr="00127E4D">
              <w:rPr>
                <w:sz w:val="18"/>
                <w:szCs w:val="18"/>
              </w:rPr>
              <w:t xml:space="preserve">Planificación </w:t>
            </w:r>
          </w:p>
          <w:p w:rsidR="00F11530" w:rsidRPr="00127E4D" w:rsidRDefault="00F11530" w:rsidP="00F11530">
            <w:pPr>
              <w:rPr>
                <w:sz w:val="18"/>
                <w:szCs w:val="18"/>
              </w:rPr>
            </w:pPr>
            <w:r w:rsidRPr="00127E4D">
              <w:rPr>
                <w:sz w:val="18"/>
                <w:szCs w:val="18"/>
              </w:rPr>
              <w:t xml:space="preserve">de Programas </w:t>
            </w:r>
          </w:p>
          <w:p w:rsidR="00F11530" w:rsidRPr="00127E4D" w:rsidRDefault="00F11530" w:rsidP="00F11530">
            <w:pPr>
              <w:rPr>
                <w:sz w:val="18"/>
                <w:szCs w:val="18"/>
              </w:rPr>
            </w:pPr>
            <w:r w:rsidRPr="00127E4D">
              <w:rPr>
                <w:sz w:val="18"/>
                <w:szCs w:val="18"/>
              </w:rPr>
              <w:t xml:space="preserve">y Finanzas </w:t>
            </w:r>
          </w:p>
          <w:p w:rsidR="00395D27" w:rsidRPr="00127E4D" w:rsidRDefault="00F11530" w:rsidP="00ED308B">
            <w:pPr>
              <w:rPr>
                <w:sz w:val="18"/>
                <w:szCs w:val="18"/>
              </w:rPr>
            </w:pPr>
            <w:r w:rsidRPr="00127E4D">
              <w:rPr>
                <w:sz w:val="18"/>
                <w:szCs w:val="18"/>
              </w:rPr>
              <w:t>(Contralor)</w:t>
            </w:r>
          </w:p>
        </w:tc>
        <w:tc>
          <w:tcPr>
            <w:tcW w:w="1418" w:type="dxa"/>
            <w:tcMar>
              <w:top w:w="85" w:type="dxa"/>
              <w:bottom w:w="85" w:type="dxa"/>
            </w:tcMar>
          </w:tcPr>
          <w:p w:rsidR="00395D27" w:rsidRPr="00127E4D" w:rsidRDefault="00395D27" w:rsidP="00ED308B">
            <w:pPr>
              <w:rPr>
                <w:sz w:val="18"/>
                <w:szCs w:val="18"/>
              </w:rPr>
            </w:pPr>
            <w:r w:rsidRPr="00127E4D">
              <w:rPr>
                <w:noProof/>
                <w:lang w:val="en-US" w:eastAsia="en-US"/>
              </w:rPr>
              <mc:AlternateContent>
                <mc:Choice Requires="wps">
                  <w:drawing>
                    <wp:anchor distT="0" distB="0" distL="114300" distR="114300" simplePos="0" relativeHeight="251677696" behindDoc="0" locked="0" layoutInCell="1" allowOverlap="1" wp14:anchorId="4AD280C4" wp14:editId="08A2B932">
                      <wp:simplePos x="0" y="0"/>
                      <wp:positionH relativeFrom="column">
                        <wp:posOffset>49530</wp:posOffset>
                      </wp:positionH>
                      <wp:positionV relativeFrom="paragraph">
                        <wp:posOffset>572135</wp:posOffset>
                      </wp:positionV>
                      <wp:extent cx="1562100" cy="381000"/>
                      <wp:effectExtent l="0" t="0" r="19050" b="19050"/>
                      <wp:wrapNone/>
                      <wp:docPr id="27" name="Rounded Rectangle 27"/>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ED308B" w:rsidRPr="008D6382" w:rsidRDefault="00ED308B" w:rsidP="008D6382">
                                  <w:pPr>
                                    <w:jc w:val="center"/>
                                    <w:rPr>
                                      <w:i/>
                                      <w:sz w:val="14"/>
                                      <w:szCs w:val="14"/>
                                    </w:rPr>
                                  </w:pPr>
                                  <w:r w:rsidRPr="008D6382">
                                    <w:rPr>
                                      <w:i/>
                                      <w:sz w:val="14"/>
                                      <w:szCs w:val="14"/>
                                    </w:rPr>
                                    <w:t>Sin cambios con respecto a la situación anterior</w:t>
                                  </w:r>
                                </w:p>
                                <w:p w:rsidR="00ED308B" w:rsidRPr="003810C3" w:rsidRDefault="00ED308B" w:rsidP="00395D27">
                                  <w:pPr>
                                    <w:jc w:val="center"/>
                                    <w:rPr>
                                      <w:i/>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7" o:spid="_x0000_s1035" style="position:absolute;margin-left:3.9pt;margin-top:45.05pt;width:123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" fillcolor="window" strokecolor="#8eb4e3" strokeweight="2pt">
                      <v:textbox>
                        <w:txbxContent>
                          <w:p w:rsidR="00ED308B" w:rsidRPr="008D6382" w:rsidRDefault="00ED308B" w:rsidP="008D6382">
                            <w:pPr>
                              <w:jc w:val="center"/>
                              <w:rPr>
                                <w:i/>
                                <w:sz w:val="14"/>
                                <w:szCs w:val="14"/>
                              </w:rPr>
                            </w:pPr>
                            <w:r w:rsidRPr="008D6382">
                              <w:rPr>
                                <w:i/>
                                <w:sz w:val="14"/>
                                <w:szCs w:val="14"/>
                              </w:rPr>
                              <w:t>Sin cambios con respecto a la situación anterior</w:t>
                            </w:r>
                          </w:p>
                          <w:p w:rsidR="00ED308B" w:rsidRPr="003810C3" w:rsidRDefault="00ED308B" w:rsidP="00395D27">
                            <w:pPr>
                              <w:jc w:val="center"/>
                              <w:rPr>
                                <w:i/>
                                <w:sz w:val="14"/>
                                <w:szCs w:val="14"/>
                              </w:rPr>
                            </w:pPr>
                          </w:p>
                        </w:txbxContent>
                      </v:textbox>
                    </v:roundrect>
                  </w:pict>
                </mc:Fallback>
              </mc:AlternateContent>
            </w:r>
            <w:r w:rsidR="00DE1BF1" w:rsidRPr="00127E4D">
              <w:rPr>
                <w:sz w:val="18"/>
                <w:szCs w:val="18"/>
              </w:rPr>
              <w:t>En examen</w:t>
            </w:r>
          </w:p>
        </w:tc>
        <w:tc>
          <w:tcPr>
            <w:tcW w:w="1417" w:type="dxa"/>
            <w:tcMar>
              <w:top w:w="85" w:type="dxa"/>
              <w:bottom w:w="85" w:type="dxa"/>
            </w:tcMar>
          </w:tcPr>
          <w:p w:rsidR="00395D27" w:rsidRPr="00127E4D" w:rsidRDefault="00395D27" w:rsidP="00ED308B">
            <w:pPr>
              <w:rPr>
                <w:sz w:val="18"/>
                <w:szCs w:val="18"/>
              </w:rPr>
            </w:pPr>
          </w:p>
        </w:tc>
        <w:tc>
          <w:tcPr>
            <w:tcW w:w="2517" w:type="dxa"/>
            <w:tcMar>
              <w:top w:w="85" w:type="dxa"/>
              <w:bottom w:w="85" w:type="dxa"/>
            </w:tcMar>
          </w:tcPr>
          <w:p w:rsidR="00395D27" w:rsidRPr="00127E4D" w:rsidRDefault="00271608" w:rsidP="00ED308B">
            <w:pPr>
              <w:rPr>
                <w:sz w:val="18"/>
                <w:szCs w:val="18"/>
              </w:rPr>
            </w:pPr>
            <w:r w:rsidRPr="00127E4D">
              <w:rPr>
                <w:sz w:val="18"/>
                <w:szCs w:val="18"/>
              </w:rPr>
              <w:t>Esta recomendación, que afecta a todo el sistema, está siendo examinada por la JJE.</w:t>
            </w:r>
          </w:p>
        </w:tc>
      </w:tr>
    </w:tbl>
    <w:p w:rsidR="00395D27" w:rsidRPr="001758CB" w:rsidRDefault="00395D27" w:rsidP="00395D27">
      <w:pPr>
        <w:rPr>
          <w:sz w:val="20"/>
        </w:rPr>
      </w:pPr>
    </w:p>
    <w:p w:rsidR="00395D27" w:rsidRPr="001758CB" w:rsidRDefault="00395D27" w:rsidP="00395D27">
      <w:pPr>
        <w:rPr>
          <w:sz w:val="20"/>
        </w:rPr>
      </w:pPr>
    </w:p>
    <w:p w:rsidR="00395D27" w:rsidRPr="00127E4D" w:rsidRDefault="00395D27" w:rsidP="00395D27">
      <w:pPr>
        <w:pStyle w:val="ListParagraph"/>
        <w:numPr>
          <w:ilvl w:val="0"/>
          <w:numId w:val="14"/>
        </w:numPr>
      </w:pPr>
      <w:r w:rsidRPr="00127E4D">
        <w:t>JIU/REP/2010/3, “</w:t>
      </w:r>
      <w:r w:rsidR="00271608" w:rsidRPr="00127E4D">
        <w:t>La ética en el sistema de las Naciones Unidas”</w:t>
      </w:r>
    </w:p>
    <w:p w:rsidR="00395D27" w:rsidRPr="001758CB" w:rsidRDefault="00395D27" w:rsidP="00395D27">
      <w:pPr>
        <w:rPr>
          <w:sz w:val="20"/>
        </w:rPr>
      </w:pPr>
    </w:p>
    <w:p w:rsidR="00395D27" w:rsidRPr="001758CB" w:rsidRDefault="00395D27" w:rsidP="00395D27">
      <w:pPr>
        <w:rPr>
          <w:sz w:val="20"/>
        </w:rPr>
      </w:pPr>
    </w:p>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395D27" w:rsidRPr="00127E4D" w:rsidTr="00ED308B">
        <w:trPr>
          <w:tblHeader/>
        </w:trPr>
        <w:tc>
          <w:tcPr>
            <w:tcW w:w="2660" w:type="dxa"/>
            <w:vMerge w:val="restart"/>
            <w:shd w:val="clear" w:color="auto" w:fill="B6DDE8" w:themeFill="accent5" w:themeFillTint="66"/>
            <w:tcMar>
              <w:top w:w="85" w:type="dxa"/>
              <w:bottom w:w="85" w:type="dxa"/>
            </w:tcMar>
            <w:vAlign w:val="center"/>
          </w:tcPr>
          <w:p w:rsidR="00395D27" w:rsidRPr="00127E4D" w:rsidRDefault="00395D27" w:rsidP="00271608">
            <w:pPr>
              <w:jc w:val="center"/>
              <w:rPr>
                <w:b/>
              </w:rPr>
            </w:pPr>
            <w:r w:rsidRPr="00127E4D">
              <w:rPr>
                <w:b/>
              </w:rPr>
              <w:br w:type="page"/>
            </w:r>
            <w:r w:rsidR="00271608" w:rsidRPr="00127E4D">
              <w:rPr>
                <w:b/>
                <w:sz w:val="18"/>
                <w:szCs w:val="18"/>
              </w:rPr>
              <w:t>Recomendación</w:t>
            </w:r>
          </w:p>
        </w:tc>
        <w:tc>
          <w:tcPr>
            <w:tcW w:w="1559" w:type="dxa"/>
            <w:vMerge w:val="restart"/>
            <w:shd w:val="clear" w:color="auto" w:fill="B6DDE8" w:themeFill="accent5" w:themeFillTint="66"/>
            <w:tcMar>
              <w:top w:w="85" w:type="dxa"/>
              <w:bottom w:w="85" w:type="dxa"/>
            </w:tcMar>
            <w:vAlign w:val="center"/>
          </w:tcPr>
          <w:p w:rsidR="00395D27" w:rsidRPr="00127E4D" w:rsidRDefault="000E1077" w:rsidP="00ED308B">
            <w:pPr>
              <w:jc w:val="center"/>
              <w:rPr>
                <w:b/>
                <w:sz w:val="18"/>
                <w:szCs w:val="18"/>
              </w:rPr>
            </w:pPr>
            <w:r w:rsidRPr="00127E4D">
              <w:rPr>
                <w:b/>
                <w:sz w:val="18"/>
                <w:szCs w:val="18"/>
              </w:rPr>
              <w:t>Funcionario encargado</w:t>
            </w:r>
          </w:p>
        </w:tc>
        <w:tc>
          <w:tcPr>
            <w:tcW w:w="2835" w:type="dxa"/>
            <w:gridSpan w:val="2"/>
            <w:shd w:val="clear" w:color="auto" w:fill="B6DDE8" w:themeFill="accent5" w:themeFillTint="66"/>
            <w:tcMar>
              <w:top w:w="85" w:type="dxa"/>
              <w:bottom w:w="85" w:type="dxa"/>
            </w:tcMar>
            <w:vAlign w:val="center"/>
          </w:tcPr>
          <w:p w:rsidR="00395D27" w:rsidRPr="00127E4D" w:rsidRDefault="000E1077" w:rsidP="00ED308B">
            <w:pPr>
              <w:jc w:val="center"/>
              <w:rPr>
                <w:b/>
                <w:sz w:val="18"/>
                <w:szCs w:val="18"/>
              </w:rPr>
            </w:pPr>
            <w:r w:rsidRPr="00127E4D">
              <w:rPr>
                <w:b/>
                <w:sz w:val="18"/>
                <w:szCs w:val="18"/>
              </w:rPr>
              <w:t>Estado de aceptación</w:t>
            </w:r>
          </w:p>
        </w:tc>
        <w:tc>
          <w:tcPr>
            <w:tcW w:w="2517" w:type="dxa"/>
            <w:vMerge w:val="restart"/>
            <w:shd w:val="clear" w:color="auto" w:fill="B6DDE8" w:themeFill="accent5" w:themeFillTint="66"/>
            <w:tcMar>
              <w:top w:w="85" w:type="dxa"/>
              <w:bottom w:w="85" w:type="dxa"/>
            </w:tcMar>
            <w:vAlign w:val="center"/>
          </w:tcPr>
          <w:p w:rsidR="00395D27" w:rsidRPr="00127E4D" w:rsidRDefault="00D971F8" w:rsidP="00ED308B">
            <w:pPr>
              <w:jc w:val="center"/>
              <w:rPr>
                <w:b/>
                <w:sz w:val="18"/>
                <w:szCs w:val="18"/>
              </w:rPr>
            </w:pPr>
            <w:r w:rsidRPr="00127E4D">
              <w:rPr>
                <w:b/>
                <w:sz w:val="18"/>
                <w:szCs w:val="18"/>
              </w:rPr>
              <w:t>Evaluación Equipo directivo/Coordinador</w:t>
            </w:r>
          </w:p>
        </w:tc>
      </w:tr>
      <w:tr w:rsidR="00395D27" w:rsidRPr="00127E4D" w:rsidTr="00ED308B">
        <w:trPr>
          <w:tblHeader/>
        </w:trPr>
        <w:tc>
          <w:tcPr>
            <w:tcW w:w="2660" w:type="dxa"/>
            <w:vMerge/>
            <w:shd w:val="clear" w:color="auto" w:fill="B6DDE8" w:themeFill="accent5" w:themeFillTint="66"/>
          </w:tcPr>
          <w:p w:rsidR="00395D27" w:rsidRPr="00127E4D" w:rsidRDefault="00395D27" w:rsidP="00ED308B">
            <w:pPr>
              <w:rPr>
                <w:b/>
                <w:sz w:val="18"/>
                <w:szCs w:val="18"/>
              </w:rPr>
            </w:pPr>
          </w:p>
        </w:tc>
        <w:tc>
          <w:tcPr>
            <w:tcW w:w="1559" w:type="dxa"/>
            <w:vMerge/>
            <w:shd w:val="clear" w:color="auto" w:fill="B6DDE8" w:themeFill="accent5" w:themeFillTint="66"/>
          </w:tcPr>
          <w:p w:rsidR="00395D27" w:rsidRPr="00127E4D" w:rsidRDefault="00395D27" w:rsidP="00ED308B">
            <w:pPr>
              <w:rPr>
                <w:b/>
                <w:sz w:val="18"/>
                <w:szCs w:val="18"/>
              </w:rPr>
            </w:pPr>
          </w:p>
        </w:tc>
        <w:tc>
          <w:tcPr>
            <w:tcW w:w="1418" w:type="dxa"/>
            <w:shd w:val="clear" w:color="auto" w:fill="B6DDE8" w:themeFill="accent5" w:themeFillTint="66"/>
            <w:tcMar>
              <w:top w:w="85" w:type="dxa"/>
              <w:bottom w:w="85" w:type="dxa"/>
            </w:tcMar>
            <w:vAlign w:val="center"/>
          </w:tcPr>
          <w:p w:rsidR="00395D27" w:rsidRPr="00127E4D" w:rsidRDefault="000E1077" w:rsidP="00ED308B">
            <w:pPr>
              <w:jc w:val="center"/>
              <w:rPr>
                <w:b/>
                <w:sz w:val="16"/>
                <w:szCs w:val="18"/>
              </w:rPr>
            </w:pPr>
            <w:r w:rsidRPr="00127E4D">
              <w:rPr>
                <w:b/>
                <w:sz w:val="16"/>
                <w:szCs w:val="18"/>
              </w:rPr>
              <w:t>Aceptación</w:t>
            </w:r>
          </w:p>
        </w:tc>
        <w:tc>
          <w:tcPr>
            <w:tcW w:w="1417" w:type="dxa"/>
            <w:shd w:val="clear" w:color="auto" w:fill="B6DDE8" w:themeFill="accent5" w:themeFillTint="66"/>
            <w:tcMar>
              <w:top w:w="85" w:type="dxa"/>
              <w:bottom w:w="85" w:type="dxa"/>
            </w:tcMar>
            <w:vAlign w:val="center"/>
          </w:tcPr>
          <w:p w:rsidR="00395D27" w:rsidRPr="00127E4D" w:rsidRDefault="000E1077" w:rsidP="00ED308B">
            <w:pPr>
              <w:jc w:val="center"/>
              <w:rPr>
                <w:b/>
                <w:sz w:val="16"/>
                <w:szCs w:val="18"/>
              </w:rPr>
            </w:pPr>
            <w:r w:rsidRPr="00127E4D">
              <w:rPr>
                <w:b/>
                <w:sz w:val="16"/>
                <w:szCs w:val="18"/>
              </w:rPr>
              <w:t>Aplicación</w:t>
            </w:r>
          </w:p>
        </w:tc>
        <w:tc>
          <w:tcPr>
            <w:tcW w:w="2517" w:type="dxa"/>
            <w:vMerge/>
            <w:shd w:val="clear" w:color="auto" w:fill="B6DDE8" w:themeFill="accent5" w:themeFillTint="66"/>
          </w:tcPr>
          <w:p w:rsidR="00395D27" w:rsidRPr="00127E4D" w:rsidRDefault="00395D27" w:rsidP="00ED308B">
            <w:pPr>
              <w:rPr>
                <w:b/>
                <w:sz w:val="18"/>
                <w:szCs w:val="18"/>
              </w:rPr>
            </w:pPr>
          </w:p>
        </w:tc>
      </w:tr>
      <w:tr w:rsidR="00395D27" w:rsidRPr="00127E4D" w:rsidTr="00ED308B">
        <w:tc>
          <w:tcPr>
            <w:tcW w:w="2660" w:type="dxa"/>
            <w:tcMar>
              <w:top w:w="85" w:type="dxa"/>
              <w:bottom w:w="85" w:type="dxa"/>
            </w:tcMar>
            <w:vAlign w:val="center"/>
          </w:tcPr>
          <w:p w:rsidR="00395D27" w:rsidRPr="00127E4D" w:rsidRDefault="00271608" w:rsidP="00ED308B">
            <w:pPr>
              <w:rPr>
                <w:sz w:val="18"/>
                <w:szCs w:val="18"/>
              </w:rPr>
            </w:pPr>
            <w:r w:rsidRPr="00127E4D">
              <w:rPr>
                <w:sz w:val="18"/>
                <w:szCs w:val="18"/>
              </w:rPr>
              <w:t>Rec. 6.  Los órganos legislativos deberían dar instrucciones a sus respectivos jefes ejecutivos de que establezcan límites a la duración del mandato del jefe de la oficina de ética, que debe ser nombrado por un período no renovable de siete años o no más de dos períodos consecutivos de cuatro o cinco años, sin posibilidad de reempleo en la misma organización.</w:t>
            </w:r>
          </w:p>
        </w:tc>
        <w:tc>
          <w:tcPr>
            <w:tcW w:w="1559" w:type="dxa"/>
            <w:tcMar>
              <w:top w:w="85" w:type="dxa"/>
              <w:bottom w:w="85" w:type="dxa"/>
            </w:tcMar>
          </w:tcPr>
          <w:p w:rsidR="00395D27" w:rsidRPr="00127E4D" w:rsidRDefault="00271608" w:rsidP="00ED308B">
            <w:pPr>
              <w:rPr>
                <w:sz w:val="18"/>
                <w:szCs w:val="18"/>
              </w:rPr>
            </w:pPr>
            <w:r w:rsidRPr="00127E4D">
              <w:rPr>
                <w:sz w:val="18"/>
                <w:szCs w:val="18"/>
              </w:rPr>
              <w:t>Oficial Jefe de Ética Profesional</w:t>
            </w:r>
          </w:p>
        </w:tc>
        <w:tc>
          <w:tcPr>
            <w:tcW w:w="1418" w:type="dxa"/>
            <w:tcMar>
              <w:top w:w="85" w:type="dxa"/>
              <w:bottom w:w="85" w:type="dxa"/>
            </w:tcMar>
          </w:tcPr>
          <w:p w:rsidR="00395D27" w:rsidRPr="00127E4D" w:rsidRDefault="00395D27" w:rsidP="00ED308B">
            <w:pPr>
              <w:rPr>
                <w:sz w:val="18"/>
                <w:szCs w:val="18"/>
              </w:rPr>
            </w:pPr>
            <w:r w:rsidRPr="00127E4D">
              <w:rPr>
                <w:noProof/>
                <w:lang w:val="en-US" w:eastAsia="en-US"/>
              </w:rPr>
              <mc:AlternateContent>
                <mc:Choice Requires="wps">
                  <w:drawing>
                    <wp:anchor distT="0" distB="0" distL="114300" distR="114300" simplePos="0" relativeHeight="251667456" behindDoc="0" locked="0" layoutInCell="1" allowOverlap="1" wp14:anchorId="65A76C68" wp14:editId="62F6C94A">
                      <wp:simplePos x="0" y="0"/>
                      <wp:positionH relativeFrom="column">
                        <wp:posOffset>49530</wp:posOffset>
                      </wp:positionH>
                      <wp:positionV relativeFrom="paragraph">
                        <wp:posOffset>318770</wp:posOffset>
                      </wp:positionV>
                      <wp:extent cx="1562100" cy="238125"/>
                      <wp:effectExtent l="0" t="0" r="19050" b="28575"/>
                      <wp:wrapNone/>
                      <wp:docPr id="11" name="Rounded Rectangle 11"/>
                      <wp:cNvGraphicFramePr/>
                      <a:graphic xmlns:a="http://schemas.openxmlformats.org/drawingml/2006/main">
                        <a:graphicData uri="http://schemas.microsoft.com/office/word/2010/wordprocessingShape">
                          <wps:wsp>
                            <wps:cNvSpPr/>
                            <wps:spPr>
                              <a:xfrm>
                                <a:off x="0" y="0"/>
                                <a:ext cx="1562100" cy="238125"/>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ED308B" w:rsidRDefault="00ED308B" w:rsidP="00395D27">
                                  <w:pPr>
                                    <w:jc w:val="center"/>
                                  </w:pPr>
                                  <w:r>
                                    <w:rPr>
                                      <w:i/>
                                      <w:sz w:val="14"/>
                                      <w:szCs w:val="14"/>
                                    </w:rPr>
                                    <w:t>Anteriormente</w:t>
                                  </w:r>
                                  <w:r w:rsidRPr="00337266">
                                    <w:rPr>
                                      <w:i/>
                                      <w:sz w:val="14"/>
                                      <w:szCs w:val="14"/>
                                    </w:rPr>
                                    <w:t xml:space="preserve"> “</w:t>
                                  </w:r>
                                  <w:r w:rsidR="00F11530">
                                    <w:rPr>
                                      <w:i/>
                                      <w:sz w:val="14"/>
                                      <w:szCs w:val="14"/>
                                    </w:rPr>
                                    <w:t>A estudio</w:t>
                                  </w:r>
                                  <w:r w:rsidRPr="00337266">
                                    <w:rPr>
                                      <w:i/>
                                      <w:sz w:val="14"/>
                                      <w:szCs w:val="14"/>
                                    </w:rPr>
                                    <w:t>”</w:t>
                                  </w:r>
                                </w:p>
                                <w:p w:rsidR="00ED308B" w:rsidRPr="00E37CB3" w:rsidRDefault="00ED308B" w:rsidP="00395D27">
                                  <w:pPr>
                                    <w:jc w:val="center"/>
                                    <w:rPr>
                                      <w:lang w:val="fr-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6" style="position:absolute;margin-left:3.9pt;margin-top:25.1pt;width:123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" fillcolor="window" strokecolor="#8eb4e3" strokeweight="2pt">
                      <v:textbox>
                        <w:txbxContent>
                          <w:p w:rsidR="00ED308B" w:rsidRDefault="00ED308B" w:rsidP="00395D27">
                            <w:pPr>
                              <w:jc w:val="center"/>
                            </w:pPr>
                            <w:r>
                              <w:rPr>
                                <w:i/>
                                <w:sz w:val="14"/>
                                <w:szCs w:val="14"/>
                              </w:rPr>
                              <w:t>Anteriormente</w:t>
                            </w:r>
                            <w:r w:rsidRPr="00337266">
                              <w:rPr>
                                <w:i/>
                                <w:sz w:val="14"/>
                                <w:szCs w:val="14"/>
                              </w:rPr>
                              <w:t xml:space="preserve"> “</w:t>
                            </w:r>
                            <w:r w:rsidR="00F11530">
                              <w:rPr>
                                <w:i/>
                                <w:sz w:val="14"/>
                                <w:szCs w:val="14"/>
                              </w:rPr>
                              <w:t>A estudio</w:t>
                            </w:r>
                            <w:r w:rsidRPr="00337266">
                              <w:rPr>
                                <w:i/>
                                <w:sz w:val="14"/>
                                <w:szCs w:val="14"/>
                              </w:rPr>
                              <w:t>”</w:t>
                            </w:r>
                          </w:p>
                          <w:p w:rsidR="00ED308B" w:rsidRPr="00E37CB3" w:rsidRDefault="00ED308B" w:rsidP="00395D27">
                            <w:pPr>
                              <w:jc w:val="center"/>
                              <w:rPr>
                                <w:lang w:val="fr-CH"/>
                              </w:rPr>
                            </w:pPr>
                          </w:p>
                        </w:txbxContent>
                      </v:textbox>
                    </v:roundrect>
                  </w:pict>
                </mc:Fallback>
              </mc:AlternateContent>
            </w:r>
            <w:r w:rsidR="008D6382" w:rsidRPr="00127E4D">
              <w:rPr>
                <w:sz w:val="18"/>
                <w:szCs w:val="18"/>
              </w:rPr>
              <w:t>Aceptada</w:t>
            </w:r>
          </w:p>
        </w:tc>
        <w:tc>
          <w:tcPr>
            <w:tcW w:w="1417" w:type="dxa"/>
            <w:tcMar>
              <w:top w:w="85" w:type="dxa"/>
              <w:bottom w:w="85" w:type="dxa"/>
            </w:tcMar>
          </w:tcPr>
          <w:p w:rsidR="00395D27" w:rsidRPr="00127E4D" w:rsidRDefault="008D6382" w:rsidP="00ED308B">
            <w:pPr>
              <w:spacing w:after="200"/>
              <w:rPr>
                <w:sz w:val="18"/>
                <w:szCs w:val="18"/>
              </w:rPr>
            </w:pPr>
            <w:r w:rsidRPr="00127E4D">
              <w:rPr>
                <w:rFonts w:eastAsiaTheme="minorHAnsi"/>
                <w:sz w:val="18"/>
                <w:szCs w:val="18"/>
                <w:lang w:eastAsia="en-US"/>
              </w:rPr>
              <w:t>Aplicada</w:t>
            </w:r>
          </w:p>
        </w:tc>
        <w:tc>
          <w:tcPr>
            <w:tcW w:w="2517" w:type="dxa"/>
            <w:tcMar>
              <w:top w:w="85" w:type="dxa"/>
              <w:bottom w:w="85" w:type="dxa"/>
            </w:tcMar>
          </w:tcPr>
          <w:p w:rsidR="007E2EF3" w:rsidRPr="00127E4D" w:rsidRDefault="007E2EF3" w:rsidP="007E2EF3">
            <w:pPr>
              <w:rPr>
                <w:sz w:val="18"/>
                <w:szCs w:val="18"/>
                <w:highlight w:val="yellow"/>
              </w:rPr>
            </w:pPr>
            <w:r w:rsidRPr="00127E4D">
              <w:rPr>
                <w:noProof/>
                <w:sz w:val="18"/>
              </w:rPr>
              <w:t>El Oficial Jefe de Ética Profesional será designado por un período fijo de cuatro años, renovable una sola vez, y no podrá emplearse posteriormente en la OMPI.</w:t>
            </w:r>
          </w:p>
        </w:tc>
      </w:tr>
      <w:tr w:rsidR="00395D27" w:rsidRPr="00127E4D" w:rsidTr="00ED308B">
        <w:tc>
          <w:tcPr>
            <w:tcW w:w="2660" w:type="dxa"/>
            <w:tcMar>
              <w:top w:w="85" w:type="dxa"/>
              <w:bottom w:w="85" w:type="dxa"/>
            </w:tcMar>
            <w:vAlign w:val="center"/>
          </w:tcPr>
          <w:p w:rsidR="00395D27" w:rsidRPr="00127E4D" w:rsidRDefault="00271608" w:rsidP="00ED308B">
            <w:pPr>
              <w:rPr>
                <w:sz w:val="18"/>
                <w:szCs w:val="18"/>
              </w:rPr>
            </w:pPr>
            <w:r w:rsidRPr="00127E4D">
              <w:rPr>
                <w:sz w:val="18"/>
                <w:szCs w:val="18"/>
              </w:rPr>
              <w:t>Rec. 8.  Los órganos legislativos deberían dar instrucciones a sus respectivos jefes ejecutivos de que velen por que el jefe de la oficina de ética tenga acceso oficioso a los órganos legislativos y que ello conste por escrito.</w:t>
            </w:r>
          </w:p>
        </w:tc>
        <w:tc>
          <w:tcPr>
            <w:tcW w:w="1559" w:type="dxa"/>
            <w:tcMar>
              <w:top w:w="85" w:type="dxa"/>
              <w:bottom w:w="85" w:type="dxa"/>
            </w:tcMar>
          </w:tcPr>
          <w:p w:rsidR="00395D27" w:rsidRPr="00127E4D" w:rsidRDefault="00271608" w:rsidP="00ED308B">
            <w:pPr>
              <w:rPr>
                <w:sz w:val="18"/>
                <w:szCs w:val="18"/>
              </w:rPr>
            </w:pPr>
            <w:r w:rsidRPr="00127E4D">
              <w:rPr>
                <w:sz w:val="18"/>
                <w:szCs w:val="18"/>
              </w:rPr>
              <w:t>Oficial Jefe de Ética Profesional</w:t>
            </w:r>
          </w:p>
        </w:tc>
        <w:tc>
          <w:tcPr>
            <w:tcW w:w="1418" w:type="dxa"/>
            <w:tcMar>
              <w:top w:w="85" w:type="dxa"/>
              <w:bottom w:w="85" w:type="dxa"/>
            </w:tcMar>
          </w:tcPr>
          <w:p w:rsidR="00395D27" w:rsidRPr="00127E4D" w:rsidRDefault="00395D27" w:rsidP="00ED308B">
            <w:pPr>
              <w:rPr>
                <w:sz w:val="18"/>
                <w:szCs w:val="18"/>
              </w:rPr>
            </w:pPr>
            <w:r w:rsidRPr="00127E4D">
              <w:rPr>
                <w:noProof/>
                <w:lang w:val="en-US" w:eastAsia="en-US"/>
              </w:rPr>
              <mc:AlternateContent>
                <mc:Choice Requires="wps">
                  <w:drawing>
                    <wp:anchor distT="0" distB="0" distL="114300" distR="114300" simplePos="0" relativeHeight="251678720" behindDoc="0" locked="0" layoutInCell="1" allowOverlap="1" wp14:anchorId="30951139" wp14:editId="61C27C6A">
                      <wp:simplePos x="0" y="0"/>
                      <wp:positionH relativeFrom="column">
                        <wp:posOffset>49530</wp:posOffset>
                      </wp:positionH>
                      <wp:positionV relativeFrom="paragraph">
                        <wp:posOffset>360680</wp:posOffset>
                      </wp:positionV>
                      <wp:extent cx="1562100" cy="23812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1562100" cy="238125"/>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ED308B" w:rsidRPr="008D6382" w:rsidRDefault="00ED308B" w:rsidP="008D6382">
                                  <w:pPr>
                                    <w:jc w:val="center"/>
                                    <w:rPr>
                                      <w:i/>
                                      <w:sz w:val="14"/>
                                      <w:szCs w:val="14"/>
                                    </w:rPr>
                                  </w:pPr>
                                  <w:r w:rsidRPr="008D6382">
                                    <w:rPr>
                                      <w:i/>
                                      <w:sz w:val="14"/>
                                      <w:szCs w:val="14"/>
                                    </w:rPr>
                                    <w:t>Anteriormente “</w:t>
                                  </w:r>
                                  <w:r w:rsidR="00F11530">
                                    <w:rPr>
                                      <w:i/>
                                      <w:sz w:val="14"/>
                                      <w:szCs w:val="14"/>
                                    </w:rPr>
                                    <w:t>A estudio</w:t>
                                  </w:r>
                                  <w:r w:rsidRPr="008D6382">
                                    <w:rPr>
                                      <w:i/>
                                      <w:sz w:val="14"/>
                                      <w:szCs w:val="14"/>
                                    </w:rPr>
                                    <w:t>”</w:t>
                                  </w:r>
                                </w:p>
                                <w:p w:rsidR="00ED308B" w:rsidRPr="00E37CB3" w:rsidRDefault="00ED308B" w:rsidP="00395D27">
                                  <w:pPr>
                                    <w:jc w:val="center"/>
                                    <w:rPr>
                                      <w:lang w:val="fr-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7" style="position:absolute;margin-left:3.9pt;margin-top:28.4pt;width:123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" fillcolor="window" strokecolor="#8eb4e3" strokeweight="2pt">
                      <v:textbox>
                        <w:txbxContent>
                          <w:p w:rsidR="00ED308B" w:rsidRPr="008D6382" w:rsidRDefault="00ED308B" w:rsidP="008D6382">
                            <w:pPr>
                              <w:jc w:val="center"/>
                              <w:rPr>
                                <w:i/>
                                <w:sz w:val="14"/>
                                <w:szCs w:val="14"/>
                              </w:rPr>
                            </w:pPr>
                            <w:r w:rsidRPr="008D6382">
                              <w:rPr>
                                <w:i/>
                                <w:sz w:val="14"/>
                                <w:szCs w:val="14"/>
                              </w:rPr>
                              <w:t>Anteriormente “</w:t>
                            </w:r>
                            <w:r w:rsidR="00F11530">
                              <w:rPr>
                                <w:i/>
                                <w:sz w:val="14"/>
                                <w:szCs w:val="14"/>
                              </w:rPr>
                              <w:t>A estudio</w:t>
                            </w:r>
                            <w:r w:rsidRPr="008D6382">
                              <w:rPr>
                                <w:i/>
                                <w:sz w:val="14"/>
                                <w:szCs w:val="14"/>
                              </w:rPr>
                              <w:t>”</w:t>
                            </w:r>
                          </w:p>
                          <w:p w:rsidR="00ED308B" w:rsidRPr="00E37CB3" w:rsidRDefault="00ED308B" w:rsidP="00395D27">
                            <w:pPr>
                              <w:jc w:val="center"/>
                              <w:rPr>
                                <w:lang w:val="fr-CH"/>
                              </w:rPr>
                            </w:pPr>
                          </w:p>
                        </w:txbxContent>
                      </v:textbox>
                    </v:roundrect>
                  </w:pict>
                </mc:Fallback>
              </mc:AlternateContent>
            </w:r>
            <w:r w:rsidR="008D6382" w:rsidRPr="00127E4D">
              <w:rPr>
                <w:sz w:val="18"/>
                <w:szCs w:val="18"/>
              </w:rPr>
              <w:t>Aceptada</w:t>
            </w:r>
            <w:r w:rsidRPr="00127E4D">
              <w:rPr>
                <w:sz w:val="18"/>
                <w:szCs w:val="18"/>
              </w:rPr>
              <w:t xml:space="preserve"> </w:t>
            </w:r>
          </w:p>
        </w:tc>
        <w:tc>
          <w:tcPr>
            <w:tcW w:w="1417" w:type="dxa"/>
            <w:tcMar>
              <w:top w:w="85" w:type="dxa"/>
              <w:bottom w:w="85" w:type="dxa"/>
            </w:tcMar>
          </w:tcPr>
          <w:p w:rsidR="00395D27" w:rsidRPr="00127E4D" w:rsidRDefault="008D6382" w:rsidP="00ED308B">
            <w:pPr>
              <w:spacing w:after="200"/>
              <w:rPr>
                <w:rFonts w:eastAsiaTheme="minorHAnsi"/>
                <w:sz w:val="18"/>
                <w:szCs w:val="18"/>
                <w:lang w:eastAsia="en-US"/>
              </w:rPr>
            </w:pPr>
            <w:r w:rsidRPr="00127E4D">
              <w:rPr>
                <w:rFonts w:eastAsiaTheme="minorHAnsi"/>
                <w:sz w:val="18"/>
                <w:szCs w:val="18"/>
                <w:lang w:eastAsia="en-US"/>
              </w:rPr>
              <w:t>Aplicada</w:t>
            </w:r>
          </w:p>
        </w:tc>
        <w:tc>
          <w:tcPr>
            <w:tcW w:w="2517" w:type="dxa"/>
            <w:tcMar>
              <w:top w:w="85" w:type="dxa"/>
              <w:bottom w:w="85" w:type="dxa"/>
            </w:tcMar>
          </w:tcPr>
          <w:p w:rsidR="007E2EF3" w:rsidRPr="00127E4D" w:rsidRDefault="007E2EF3" w:rsidP="00BD1949">
            <w:pPr>
              <w:rPr>
                <w:noProof/>
                <w:sz w:val="18"/>
              </w:rPr>
            </w:pPr>
            <w:r w:rsidRPr="00127E4D">
              <w:rPr>
                <w:sz w:val="18"/>
                <w:szCs w:val="18"/>
              </w:rPr>
              <w:t xml:space="preserve">El Oficial Jefe de Ética Profesional tiene acceso </w:t>
            </w:r>
            <w:r w:rsidR="00BD1949">
              <w:rPr>
                <w:sz w:val="18"/>
                <w:szCs w:val="18"/>
              </w:rPr>
              <w:t>oficioso</w:t>
            </w:r>
            <w:r w:rsidRPr="00127E4D">
              <w:rPr>
                <w:sz w:val="18"/>
                <w:szCs w:val="18"/>
              </w:rPr>
              <w:t xml:space="preserve"> a los órganos legislativos, salvo que estos decidan lo contrario.</w:t>
            </w:r>
          </w:p>
        </w:tc>
      </w:tr>
    </w:tbl>
    <w:p w:rsidR="00395D27" w:rsidRDefault="00395D27" w:rsidP="00395D27">
      <w:pPr>
        <w:rPr>
          <w:b/>
          <w:sz w:val="20"/>
        </w:rPr>
      </w:pPr>
    </w:p>
    <w:p w:rsidR="001758CB" w:rsidRPr="001758CB" w:rsidRDefault="001758CB" w:rsidP="00395D27">
      <w:pPr>
        <w:rPr>
          <w:b/>
          <w:sz w:val="20"/>
        </w:rPr>
      </w:pPr>
      <w:bookmarkStart w:id="6" w:name="_GoBack"/>
      <w:bookmarkEnd w:id="6"/>
    </w:p>
    <w:p w:rsidR="005D1E69" w:rsidRPr="001758CB" w:rsidRDefault="00395D27" w:rsidP="001758CB">
      <w:pPr>
        <w:pStyle w:val="Endofdocument-Annex"/>
        <w:rPr>
          <w:lang w:val="fr-CH"/>
        </w:rPr>
      </w:pPr>
      <w:r w:rsidRPr="00127E4D">
        <w:rPr>
          <w:lang w:val="es-ES"/>
        </w:rPr>
        <w:t>[</w:t>
      </w:r>
      <w:r w:rsidR="0059519A" w:rsidRPr="00127E4D">
        <w:rPr>
          <w:lang w:val="es-ES"/>
        </w:rPr>
        <w:t xml:space="preserve">Fin del Anexo y del </w:t>
      </w:r>
      <w:r w:rsidRPr="00127E4D">
        <w:rPr>
          <w:lang w:val="es-ES"/>
        </w:rPr>
        <w:t>document</w:t>
      </w:r>
      <w:r w:rsidR="0059519A" w:rsidRPr="00127E4D">
        <w:rPr>
          <w:lang w:val="es-ES"/>
        </w:rPr>
        <w:t>o</w:t>
      </w:r>
      <w:r w:rsidRPr="00127E4D">
        <w:rPr>
          <w:lang w:val="es-ES"/>
        </w:rPr>
        <w:t>]</w:t>
      </w:r>
    </w:p>
    <w:sectPr w:rsidR="005D1E69" w:rsidRPr="001758CB" w:rsidSect="00D3169D">
      <w:headerReference w:type="default" r:id="rId18"/>
      <w:headerReference w:type="first" r:id="rId1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08B" w:rsidRDefault="00ED308B">
      <w:r>
        <w:separator/>
      </w:r>
    </w:p>
  </w:endnote>
  <w:endnote w:type="continuationSeparator" w:id="0">
    <w:p w:rsidR="00ED308B" w:rsidRPr="009D30E6" w:rsidRDefault="00ED308B" w:rsidP="007E663E">
      <w:pPr>
        <w:rPr>
          <w:sz w:val="17"/>
          <w:szCs w:val="17"/>
        </w:rPr>
      </w:pPr>
      <w:r w:rsidRPr="009D30E6">
        <w:rPr>
          <w:sz w:val="17"/>
          <w:szCs w:val="17"/>
        </w:rPr>
        <w:separator/>
      </w:r>
    </w:p>
    <w:p w:rsidR="00ED308B" w:rsidRPr="007E663E" w:rsidRDefault="00ED308B" w:rsidP="007E663E">
      <w:pPr>
        <w:spacing w:after="60"/>
        <w:rPr>
          <w:sz w:val="17"/>
          <w:szCs w:val="17"/>
        </w:rPr>
      </w:pPr>
      <w:r>
        <w:rPr>
          <w:sz w:val="17"/>
        </w:rPr>
        <w:t>[Continuación de la nota de la página anterior]</w:t>
      </w:r>
    </w:p>
  </w:endnote>
  <w:endnote w:type="continuationNotice" w:id="1">
    <w:p w:rsidR="00ED308B" w:rsidRPr="007E663E" w:rsidRDefault="00ED308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08B" w:rsidRDefault="00ED308B">
      <w:r>
        <w:separator/>
      </w:r>
    </w:p>
  </w:footnote>
  <w:footnote w:type="continuationSeparator" w:id="0">
    <w:p w:rsidR="00ED308B" w:rsidRPr="009D30E6" w:rsidRDefault="00ED308B" w:rsidP="007E663E">
      <w:pPr>
        <w:rPr>
          <w:sz w:val="17"/>
          <w:szCs w:val="17"/>
        </w:rPr>
      </w:pPr>
      <w:r w:rsidRPr="009D30E6">
        <w:rPr>
          <w:sz w:val="17"/>
          <w:szCs w:val="17"/>
        </w:rPr>
        <w:separator/>
      </w:r>
    </w:p>
    <w:p w:rsidR="00ED308B" w:rsidRPr="007E663E" w:rsidRDefault="00ED308B" w:rsidP="007E663E">
      <w:pPr>
        <w:spacing w:after="60"/>
        <w:rPr>
          <w:sz w:val="17"/>
          <w:szCs w:val="17"/>
        </w:rPr>
      </w:pPr>
      <w:r>
        <w:rPr>
          <w:sz w:val="17"/>
        </w:rPr>
        <w:t>[Continuación de la nota de la página anterior]</w:t>
      </w:r>
    </w:p>
  </w:footnote>
  <w:footnote w:type="continuationNotice" w:id="1">
    <w:p w:rsidR="00ED308B" w:rsidRPr="007E663E" w:rsidRDefault="00ED308B" w:rsidP="007E663E">
      <w:pPr>
        <w:spacing w:before="60"/>
        <w:jc w:val="right"/>
        <w:rPr>
          <w:sz w:val="17"/>
          <w:szCs w:val="17"/>
        </w:rPr>
      </w:pPr>
      <w:r w:rsidRPr="007E663E">
        <w:rPr>
          <w:sz w:val="17"/>
          <w:szCs w:val="17"/>
        </w:rPr>
        <w:t>[Sigue la nota en la página siguiente]</w:t>
      </w:r>
    </w:p>
  </w:footnote>
  <w:footnote w:id="2">
    <w:p w:rsidR="00ED308B" w:rsidRDefault="00ED308B" w:rsidP="007165C4">
      <w:pPr>
        <w:pStyle w:val="FootnoteText"/>
        <w:ind w:left="567" w:hanging="567"/>
      </w:pPr>
      <w:r>
        <w:rPr>
          <w:rStyle w:val="FootnoteReference"/>
        </w:rPr>
        <w:footnoteRef/>
      </w:r>
      <w:r>
        <w:t xml:space="preserve"> </w:t>
      </w:r>
      <w:r>
        <w:tab/>
      </w:r>
      <w:r w:rsidRPr="00D55415">
        <w:t>S</w:t>
      </w:r>
      <w:r>
        <w:t>e da cuenta del estado de aplicación de las recomendaciones dirigidas a los órganos legislativos antes de las</w:t>
      </w:r>
      <w:r w:rsidR="0042139D">
        <w:t xml:space="preserve"> actualizaciones recomendadas </w:t>
      </w:r>
      <w:r>
        <w:t>en el actual informe sob</w:t>
      </w:r>
      <w:r w:rsidR="0042139D">
        <w:t>re los avances realizados.  La información actualizada figurará</w:t>
      </w:r>
      <w:r>
        <w:t xml:space="preserve"> como parte de la aplicación de las recomendaciones en 2015, tras la aprobación de los Estados miembros.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8B" w:rsidRDefault="00ED308B" w:rsidP="00ED308B">
    <w:pPr>
      <w:jc w:val="right"/>
    </w:pPr>
    <w:bookmarkStart w:id="5" w:name="Code2"/>
    <w:bookmarkEnd w:id="5"/>
    <w:r>
      <w:t>WO/PBC/24/7</w:t>
    </w:r>
  </w:p>
  <w:p w:rsidR="00ED308B" w:rsidRDefault="00ED308B" w:rsidP="00ED308B">
    <w:pPr>
      <w:jc w:val="right"/>
    </w:pPr>
    <w:r>
      <w:t xml:space="preserve">page </w:t>
    </w:r>
    <w:r>
      <w:fldChar w:fldCharType="begin"/>
    </w:r>
    <w:r>
      <w:instrText xml:space="preserve"> PAGE  \* MERGEFORMAT </w:instrText>
    </w:r>
    <w:r>
      <w:fldChar w:fldCharType="separate"/>
    </w:r>
    <w:r w:rsidR="001758CB">
      <w:rPr>
        <w:noProof/>
      </w:rPr>
      <w:t>5</w:t>
    </w:r>
    <w:r>
      <w:fldChar w:fldCharType="end"/>
    </w:r>
  </w:p>
  <w:p w:rsidR="00ED308B" w:rsidRDefault="00ED308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64071"/>
      <w:docPartObj>
        <w:docPartGallery w:val="Page Numbers (Top of Page)"/>
        <w:docPartUnique/>
      </w:docPartObj>
    </w:sdtPr>
    <w:sdtEndPr>
      <w:rPr>
        <w:noProof/>
      </w:rPr>
    </w:sdtEndPr>
    <w:sdtContent>
      <w:p w:rsidR="00ED308B" w:rsidRDefault="00ED308B">
        <w:pPr>
          <w:pStyle w:val="Header"/>
          <w:jc w:val="right"/>
        </w:pPr>
        <w:r>
          <w:t>WO/PBC/24/7</w:t>
        </w:r>
      </w:p>
      <w:p w:rsidR="00ED308B" w:rsidRDefault="00D3169D">
        <w:pPr>
          <w:pStyle w:val="Header"/>
          <w:jc w:val="right"/>
        </w:pPr>
        <w:r>
          <w:t xml:space="preserve">Anexo, </w:t>
        </w:r>
        <w:r w:rsidR="00ED308B">
          <w:t xml:space="preserve">página </w:t>
        </w:r>
        <w:r w:rsidR="00ED308B">
          <w:fldChar w:fldCharType="begin"/>
        </w:r>
        <w:r w:rsidR="00ED308B">
          <w:instrText xml:space="preserve"> PAGE   \* MERGEFORMAT </w:instrText>
        </w:r>
        <w:r w:rsidR="00ED308B">
          <w:fldChar w:fldCharType="separate"/>
        </w:r>
        <w:r w:rsidR="001758CB">
          <w:rPr>
            <w:noProof/>
          </w:rPr>
          <w:t>10</w:t>
        </w:r>
        <w:r w:rsidR="00ED308B">
          <w:rPr>
            <w:noProof/>
          </w:rPr>
          <w:fldChar w:fldCharType="end"/>
        </w:r>
      </w:p>
    </w:sdtContent>
  </w:sdt>
  <w:p w:rsidR="00ED308B" w:rsidRDefault="00ED308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69D" w:rsidRDefault="00D3169D" w:rsidP="00D3169D">
    <w:pPr>
      <w:pStyle w:val="Header"/>
      <w:jc w:val="right"/>
    </w:pPr>
    <w:r>
      <w:t>WO/PBC/24/7</w:t>
    </w:r>
  </w:p>
  <w:p w:rsidR="00D3169D" w:rsidRDefault="00D3169D" w:rsidP="00D3169D">
    <w:pPr>
      <w:pStyle w:val="Header"/>
      <w:jc w:val="right"/>
    </w:pPr>
    <w:r>
      <w:t>ANEXO</w:t>
    </w:r>
  </w:p>
  <w:p w:rsidR="00D3169D" w:rsidRDefault="00D3169D" w:rsidP="00D3169D">
    <w:pPr>
      <w:pStyle w:val="Header"/>
      <w:jc w:val="right"/>
    </w:pPr>
  </w:p>
  <w:p w:rsidR="00D3169D" w:rsidRDefault="00D3169D" w:rsidP="00D3169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05920FD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CD0655"/>
    <w:multiLevelType w:val="hybridMultilevel"/>
    <w:tmpl w:val="CFA45B64"/>
    <w:lvl w:ilvl="0" w:tplc="804EB4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924C0"/>
    <w:multiLevelType w:val="hybridMultilevel"/>
    <w:tmpl w:val="CFA45B64"/>
    <w:lvl w:ilvl="0" w:tplc="804EB4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F973D07"/>
    <w:multiLevelType w:val="hybridMultilevel"/>
    <w:tmpl w:val="52BC4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479145BC"/>
    <w:multiLevelType w:val="hybridMultilevel"/>
    <w:tmpl w:val="4BD49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5EF6899"/>
    <w:multiLevelType w:val="hybridMultilevel"/>
    <w:tmpl w:val="CFA45B64"/>
    <w:lvl w:ilvl="0" w:tplc="804EB4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BF7D12"/>
    <w:multiLevelType w:val="hybridMultilevel"/>
    <w:tmpl w:val="5E487352"/>
    <w:lvl w:ilvl="0" w:tplc="7CB0E0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4D02C0"/>
    <w:multiLevelType w:val="hybridMultilevel"/>
    <w:tmpl w:val="4064B486"/>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4">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10"/>
  </w:num>
  <w:num w:numId="5">
    <w:abstractNumId w:val="1"/>
  </w:num>
  <w:num w:numId="6">
    <w:abstractNumId w:val="5"/>
  </w:num>
  <w:num w:numId="7">
    <w:abstractNumId w:val="8"/>
  </w:num>
  <w:num w:numId="8">
    <w:abstractNumId w:val="13"/>
  </w:num>
  <w:num w:numId="9">
    <w:abstractNumId w:val="14"/>
  </w:num>
  <w:num w:numId="10">
    <w:abstractNumId w:val="9"/>
  </w:num>
  <w:num w:numId="11">
    <w:abstractNumId w:val="6"/>
  </w:num>
  <w:num w:numId="12">
    <w:abstractNumId w:val="12"/>
  </w:num>
  <w:num w:numId="13">
    <w:abstractNumId w:val="3"/>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transmlp.wipo.int\TextBase TMs\Administrative\Meetings|transmlp.wipo.int\TextBase TMs\Administrative\Other|transmlp.wipo.int\TextBase TMs\Administrative\Publications|transmlp.wipo.int\TextBase TMs\Budget and Finance\Meetings|transmlp.wipo.int\TextBase TMs\Budget and Finance\Other|transmlp.wipo.int\TextBase TMs\Budget and Finance\Publications|transmlp.wipo.int\TextBase TMs\Copyright\Meetings|transmlp.wipo.int\TextBase TMs\Copyright\Other|transmlp.wipo.int\TextBase TMs\Copyright\Publications|transmlp.wipo.int\TextBase TMs\IP in General\Academy|transmlp.wipo.int\TextBase TMs\IP in General\Arbitration and Mediation|transmlp.wipo.int\TextBase TMs\IP in General\Meetings|transmlp.wipo.int\TextBase TMs\IP in General\Other|transmlp.wipo.int\TextBase TMs\IP in General\Press Room|transmlp.wipo.int\TextBase TMs\IP in General\Publications|transmlp.wipo.int\TextBase TMs\IP in General\SpeechDG2014|transmlp.wipo.int\TextBase TMs\Patents\Meetings|transmlp.wipo.int\TextBase TMs\Patents\Other|transmlp.wipo.int\TextBase TMs\Patents\Publications|transmlp.wipo.int\TextBase TMs\Trademarks\Meetings|transmlp.wipo.int\TextBase TMs\Trademarks\Other|transmlp.wipo.int\TextBase TMs\Trademarks\Publications|transmlp.wipo.int\TextBase TMs\Treaties\Model Laws|transmlp.wipo.int\TextBase TMs\Treaties\Other Laws and Agreements|transmlp.wipo.int\TextBase TMs\Treaties\WIPO-administered|transmlp.wipo.int\TextBase TMs\UPOV\Meetings|transmlp.wipo.int\TextBase TMs\UPOV\Other|transmlp.wipo.int\TextBase TMs\UPOV\Publications|transmlp.wipo.int\TextBase TMs\UPOV\Technical Guidelines|transmlp.wipo.int\TextBase TMs\WorkspaceETS\Test|transmlp.wipo.int\TextBase TMs\WorkspaceRTS\Job 35339|transmlp.wipo.int\TextBase TMs\WorkspaceSTS\EN-ES\Administrative\Meetings|transmlp.wipo.int\TextBase TMs\WorkspaceSTS\EN-ES\Administrative\Organigrama|transmlp.wipo.int\TextBase TMs\WorkspaceSTS\EN-ES\Administrative\Other|transmlp.wipo.int\TextBase TMs\WorkspaceSTS\EN-ES\Administrative\Publications|transmlp.wipo.int\TextBase TMs\WorkspaceSTS\EN-ES\Budget and Finance\Meetings|transmlp.wipo.int\TextBase TMs\WorkspaceSTS\EN-ES\Budget and Finance\Other|transmlp.wipo.int\TextBase TMs\WorkspaceSTS\EN-ES\Budget and Finance\Política de inversiones|transmlp.wipo.int\TextBase TMs\WorkspaceSTS\EN-ES\Budget and Finance\Publications|transmlp.wipo.int\TextBase TMs\WorkspaceSTS\EN-ES\Copyright\Meetings|transmlp.wipo.int\TextBase TMs\WorkspaceSTS\EN-ES\Copyright\Other|transmlp.wipo.int\TextBase TMs\WorkspaceSTS\EN-ES\Copyright\Publications|transmlp.wipo.int\TextBase TMs\WorkspaceSTS\EN-ES\Glossaries\EN-ES|transmlp.wipo.int\TextBase TMs\WorkspaceSTS\EN-ES\Glossaries\Países|transmlp.wipo.int\TextBase TMs\WorkspaceSTS\EN-ES\IP in General\Academy|transmlp.wipo.int\TextBase TMs\WorkspaceSTS\EN-ES\IP in General\Arbitration and Mediation|transmlp.wipo.int\TextBase TMs\WorkspaceSTS\EN-ES\IP in General\Meetings|transmlp.wipo.int\TextBase TMs\WorkspaceSTS\EN-ES\IP in General\Other|transmlp.wipo.int\TextBase TMs\WorkspaceSTS\EN-ES\IP in General\Press Room|transmlp.wipo.int\TextBase TMs\WorkspaceSTS\EN-ES\IP in General\Publications|transmlp.wipo.int\TextBase TMs\WorkspaceSTS\EN-ES\Patents\Meetings|transmlp.wipo.int\TextBase TMs\WorkspaceSTS\EN-ES\Patents\Other|transmlp.wipo.int\TextBase TMs\WorkspaceSTS\EN-ES\Patents\Publications|transmlp.wipo.int\TextBase TMs\WorkspaceSTS\EN-ES\Trademarks\Documentos conferencia diplomática 2015|transmlp.wipo.int\TextBase TMs\WorkspaceSTS\EN-ES\Trademarks\Meetings|transmlp.wipo.int\TextBase TMs\WorkspaceSTS\EN-ES\Trademarks\Other|transmlp.wipo.int\TextBase TMs\WorkspaceSTS\EN-ES\Trademarks\Publications|transmlp.wipo.int\TextBase TMs\WorkspaceSTS\EN-ES\Treaties\Model Laws|transmlp.wipo.int\TextBase TMs\WorkspaceSTS\EN-ES\Treaties\Other Laws and Agreements|transmlp.wipo.int\TextBase TMs\WorkspaceSTS\EN-ES\Treaties\WIPO-administered|transmlp.wipo.int\TextBase TMs\WorkspaceSTS\EN-ES\UPOV\Meetings|transmlp.wipo.int\TextBase TMs\WorkspaceSTS\EN-ES\UPOV\Other|transmlp.wipo.int\TextBase TMs\WorkspaceSTS\EN-ES\UPOV\Publications|transmlp.wipo.int\TextBase TMs\WorkspaceSTS\EN-ES\UPOV\Technical Guidelines|transmlp.wipo.int\TextBase TMs\WorkspaceSTS\EN-ES\UPOV\TGP_7"/>
    <w:docVar w:name="TextBaseURL" w:val="empty"/>
    <w:docVar w:name="UILng" w:val="en"/>
  </w:docVars>
  <w:rsids>
    <w:rsidRoot w:val="00FA2D00"/>
    <w:rsid w:val="00010686"/>
    <w:rsid w:val="000134F2"/>
    <w:rsid w:val="000226BE"/>
    <w:rsid w:val="00026872"/>
    <w:rsid w:val="00052915"/>
    <w:rsid w:val="0006322B"/>
    <w:rsid w:val="00075E9E"/>
    <w:rsid w:val="00085149"/>
    <w:rsid w:val="000A094C"/>
    <w:rsid w:val="000A2961"/>
    <w:rsid w:val="000B3FFA"/>
    <w:rsid w:val="000E1077"/>
    <w:rsid w:val="000E3BB3"/>
    <w:rsid w:val="000F5E56"/>
    <w:rsid w:val="00127E4D"/>
    <w:rsid w:val="001362EE"/>
    <w:rsid w:val="00152CEA"/>
    <w:rsid w:val="001758CB"/>
    <w:rsid w:val="001832A6"/>
    <w:rsid w:val="0019695A"/>
    <w:rsid w:val="001A03EC"/>
    <w:rsid w:val="001C64D7"/>
    <w:rsid w:val="001E7239"/>
    <w:rsid w:val="0020395E"/>
    <w:rsid w:val="002328E5"/>
    <w:rsid w:val="002568F4"/>
    <w:rsid w:val="002634C4"/>
    <w:rsid w:val="00271608"/>
    <w:rsid w:val="002E0F47"/>
    <w:rsid w:val="002F4E68"/>
    <w:rsid w:val="00315FB2"/>
    <w:rsid w:val="003217E8"/>
    <w:rsid w:val="00341422"/>
    <w:rsid w:val="003424EC"/>
    <w:rsid w:val="00354647"/>
    <w:rsid w:val="00365417"/>
    <w:rsid w:val="00377273"/>
    <w:rsid w:val="003845C1"/>
    <w:rsid w:val="00387287"/>
    <w:rsid w:val="00395D27"/>
    <w:rsid w:val="003A52AD"/>
    <w:rsid w:val="003C14C8"/>
    <w:rsid w:val="003E48F1"/>
    <w:rsid w:val="003F347A"/>
    <w:rsid w:val="00417B23"/>
    <w:rsid w:val="0042139D"/>
    <w:rsid w:val="00423E3E"/>
    <w:rsid w:val="00427AF4"/>
    <w:rsid w:val="0045231F"/>
    <w:rsid w:val="004647DA"/>
    <w:rsid w:val="00477808"/>
    <w:rsid w:val="00477D6B"/>
    <w:rsid w:val="004A6C37"/>
    <w:rsid w:val="004C6A8F"/>
    <w:rsid w:val="004D3565"/>
    <w:rsid w:val="004E297D"/>
    <w:rsid w:val="0050337D"/>
    <w:rsid w:val="005332F0"/>
    <w:rsid w:val="0055013B"/>
    <w:rsid w:val="00553939"/>
    <w:rsid w:val="00571B99"/>
    <w:rsid w:val="0059519A"/>
    <w:rsid w:val="005B5753"/>
    <w:rsid w:val="005D1E69"/>
    <w:rsid w:val="005F0D69"/>
    <w:rsid w:val="005F5690"/>
    <w:rsid w:val="006025FB"/>
    <w:rsid w:val="00605827"/>
    <w:rsid w:val="00620799"/>
    <w:rsid w:val="006535EF"/>
    <w:rsid w:val="00654235"/>
    <w:rsid w:val="00661B29"/>
    <w:rsid w:val="00675021"/>
    <w:rsid w:val="006A06C6"/>
    <w:rsid w:val="006D1E3C"/>
    <w:rsid w:val="006E7FD0"/>
    <w:rsid w:val="006F1A90"/>
    <w:rsid w:val="007165C4"/>
    <w:rsid w:val="007224C8"/>
    <w:rsid w:val="00740583"/>
    <w:rsid w:val="00746E7F"/>
    <w:rsid w:val="00777C5C"/>
    <w:rsid w:val="00794BE2"/>
    <w:rsid w:val="007A4BFE"/>
    <w:rsid w:val="007A502C"/>
    <w:rsid w:val="007B3A7E"/>
    <w:rsid w:val="007B71FE"/>
    <w:rsid w:val="007B771E"/>
    <w:rsid w:val="007D781E"/>
    <w:rsid w:val="007E1C51"/>
    <w:rsid w:val="007E2EF3"/>
    <w:rsid w:val="007E663E"/>
    <w:rsid w:val="00805BC2"/>
    <w:rsid w:val="00815082"/>
    <w:rsid w:val="00830861"/>
    <w:rsid w:val="008335F2"/>
    <w:rsid w:val="0084232F"/>
    <w:rsid w:val="0088395E"/>
    <w:rsid w:val="008913B2"/>
    <w:rsid w:val="008946E1"/>
    <w:rsid w:val="008B2CC1"/>
    <w:rsid w:val="008D6382"/>
    <w:rsid w:val="008E6BD6"/>
    <w:rsid w:val="0090731E"/>
    <w:rsid w:val="00966A22"/>
    <w:rsid w:val="00972F03"/>
    <w:rsid w:val="00975006"/>
    <w:rsid w:val="00993D91"/>
    <w:rsid w:val="009A0C8B"/>
    <w:rsid w:val="009B6241"/>
    <w:rsid w:val="00A137D1"/>
    <w:rsid w:val="00A16FC0"/>
    <w:rsid w:val="00A32C9E"/>
    <w:rsid w:val="00A766D9"/>
    <w:rsid w:val="00A82FDD"/>
    <w:rsid w:val="00AB613D"/>
    <w:rsid w:val="00AE1B4C"/>
    <w:rsid w:val="00AE7F20"/>
    <w:rsid w:val="00AF12F1"/>
    <w:rsid w:val="00B65A0A"/>
    <w:rsid w:val="00B67CDC"/>
    <w:rsid w:val="00B72D36"/>
    <w:rsid w:val="00BB2D28"/>
    <w:rsid w:val="00BC4164"/>
    <w:rsid w:val="00BC6325"/>
    <w:rsid w:val="00BD1949"/>
    <w:rsid w:val="00BD2DCC"/>
    <w:rsid w:val="00BE0444"/>
    <w:rsid w:val="00BE6BA9"/>
    <w:rsid w:val="00C8724C"/>
    <w:rsid w:val="00C90559"/>
    <w:rsid w:val="00C92B31"/>
    <w:rsid w:val="00CA14EA"/>
    <w:rsid w:val="00CA2251"/>
    <w:rsid w:val="00CF2F81"/>
    <w:rsid w:val="00D260BE"/>
    <w:rsid w:val="00D3169D"/>
    <w:rsid w:val="00D31C04"/>
    <w:rsid w:val="00D56C7C"/>
    <w:rsid w:val="00D601BC"/>
    <w:rsid w:val="00D71B4D"/>
    <w:rsid w:val="00D7375C"/>
    <w:rsid w:val="00D754A7"/>
    <w:rsid w:val="00D90289"/>
    <w:rsid w:val="00D93D55"/>
    <w:rsid w:val="00D971F8"/>
    <w:rsid w:val="00DB6E7F"/>
    <w:rsid w:val="00DC4C60"/>
    <w:rsid w:val="00DE1BF1"/>
    <w:rsid w:val="00DE5B60"/>
    <w:rsid w:val="00E0079A"/>
    <w:rsid w:val="00E444DA"/>
    <w:rsid w:val="00E45C84"/>
    <w:rsid w:val="00E504E5"/>
    <w:rsid w:val="00E7513B"/>
    <w:rsid w:val="00E86A09"/>
    <w:rsid w:val="00E94E25"/>
    <w:rsid w:val="00EB2BF3"/>
    <w:rsid w:val="00EB6804"/>
    <w:rsid w:val="00EB7A3E"/>
    <w:rsid w:val="00EC401A"/>
    <w:rsid w:val="00ED308B"/>
    <w:rsid w:val="00EF530A"/>
    <w:rsid w:val="00EF6622"/>
    <w:rsid w:val="00F11530"/>
    <w:rsid w:val="00F44EA4"/>
    <w:rsid w:val="00F55408"/>
    <w:rsid w:val="00F66152"/>
    <w:rsid w:val="00F80845"/>
    <w:rsid w:val="00F84474"/>
    <w:rsid w:val="00FA0F0D"/>
    <w:rsid w:val="00FA2D00"/>
    <w:rsid w:val="00FB218B"/>
    <w:rsid w:val="00FC416A"/>
    <w:rsid w:val="00FC6927"/>
    <w:rsid w:val="00FC75A7"/>
    <w:rsid w:val="00FD59D1"/>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paragraph" w:customStyle="1" w:styleId="TableNormal1">
    <w:name w:val="Table Normal1"/>
    <w:basedOn w:val="Normal"/>
    <w:rsid w:val="006025FB"/>
    <w:pPr>
      <w:widowControl w:val="0"/>
      <w:adjustRightInd w:val="0"/>
      <w:jc w:val="both"/>
      <w:textAlignment w:val="baseline"/>
    </w:pPr>
    <w:rPr>
      <w:rFonts w:eastAsia="Times New Roman" w:cs="Times New Roman"/>
      <w:snapToGrid w:val="0"/>
      <w:color w:val="000000"/>
      <w:sz w:val="18"/>
      <w:lang w:val="en-US" w:eastAsia="en-US"/>
    </w:rPr>
  </w:style>
  <w:style w:type="character" w:styleId="FootnoteReference">
    <w:name w:val="footnote reference"/>
    <w:rsid w:val="006025FB"/>
    <w:rPr>
      <w:vertAlign w:val="superscript"/>
    </w:rPr>
  </w:style>
  <w:style w:type="paragraph" w:styleId="BodyText3">
    <w:name w:val="Body Text 3"/>
    <w:basedOn w:val="Normal"/>
    <w:link w:val="BodyText3Char"/>
    <w:rsid w:val="006025FB"/>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6025FB"/>
    <w:rPr>
      <w:color w:val="000000"/>
      <w:sz w:val="24"/>
      <w:lang w:val="fr-CH" w:eastAsia="en-US"/>
    </w:rPr>
  </w:style>
  <w:style w:type="paragraph" w:customStyle="1" w:styleId="DecisionInvitingPara">
    <w:name w:val="Decision Inviting Para."/>
    <w:basedOn w:val="Normal"/>
    <w:rsid w:val="006025FB"/>
    <w:pPr>
      <w:widowControl w:val="0"/>
      <w:adjustRightInd w:val="0"/>
      <w:spacing w:after="120" w:line="260" w:lineRule="exact"/>
      <w:ind w:left="5534"/>
      <w:jc w:val="both"/>
      <w:textAlignment w:val="baseline"/>
    </w:pPr>
    <w:rPr>
      <w:rFonts w:eastAsia="Times New Roman" w:cs="Times New Roman"/>
      <w:i/>
      <w:sz w:val="20"/>
      <w:lang w:val="en-US" w:eastAsia="en-US"/>
    </w:rPr>
  </w:style>
  <w:style w:type="character" w:customStyle="1" w:styleId="HeaderChar">
    <w:name w:val="Header Char"/>
    <w:basedOn w:val="DefaultParagraphFont"/>
    <w:link w:val="Header"/>
    <w:uiPriority w:val="99"/>
    <w:rsid w:val="006025FB"/>
    <w:rPr>
      <w:rFonts w:ascii="Arial" w:eastAsia="SimSun" w:hAnsi="Arial" w:cs="Arial"/>
      <w:sz w:val="22"/>
      <w:lang w:val="es-ES"/>
    </w:rPr>
  </w:style>
  <w:style w:type="character" w:customStyle="1" w:styleId="FooterChar">
    <w:name w:val="Footer Char"/>
    <w:basedOn w:val="DefaultParagraphFont"/>
    <w:link w:val="Footer"/>
    <w:uiPriority w:val="99"/>
    <w:rsid w:val="006025FB"/>
    <w:rPr>
      <w:rFonts w:ascii="Arial" w:eastAsia="SimSun" w:hAnsi="Arial" w:cs="Arial"/>
      <w:sz w:val="22"/>
      <w:lang w:val="es-ES"/>
    </w:rPr>
  </w:style>
  <w:style w:type="paragraph" w:styleId="ListParagraph">
    <w:name w:val="List Paragraph"/>
    <w:basedOn w:val="Normal"/>
    <w:uiPriority w:val="34"/>
    <w:qFormat/>
    <w:rsid w:val="00BB2D28"/>
    <w:pPr>
      <w:ind w:left="720"/>
      <w:contextualSpacing/>
    </w:pPr>
  </w:style>
  <w:style w:type="table" w:styleId="TableGrid">
    <w:name w:val="Table Grid"/>
    <w:basedOn w:val="TableNormal"/>
    <w:uiPriority w:val="59"/>
    <w:rsid w:val="00395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5D27"/>
    <w:pPr>
      <w:autoSpaceDE w:val="0"/>
      <w:autoSpaceDN w:val="0"/>
      <w:adjustRightInd w:val="0"/>
    </w:pPr>
    <w:rPr>
      <w:rFonts w:eastAsiaTheme="minorHAnsi"/>
      <w:color w:val="000000"/>
      <w:sz w:val="24"/>
      <w:szCs w:val="24"/>
      <w:lang w:eastAsia="en-US"/>
    </w:rPr>
  </w:style>
  <w:style w:type="character" w:customStyle="1" w:styleId="ONUMEChar">
    <w:name w:val="ONUM E Char"/>
    <w:link w:val="ONUME"/>
    <w:rsid w:val="00395D27"/>
    <w:rPr>
      <w:rFonts w:ascii="Arial" w:eastAsia="SimSun" w:hAnsi="Arial" w:cs="Arial"/>
      <w:sz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paragraph" w:customStyle="1" w:styleId="TableNormal1">
    <w:name w:val="Table Normal1"/>
    <w:basedOn w:val="Normal"/>
    <w:rsid w:val="006025FB"/>
    <w:pPr>
      <w:widowControl w:val="0"/>
      <w:adjustRightInd w:val="0"/>
      <w:jc w:val="both"/>
      <w:textAlignment w:val="baseline"/>
    </w:pPr>
    <w:rPr>
      <w:rFonts w:eastAsia="Times New Roman" w:cs="Times New Roman"/>
      <w:snapToGrid w:val="0"/>
      <w:color w:val="000000"/>
      <w:sz w:val="18"/>
      <w:lang w:val="en-US" w:eastAsia="en-US"/>
    </w:rPr>
  </w:style>
  <w:style w:type="character" w:styleId="FootnoteReference">
    <w:name w:val="footnote reference"/>
    <w:rsid w:val="006025FB"/>
    <w:rPr>
      <w:vertAlign w:val="superscript"/>
    </w:rPr>
  </w:style>
  <w:style w:type="paragraph" w:styleId="BodyText3">
    <w:name w:val="Body Text 3"/>
    <w:basedOn w:val="Normal"/>
    <w:link w:val="BodyText3Char"/>
    <w:rsid w:val="006025FB"/>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6025FB"/>
    <w:rPr>
      <w:color w:val="000000"/>
      <w:sz w:val="24"/>
      <w:lang w:val="fr-CH" w:eastAsia="en-US"/>
    </w:rPr>
  </w:style>
  <w:style w:type="paragraph" w:customStyle="1" w:styleId="DecisionInvitingPara">
    <w:name w:val="Decision Inviting Para."/>
    <w:basedOn w:val="Normal"/>
    <w:rsid w:val="006025FB"/>
    <w:pPr>
      <w:widowControl w:val="0"/>
      <w:adjustRightInd w:val="0"/>
      <w:spacing w:after="120" w:line="260" w:lineRule="exact"/>
      <w:ind w:left="5534"/>
      <w:jc w:val="both"/>
      <w:textAlignment w:val="baseline"/>
    </w:pPr>
    <w:rPr>
      <w:rFonts w:eastAsia="Times New Roman" w:cs="Times New Roman"/>
      <w:i/>
      <w:sz w:val="20"/>
      <w:lang w:val="en-US" w:eastAsia="en-US"/>
    </w:rPr>
  </w:style>
  <w:style w:type="character" w:customStyle="1" w:styleId="HeaderChar">
    <w:name w:val="Header Char"/>
    <w:basedOn w:val="DefaultParagraphFont"/>
    <w:link w:val="Header"/>
    <w:uiPriority w:val="99"/>
    <w:rsid w:val="006025FB"/>
    <w:rPr>
      <w:rFonts w:ascii="Arial" w:eastAsia="SimSun" w:hAnsi="Arial" w:cs="Arial"/>
      <w:sz w:val="22"/>
      <w:lang w:val="es-ES"/>
    </w:rPr>
  </w:style>
  <w:style w:type="character" w:customStyle="1" w:styleId="FooterChar">
    <w:name w:val="Footer Char"/>
    <w:basedOn w:val="DefaultParagraphFont"/>
    <w:link w:val="Footer"/>
    <w:uiPriority w:val="99"/>
    <w:rsid w:val="006025FB"/>
    <w:rPr>
      <w:rFonts w:ascii="Arial" w:eastAsia="SimSun" w:hAnsi="Arial" w:cs="Arial"/>
      <w:sz w:val="22"/>
      <w:lang w:val="es-ES"/>
    </w:rPr>
  </w:style>
  <w:style w:type="paragraph" w:styleId="ListParagraph">
    <w:name w:val="List Paragraph"/>
    <w:basedOn w:val="Normal"/>
    <w:uiPriority w:val="34"/>
    <w:qFormat/>
    <w:rsid w:val="00BB2D28"/>
    <w:pPr>
      <w:ind w:left="720"/>
      <w:contextualSpacing/>
    </w:pPr>
  </w:style>
  <w:style w:type="table" w:styleId="TableGrid">
    <w:name w:val="Table Grid"/>
    <w:basedOn w:val="TableNormal"/>
    <w:uiPriority w:val="59"/>
    <w:rsid w:val="00395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5D27"/>
    <w:pPr>
      <w:autoSpaceDE w:val="0"/>
      <w:autoSpaceDN w:val="0"/>
      <w:adjustRightInd w:val="0"/>
    </w:pPr>
    <w:rPr>
      <w:rFonts w:eastAsiaTheme="minorHAnsi"/>
      <w:color w:val="000000"/>
      <w:sz w:val="24"/>
      <w:szCs w:val="24"/>
      <w:lang w:eastAsia="en-US"/>
    </w:rPr>
  </w:style>
  <w:style w:type="character" w:customStyle="1" w:styleId="ONUMEChar">
    <w:name w:val="ONUM E Char"/>
    <w:link w:val="ONUME"/>
    <w:rsid w:val="00395D27"/>
    <w:rPr>
      <w:rFonts w:ascii="Arial" w:eastAsia="SimSun" w:hAnsi="Arial" w:cs="Arial"/>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52770">
      <w:bodyDiv w:val="1"/>
      <w:marLeft w:val="0"/>
      <w:marRight w:val="0"/>
      <w:marTop w:val="0"/>
      <w:marBottom w:val="0"/>
      <w:divBdr>
        <w:top w:val="none" w:sz="0" w:space="0" w:color="auto"/>
        <w:left w:val="none" w:sz="0" w:space="0" w:color="auto"/>
        <w:bottom w:val="none" w:sz="0" w:space="0" w:color="auto"/>
        <w:right w:val="none" w:sz="0" w:space="0" w:color="auto"/>
      </w:divBdr>
      <w:divsChild>
        <w:div w:id="2068143600">
          <w:marLeft w:val="0"/>
          <w:marRight w:val="0"/>
          <w:marTop w:val="0"/>
          <w:marBottom w:val="0"/>
          <w:divBdr>
            <w:top w:val="none" w:sz="0" w:space="0" w:color="auto"/>
            <w:left w:val="none" w:sz="0" w:space="0" w:color="auto"/>
            <w:bottom w:val="none" w:sz="0" w:space="0" w:color="auto"/>
            <w:right w:val="none" w:sz="0" w:space="0" w:color="auto"/>
          </w:divBdr>
        </w:div>
        <w:div w:id="1823813276">
          <w:marLeft w:val="0"/>
          <w:marRight w:val="0"/>
          <w:marTop w:val="0"/>
          <w:marBottom w:val="0"/>
          <w:divBdr>
            <w:top w:val="none" w:sz="0" w:space="0" w:color="auto"/>
            <w:left w:val="none" w:sz="0" w:space="0" w:color="auto"/>
            <w:bottom w:val="none" w:sz="0" w:space="0" w:color="auto"/>
            <w:right w:val="none" w:sz="0" w:space="0" w:color="auto"/>
          </w:divBdr>
        </w:div>
        <w:div w:id="802700440">
          <w:marLeft w:val="0"/>
          <w:marRight w:val="0"/>
          <w:marTop w:val="0"/>
          <w:marBottom w:val="0"/>
          <w:divBdr>
            <w:top w:val="none" w:sz="0" w:space="0" w:color="auto"/>
            <w:left w:val="none" w:sz="0" w:space="0" w:color="auto"/>
            <w:bottom w:val="none" w:sz="0" w:space="0" w:color="auto"/>
            <w:right w:val="none" w:sz="0" w:space="0" w:color="auto"/>
          </w:divBdr>
        </w:div>
        <w:div w:id="714277960">
          <w:marLeft w:val="0"/>
          <w:marRight w:val="0"/>
          <w:marTop w:val="0"/>
          <w:marBottom w:val="0"/>
          <w:divBdr>
            <w:top w:val="none" w:sz="0" w:space="0" w:color="auto"/>
            <w:left w:val="none" w:sz="0" w:space="0" w:color="auto"/>
            <w:bottom w:val="none" w:sz="0" w:space="0" w:color="auto"/>
            <w:right w:val="none" w:sz="0" w:space="0" w:color="auto"/>
          </w:divBdr>
        </w:div>
        <w:div w:id="1478911601">
          <w:marLeft w:val="0"/>
          <w:marRight w:val="0"/>
          <w:marTop w:val="0"/>
          <w:marBottom w:val="0"/>
          <w:divBdr>
            <w:top w:val="none" w:sz="0" w:space="0" w:color="auto"/>
            <w:left w:val="none" w:sz="0" w:space="0" w:color="auto"/>
            <w:bottom w:val="none" w:sz="0" w:space="0" w:color="auto"/>
            <w:right w:val="none" w:sz="0" w:space="0" w:color="auto"/>
          </w:divBdr>
        </w:div>
        <w:div w:id="788205279">
          <w:marLeft w:val="0"/>
          <w:marRight w:val="0"/>
          <w:marTop w:val="0"/>
          <w:marBottom w:val="0"/>
          <w:divBdr>
            <w:top w:val="none" w:sz="0" w:space="0" w:color="auto"/>
            <w:left w:val="none" w:sz="0" w:space="0" w:color="auto"/>
            <w:bottom w:val="none" w:sz="0" w:space="0" w:color="auto"/>
            <w:right w:val="none" w:sz="0" w:space="0" w:color="auto"/>
          </w:divBdr>
        </w:div>
      </w:divsChild>
    </w:div>
    <w:div w:id="162866322">
      <w:bodyDiv w:val="1"/>
      <w:marLeft w:val="0"/>
      <w:marRight w:val="0"/>
      <w:marTop w:val="0"/>
      <w:marBottom w:val="0"/>
      <w:divBdr>
        <w:top w:val="none" w:sz="0" w:space="0" w:color="auto"/>
        <w:left w:val="none" w:sz="0" w:space="0" w:color="auto"/>
        <w:bottom w:val="none" w:sz="0" w:space="0" w:color="auto"/>
        <w:right w:val="none" w:sz="0" w:space="0" w:color="auto"/>
      </w:divBdr>
      <w:divsChild>
        <w:div w:id="1739865416">
          <w:marLeft w:val="0"/>
          <w:marRight w:val="0"/>
          <w:marTop w:val="0"/>
          <w:marBottom w:val="0"/>
          <w:divBdr>
            <w:top w:val="none" w:sz="0" w:space="0" w:color="auto"/>
            <w:left w:val="none" w:sz="0" w:space="0" w:color="auto"/>
            <w:bottom w:val="none" w:sz="0" w:space="0" w:color="auto"/>
            <w:right w:val="none" w:sz="0" w:space="0" w:color="auto"/>
          </w:divBdr>
          <w:divsChild>
            <w:div w:id="1880236732">
              <w:marLeft w:val="0"/>
              <w:marRight w:val="0"/>
              <w:marTop w:val="0"/>
              <w:marBottom w:val="0"/>
              <w:divBdr>
                <w:top w:val="none" w:sz="0" w:space="0" w:color="auto"/>
                <w:left w:val="none" w:sz="0" w:space="0" w:color="auto"/>
                <w:bottom w:val="none" w:sz="0" w:space="0" w:color="auto"/>
                <w:right w:val="none" w:sz="0" w:space="0" w:color="auto"/>
              </w:divBdr>
            </w:div>
            <w:div w:id="244653034">
              <w:marLeft w:val="0"/>
              <w:marRight w:val="0"/>
              <w:marTop w:val="0"/>
              <w:marBottom w:val="0"/>
              <w:divBdr>
                <w:top w:val="none" w:sz="0" w:space="0" w:color="auto"/>
                <w:left w:val="none" w:sz="0" w:space="0" w:color="auto"/>
                <w:bottom w:val="none" w:sz="0" w:space="0" w:color="auto"/>
                <w:right w:val="none" w:sz="0" w:space="0" w:color="auto"/>
              </w:divBdr>
            </w:div>
            <w:div w:id="2078359909">
              <w:marLeft w:val="0"/>
              <w:marRight w:val="0"/>
              <w:marTop w:val="0"/>
              <w:marBottom w:val="0"/>
              <w:divBdr>
                <w:top w:val="none" w:sz="0" w:space="0" w:color="auto"/>
                <w:left w:val="none" w:sz="0" w:space="0" w:color="auto"/>
                <w:bottom w:val="none" w:sz="0" w:space="0" w:color="auto"/>
                <w:right w:val="none" w:sz="0" w:space="0" w:color="auto"/>
              </w:divBdr>
            </w:div>
            <w:div w:id="1388643850">
              <w:marLeft w:val="0"/>
              <w:marRight w:val="0"/>
              <w:marTop w:val="0"/>
              <w:marBottom w:val="0"/>
              <w:divBdr>
                <w:top w:val="none" w:sz="0" w:space="0" w:color="auto"/>
                <w:left w:val="none" w:sz="0" w:space="0" w:color="auto"/>
                <w:bottom w:val="none" w:sz="0" w:space="0" w:color="auto"/>
                <w:right w:val="none" w:sz="0" w:space="0" w:color="auto"/>
              </w:divBdr>
            </w:div>
            <w:div w:id="82401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7740">
      <w:bodyDiv w:val="1"/>
      <w:marLeft w:val="0"/>
      <w:marRight w:val="0"/>
      <w:marTop w:val="0"/>
      <w:marBottom w:val="0"/>
      <w:divBdr>
        <w:top w:val="none" w:sz="0" w:space="0" w:color="auto"/>
        <w:left w:val="none" w:sz="0" w:space="0" w:color="auto"/>
        <w:bottom w:val="none" w:sz="0" w:space="0" w:color="auto"/>
        <w:right w:val="none" w:sz="0" w:space="0" w:color="auto"/>
      </w:divBdr>
      <w:divsChild>
        <w:div w:id="67653286">
          <w:marLeft w:val="0"/>
          <w:marRight w:val="0"/>
          <w:marTop w:val="0"/>
          <w:marBottom w:val="0"/>
          <w:divBdr>
            <w:top w:val="none" w:sz="0" w:space="0" w:color="auto"/>
            <w:left w:val="none" w:sz="0" w:space="0" w:color="auto"/>
            <w:bottom w:val="none" w:sz="0" w:space="0" w:color="auto"/>
            <w:right w:val="none" w:sz="0" w:space="0" w:color="auto"/>
          </w:divBdr>
        </w:div>
        <w:div w:id="1225070747">
          <w:marLeft w:val="0"/>
          <w:marRight w:val="0"/>
          <w:marTop w:val="0"/>
          <w:marBottom w:val="0"/>
          <w:divBdr>
            <w:top w:val="none" w:sz="0" w:space="0" w:color="auto"/>
            <w:left w:val="none" w:sz="0" w:space="0" w:color="auto"/>
            <w:bottom w:val="none" w:sz="0" w:space="0" w:color="auto"/>
            <w:right w:val="none" w:sz="0" w:space="0" w:color="auto"/>
          </w:divBdr>
        </w:div>
        <w:div w:id="1862694550">
          <w:marLeft w:val="0"/>
          <w:marRight w:val="0"/>
          <w:marTop w:val="0"/>
          <w:marBottom w:val="0"/>
          <w:divBdr>
            <w:top w:val="none" w:sz="0" w:space="0" w:color="auto"/>
            <w:left w:val="none" w:sz="0" w:space="0" w:color="auto"/>
            <w:bottom w:val="none" w:sz="0" w:space="0" w:color="auto"/>
            <w:right w:val="none" w:sz="0" w:space="0" w:color="auto"/>
          </w:divBdr>
        </w:div>
      </w:divsChild>
    </w:div>
    <w:div w:id="374358042">
      <w:bodyDiv w:val="1"/>
      <w:marLeft w:val="0"/>
      <w:marRight w:val="0"/>
      <w:marTop w:val="0"/>
      <w:marBottom w:val="0"/>
      <w:divBdr>
        <w:top w:val="none" w:sz="0" w:space="0" w:color="auto"/>
        <w:left w:val="none" w:sz="0" w:space="0" w:color="auto"/>
        <w:bottom w:val="none" w:sz="0" w:space="0" w:color="auto"/>
        <w:right w:val="none" w:sz="0" w:space="0" w:color="auto"/>
      </w:divBdr>
      <w:divsChild>
        <w:div w:id="213780215">
          <w:marLeft w:val="0"/>
          <w:marRight w:val="0"/>
          <w:marTop w:val="0"/>
          <w:marBottom w:val="0"/>
          <w:divBdr>
            <w:top w:val="none" w:sz="0" w:space="0" w:color="auto"/>
            <w:left w:val="none" w:sz="0" w:space="0" w:color="auto"/>
            <w:bottom w:val="none" w:sz="0" w:space="0" w:color="auto"/>
            <w:right w:val="none" w:sz="0" w:space="0" w:color="auto"/>
          </w:divBdr>
        </w:div>
        <w:div w:id="1300526047">
          <w:marLeft w:val="0"/>
          <w:marRight w:val="0"/>
          <w:marTop w:val="0"/>
          <w:marBottom w:val="0"/>
          <w:divBdr>
            <w:top w:val="none" w:sz="0" w:space="0" w:color="auto"/>
            <w:left w:val="none" w:sz="0" w:space="0" w:color="auto"/>
            <w:bottom w:val="none" w:sz="0" w:space="0" w:color="auto"/>
            <w:right w:val="none" w:sz="0" w:space="0" w:color="auto"/>
          </w:divBdr>
        </w:div>
        <w:div w:id="1648046357">
          <w:marLeft w:val="0"/>
          <w:marRight w:val="0"/>
          <w:marTop w:val="0"/>
          <w:marBottom w:val="0"/>
          <w:divBdr>
            <w:top w:val="none" w:sz="0" w:space="0" w:color="auto"/>
            <w:left w:val="none" w:sz="0" w:space="0" w:color="auto"/>
            <w:bottom w:val="none" w:sz="0" w:space="0" w:color="auto"/>
            <w:right w:val="none" w:sz="0" w:space="0" w:color="auto"/>
          </w:divBdr>
        </w:div>
        <w:div w:id="260377821">
          <w:marLeft w:val="0"/>
          <w:marRight w:val="0"/>
          <w:marTop w:val="0"/>
          <w:marBottom w:val="0"/>
          <w:divBdr>
            <w:top w:val="none" w:sz="0" w:space="0" w:color="auto"/>
            <w:left w:val="none" w:sz="0" w:space="0" w:color="auto"/>
            <w:bottom w:val="none" w:sz="0" w:space="0" w:color="auto"/>
            <w:right w:val="none" w:sz="0" w:space="0" w:color="auto"/>
          </w:divBdr>
        </w:div>
        <w:div w:id="2056154074">
          <w:marLeft w:val="0"/>
          <w:marRight w:val="0"/>
          <w:marTop w:val="0"/>
          <w:marBottom w:val="0"/>
          <w:divBdr>
            <w:top w:val="none" w:sz="0" w:space="0" w:color="auto"/>
            <w:left w:val="none" w:sz="0" w:space="0" w:color="auto"/>
            <w:bottom w:val="none" w:sz="0" w:space="0" w:color="auto"/>
            <w:right w:val="none" w:sz="0" w:space="0" w:color="auto"/>
          </w:divBdr>
        </w:div>
        <w:div w:id="1060903071">
          <w:marLeft w:val="0"/>
          <w:marRight w:val="0"/>
          <w:marTop w:val="0"/>
          <w:marBottom w:val="0"/>
          <w:divBdr>
            <w:top w:val="none" w:sz="0" w:space="0" w:color="auto"/>
            <w:left w:val="none" w:sz="0" w:space="0" w:color="auto"/>
            <w:bottom w:val="none" w:sz="0" w:space="0" w:color="auto"/>
            <w:right w:val="none" w:sz="0" w:space="0" w:color="auto"/>
          </w:divBdr>
        </w:div>
        <w:div w:id="665136095">
          <w:marLeft w:val="0"/>
          <w:marRight w:val="0"/>
          <w:marTop w:val="0"/>
          <w:marBottom w:val="0"/>
          <w:divBdr>
            <w:top w:val="none" w:sz="0" w:space="0" w:color="auto"/>
            <w:left w:val="none" w:sz="0" w:space="0" w:color="auto"/>
            <w:bottom w:val="none" w:sz="0" w:space="0" w:color="auto"/>
            <w:right w:val="none" w:sz="0" w:space="0" w:color="auto"/>
          </w:divBdr>
        </w:div>
        <w:div w:id="542446480">
          <w:marLeft w:val="0"/>
          <w:marRight w:val="0"/>
          <w:marTop w:val="0"/>
          <w:marBottom w:val="0"/>
          <w:divBdr>
            <w:top w:val="none" w:sz="0" w:space="0" w:color="auto"/>
            <w:left w:val="none" w:sz="0" w:space="0" w:color="auto"/>
            <w:bottom w:val="none" w:sz="0" w:space="0" w:color="auto"/>
            <w:right w:val="none" w:sz="0" w:space="0" w:color="auto"/>
          </w:divBdr>
        </w:div>
        <w:div w:id="1991708561">
          <w:marLeft w:val="0"/>
          <w:marRight w:val="0"/>
          <w:marTop w:val="0"/>
          <w:marBottom w:val="0"/>
          <w:divBdr>
            <w:top w:val="none" w:sz="0" w:space="0" w:color="auto"/>
            <w:left w:val="none" w:sz="0" w:space="0" w:color="auto"/>
            <w:bottom w:val="none" w:sz="0" w:space="0" w:color="auto"/>
            <w:right w:val="none" w:sz="0" w:space="0" w:color="auto"/>
          </w:divBdr>
        </w:div>
        <w:div w:id="1291328044">
          <w:marLeft w:val="0"/>
          <w:marRight w:val="0"/>
          <w:marTop w:val="0"/>
          <w:marBottom w:val="0"/>
          <w:divBdr>
            <w:top w:val="none" w:sz="0" w:space="0" w:color="auto"/>
            <w:left w:val="none" w:sz="0" w:space="0" w:color="auto"/>
            <w:bottom w:val="none" w:sz="0" w:space="0" w:color="auto"/>
            <w:right w:val="none" w:sz="0" w:space="0" w:color="auto"/>
          </w:divBdr>
        </w:div>
      </w:divsChild>
    </w:div>
    <w:div w:id="498540344">
      <w:bodyDiv w:val="1"/>
      <w:marLeft w:val="0"/>
      <w:marRight w:val="0"/>
      <w:marTop w:val="0"/>
      <w:marBottom w:val="0"/>
      <w:divBdr>
        <w:top w:val="none" w:sz="0" w:space="0" w:color="auto"/>
        <w:left w:val="none" w:sz="0" w:space="0" w:color="auto"/>
        <w:bottom w:val="none" w:sz="0" w:space="0" w:color="auto"/>
        <w:right w:val="none" w:sz="0" w:space="0" w:color="auto"/>
      </w:divBdr>
      <w:divsChild>
        <w:div w:id="1135830594">
          <w:marLeft w:val="0"/>
          <w:marRight w:val="0"/>
          <w:marTop w:val="0"/>
          <w:marBottom w:val="0"/>
          <w:divBdr>
            <w:top w:val="none" w:sz="0" w:space="0" w:color="auto"/>
            <w:left w:val="none" w:sz="0" w:space="0" w:color="auto"/>
            <w:bottom w:val="none" w:sz="0" w:space="0" w:color="auto"/>
            <w:right w:val="none" w:sz="0" w:space="0" w:color="auto"/>
          </w:divBdr>
          <w:divsChild>
            <w:div w:id="130099355">
              <w:marLeft w:val="0"/>
              <w:marRight w:val="0"/>
              <w:marTop w:val="0"/>
              <w:marBottom w:val="0"/>
              <w:divBdr>
                <w:top w:val="none" w:sz="0" w:space="0" w:color="auto"/>
                <w:left w:val="none" w:sz="0" w:space="0" w:color="auto"/>
                <w:bottom w:val="none" w:sz="0" w:space="0" w:color="auto"/>
                <w:right w:val="none" w:sz="0" w:space="0" w:color="auto"/>
              </w:divBdr>
            </w:div>
            <w:div w:id="13983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7082">
      <w:bodyDiv w:val="1"/>
      <w:marLeft w:val="0"/>
      <w:marRight w:val="0"/>
      <w:marTop w:val="0"/>
      <w:marBottom w:val="0"/>
      <w:divBdr>
        <w:top w:val="none" w:sz="0" w:space="0" w:color="auto"/>
        <w:left w:val="none" w:sz="0" w:space="0" w:color="auto"/>
        <w:bottom w:val="none" w:sz="0" w:space="0" w:color="auto"/>
        <w:right w:val="none" w:sz="0" w:space="0" w:color="auto"/>
      </w:divBdr>
      <w:divsChild>
        <w:div w:id="1595553850">
          <w:marLeft w:val="0"/>
          <w:marRight w:val="0"/>
          <w:marTop w:val="0"/>
          <w:marBottom w:val="0"/>
          <w:divBdr>
            <w:top w:val="none" w:sz="0" w:space="0" w:color="auto"/>
            <w:left w:val="none" w:sz="0" w:space="0" w:color="auto"/>
            <w:bottom w:val="none" w:sz="0" w:space="0" w:color="auto"/>
            <w:right w:val="none" w:sz="0" w:space="0" w:color="auto"/>
          </w:divBdr>
        </w:div>
        <w:div w:id="623391997">
          <w:marLeft w:val="0"/>
          <w:marRight w:val="0"/>
          <w:marTop w:val="0"/>
          <w:marBottom w:val="0"/>
          <w:divBdr>
            <w:top w:val="none" w:sz="0" w:space="0" w:color="auto"/>
            <w:left w:val="none" w:sz="0" w:space="0" w:color="auto"/>
            <w:bottom w:val="none" w:sz="0" w:space="0" w:color="auto"/>
            <w:right w:val="none" w:sz="0" w:space="0" w:color="auto"/>
          </w:divBdr>
        </w:div>
        <w:div w:id="1562209325">
          <w:marLeft w:val="0"/>
          <w:marRight w:val="0"/>
          <w:marTop w:val="0"/>
          <w:marBottom w:val="0"/>
          <w:divBdr>
            <w:top w:val="none" w:sz="0" w:space="0" w:color="auto"/>
            <w:left w:val="none" w:sz="0" w:space="0" w:color="auto"/>
            <w:bottom w:val="none" w:sz="0" w:space="0" w:color="auto"/>
            <w:right w:val="none" w:sz="0" w:space="0" w:color="auto"/>
          </w:divBdr>
        </w:div>
      </w:divsChild>
    </w:div>
    <w:div w:id="795679527">
      <w:bodyDiv w:val="1"/>
      <w:marLeft w:val="0"/>
      <w:marRight w:val="0"/>
      <w:marTop w:val="0"/>
      <w:marBottom w:val="0"/>
      <w:divBdr>
        <w:top w:val="none" w:sz="0" w:space="0" w:color="auto"/>
        <w:left w:val="none" w:sz="0" w:space="0" w:color="auto"/>
        <w:bottom w:val="none" w:sz="0" w:space="0" w:color="auto"/>
        <w:right w:val="none" w:sz="0" w:space="0" w:color="auto"/>
      </w:divBdr>
      <w:divsChild>
        <w:div w:id="2067026533">
          <w:marLeft w:val="0"/>
          <w:marRight w:val="0"/>
          <w:marTop w:val="0"/>
          <w:marBottom w:val="0"/>
          <w:divBdr>
            <w:top w:val="none" w:sz="0" w:space="0" w:color="auto"/>
            <w:left w:val="none" w:sz="0" w:space="0" w:color="auto"/>
            <w:bottom w:val="none" w:sz="0" w:space="0" w:color="auto"/>
            <w:right w:val="none" w:sz="0" w:space="0" w:color="auto"/>
          </w:divBdr>
        </w:div>
        <w:div w:id="188421835">
          <w:marLeft w:val="0"/>
          <w:marRight w:val="0"/>
          <w:marTop w:val="0"/>
          <w:marBottom w:val="0"/>
          <w:divBdr>
            <w:top w:val="none" w:sz="0" w:space="0" w:color="auto"/>
            <w:left w:val="none" w:sz="0" w:space="0" w:color="auto"/>
            <w:bottom w:val="none" w:sz="0" w:space="0" w:color="auto"/>
            <w:right w:val="none" w:sz="0" w:space="0" w:color="auto"/>
          </w:divBdr>
        </w:div>
        <w:div w:id="1983660078">
          <w:marLeft w:val="0"/>
          <w:marRight w:val="0"/>
          <w:marTop w:val="0"/>
          <w:marBottom w:val="0"/>
          <w:divBdr>
            <w:top w:val="none" w:sz="0" w:space="0" w:color="auto"/>
            <w:left w:val="none" w:sz="0" w:space="0" w:color="auto"/>
            <w:bottom w:val="none" w:sz="0" w:space="0" w:color="auto"/>
            <w:right w:val="none" w:sz="0" w:space="0" w:color="auto"/>
          </w:divBdr>
        </w:div>
      </w:divsChild>
    </w:div>
    <w:div w:id="925578119">
      <w:bodyDiv w:val="1"/>
      <w:marLeft w:val="0"/>
      <w:marRight w:val="0"/>
      <w:marTop w:val="0"/>
      <w:marBottom w:val="0"/>
      <w:divBdr>
        <w:top w:val="none" w:sz="0" w:space="0" w:color="auto"/>
        <w:left w:val="none" w:sz="0" w:space="0" w:color="auto"/>
        <w:bottom w:val="none" w:sz="0" w:space="0" w:color="auto"/>
        <w:right w:val="none" w:sz="0" w:space="0" w:color="auto"/>
      </w:divBdr>
      <w:divsChild>
        <w:div w:id="1424372234">
          <w:marLeft w:val="0"/>
          <w:marRight w:val="0"/>
          <w:marTop w:val="0"/>
          <w:marBottom w:val="0"/>
          <w:divBdr>
            <w:top w:val="none" w:sz="0" w:space="0" w:color="auto"/>
            <w:left w:val="none" w:sz="0" w:space="0" w:color="auto"/>
            <w:bottom w:val="none" w:sz="0" w:space="0" w:color="auto"/>
            <w:right w:val="none" w:sz="0" w:space="0" w:color="auto"/>
          </w:divBdr>
        </w:div>
        <w:div w:id="1330717963">
          <w:marLeft w:val="0"/>
          <w:marRight w:val="0"/>
          <w:marTop w:val="0"/>
          <w:marBottom w:val="0"/>
          <w:divBdr>
            <w:top w:val="none" w:sz="0" w:space="0" w:color="auto"/>
            <w:left w:val="none" w:sz="0" w:space="0" w:color="auto"/>
            <w:bottom w:val="none" w:sz="0" w:space="0" w:color="auto"/>
            <w:right w:val="none" w:sz="0" w:space="0" w:color="auto"/>
          </w:divBdr>
        </w:div>
      </w:divsChild>
    </w:div>
    <w:div w:id="942764031">
      <w:bodyDiv w:val="1"/>
      <w:marLeft w:val="0"/>
      <w:marRight w:val="0"/>
      <w:marTop w:val="0"/>
      <w:marBottom w:val="0"/>
      <w:divBdr>
        <w:top w:val="none" w:sz="0" w:space="0" w:color="auto"/>
        <w:left w:val="none" w:sz="0" w:space="0" w:color="auto"/>
        <w:bottom w:val="none" w:sz="0" w:space="0" w:color="auto"/>
        <w:right w:val="none" w:sz="0" w:space="0" w:color="auto"/>
      </w:divBdr>
      <w:divsChild>
        <w:div w:id="1648588186">
          <w:marLeft w:val="0"/>
          <w:marRight w:val="0"/>
          <w:marTop w:val="0"/>
          <w:marBottom w:val="0"/>
          <w:divBdr>
            <w:top w:val="none" w:sz="0" w:space="0" w:color="auto"/>
            <w:left w:val="none" w:sz="0" w:space="0" w:color="auto"/>
            <w:bottom w:val="none" w:sz="0" w:space="0" w:color="auto"/>
            <w:right w:val="none" w:sz="0" w:space="0" w:color="auto"/>
          </w:divBdr>
        </w:div>
        <w:div w:id="882987283">
          <w:marLeft w:val="0"/>
          <w:marRight w:val="0"/>
          <w:marTop w:val="0"/>
          <w:marBottom w:val="0"/>
          <w:divBdr>
            <w:top w:val="none" w:sz="0" w:space="0" w:color="auto"/>
            <w:left w:val="none" w:sz="0" w:space="0" w:color="auto"/>
            <w:bottom w:val="none" w:sz="0" w:space="0" w:color="auto"/>
            <w:right w:val="none" w:sz="0" w:space="0" w:color="auto"/>
          </w:divBdr>
        </w:div>
        <w:div w:id="1773814029">
          <w:marLeft w:val="0"/>
          <w:marRight w:val="0"/>
          <w:marTop w:val="0"/>
          <w:marBottom w:val="0"/>
          <w:divBdr>
            <w:top w:val="none" w:sz="0" w:space="0" w:color="auto"/>
            <w:left w:val="none" w:sz="0" w:space="0" w:color="auto"/>
            <w:bottom w:val="none" w:sz="0" w:space="0" w:color="auto"/>
            <w:right w:val="none" w:sz="0" w:space="0" w:color="auto"/>
          </w:divBdr>
        </w:div>
        <w:div w:id="813064646">
          <w:marLeft w:val="0"/>
          <w:marRight w:val="0"/>
          <w:marTop w:val="0"/>
          <w:marBottom w:val="0"/>
          <w:divBdr>
            <w:top w:val="none" w:sz="0" w:space="0" w:color="auto"/>
            <w:left w:val="none" w:sz="0" w:space="0" w:color="auto"/>
            <w:bottom w:val="none" w:sz="0" w:space="0" w:color="auto"/>
            <w:right w:val="none" w:sz="0" w:space="0" w:color="auto"/>
          </w:divBdr>
        </w:div>
        <w:div w:id="160434369">
          <w:marLeft w:val="0"/>
          <w:marRight w:val="0"/>
          <w:marTop w:val="0"/>
          <w:marBottom w:val="0"/>
          <w:divBdr>
            <w:top w:val="none" w:sz="0" w:space="0" w:color="auto"/>
            <w:left w:val="none" w:sz="0" w:space="0" w:color="auto"/>
            <w:bottom w:val="none" w:sz="0" w:space="0" w:color="auto"/>
            <w:right w:val="none" w:sz="0" w:space="0" w:color="auto"/>
          </w:divBdr>
        </w:div>
        <w:div w:id="1461609693">
          <w:marLeft w:val="0"/>
          <w:marRight w:val="0"/>
          <w:marTop w:val="0"/>
          <w:marBottom w:val="0"/>
          <w:divBdr>
            <w:top w:val="none" w:sz="0" w:space="0" w:color="auto"/>
            <w:left w:val="none" w:sz="0" w:space="0" w:color="auto"/>
            <w:bottom w:val="none" w:sz="0" w:space="0" w:color="auto"/>
            <w:right w:val="none" w:sz="0" w:space="0" w:color="auto"/>
          </w:divBdr>
        </w:div>
        <w:div w:id="583684360">
          <w:marLeft w:val="0"/>
          <w:marRight w:val="0"/>
          <w:marTop w:val="0"/>
          <w:marBottom w:val="0"/>
          <w:divBdr>
            <w:top w:val="none" w:sz="0" w:space="0" w:color="auto"/>
            <w:left w:val="none" w:sz="0" w:space="0" w:color="auto"/>
            <w:bottom w:val="none" w:sz="0" w:space="0" w:color="auto"/>
            <w:right w:val="none" w:sz="0" w:space="0" w:color="auto"/>
          </w:divBdr>
        </w:div>
        <w:div w:id="1024407716">
          <w:marLeft w:val="0"/>
          <w:marRight w:val="0"/>
          <w:marTop w:val="0"/>
          <w:marBottom w:val="0"/>
          <w:divBdr>
            <w:top w:val="none" w:sz="0" w:space="0" w:color="auto"/>
            <w:left w:val="none" w:sz="0" w:space="0" w:color="auto"/>
            <w:bottom w:val="none" w:sz="0" w:space="0" w:color="auto"/>
            <w:right w:val="none" w:sz="0" w:space="0" w:color="auto"/>
          </w:divBdr>
        </w:div>
        <w:div w:id="118649248">
          <w:marLeft w:val="0"/>
          <w:marRight w:val="0"/>
          <w:marTop w:val="0"/>
          <w:marBottom w:val="0"/>
          <w:divBdr>
            <w:top w:val="none" w:sz="0" w:space="0" w:color="auto"/>
            <w:left w:val="none" w:sz="0" w:space="0" w:color="auto"/>
            <w:bottom w:val="none" w:sz="0" w:space="0" w:color="auto"/>
            <w:right w:val="none" w:sz="0" w:space="0" w:color="auto"/>
          </w:divBdr>
        </w:div>
      </w:divsChild>
    </w:div>
    <w:div w:id="992610203">
      <w:bodyDiv w:val="1"/>
      <w:marLeft w:val="0"/>
      <w:marRight w:val="0"/>
      <w:marTop w:val="0"/>
      <w:marBottom w:val="0"/>
      <w:divBdr>
        <w:top w:val="none" w:sz="0" w:space="0" w:color="auto"/>
        <w:left w:val="none" w:sz="0" w:space="0" w:color="auto"/>
        <w:bottom w:val="none" w:sz="0" w:space="0" w:color="auto"/>
        <w:right w:val="none" w:sz="0" w:space="0" w:color="auto"/>
      </w:divBdr>
      <w:divsChild>
        <w:div w:id="31612171">
          <w:marLeft w:val="0"/>
          <w:marRight w:val="0"/>
          <w:marTop w:val="0"/>
          <w:marBottom w:val="0"/>
          <w:divBdr>
            <w:top w:val="none" w:sz="0" w:space="0" w:color="auto"/>
            <w:left w:val="none" w:sz="0" w:space="0" w:color="auto"/>
            <w:bottom w:val="none" w:sz="0" w:space="0" w:color="auto"/>
            <w:right w:val="none" w:sz="0" w:space="0" w:color="auto"/>
          </w:divBdr>
        </w:div>
        <w:div w:id="622686864">
          <w:marLeft w:val="0"/>
          <w:marRight w:val="0"/>
          <w:marTop w:val="0"/>
          <w:marBottom w:val="0"/>
          <w:divBdr>
            <w:top w:val="none" w:sz="0" w:space="0" w:color="auto"/>
            <w:left w:val="none" w:sz="0" w:space="0" w:color="auto"/>
            <w:bottom w:val="none" w:sz="0" w:space="0" w:color="auto"/>
            <w:right w:val="none" w:sz="0" w:space="0" w:color="auto"/>
          </w:divBdr>
        </w:div>
        <w:div w:id="684409074">
          <w:marLeft w:val="0"/>
          <w:marRight w:val="0"/>
          <w:marTop w:val="0"/>
          <w:marBottom w:val="0"/>
          <w:divBdr>
            <w:top w:val="none" w:sz="0" w:space="0" w:color="auto"/>
            <w:left w:val="none" w:sz="0" w:space="0" w:color="auto"/>
            <w:bottom w:val="none" w:sz="0" w:space="0" w:color="auto"/>
            <w:right w:val="none" w:sz="0" w:space="0" w:color="auto"/>
          </w:divBdr>
        </w:div>
        <w:div w:id="712653109">
          <w:marLeft w:val="0"/>
          <w:marRight w:val="0"/>
          <w:marTop w:val="0"/>
          <w:marBottom w:val="0"/>
          <w:divBdr>
            <w:top w:val="none" w:sz="0" w:space="0" w:color="auto"/>
            <w:left w:val="none" w:sz="0" w:space="0" w:color="auto"/>
            <w:bottom w:val="none" w:sz="0" w:space="0" w:color="auto"/>
            <w:right w:val="none" w:sz="0" w:space="0" w:color="auto"/>
          </w:divBdr>
        </w:div>
        <w:div w:id="829952636">
          <w:marLeft w:val="0"/>
          <w:marRight w:val="0"/>
          <w:marTop w:val="0"/>
          <w:marBottom w:val="0"/>
          <w:divBdr>
            <w:top w:val="none" w:sz="0" w:space="0" w:color="auto"/>
            <w:left w:val="none" w:sz="0" w:space="0" w:color="auto"/>
            <w:bottom w:val="none" w:sz="0" w:space="0" w:color="auto"/>
            <w:right w:val="none" w:sz="0" w:space="0" w:color="auto"/>
          </w:divBdr>
        </w:div>
        <w:div w:id="855998325">
          <w:marLeft w:val="0"/>
          <w:marRight w:val="0"/>
          <w:marTop w:val="0"/>
          <w:marBottom w:val="0"/>
          <w:divBdr>
            <w:top w:val="none" w:sz="0" w:space="0" w:color="auto"/>
            <w:left w:val="none" w:sz="0" w:space="0" w:color="auto"/>
            <w:bottom w:val="none" w:sz="0" w:space="0" w:color="auto"/>
            <w:right w:val="none" w:sz="0" w:space="0" w:color="auto"/>
          </w:divBdr>
        </w:div>
        <w:div w:id="1608462770">
          <w:marLeft w:val="0"/>
          <w:marRight w:val="0"/>
          <w:marTop w:val="0"/>
          <w:marBottom w:val="0"/>
          <w:divBdr>
            <w:top w:val="none" w:sz="0" w:space="0" w:color="auto"/>
            <w:left w:val="none" w:sz="0" w:space="0" w:color="auto"/>
            <w:bottom w:val="none" w:sz="0" w:space="0" w:color="auto"/>
            <w:right w:val="none" w:sz="0" w:space="0" w:color="auto"/>
          </w:divBdr>
        </w:div>
        <w:div w:id="498161326">
          <w:marLeft w:val="0"/>
          <w:marRight w:val="0"/>
          <w:marTop w:val="0"/>
          <w:marBottom w:val="0"/>
          <w:divBdr>
            <w:top w:val="none" w:sz="0" w:space="0" w:color="auto"/>
            <w:left w:val="none" w:sz="0" w:space="0" w:color="auto"/>
            <w:bottom w:val="none" w:sz="0" w:space="0" w:color="auto"/>
            <w:right w:val="none" w:sz="0" w:space="0" w:color="auto"/>
          </w:divBdr>
        </w:div>
        <w:div w:id="91168042">
          <w:marLeft w:val="0"/>
          <w:marRight w:val="0"/>
          <w:marTop w:val="0"/>
          <w:marBottom w:val="0"/>
          <w:divBdr>
            <w:top w:val="none" w:sz="0" w:space="0" w:color="auto"/>
            <w:left w:val="none" w:sz="0" w:space="0" w:color="auto"/>
            <w:bottom w:val="none" w:sz="0" w:space="0" w:color="auto"/>
            <w:right w:val="none" w:sz="0" w:space="0" w:color="auto"/>
          </w:divBdr>
        </w:div>
        <w:div w:id="1712076066">
          <w:marLeft w:val="0"/>
          <w:marRight w:val="0"/>
          <w:marTop w:val="0"/>
          <w:marBottom w:val="0"/>
          <w:divBdr>
            <w:top w:val="none" w:sz="0" w:space="0" w:color="auto"/>
            <w:left w:val="none" w:sz="0" w:space="0" w:color="auto"/>
            <w:bottom w:val="none" w:sz="0" w:space="0" w:color="auto"/>
            <w:right w:val="none" w:sz="0" w:space="0" w:color="auto"/>
          </w:divBdr>
        </w:div>
        <w:div w:id="1924413706">
          <w:marLeft w:val="0"/>
          <w:marRight w:val="0"/>
          <w:marTop w:val="0"/>
          <w:marBottom w:val="0"/>
          <w:divBdr>
            <w:top w:val="none" w:sz="0" w:space="0" w:color="auto"/>
            <w:left w:val="none" w:sz="0" w:space="0" w:color="auto"/>
            <w:bottom w:val="none" w:sz="0" w:space="0" w:color="auto"/>
            <w:right w:val="none" w:sz="0" w:space="0" w:color="auto"/>
          </w:divBdr>
        </w:div>
        <w:div w:id="1600330345">
          <w:marLeft w:val="0"/>
          <w:marRight w:val="0"/>
          <w:marTop w:val="0"/>
          <w:marBottom w:val="0"/>
          <w:divBdr>
            <w:top w:val="none" w:sz="0" w:space="0" w:color="auto"/>
            <w:left w:val="none" w:sz="0" w:space="0" w:color="auto"/>
            <w:bottom w:val="none" w:sz="0" w:space="0" w:color="auto"/>
            <w:right w:val="none" w:sz="0" w:space="0" w:color="auto"/>
          </w:divBdr>
        </w:div>
      </w:divsChild>
    </w:div>
    <w:div w:id="1124227118">
      <w:bodyDiv w:val="1"/>
      <w:marLeft w:val="0"/>
      <w:marRight w:val="0"/>
      <w:marTop w:val="0"/>
      <w:marBottom w:val="0"/>
      <w:divBdr>
        <w:top w:val="none" w:sz="0" w:space="0" w:color="auto"/>
        <w:left w:val="none" w:sz="0" w:space="0" w:color="auto"/>
        <w:bottom w:val="none" w:sz="0" w:space="0" w:color="auto"/>
        <w:right w:val="none" w:sz="0" w:space="0" w:color="auto"/>
      </w:divBdr>
      <w:divsChild>
        <w:div w:id="1655988660">
          <w:marLeft w:val="0"/>
          <w:marRight w:val="0"/>
          <w:marTop w:val="0"/>
          <w:marBottom w:val="0"/>
          <w:divBdr>
            <w:top w:val="none" w:sz="0" w:space="0" w:color="auto"/>
            <w:left w:val="none" w:sz="0" w:space="0" w:color="auto"/>
            <w:bottom w:val="none" w:sz="0" w:space="0" w:color="auto"/>
            <w:right w:val="none" w:sz="0" w:space="0" w:color="auto"/>
          </w:divBdr>
        </w:div>
        <w:div w:id="1310595776">
          <w:marLeft w:val="0"/>
          <w:marRight w:val="0"/>
          <w:marTop w:val="0"/>
          <w:marBottom w:val="0"/>
          <w:divBdr>
            <w:top w:val="none" w:sz="0" w:space="0" w:color="auto"/>
            <w:left w:val="none" w:sz="0" w:space="0" w:color="auto"/>
            <w:bottom w:val="none" w:sz="0" w:space="0" w:color="auto"/>
            <w:right w:val="none" w:sz="0" w:space="0" w:color="auto"/>
          </w:divBdr>
        </w:div>
        <w:div w:id="912466831">
          <w:marLeft w:val="0"/>
          <w:marRight w:val="0"/>
          <w:marTop w:val="0"/>
          <w:marBottom w:val="0"/>
          <w:divBdr>
            <w:top w:val="none" w:sz="0" w:space="0" w:color="auto"/>
            <w:left w:val="none" w:sz="0" w:space="0" w:color="auto"/>
            <w:bottom w:val="none" w:sz="0" w:space="0" w:color="auto"/>
            <w:right w:val="none" w:sz="0" w:space="0" w:color="auto"/>
          </w:divBdr>
        </w:div>
        <w:div w:id="1124301795">
          <w:marLeft w:val="0"/>
          <w:marRight w:val="0"/>
          <w:marTop w:val="0"/>
          <w:marBottom w:val="0"/>
          <w:divBdr>
            <w:top w:val="none" w:sz="0" w:space="0" w:color="auto"/>
            <w:left w:val="none" w:sz="0" w:space="0" w:color="auto"/>
            <w:bottom w:val="none" w:sz="0" w:space="0" w:color="auto"/>
            <w:right w:val="none" w:sz="0" w:space="0" w:color="auto"/>
          </w:divBdr>
        </w:div>
        <w:div w:id="1379740109">
          <w:marLeft w:val="0"/>
          <w:marRight w:val="0"/>
          <w:marTop w:val="0"/>
          <w:marBottom w:val="0"/>
          <w:divBdr>
            <w:top w:val="none" w:sz="0" w:space="0" w:color="auto"/>
            <w:left w:val="none" w:sz="0" w:space="0" w:color="auto"/>
            <w:bottom w:val="none" w:sz="0" w:space="0" w:color="auto"/>
            <w:right w:val="none" w:sz="0" w:space="0" w:color="auto"/>
          </w:divBdr>
        </w:div>
      </w:divsChild>
    </w:div>
    <w:div w:id="1180851177">
      <w:bodyDiv w:val="1"/>
      <w:marLeft w:val="0"/>
      <w:marRight w:val="0"/>
      <w:marTop w:val="0"/>
      <w:marBottom w:val="0"/>
      <w:divBdr>
        <w:top w:val="none" w:sz="0" w:space="0" w:color="auto"/>
        <w:left w:val="none" w:sz="0" w:space="0" w:color="auto"/>
        <w:bottom w:val="none" w:sz="0" w:space="0" w:color="auto"/>
        <w:right w:val="none" w:sz="0" w:space="0" w:color="auto"/>
      </w:divBdr>
      <w:divsChild>
        <w:div w:id="1257789205">
          <w:marLeft w:val="0"/>
          <w:marRight w:val="0"/>
          <w:marTop w:val="0"/>
          <w:marBottom w:val="0"/>
          <w:divBdr>
            <w:top w:val="none" w:sz="0" w:space="0" w:color="auto"/>
            <w:left w:val="none" w:sz="0" w:space="0" w:color="auto"/>
            <w:bottom w:val="none" w:sz="0" w:space="0" w:color="auto"/>
            <w:right w:val="none" w:sz="0" w:space="0" w:color="auto"/>
          </w:divBdr>
        </w:div>
        <w:div w:id="1682585656">
          <w:marLeft w:val="0"/>
          <w:marRight w:val="0"/>
          <w:marTop w:val="0"/>
          <w:marBottom w:val="0"/>
          <w:divBdr>
            <w:top w:val="none" w:sz="0" w:space="0" w:color="auto"/>
            <w:left w:val="none" w:sz="0" w:space="0" w:color="auto"/>
            <w:bottom w:val="none" w:sz="0" w:space="0" w:color="auto"/>
            <w:right w:val="none" w:sz="0" w:space="0" w:color="auto"/>
          </w:divBdr>
        </w:div>
        <w:div w:id="1711880850">
          <w:marLeft w:val="0"/>
          <w:marRight w:val="0"/>
          <w:marTop w:val="0"/>
          <w:marBottom w:val="0"/>
          <w:divBdr>
            <w:top w:val="none" w:sz="0" w:space="0" w:color="auto"/>
            <w:left w:val="none" w:sz="0" w:space="0" w:color="auto"/>
            <w:bottom w:val="none" w:sz="0" w:space="0" w:color="auto"/>
            <w:right w:val="none" w:sz="0" w:space="0" w:color="auto"/>
          </w:divBdr>
        </w:div>
        <w:div w:id="189222259">
          <w:marLeft w:val="0"/>
          <w:marRight w:val="0"/>
          <w:marTop w:val="0"/>
          <w:marBottom w:val="0"/>
          <w:divBdr>
            <w:top w:val="none" w:sz="0" w:space="0" w:color="auto"/>
            <w:left w:val="none" w:sz="0" w:space="0" w:color="auto"/>
            <w:bottom w:val="none" w:sz="0" w:space="0" w:color="auto"/>
            <w:right w:val="none" w:sz="0" w:space="0" w:color="auto"/>
          </w:divBdr>
        </w:div>
        <w:div w:id="1501626720">
          <w:marLeft w:val="0"/>
          <w:marRight w:val="0"/>
          <w:marTop w:val="0"/>
          <w:marBottom w:val="0"/>
          <w:divBdr>
            <w:top w:val="none" w:sz="0" w:space="0" w:color="auto"/>
            <w:left w:val="none" w:sz="0" w:space="0" w:color="auto"/>
            <w:bottom w:val="none" w:sz="0" w:space="0" w:color="auto"/>
            <w:right w:val="none" w:sz="0" w:space="0" w:color="auto"/>
          </w:divBdr>
        </w:div>
        <w:div w:id="1510829485">
          <w:marLeft w:val="0"/>
          <w:marRight w:val="0"/>
          <w:marTop w:val="0"/>
          <w:marBottom w:val="0"/>
          <w:divBdr>
            <w:top w:val="none" w:sz="0" w:space="0" w:color="auto"/>
            <w:left w:val="none" w:sz="0" w:space="0" w:color="auto"/>
            <w:bottom w:val="none" w:sz="0" w:space="0" w:color="auto"/>
            <w:right w:val="none" w:sz="0" w:space="0" w:color="auto"/>
          </w:divBdr>
        </w:div>
        <w:div w:id="742147046">
          <w:marLeft w:val="0"/>
          <w:marRight w:val="0"/>
          <w:marTop w:val="0"/>
          <w:marBottom w:val="0"/>
          <w:divBdr>
            <w:top w:val="none" w:sz="0" w:space="0" w:color="auto"/>
            <w:left w:val="none" w:sz="0" w:space="0" w:color="auto"/>
            <w:bottom w:val="none" w:sz="0" w:space="0" w:color="auto"/>
            <w:right w:val="none" w:sz="0" w:space="0" w:color="auto"/>
          </w:divBdr>
        </w:div>
        <w:div w:id="2034187321">
          <w:marLeft w:val="0"/>
          <w:marRight w:val="0"/>
          <w:marTop w:val="0"/>
          <w:marBottom w:val="0"/>
          <w:divBdr>
            <w:top w:val="none" w:sz="0" w:space="0" w:color="auto"/>
            <w:left w:val="none" w:sz="0" w:space="0" w:color="auto"/>
            <w:bottom w:val="none" w:sz="0" w:space="0" w:color="auto"/>
            <w:right w:val="none" w:sz="0" w:space="0" w:color="auto"/>
          </w:divBdr>
        </w:div>
        <w:div w:id="1866865950">
          <w:marLeft w:val="0"/>
          <w:marRight w:val="0"/>
          <w:marTop w:val="0"/>
          <w:marBottom w:val="0"/>
          <w:divBdr>
            <w:top w:val="none" w:sz="0" w:space="0" w:color="auto"/>
            <w:left w:val="none" w:sz="0" w:space="0" w:color="auto"/>
            <w:bottom w:val="none" w:sz="0" w:space="0" w:color="auto"/>
            <w:right w:val="none" w:sz="0" w:space="0" w:color="auto"/>
          </w:divBdr>
        </w:div>
        <w:div w:id="337149649">
          <w:marLeft w:val="0"/>
          <w:marRight w:val="0"/>
          <w:marTop w:val="0"/>
          <w:marBottom w:val="0"/>
          <w:divBdr>
            <w:top w:val="none" w:sz="0" w:space="0" w:color="auto"/>
            <w:left w:val="none" w:sz="0" w:space="0" w:color="auto"/>
            <w:bottom w:val="none" w:sz="0" w:space="0" w:color="auto"/>
            <w:right w:val="none" w:sz="0" w:space="0" w:color="auto"/>
          </w:divBdr>
        </w:div>
      </w:divsChild>
    </w:div>
    <w:div w:id="1213730170">
      <w:bodyDiv w:val="1"/>
      <w:marLeft w:val="0"/>
      <w:marRight w:val="0"/>
      <w:marTop w:val="0"/>
      <w:marBottom w:val="0"/>
      <w:divBdr>
        <w:top w:val="none" w:sz="0" w:space="0" w:color="auto"/>
        <w:left w:val="none" w:sz="0" w:space="0" w:color="auto"/>
        <w:bottom w:val="none" w:sz="0" w:space="0" w:color="auto"/>
        <w:right w:val="none" w:sz="0" w:space="0" w:color="auto"/>
      </w:divBdr>
      <w:divsChild>
        <w:div w:id="1673601514">
          <w:marLeft w:val="0"/>
          <w:marRight w:val="0"/>
          <w:marTop w:val="0"/>
          <w:marBottom w:val="0"/>
          <w:divBdr>
            <w:top w:val="none" w:sz="0" w:space="0" w:color="auto"/>
            <w:left w:val="none" w:sz="0" w:space="0" w:color="auto"/>
            <w:bottom w:val="none" w:sz="0" w:space="0" w:color="auto"/>
            <w:right w:val="none" w:sz="0" w:space="0" w:color="auto"/>
          </w:divBdr>
        </w:div>
        <w:div w:id="552693111">
          <w:marLeft w:val="0"/>
          <w:marRight w:val="0"/>
          <w:marTop w:val="0"/>
          <w:marBottom w:val="0"/>
          <w:divBdr>
            <w:top w:val="none" w:sz="0" w:space="0" w:color="auto"/>
            <w:left w:val="none" w:sz="0" w:space="0" w:color="auto"/>
            <w:bottom w:val="none" w:sz="0" w:space="0" w:color="auto"/>
            <w:right w:val="none" w:sz="0" w:space="0" w:color="auto"/>
          </w:divBdr>
        </w:div>
        <w:div w:id="343938284">
          <w:marLeft w:val="0"/>
          <w:marRight w:val="0"/>
          <w:marTop w:val="0"/>
          <w:marBottom w:val="0"/>
          <w:divBdr>
            <w:top w:val="none" w:sz="0" w:space="0" w:color="auto"/>
            <w:left w:val="none" w:sz="0" w:space="0" w:color="auto"/>
            <w:bottom w:val="none" w:sz="0" w:space="0" w:color="auto"/>
            <w:right w:val="none" w:sz="0" w:space="0" w:color="auto"/>
          </w:divBdr>
        </w:div>
        <w:div w:id="1002393120">
          <w:marLeft w:val="0"/>
          <w:marRight w:val="0"/>
          <w:marTop w:val="0"/>
          <w:marBottom w:val="0"/>
          <w:divBdr>
            <w:top w:val="none" w:sz="0" w:space="0" w:color="auto"/>
            <w:left w:val="none" w:sz="0" w:space="0" w:color="auto"/>
            <w:bottom w:val="none" w:sz="0" w:space="0" w:color="auto"/>
            <w:right w:val="none" w:sz="0" w:space="0" w:color="auto"/>
          </w:divBdr>
        </w:div>
        <w:div w:id="987055221">
          <w:marLeft w:val="0"/>
          <w:marRight w:val="0"/>
          <w:marTop w:val="0"/>
          <w:marBottom w:val="0"/>
          <w:divBdr>
            <w:top w:val="none" w:sz="0" w:space="0" w:color="auto"/>
            <w:left w:val="none" w:sz="0" w:space="0" w:color="auto"/>
            <w:bottom w:val="none" w:sz="0" w:space="0" w:color="auto"/>
            <w:right w:val="none" w:sz="0" w:space="0" w:color="auto"/>
          </w:divBdr>
        </w:div>
        <w:div w:id="1421827320">
          <w:marLeft w:val="0"/>
          <w:marRight w:val="0"/>
          <w:marTop w:val="0"/>
          <w:marBottom w:val="0"/>
          <w:divBdr>
            <w:top w:val="none" w:sz="0" w:space="0" w:color="auto"/>
            <w:left w:val="none" w:sz="0" w:space="0" w:color="auto"/>
            <w:bottom w:val="none" w:sz="0" w:space="0" w:color="auto"/>
            <w:right w:val="none" w:sz="0" w:space="0" w:color="auto"/>
          </w:divBdr>
        </w:div>
      </w:divsChild>
    </w:div>
    <w:div w:id="1218201409">
      <w:bodyDiv w:val="1"/>
      <w:marLeft w:val="0"/>
      <w:marRight w:val="0"/>
      <w:marTop w:val="0"/>
      <w:marBottom w:val="0"/>
      <w:divBdr>
        <w:top w:val="none" w:sz="0" w:space="0" w:color="auto"/>
        <w:left w:val="none" w:sz="0" w:space="0" w:color="auto"/>
        <w:bottom w:val="none" w:sz="0" w:space="0" w:color="auto"/>
        <w:right w:val="none" w:sz="0" w:space="0" w:color="auto"/>
      </w:divBdr>
      <w:divsChild>
        <w:div w:id="1806893108">
          <w:marLeft w:val="0"/>
          <w:marRight w:val="0"/>
          <w:marTop w:val="0"/>
          <w:marBottom w:val="0"/>
          <w:divBdr>
            <w:top w:val="none" w:sz="0" w:space="0" w:color="auto"/>
            <w:left w:val="none" w:sz="0" w:space="0" w:color="auto"/>
            <w:bottom w:val="none" w:sz="0" w:space="0" w:color="auto"/>
            <w:right w:val="none" w:sz="0" w:space="0" w:color="auto"/>
          </w:divBdr>
        </w:div>
        <w:div w:id="1163206092">
          <w:marLeft w:val="0"/>
          <w:marRight w:val="0"/>
          <w:marTop w:val="0"/>
          <w:marBottom w:val="0"/>
          <w:divBdr>
            <w:top w:val="none" w:sz="0" w:space="0" w:color="auto"/>
            <w:left w:val="none" w:sz="0" w:space="0" w:color="auto"/>
            <w:bottom w:val="none" w:sz="0" w:space="0" w:color="auto"/>
            <w:right w:val="none" w:sz="0" w:space="0" w:color="auto"/>
          </w:divBdr>
        </w:div>
        <w:div w:id="968628634">
          <w:marLeft w:val="0"/>
          <w:marRight w:val="0"/>
          <w:marTop w:val="0"/>
          <w:marBottom w:val="0"/>
          <w:divBdr>
            <w:top w:val="none" w:sz="0" w:space="0" w:color="auto"/>
            <w:left w:val="none" w:sz="0" w:space="0" w:color="auto"/>
            <w:bottom w:val="none" w:sz="0" w:space="0" w:color="auto"/>
            <w:right w:val="none" w:sz="0" w:space="0" w:color="auto"/>
          </w:divBdr>
        </w:div>
        <w:div w:id="1147822368">
          <w:marLeft w:val="0"/>
          <w:marRight w:val="0"/>
          <w:marTop w:val="0"/>
          <w:marBottom w:val="0"/>
          <w:divBdr>
            <w:top w:val="none" w:sz="0" w:space="0" w:color="auto"/>
            <w:left w:val="none" w:sz="0" w:space="0" w:color="auto"/>
            <w:bottom w:val="none" w:sz="0" w:space="0" w:color="auto"/>
            <w:right w:val="none" w:sz="0" w:space="0" w:color="auto"/>
          </w:divBdr>
        </w:div>
        <w:div w:id="946885399">
          <w:marLeft w:val="0"/>
          <w:marRight w:val="0"/>
          <w:marTop w:val="0"/>
          <w:marBottom w:val="0"/>
          <w:divBdr>
            <w:top w:val="none" w:sz="0" w:space="0" w:color="auto"/>
            <w:left w:val="none" w:sz="0" w:space="0" w:color="auto"/>
            <w:bottom w:val="none" w:sz="0" w:space="0" w:color="auto"/>
            <w:right w:val="none" w:sz="0" w:space="0" w:color="auto"/>
          </w:divBdr>
        </w:div>
        <w:div w:id="1134757797">
          <w:marLeft w:val="0"/>
          <w:marRight w:val="0"/>
          <w:marTop w:val="0"/>
          <w:marBottom w:val="0"/>
          <w:divBdr>
            <w:top w:val="none" w:sz="0" w:space="0" w:color="auto"/>
            <w:left w:val="none" w:sz="0" w:space="0" w:color="auto"/>
            <w:bottom w:val="none" w:sz="0" w:space="0" w:color="auto"/>
            <w:right w:val="none" w:sz="0" w:space="0" w:color="auto"/>
          </w:divBdr>
        </w:div>
      </w:divsChild>
    </w:div>
    <w:div w:id="1388257106">
      <w:bodyDiv w:val="1"/>
      <w:marLeft w:val="0"/>
      <w:marRight w:val="0"/>
      <w:marTop w:val="0"/>
      <w:marBottom w:val="0"/>
      <w:divBdr>
        <w:top w:val="none" w:sz="0" w:space="0" w:color="auto"/>
        <w:left w:val="none" w:sz="0" w:space="0" w:color="auto"/>
        <w:bottom w:val="none" w:sz="0" w:space="0" w:color="auto"/>
        <w:right w:val="none" w:sz="0" w:space="0" w:color="auto"/>
      </w:divBdr>
      <w:divsChild>
        <w:div w:id="35815344">
          <w:marLeft w:val="0"/>
          <w:marRight w:val="0"/>
          <w:marTop w:val="0"/>
          <w:marBottom w:val="0"/>
          <w:divBdr>
            <w:top w:val="none" w:sz="0" w:space="0" w:color="auto"/>
            <w:left w:val="none" w:sz="0" w:space="0" w:color="auto"/>
            <w:bottom w:val="none" w:sz="0" w:space="0" w:color="auto"/>
            <w:right w:val="none" w:sz="0" w:space="0" w:color="auto"/>
          </w:divBdr>
        </w:div>
        <w:div w:id="763914692">
          <w:marLeft w:val="0"/>
          <w:marRight w:val="0"/>
          <w:marTop w:val="0"/>
          <w:marBottom w:val="0"/>
          <w:divBdr>
            <w:top w:val="none" w:sz="0" w:space="0" w:color="auto"/>
            <w:left w:val="none" w:sz="0" w:space="0" w:color="auto"/>
            <w:bottom w:val="none" w:sz="0" w:space="0" w:color="auto"/>
            <w:right w:val="none" w:sz="0" w:space="0" w:color="auto"/>
          </w:divBdr>
        </w:div>
        <w:div w:id="960913504">
          <w:marLeft w:val="0"/>
          <w:marRight w:val="0"/>
          <w:marTop w:val="0"/>
          <w:marBottom w:val="0"/>
          <w:divBdr>
            <w:top w:val="none" w:sz="0" w:space="0" w:color="auto"/>
            <w:left w:val="none" w:sz="0" w:space="0" w:color="auto"/>
            <w:bottom w:val="none" w:sz="0" w:space="0" w:color="auto"/>
            <w:right w:val="none" w:sz="0" w:space="0" w:color="auto"/>
          </w:divBdr>
        </w:div>
        <w:div w:id="1597013054">
          <w:marLeft w:val="0"/>
          <w:marRight w:val="0"/>
          <w:marTop w:val="0"/>
          <w:marBottom w:val="0"/>
          <w:divBdr>
            <w:top w:val="none" w:sz="0" w:space="0" w:color="auto"/>
            <w:left w:val="none" w:sz="0" w:space="0" w:color="auto"/>
            <w:bottom w:val="none" w:sz="0" w:space="0" w:color="auto"/>
            <w:right w:val="none" w:sz="0" w:space="0" w:color="auto"/>
          </w:divBdr>
        </w:div>
        <w:div w:id="1891182504">
          <w:marLeft w:val="0"/>
          <w:marRight w:val="0"/>
          <w:marTop w:val="0"/>
          <w:marBottom w:val="0"/>
          <w:divBdr>
            <w:top w:val="none" w:sz="0" w:space="0" w:color="auto"/>
            <w:left w:val="none" w:sz="0" w:space="0" w:color="auto"/>
            <w:bottom w:val="none" w:sz="0" w:space="0" w:color="auto"/>
            <w:right w:val="none" w:sz="0" w:space="0" w:color="auto"/>
          </w:divBdr>
        </w:div>
        <w:div w:id="1874227056">
          <w:marLeft w:val="0"/>
          <w:marRight w:val="0"/>
          <w:marTop w:val="0"/>
          <w:marBottom w:val="0"/>
          <w:divBdr>
            <w:top w:val="none" w:sz="0" w:space="0" w:color="auto"/>
            <w:left w:val="none" w:sz="0" w:space="0" w:color="auto"/>
            <w:bottom w:val="none" w:sz="0" w:space="0" w:color="auto"/>
            <w:right w:val="none" w:sz="0" w:space="0" w:color="auto"/>
          </w:divBdr>
        </w:div>
      </w:divsChild>
    </w:div>
    <w:div w:id="1409497363">
      <w:bodyDiv w:val="1"/>
      <w:marLeft w:val="0"/>
      <w:marRight w:val="0"/>
      <w:marTop w:val="0"/>
      <w:marBottom w:val="0"/>
      <w:divBdr>
        <w:top w:val="none" w:sz="0" w:space="0" w:color="auto"/>
        <w:left w:val="none" w:sz="0" w:space="0" w:color="auto"/>
        <w:bottom w:val="none" w:sz="0" w:space="0" w:color="auto"/>
        <w:right w:val="none" w:sz="0" w:space="0" w:color="auto"/>
      </w:divBdr>
      <w:divsChild>
        <w:div w:id="272901426">
          <w:marLeft w:val="0"/>
          <w:marRight w:val="0"/>
          <w:marTop w:val="0"/>
          <w:marBottom w:val="0"/>
          <w:divBdr>
            <w:top w:val="none" w:sz="0" w:space="0" w:color="auto"/>
            <w:left w:val="none" w:sz="0" w:space="0" w:color="auto"/>
            <w:bottom w:val="none" w:sz="0" w:space="0" w:color="auto"/>
            <w:right w:val="none" w:sz="0" w:space="0" w:color="auto"/>
          </w:divBdr>
        </w:div>
        <w:div w:id="318389497">
          <w:marLeft w:val="0"/>
          <w:marRight w:val="0"/>
          <w:marTop w:val="0"/>
          <w:marBottom w:val="0"/>
          <w:divBdr>
            <w:top w:val="none" w:sz="0" w:space="0" w:color="auto"/>
            <w:left w:val="none" w:sz="0" w:space="0" w:color="auto"/>
            <w:bottom w:val="none" w:sz="0" w:space="0" w:color="auto"/>
            <w:right w:val="none" w:sz="0" w:space="0" w:color="auto"/>
          </w:divBdr>
        </w:div>
        <w:div w:id="1070275309">
          <w:marLeft w:val="0"/>
          <w:marRight w:val="0"/>
          <w:marTop w:val="0"/>
          <w:marBottom w:val="0"/>
          <w:divBdr>
            <w:top w:val="none" w:sz="0" w:space="0" w:color="auto"/>
            <w:left w:val="none" w:sz="0" w:space="0" w:color="auto"/>
            <w:bottom w:val="none" w:sz="0" w:space="0" w:color="auto"/>
            <w:right w:val="none" w:sz="0" w:space="0" w:color="auto"/>
          </w:divBdr>
        </w:div>
        <w:div w:id="169569727">
          <w:marLeft w:val="0"/>
          <w:marRight w:val="0"/>
          <w:marTop w:val="0"/>
          <w:marBottom w:val="0"/>
          <w:divBdr>
            <w:top w:val="none" w:sz="0" w:space="0" w:color="auto"/>
            <w:left w:val="none" w:sz="0" w:space="0" w:color="auto"/>
            <w:bottom w:val="none" w:sz="0" w:space="0" w:color="auto"/>
            <w:right w:val="none" w:sz="0" w:space="0" w:color="auto"/>
          </w:divBdr>
        </w:div>
        <w:div w:id="1350177269">
          <w:marLeft w:val="0"/>
          <w:marRight w:val="0"/>
          <w:marTop w:val="0"/>
          <w:marBottom w:val="0"/>
          <w:divBdr>
            <w:top w:val="none" w:sz="0" w:space="0" w:color="auto"/>
            <w:left w:val="none" w:sz="0" w:space="0" w:color="auto"/>
            <w:bottom w:val="none" w:sz="0" w:space="0" w:color="auto"/>
            <w:right w:val="none" w:sz="0" w:space="0" w:color="auto"/>
          </w:divBdr>
        </w:div>
        <w:div w:id="1675648662">
          <w:marLeft w:val="0"/>
          <w:marRight w:val="0"/>
          <w:marTop w:val="0"/>
          <w:marBottom w:val="0"/>
          <w:divBdr>
            <w:top w:val="none" w:sz="0" w:space="0" w:color="auto"/>
            <w:left w:val="none" w:sz="0" w:space="0" w:color="auto"/>
            <w:bottom w:val="none" w:sz="0" w:space="0" w:color="auto"/>
            <w:right w:val="none" w:sz="0" w:space="0" w:color="auto"/>
          </w:divBdr>
        </w:div>
        <w:div w:id="1193032318">
          <w:marLeft w:val="0"/>
          <w:marRight w:val="0"/>
          <w:marTop w:val="0"/>
          <w:marBottom w:val="0"/>
          <w:divBdr>
            <w:top w:val="none" w:sz="0" w:space="0" w:color="auto"/>
            <w:left w:val="none" w:sz="0" w:space="0" w:color="auto"/>
            <w:bottom w:val="none" w:sz="0" w:space="0" w:color="auto"/>
            <w:right w:val="none" w:sz="0" w:space="0" w:color="auto"/>
          </w:divBdr>
        </w:div>
        <w:div w:id="264113508">
          <w:marLeft w:val="0"/>
          <w:marRight w:val="0"/>
          <w:marTop w:val="0"/>
          <w:marBottom w:val="0"/>
          <w:divBdr>
            <w:top w:val="none" w:sz="0" w:space="0" w:color="auto"/>
            <w:left w:val="none" w:sz="0" w:space="0" w:color="auto"/>
            <w:bottom w:val="none" w:sz="0" w:space="0" w:color="auto"/>
            <w:right w:val="none" w:sz="0" w:space="0" w:color="auto"/>
          </w:divBdr>
        </w:div>
      </w:divsChild>
    </w:div>
    <w:div w:id="1485776191">
      <w:bodyDiv w:val="1"/>
      <w:marLeft w:val="0"/>
      <w:marRight w:val="0"/>
      <w:marTop w:val="0"/>
      <w:marBottom w:val="0"/>
      <w:divBdr>
        <w:top w:val="none" w:sz="0" w:space="0" w:color="auto"/>
        <w:left w:val="none" w:sz="0" w:space="0" w:color="auto"/>
        <w:bottom w:val="none" w:sz="0" w:space="0" w:color="auto"/>
        <w:right w:val="none" w:sz="0" w:space="0" w:color="auto"/>
      </w:divBdr>
      <w:divsChild>
        <w:div w:id="1937864968">
          <w:marLeft w:val="0"/>
          <w:marRight w:val="0"/>
          <w:marTop w:val="0"/>
          <w:marBottom w:val="0"/>
          <w:divBdr>
            <w:top w:val="none" w:sz="0" w:space="0" w:color="auto"/>
            <w:left w:val="none" w:sz="0" w:space="0" w:color="auto"/>
            <w:bottom w:val="none" w:sz="0" w:space="0" w:color="auto"/>
            <w:right w:val="none" w:sz="0" w:space="0" w:color="auto"/>
          </w:divBdr>
        </w:div>
        <w:div w:id="1114865266">
          <w:marLeft w:val="0"/>
          <w:marRight w:val="0"/>
          <w:marTop w:val="0"/>
          <w:marBottom w:val="0"/>
          <w:divBdr>
            <w:top w:val="none" w:sz="0" w:space="0" w:color="auto"/>
            <w:left w:val="none" w:sz="0" w:space="0" w:color="auto"/>
            <w:bottom w:val="none" w:sz="0" w:space="0" w:color="auto"/>
            <w:right w:val="none" w:sz="0" w:space="0" w:color="auto"/>
          </w:divBdr>
        </w:div>
        <w:div w:id="2109814674">
          <w:marLeft w:val="0"/>
          <w:marRight w:val="0"/>
          <w:marTop w:val="0"/>
          <w:marBottom w:val="0"/>
          <w:divBdr>
            <w:top w:val="none" w:sz="0" w:space="0" w:color="auto"/>
            <w:left w:val="none" w:sz="0" w:space="0" w:color="auto"/>
            <w:bottom w:val="none" w:sz="0" w:space="0" w:color="auto"/>
            <w:right w:val="none" w:sz="0" w:space="0" w:color="auto"/>
          </w:divBdr>
        </w:div>
        <w:div w:id="2041666422">
          <w:marLeft w:val="0"/>
          <w:marRight w:val="0"/>
          <w:marTop w:val="0"/>
          <w:marBottom w:val="0"/>
          <w:divBdr>
            <w:top w:val="none" w:sz="0" w:space="0" w:color="auto"/>
            <w:left w:val="none" w:sz="0" w:space="0" w:color="auto"/>
            <w:bottom w:val="none" w:sz="0" w:space="0" w:color="auto"/>
            <w:right w:val="none" w:sz="0" w:space="0" w:color="auto"/>
          </w:divBdr>
        </w:div>
      </w:divsChild>
    </w:div>
    <w:div w:id="1550070226">
      <w:bodyDiv w:val="1"/>
      <w:marLeft w:val="0"/>
      <w:marRight w:val="0"/>
      <w:marTop w:val="0"/>
      <w:marBottom w:val="0"/>
      <w:divBdr>
        <w:top w:val="none" w:sz="0" w:space="0" w:color="auto"/>
        <w:left w:val="none" w:sz="0" w:space="0" w:color="auto"/>
        <w:bottom w:val="none" w:sz="0" w:space="0" w:color="auto"/>
        <w:right w:val="none" w:sz="0" w:space="0" w:color="auto"/>
      </w:divBdr>
      <w:divsChild>
        <w:div w:id="1087968419">
          <w:marLeft w:val="0"/>
          <w:marRight w:val="0"/>
          <w:marTop w:val="0"/>
          <w:marBottom w:val="0"/>
          <w:divBdr>
            <w:top w:val="none" w:sz="0" w:space="0" w:color="auto"/>
            <w:left w:val="none" w:sz="0" w:space="0" w:color="auto"/>
            <w:bottom w:val="none" w:sz="0" w:space="0" w:color="auto"/>
            <w:right w:val="none" w:sz="0" w:space="0" w:color="auto"/>
          </w:divBdr>
        </w:div>
        <w:div w:id="859777001">
          <w:marLeft w:val="0"/>
          <w:marRight w:val="0"/>
          <w:marTop w:val="0"/>
          <w:marBottom w:val="0"/>
          <w:divBdr>
            <w:top w:val="none" w:sz="0" w:space="0" w:color="auto"/>
            <w:left w:val="none" w:sz="0" w:space="0" w:color="auto"/>
            <w:bottom w:val="none" w:sz="0" w:space="0" w:color="auto"/>
            <w:right w:val="none" w:sz="0" w:space="0" w:color="auto"/>
          </w:divBdr>
        </w:div>
        <w:div w:id="925916574">
          <w:marLeft w:val="0"/>
          <w:marRight w:val="0"/>
          <w:marTop w:val="0"/>
          <w:marBottom w:val="0"/>
          <w:divBdr>
            <w:top w:val="none" w:sz="0" w:space="0" w:color="auto"/>
            <w:left w:val="none" w:sz="0" w:space="0" w:color="auto"/>
            <w:bottom w:val="none" w:sz="0" w:space="0" w:color="auto"/>
            <w:right w:val="none" w:sz="0" w:space="0" w:color="auto"/>
          </w:divBdr>
        </w:div>
        <w:div w:id="462037647">
          <w:marLeft w:val="0"/>
          <w:marRight w:val="0"/>
          <w:marTop w:val="0"/>
          <w:marBottom w:val="0"/>
          <w:divBdr>
            <w:top w:val="none" w:sz="0" w:space="0" w:color="auto"/>
            <w:left w:val="none" w:sz="0" w:space="0" w:color="auto"/>
            <w:bottom w:val="none" w:sz="0" w:space="0" w:color="auto"/>
            <w:right w:val="none" w:sz="0" w:space="0" w:color="auto"/>
          </w:divBdr>
        </w:div>
        <w:div w:id="1596669037">
          <w:marLeft w:val="0"/>
          <w:marRight w:val="0"/>
          <w:marTop w:val="0"/>
          <w:marBottom w:val="0"/>
          <w:divBdr>
            <w:top w:val="none" w:sz="0" w:space="0" w:color="auto"/>
            <w:left w:val="none" w:sz="0" w:space="0" w:color="auto"/>
            <w:bottom w:val="none" w:sz="0" w:space="0" w:color="auto"/>
            <w:right w:val="none" w:sz="0" w:space="0" w:color="auto"/>
          </w:divBdr>
        </w:div>
        <w:div w:id="728384577">
          <w:marLeft w:val="0"/>
          <w:marRight w:val="0"/>
          <w:marTop w:val="0"/>
          <w:marBottom w:val="0"/>
          <w:divBdr>
            <w:top w:val="none" w:sz="0" w:space="0" w:color="auto"/>
            <w:left w:val="none" w:sz="0" w:space="0" w:color="auto"/>
            <w:bottom w:val="none" w:sz="0" w:space="0" w:color="auto"/>
            <w:right w:val="none" w:sz="0" w:space="0" w:color="auto"/>
          </w:divBdr>
        </w:div>
        <w:div w:id="481654817">
          <w:marLeft w:val="0"/>
          <w:marRight w:val="0"/>
          <w:marTop w:val="0"/>
          <w:marBottom w:val="0"/>
          <w:divBdr>
            <w:top w:val="none" w:sz="0" w:space="0" w:color="auto"/>
            <w:left w:val="none" w:sz="0" w:space="0" w:color="auto"/>
            <w:bottom w:val="none" w:sz="0" w:space="0" w:color="auto"/>
            <w:right w:val="none" w:sz="0" w:space="0" w:color="auto"/>
          </w:divBdr>
        </w:div>
        <w:div w:id="892082522">
          <w:marLeft w:val="0"/>
          <w:marRight w:val="0"/>
          <w:marTop w:val="0"/>
          <w:marBottom w:val="0"/>
          <w:divBdr>
            <w:top w:val="none" w:sz="0" w:space="0" w:color="auto"/>
            <w:left w:val="none" w:sz="0" w:space="0" w:color="auto"/>
            <w:bottom w:val="none" w:sz="0" w:space="0" w:color="auto"/>
            <w:right w:val="none" w:sz="0" w:space="0" w:color="auto"/>
          </w:divBdr>
        </w:div>
        <w:div w:id="476336977">
          <w:marLeft w:val="0"/>
          <w:marRight w:val="0"/>
          <w:marTop w:val="0"/>
          <w:marBottom w:val="0"/>
          <w:divBdr>
            <w:top w:val="none" w:sz="0" w:space="0" w:color="auto"/>
            <w:left w:val="none" w:sz="0" w:space="0" w:color="auto"/>
            <w:bottom w:val="none" w:sz="0" w:space="0" w:color="auto"/>
            <w:right w:val="none" w:sz="0" w:space="0" w:color="auto"/>
          </w:divBdr>
        </w:div>
      </w:divsChild>
    </w:div>
    <w:div w:id="1639413231">
      <w:bodyDiv w:val="1"/>
      <w:marLeft w:val="0"/>
      <w:marRight w:val="0"/>
      <w:marTop w:val="0"/>
      <w:marBottom w:val="0"/>
      <w:divBdr>
        <w:top w:val="none" w:sz="0" w:space="0" w:color="auto"/>
        <w:left w:val="none" w:sz="0" w:space="0" w:color="auto"/>
        <w:bottom w:val="none" w:sz="0" w:space="0" w:color="auto"/>
        <w:right w:val="none" w:sz="0" w:space="0" w:color="auto"/>
      </w:divBdr>
      <w:divsChild>
        <w:div w:id="1156652968">
          <w:marLeft w:val="0"/>
          <w:marRight w:val="0"/>
          <w:marTop w:val="0"/>
          <w:marBottom w:val="0"/>
          <w:divBdr>
            <w:top w:val="none" w:sz="0" w:space="0" w:color="auto"/>
            <w:left w:val="none" w:sz="0" w:space="0" w:color="auto"/>
            <w:bottom w:val="none" w:sz="0" w:space="0" w:color="auto"/>
            <w:right w:val="none" w:sz="0" w:space="0" w:color="auto"/>
          </w:divBdr>
        </w:div>
        <w:div w:id="212086143">
          <w:marLeft w:val="0"/>
          <w:marRight w:val="0"/>
          <w:marTop w:val="0"/>
          <w:marBottom w:val="0"/>
          <w:divBdr>
            <w:top w:val="none" w:sz="0" w:space="0" w:color="auto"/>
            <w:left w:val="none" w:sz="0" w:space="0" w:color="auto"/>
            <w:bottom w:val="none" w:sz="0" w:space="0" w:color="auto"/>
            <w:right w:val="none" w:sz="0" w:space="0" w:color="auto"/>
          </w:divBdr>
        </w:div>
        <w:div w:id="1840264894">
          <w:marLeft w:val="0"/>
          <w:marRight w:val="0"/>
          <w:marTop w:val="0"/>
          <w:marBottom w:val="0"/>
          <w:divBdr>
            <w:top w:val="none" w:sz="0" w:space="0" w:color="auto"/>
            <w:left w:val="none" w:sz="0" w:space="0" w:color="auto"/>
            <w:bottom w:val="none" w:sz="0" w:space="0" w:color="auto"/>
            <w:right w:val="none" w:sz="0" w:space="0" w:color="auto"/>
          </w:divBdr>
        </w:div>
        <w:div w:id="803934645">
          <w:marLeft w:val="0"/>
          <w:marRight w:val="0"/>
          <w:marTop w:val="0"/>
          <w:marBottom w:val="0"/>
          <w:divBdr>
            <w:top w:val="none" w:sz="0" w:space="0" w:color="auto"/>
            <w:left w:val="none" w:sz="0" w:space="0" w:color="auto"/>
            <w:bottom w:val="none" w:sz="0" w:space="0" w:color="auto"/>
            <w:right w:val="none" w:sz="0" w:space="0" w:color="auto"/>
          </w:divBdr>
        </w:div>
        <w:div w:id="1818643730">
          <w:marLeft w:val="0"/>
          <w:marRight w:val="0"/>
          <w:marTop w:val="0"/>
          <w:marBottom w:val="0"/>
          <w:divBdr>
            <w:top w:val="none" w:sz="0" w:space="0" w:color="auto"/>
            <w:left w:val="none" w:sz="0" w:space="0" w:color="auto"/>
            <w:bottom w:val="none" w:sz="0" w:space="0" w:color="auto"/>
            <w:right w:val="none" w:sz="0" w:space="0" w:color="auto"/>
          </w:divBdr>
        </w:div>
        <w:div w:id="1389766381">
          <w:marLeft w:val="0"/>
          <w:marRight w:val="0"/>
          <w:marTop w:val="0"/>
          <w:marBottom w:val="0"/>
          <w:divBdr>
            <w:top w:val="none" w:sz="0" w:space="0" w:color="auto"/>
            <w:left w:val="none" w:sz="0" w:space="0" w:color="auto"/>
            <w:bottom w:val="none" w:sz="0" w:space="0" w:color="auto"/>
            <w:right w:val="none" w:sz="0" w:space="0" w:color="auto"/>
          </w:divBdr>
        </w:div>
      </w:divsChild>
    </w:div>
    <w:div w:id="1667980970">
      <w:bodyDiv w:val="1"/>
      <w:marLeft w:val="0"/>
      <w:marRight w:val="0"/>
      <w:marTop w:val="0"/>
      <w:marBottom w:val="0"/>
      <w:divBdr>
        <w:top w:val="none" w:sz="0" w:space="0" w:color="auto"/>
        <w:left w:val="none" w:sz="0" w:space="0" w:color="auto"/>
        <w:bottom w:val="none" w:sz="0" w:space="0" w:color="auto"/>
        <w:right w:val="none" w:sz="0" w:space="0" w:color="auto"/>
      </w:divBdr>
      <w:divsChild>
        <w:div w:id="1277055848">
          <w:marLeft w:val="0"/>
          <w:marRight w:val="0"/>
          <w:marTop w:val="0"/>
          <w:marBottom w:val="0"/>
          <w:divBdr>
            <w:top w:val="none" w:sz="0" w:space="0" w:color="auto"/>
            <w:left w:val="none" w:sz="0" w:space="0" w:color="auto"/>
            <w:bottom w:val="none" w:sz="0" w:space="0" w:color="auto"/>
            <w:right w:val="none" w:sz="0" w:space="0" w:color="auto"/>
          </w:divBdr>
        </w:div>
        <w:div w:id="1462110944">
          <w:marLeft w:val="0"/>
          <w:marRight w:val="0"/>
          <w:marTop w:val="0"/>
          <w:marBottom w:val="0"/>
          <w:divBdr>
            <w:top w:val="none" w:sz="0" w:space="0" w:color="auto"/>
            <w:left w:val="none" w:sz="0" w:space="0" w:color="auto"/>
            <w:bottom w:val="none" w:sz="0" w:space="0" w:color="auto"/>
            <w:right w:val="none" w:sz="0" w:space="0" w:color="auto"/>
          </w:divBdr>
        </w:div>
        <w:div w:id="1130055544">
          <w:marLeft w:val="0"/>
          <w:marRight w:val="0"/>
          <w:marTop w:val="0"/>
          <w:marBottom w:val="0"/>
          <w:divBdr>
            <w:top w:val="none" w:sz="0" w:space="0" w:color="auto"/>
            <w:left w:val="none" w:sz="0" w:space="0" w:color="auto"/>
            <w:bottom w:val="none" w:sz="0" w:space="0" w:color="auto"/>
            <w:right w:val="none" w:sz="0" w:space="0" w:color="auto"/>
          </w:divBdr>
        </w:div>
        <w:div w:id="1762291603">
          <w:marLeft w:val="0"/>
          <w:marRight w:val="0"/>
          <w:marTop w:val="0"/>
          <w:marBottom w:val="0"/>
          <w:divBdr>
            <w:top w:val="none" w:sz="0" w:space="0" w:color="auto"/>
            <w:left w:val="none" w:sz="0" w:space="0" w:color="auto"/>
            <w:bottom w:val="none" w:sz="0" w:space="0" w:color="auto"/>
            <w:right w:val="none" w:sz="0" w:space="0" w:color="auto"/>
          </w:divBdr>
        </w:div>
        <w:div w:id="2146851877">
          <w:marLeft w:val="0"/>
          <w:marRight w:val="0"/>
          <w:marTop w:val="0"/>
          <w:marBottom w:val="0"/>
          <w:divBdr>
            <w:top w:val="none" w:sz="0" w:space="0" w:color="auto"/>
            <w:left w:val="none" w:sz="0" w:space="0" w:color="auto"/>
            <w:bottom w:val="none" w:sz="0" w:space="0" w:color="auto"/>
            <w:right w:val="none" w:sz="0" w:space="0" w:color="auto"/>
          </w:divBdr>
        </w:div>
        <w:div w:id="727457873">
          <w:marLeft w:val="0"/>
          <w:marRight w:val="0"/>
          <w:marTop w:val="0"/>
          <w:marBottom w:val="0"/>
          <w:divBdr>
            <w:top w:val="none" w:sz="0" w:space="0" w:color="auto"/>
            <w:left w:val="none" w:sz="0" w:space="0" w:color="auto"/>
            <w:bottom w:val="none" w:sz="0" w:space="0" w:color="auto"/>
            <w:right w:val="none" w:sz="0" w:space="0" w:color="auto"/>
          </w:divBdr>
        </w:div>
      </w:divsChild>
    </w:div>
    <w:div w:id="1816726918">
      <w:bodyDiv w:val="1"/>
      <w:marLeft w:val="0"/>
      <w:marRight w:val="0"/>
      <w:marTop w:val="0"/>
      <w:marBottom w:val="0"/>
      <w:divBdr>
        <w:top w:val="none" w:sz="0" w:space="0" w:color="auto"/>
        <w:left w:val="none" w:sz="0" w:space="0" w:color="auto"/>
        <w:bottom w:val="none" w:sz="0" w:space="0" w:color="auto"/>
        <w:right w:val="none" w:sz="0" w:space="0" w:color="auto"/>
      </w:divBdr>
      <w:divsChild>
        <w:div w:id="606886560">
          <w:marLeft w:val="0"/>
          <w:marRight w:val="0"/>
          <w:marTop w:val="0"/>
          <w:marBottom w:val="0"/>
          <w:divBdr>
            <w:top w:val="none" w:sz="0" w:space="0" w:color="auto"/>
            <w:left w:val="none" w:sz="0" w:space="0" w:color="auto"/>
            <w:bottom w:val="none" w:sz="0" w:space="0" w:color="auto"/>
            <w:right w:val="none" w:sz="0" w:space="0" w:color="auto"/>
          </w:divBdr>
        </w:div>
        <w:div w:id="1385832109">
          <w:marLeft w:val="0"/>
          <w:marRight w:val="0"/>
          <w:marTop w:val="0"/>
          <w:marBottom w:val="0"/>
          <w:divBdr>
            <w:top w:val="none" w:sz="0" w:space="0" w:color="auto"/>
            <w:left w:val="none" w:sz="0" w:space="0" w:color="auto"/>
            <w:bottom w:val="none" w:sz="0" w:space="0" w:color="auto"/>
            <w:right w:val="none" w:sz="0" w:space="0" w:color="auto"/>
          </w:divBdr>
        </w:div>
        <w:div w:id="1686906527">
          <w:marLeft w:val="0"/>
          <w:marRight w:val="0"/>
          <w:marTop w:val="0"/>
          <w:marBottom w:val="0"/>
          <w:divBdr>
            <w:top w:val="none" w:sz="0" w:space="0" w:color="auto"/>
            <w:left w:val="none" w:sz="0" w:space="0" w:color="auto"/>
            <w:bottom w:val="none" w:sz="0" w:space="0" w:color="auto"/>
            <w:right w:val="none" w:sz="0" w:space="0" w:color="auto"/>
          </w:divBdr>
        </w:div>
        <w:div w:id="1045451494">
          <w:marLeft w:val="0"/>
          <w:marRight w:val="0"/>
          <w:marTop w:val="0"/>
          <w:marBottom w:val="0"/>
          <w:divBdr>
            <w:top w:val="none" w:sz="0" w:space="0" w:color="auto"/>
            <w:left w:val="none" w:sz="0" w:space="0" w:color="auto"/>
            <w:bottom w:val="none" w:sz="0" w:space="0" w:color="auto"/>
            <w:right w:val="none" w:sz="0" w:space="0" w:color="auto"/>
          </w:divBdr>
        </w:div>
        <w:div w:id="1766463205">
          <w:marLeft w:val="0"/>
          <w:marRight w:val="0"/>
          <w:marTop w:val="0"/>
          <w:marBottom w:val="0"/>
          <w:divBdr>
            <w:top w:val="none" w:sz="0" w:space="0" w:color="auto"/>
            <w:left w:val="none" w:sz="0" w:space="0" w:color="auto"/>
            <w:bottom w:val="none" w:sz="0" w:space="0" w:color="auto"/>
            <w:right w:val="none" w:sz="0" w:space="0" w:color="auto"/>
          </w:divBdr>
        </w:div>
      </w:divsChild>
    </w:div>
    <w:div w:id="2145803358">
      <w:bodyDiv w:val="1"/>
      <w:marLeft w:val="0"/>
      <w:marRight w:val="0"/>
      <w:marTop w:val="0"/>
      <w:marBottom w:val="0"/>
      <w:divBdr>
        <w:top w:val="none" w:sz="0" w:space="0" w:color="auto"/>
        <w:left w:val="none" w:sz="0" w:space="0" w:color="auto"/>
        <w:bottom w:val="none" w:sz="0" w:space="0" w:color="auto"/>
        <w:right w:val="none" w:sz="0" w:space="0" w:color="auto"/>
      </w:divBdr>
      <w:divsChild>
        <w:div w:id="1110470391">
          <w:marLeft w:val="0"/>
          <w:marRight w:val="0"/>
          <w:marTop w:val="0"/>
          <w:marBottom w:val="0"/>
          <w:divBdr>
            <w:top w:val="none" w:sz="0" w:space="0" w:color="auto"/>
            <w:left w:val="none" w:sz="0" w:space="0" w:color="auto"/>
            <w:bottom w:val="none" w:sz="0" w:space="0" w:color="auto"/>
            <w:right w:val="none" w:sz="0" w:space="0" w:color="auto"/>
          </w:divBdr>
        </w:div>
        <w:div w:id="707486289">
          <w:marLeft w:val="0"/>
          <w:marRight w:val="0"/>
          <w:marTop w:val="0"/>
          <w:marBottom w:val="0"/>
          <w:divBdr>
            <w:top w:val="none" w:sz="0" w:space="0" w:color="auto"/>
            <w:left w:val="none" w:sz="0" w:space="0" w:color="auto"/>
            <w:bottom w:val="none" w:sz="0" w:space="0" w:color="auto"/>
            <w:right w:val="none" w:sz="0" w:space="0" w:color="auto"/>
          </w:divBdr>
        </w:div>
        <w:div w:id="1905799314">
          <w:marLeft w:val="0"/>
          <w:marRight w:val="0"/>
          <w:marTop w:val="0"/>
          <w:marBottom w:val="0"/>
          <w:divBdr>
            <w:top w:val="none" w:sz="0" w:space="0" w:color="auto"/>
            <w:left w:val="none" w:sz="0" w:space="0" w:color="auto"/>
            <w:bottom w:val="none" w:sz="0" w:space="0" w:color="auto"/>
            <w:right w:val="none" w:sz="0" w:space="0" w:color="auto"/>
          </w:divBdr>
        </w:div>
        <w:div w:id="1427309160">
          <w:marLeft w:val="0"/>
          <w:marRight w:val="0"/>
          <w:marTop w:val="0"/>
          <w:marBottom w:val="0"/>
          <w:divBdr>
            <w:top w:val="none" w:sz="0" w:space="0" w:color="auto"/>
            <w:left w:val="none" w:sz="0" w:space="0" w:color="auto"/>
            <w:bottom w:val="none" w:sz="0" w:space="0" w:color="auto"/>
            <w:right w:val="none" w:sz="0" w:space="0" w:color="auto"/>
          </w:divBdr>
        </w:div>
        <w:div w:id="1555628321">
          <w:marLeft w:val="0"/>
          <w:marRight w:val="0"/>
          <w:marTop w:val="0"/>
          <w:marBottom w:val="0"/>
          <w:divBdr>
            <w:top w:val="none" w:sz="0" w:space="0" w:color="auto"/>
            <w:left w:val="none" w:sz="0" w:space="0" w:color="auto"/>
            <w:bottom w:val="none" w:sz="0" w:space="0" w:color="auto"/>
            <w:right w:val="none" w:sz="0" w:space="0" w:color="auto"/>
          </w:divBdr>
        </w:div>
        <w:div w:id="1289510992">
          <w:marLeft w:val="0"/>
          <w:marRight w:val="0"/>
          <w:marTop w:val="0"/>
          <w:marBottom w:val="0"/>
          <w:divBdr>
            <w:top w:val="none" w:sz="0" w:space="0" w:color="auto"/>
            <w:left w:val="none" w:sz="0" w:space="0" w:color="auto"/>
            <w:bottom w:val="none" w:sz="0" w:space="0" w:color="auto"/>
            <w:right w:val="none" w:sz="0" w:space="0" w:color="auto"/>
          </w:divBdr>
        </w:div>
      </w:divsChild>
    </w:div>
    <w:div w:id="2146120180">
      <w:bodyDiv w:val="1"/>
      <w:marLeft w:val="0"/>
      <w:marRight w:val="0"/>
      <w:marTop w:val="0"/>
      <w:marBottom w:val="0"/>
      <w:divBdr>
        <w:top w:val="none" w:sz="0" w:space="0" w:color="auto"/>
        <w:left w:val="none" w:sz="0" w:space="0" w:color="auto"/>
        <w:bottom w:val="none" w:sz="0" w:space="0" w:color="auto"/>
        <w:right w:val="none" w:sz="0" w:space="0" w:color="auto"/>
      </w:divBdr>
      <w:divsChild>
        <w:div w:id="541283967">
          <w:marLeft w:val="0"/>
          <w:marRight w:val="0"/>
          <w:marTop w:val="0"/>
          <w:marBottom w:val="0"/>
          <w:divBdr>
            <w:top w:val="none" w:sz="0" w:space="0" w:color="auto"/>
            <w:left w:val="none" w:sz="0" w:space="0" w:color="auto"/>
            <w:bottom w:val="none" w:sz="0" w:space="0" w:color="auto"/>
            <w:right w:val="none" w:sz="0" w:space="0" w:color="auto"/>
          </w:divBdr>
        </w:div>
        <w:div w:id="1905481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BUDGET\PBC%2024(S).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ipogvafs01\DAT2\ORGLAN\SHARED\LANS\Meetings\wo_pbc_24_7_Analysis%20for%20translators_37672_ES_solo_poo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ipogvafs01\DAT2\ORGLAN\SHARED\LANS\Meetings\wo_pbc_24_7_Analysis%20for%20translators_37672_ES_solo_poo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ipogvafs01\DAT2\ORGLAN\SHARED\LANS\Meetings\wo_pbc_24_7_Analysis%20for%20translators_37672_ES_solo_poo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ipogvafs01\DAT2\ORGLAN\SHARED\LANS\Meetings\wo_pbc_24_7_Analysis%20for%20translators_37672_ES_solo_poo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ipogvafs01\DAT2\ORGLAN\SHARED\LANS\Meetings\wo_pbc_24_7_Analysis%20for%20translators_37672_ES_solo_poo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Informes,</a:t>
            </a:r>
            <a:r>
              <a:rPr lang="en-US" sz="1000" baseline="0"/>
              <a:t> notas y cartas sobre asuntos de gestión de la DCI</a:t>
            </a:r>
            <a:endParaRPr lang="en-US" sz="1000"/>
          </a:p>
        </c:rich>
      </c:tx>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5.3889063867016626E-2"/>
          <c:y val="7.6738597520557783E-2"/>
          <c:w val="0.92166649168853898"/>
          <c:h val="0.78923925463256417"/>
        </c:manualLayout>
      </c:layout>
      <c:bar3DChart>
        <c:barDir val="col"/>
        <c:grouping val="clustered"/>
        <c:varyColors val="0"/>
        <c:ser>
          <c:idx val="0"/>
          <c:order val="0"/>
          <c:tx>
            <c:strRef>
              <c:f>charts!$A$10</c:f>
              <c:strCache>
                <c:ptCount val="1"/>
                <c:pt idx="0">
                  <c:v>Informes, notas y cartas sobre asuntos de gestión de la DCI</c:v>
                </c:pt>
              </c:strCache>
            </c:strRef>
          </c:tx>
          <c:spPr>
            <a:solidFill>
              <a:schemeClr val="accent4">
                <a:lumMod val="60000"/>
                <a:lumOff val="40000"/>
              </a:schemeClr>
            </a:solidFill>
          </c:spPr>
          <c:invertIfNegative val="0"/>
          <c:dLbls>
            <c:txPr>
              <a:bodyPr/>
              <a:lstStyle/>
              <a:p>
                <a:pPr>
                  <a:defRPr sz="800" b="1" i="1"/>
                </a:pPr>
                <a:endParaRPr lang="en-US"/>
              </a:p>
            </c:txPr>
            <c:showLegendKey val="0"/>
            <c:showVal val="1"/>
            <c:showCatName val="0"/>
            <c:showSerName val="0"/>
            <c:showPercent val="0"/>
            <c:showBubbleSize val="0"/>
            <c:showLeaderLines val="0"/>
          </c:dLbls>
          <c:cat>
            <c:numRef>
              <c:f>charts!$B$9:$F$9</c:f>
              <c:numCache>
                <c:formatCode>General</c:formatCode>
                <c:ptCount val="5"/>
                <c:pt idx="0">
                  <c:v>2010</c:v>
                </c:pt>
                <c:pt idx="1">
                  <c:v>2011</c:v>
                </c:pt>
                <c:pt idx="2">
                  <c:v>2012</c:v>
                </c:pt>
                <c:pt idx="3">
                  <c:v>2013</c:v>
                </c:pt>
                <c:pt idx="4">
                  <c:v>2014</c:v>
                </c:pt>
              </c:numCache>
            </c:numRef>
          </c:cat>
          <c:val>
            <c:numRef>
              <c:f>charts!$B$10:$F$10</c:f>
              <c:numCache>
                <c:formatCode>General</c:formatCode>
                <c:ptCount val="5"/>
                <c:pt idx="0">
                  <c:v>11</c:v>
                </c:pt>
                <c:pt idx="1">
                  <c:v>12</c:v>
                </c:pt>
                <c:pt idx="2">
                  <c:v>17</c:v>
                </c:pt>
                <c:pt idx="3">
                  <c:v>7</c:v>
                </c:pt>
                <c:pt idx="4">
                  <c:v>10</c:v>
                </c:pt>
              </c:numCache>
            </c:numRef>
          </c:val>
        </c:ser>
        <c:ser>
          <c:idx val="1"/>
          <c:order val="1"/>
          <c:tx>
            <c:strRef>
              <c:f>charts!$A$11</c:f>
              <c:strCache>
                <c:ptCount val="1"/>
                <c:pt idx="0">
                  <c:v>Informes aplicables a la OMPI</c:v>
                </c:pt>
              </c:strCache>
            </c:strRef>
          </c:tx>
          <c:spPr>
            <a:solidFill>
              <a:schemeClr val="accent6">
                <a:lumMod val="40000"/>
                <a:lumOff val="60000"/>
              </a:schemeClr>
            </a:solidFill>
          </c:spPr>
          <c:invertIfNegative val="0"/>
          <c:dLbls>
            <c:txPr>
              <a:bodyPr/>
              <a:lstStyle/>
              <a:p>
                <a:pPr>
                  <a:defRPr sz="800" b="1" i="1"/>
                </a:pPr>
                <a:endParaRPr lang="en-US"/>
              </a:p>
            </c:txPr>
            <c:showLegendKey val="0"/>
            <c:showVal val="1"/>
            <c:showCatName val="0"/>
            <c:showSerName val="0"/>
            <c:showPercent val="0"/>
            <c:showBubbleSize val="0"/>
            <c:showLeaderLines val="0"/>
          </c:dLbls>
          <c:cat>
            <c:numRef>
              <c:f>charts!$B$9:$F$9</c:f>
              <c:numCache>
                <c:formatCode>General</c:formatCode>
                <c:ptCount val="5"/>
                <c:pt idx="0">
                  <c:v>2010</c:v>
                </c:pt>
                <c:pt idx="1">
                  <c:v>2011</c:v>
                </c:pt>
                <c:pt idx="2">
                  <c:v>2012</c:v>
                </c:pt>
                <c:pt idx="3">
                  <c:v>2013</c:v>
                </c:pt>
                <c:pt idx="4">
                  <c:v>2014</c:v>
                </c:pt>
              </c:numCache>
            </c:numRef>
          </c:cat>
          <c:val>
            <c:numRef>
              <c:f>charts!$B$11:$F$11</c:f>
              <c:numCache>
                <c:formatCode>General</c:formatCode>
                <c:ptCount val="5"/>
                <c:pt idx="0">
                  <c:v>8</c:v>
                </c:pt>
                <c:pt idx="1">
                  <c:v>7</c:v>
                </c:pt>
                <c:pt idx="2">
                  <c:v>7</c:v>
                </c:pt>
                <c:pt idx="3">
                  <c:v>1</c:v>
                </c:pt>
                <c:pt idx="4">
                  <c:v>7</c:v>
                </c:pt>
              </c:numCache>
            </c:numRef>
          </c:val>
        </c:ser>
        <c:dLbls>
          <c:showLegendKey val="0"/>
          <c:showVal val="0"/>
          <c:showCatName val="0"/>
          <c:showSerName val="0"/>
          <c:showPercent val="0"/>
          <c:showBubbleSize val="0"/>
        </c:dLbls>
        <c:gapWidth val="150"/>
        <c:shape val="box"/>
        <c:axId val="78256384"/>
        <c:axId val="78299136"/>
        <c:axId val="0"/>
      </c:bar3DChart>
      <c:catAx>
        <c:axId val="78256384"/>
        <c:scaling>
          <c:orientation val="minMax"/>
        </c:scaling>
        <c:delete val="0"/>
        <c:axPos val="b"/>
        <c:numFmt formatCode="General" sourceLinked="1"/>
        <c:majorTickMark val="out"/>
        <c:minorTickMark val="none"/>
        <c:tickLblPos val="nextTo"/>
        <c:crossAx val="78299136"/>
        <c:crosses val="autoZero"/>
        <c:auto val="1"/>
        <c:lblAlgn val="ctr"/>
        <c:lblOffset val="100"/>
        <c:noMultiLvlLbl val="0"/>
      </c:catAx>
      <c:valAx>
        <c:axId val="78299136"/>
        <c:scaling>
          <c:orientation val="minMax"/>
        </c:scaling>
        <c:delete val="0"/>
        <c:axPos val="l"/>
        <c:majorGridlines>
          <c:spPr>
            <a:ln>
              <a:noFill/>
            </a:ln>
          </c:spPr>
        </c:majorGridlines>
        <c:numFmt formatCode="General" sourceLinked="1"/>
        <c:majorTickMark val="out"/>
        <c:minorTickMark val="none"/>
        <c:tickLblPos val="nextTo"/>
        <c:crossAx val="78256384"/>
        <c:crosses val="autoZero"/>
        <c:crossBetween val="between"/>
      </c:valAx>
    </c:plotArea>
    <c:legend>
      <c:legendPos val="b"/>
      <c:layout/>
      <c:overlay val="0"/>
    </c:legend>
    <c:plotVisOnly val="1"/>
    <c:dispBlanksAs val="gap"/>
    <c:showDLblsOverMax val="0"/>
  </c:chart>
  <c:txPr>
    <a:bodyPr/>
    <a:lstStyle/>
    <a:p>
      <a:pPr>
        <a:defRPr sz="900" baseline="0">
          <a:latin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1500317242953327"/>
          <c:y val="0.12681159420289856"/>
          <c:w val="0.85948958119365515"/>
          <c:h val="0.71402345087298869"/>
        </c:manualLayout>
      </c:layout>
      <c:bar3DChart>
        <c:barDir val="col"/>
        <c:grouping val="clustered"/>
        <c:varyColors val="0"/>
        <c:ser>
          <c:idx val="0"/>
          <c:order val="0"/>
          <c:tx>
            <c:strRef>
              <c:f>'annual progress'!$B$37</c:f>
              <c:strCache>
                <c:ptCount val="1"/>
                <c:pt idx="0">
                  <c:v>nuevas</c:v>
                </c:pt>
              </c:strCache>
            </c:strRef>
          </c:tx>
          <c:spPr>
            <a:solidFill>
              <a:schemeClr val="accent6">
                <a:lumMod val="40000"/>
                <a:lumOff val="60000"/>
              </a:schemeClr>
            </a:solidFill>
          </c:spPr>
          <c:invertIfNegative val="0"/>
          <c:dLbls>
            <c:txPr>
              <a:bodyPr/>
              <a:lstStyle/>
              <a:p>
                <a:pPr>
                  <a:defRPr sz="800" b="1" i="1" baseline="0"/>
                </a:pPr>
                <a:endParaRPr lang="en-US"/>
              </a:p>
            </c:txPr>
            <c:showLegendKey val="0"/>
            <c:showVal val="1"/>
            <c:showCatName val="0"/>
            <c:showSerName val="0"/>
            <c:showPercent val="0"/>
            <c:showBubbleSize val="0"/>
            <c:showLeaderLines val="0"/>
          </c:dLbls>
          <c:cat>
            <c:numRef>
              <c:f>'annual progress'!$C$36:$G$36</c:f>
              <c:numCache>
                <c:formatCode>General</c:formatCode>
                <c:ptCount val="5"/>
                <c:pt idx="0">
                  <c:v>2010</c:v>
                </c:pt>
                <c:pt idx="1">
                  <c:v>2011</c:v>
                </c:pt>
                <c:pt idx="2">
                  <c:v>2012</c:v>
                </c:pt>
                <c:pt idx="3">
                  <c:v>2013</c:v>
                </c:pt>
                <c:pt idx="4">
                  <c:v>2014</c:v>
                </c:pt>
              </c:numCache>
            </c:numRef>
          </c:cat>
          <c:val>
            <c:numRef>
              <c:f>'annual progress'!$C$37:$G$37</c:f>
              <c:numCache>
                <c:formatCode>#,##0_);\(#,##0\);" "</c:formatCode>
                <c:ptCount val="5"/>
                <c:pt idx="0">
                  <c:v>65</c:v>
                </c:pt>
                <c:pt idx="1">
                  <c:v>46</c:v>
                </c:pt>
                <c:pt idx="2">
                  <c:v>41</c:v>
                </c:pt>
                <c:pt idx="3">
                  <c:v>5</c:v>
                </c:pt>
                <c:pt idx="4">
                  <c:v>43</c:v>
                </c:pt>
              </c:numCache>
            </c:numRef>
          </c:val>
        </c:ser>
        <c:ser>
          <c:idx val="1"/>
          <c:order val="1"/>
          <c:tx>
            <c:strRef>
              <c:f>'annual progress'!$B$38</c:f>
              <c:strCache>
                <c:ptCount val="1"/>
                <c:pt idx="0">
                  <c:v>aplicadas</c:v>
                </c:pt>
              </c:strCache>
            </c:strRef>
          </c:tx>
          <c:spPr>
            <a:solidFill>
              <a:srgbClr val="92D050"/>
            </a:solidFill>
          </c:spPr>
          <c:invertIfNegative val="0"/>
          <c:dLbls>
            <c:dLbl>
              <c:idx val="2"/>
              <c:layout>
                <c:manualLayout>
                  <c:x val="6.956521739130435E-3"/>
                  <c:y val="-1.0869565217391304E-2"/>
                </c:manualLayout>
              </c:layout>
              <c:showLegendKey val="0"/>
              <c:showVal val="1"/>
              <c:showCatName val="0"/>
              <c:showSerName val="0"/>
              <c:showPercent val="0"/>
              <c:showBubbleSize val="0"/>
            </c:dLbl>
            <c:txPr>
              <a:bodyPr/>
              <a:lstStyle/>
              <a:p>
                <a:pPr>
                  <a:defRPr sz="800" b="1" i="1" baseline="0"/>
                </a:pPr>
                <a:endParaRPr lang="en-US"/>
              </a:p>
            </c:txPr>
            <c:showLegendKey val="0"/>
            <c:showVal val="1"/>
            <c:showCatName val="0"/>
            <c:showSerName val="0"/>
            <c:showPercent val="0"/>
            <c:showBubbleSize val="0"/>
            <c:showLeaderLines val="0"/>
          </c:dLbls>
          <c:cat>
            <c:numRef>
              <c:f>'annual progress'!$C$36:$G$36</c:f>
              <c:numCache>
                <c:formatCode>General</c:formatCode>
                <c:ptCount val="5"/>
                <c:pt idx="0">
                  <c:v>2010</c:v>
                </c:pt>
                <c:pt idx="1">
                  <c:v>2011</c:v>
                </c:pt>
                <c:pt idx="2">
                  <c:v>2012</c:v>
                </c:pt>
                <c:pt idx="3">
                  <c:v>2013</c:v>
                </c:pt>
                <c:pt idx="4">
                  <c:v>2014</c:v>
                </c:pt>
              </c:numCache>
            </c:numRef>
          </c:cat>
          <c:val>
            <c:numRef>
              <c:f>'annual progress'!$C$38:$G$38</c:f>
              <c:numCache>
                <c:formatCode>#,##0_);\(#,##0\);" "</c:formatCode>
                <c:ptCount val="5"/>
                <c:pt idx="0">
                  <c:v>0</c:v>
                </c:pt>
                <c:pt idx="1">
                  <c:v>0</c:v>
                </c:pt>
                <c:pt idx="2">
                  <c:v>37</c:v>
                </c:pt>
                <c:pt idx="3">
                  <c:v>20</c:v>
                </c:pt>
                <c:pt idx="4">
                  <c:v>66</c:v>
                </c:pt>
              </c:numCache>
            </c:numRef>
          </c:val>
        </c:ser>
        <c:ser>
          <c:idx val="2"/>
          <c:order val="2"/>
          <c:tx>
            <c:strRef>
              <c:f>'annual progress'!$B$39</c:f>
              <c:strCache>
                <c:ptCount val="1"/>
                <c:pt idx="0">
                  <c:v>pendientes</c:v>
                </c:pt>
              </c:strCache>
            </c:strRef>
          </c:tx>
          <c:spPr>
            <a:solidFill>
              <a:srgbClr val="C00000"/>
            </a:solidFill>
          </c:spPr>
          <c:invertIfNegative val="0"/>
          <c:dLbls>
            <c:txPr>
              <a:bodyPr/>
              <a:lstStyle/>
              <a:p>
                <a:pPr>
                  <a:defRPr sz="800" b="1" i="1" baseline="0"/>
                </a:pPr>
                <a:endParaRPr lang="en-US"/>
              </a:p>
            </c:txPr>
            <c:showLegendKey val="0"/>
            <c:showVal val="1"/>
            <c:showCatName val="0"/>
            <c:showSerName val="0"/>
            <c:showPercent val="0"/>
            <c:showBubbleSize val="0"/>
            <c:showLeaderLines val="0"/>
          </c:dLbls>
          <c:cat>
            <c:numRef>
              <c:f>'annual progress'!$C$36:$G$36</c:f>
              <c:numCache>
                <c:formatCode>General</c:formatCode>
                <c:ptCount val="5"/>
                <c:pt idx="0">
                  <c:v>2010</c:v>
                </c:pt>
                <c:pt idx="1">
                  <c:v>2011</c:v>
                </c:pt>
                <c:pt idx="2">
                  <c:v>2012</c:v>
                </c:pt>
                <c:pt idx="3">
                  <c:v>2013</c:v>
                </c:pt>
                <c:pt idx="4">
                  <c:v>2014</c:v>
                </c:pt>
              </c:numCache>
            </c:numRef>
          </c:cat>
          <c:val>
            <c:numRef>
              <c:f>'annual progress'!$C$39:$G$39</c:f>
              <c:numCache>
                <c:formatCode>#,##0_);\(#,##0\);" "</c:formatCode>
                <c:ptCount val="5"/>
                <c:pt idx="0">
                  <c:v>65</c:v>
                </c:pt>
                <c:pt idx="1">
                  <c:v>111</c:v>
                </c:pt>
                <c:pt idx="2">
                  <c:v>115</c:v>
                </c:pt>
                <c:pt idx="3">
                  <c:v>100</c:v>
                </c:pt>
                <c:pt idx="4">
                  <c:v>77</c:v>
                </c:pt>
              </c:numCache>
            </c:numRef>
          </c:val>
        </c:ser>
        <c:dLbls>
          <c:showLegendKey val="0"/>
          <c:showVal val="0"/>
          <c:showCatName val="0"/>
          <c:showSerName val="0"/>
          <c:showPercent val="0"/>
          <c:showBubbleSize val="0"/>
        </c:dLbls>
        <c:gapWidth val="150"/>
        <c:shape val="box"/>
        <c:axId val="79907840"/>
        <c:axId val="79917824"/>
        <c:axId val="0"/>
      </c:bar3DChart>
      <c:catAx>
        <c:axId val="79907840"/>
        <c:scaling>
          <c:orientation val="minMax"/>
        </c:scaling>
        <c:delete val="0"/>
        <c:axPos val="b"/>
        <c:numFmt formatCode="General" sourceLinked="1"/>
        <c:majorTickMark val="out"/>
        <c:minorTickMark val="none"/>
        <c:tickLblPos val="nextTo"/>
        <c:crossAx val="79917824"/>
        <c:crosses val="autoZero"/>
        <c:auto val="1"/>
        <c:lblAlgn val="ctr"/>
        <c:lblOffset val="100"/>
        <c:noMultiLvlLbl val="0"/>
      </c:catAx>
      <c:valAx>
        <c:axId val="79917824"/>
        <c:scaling>
          <c:orientation val="minMax"/>
        </c:scaling>
        <c:delete val="0"/>
        <c:axPos val="l"/>
        <c:majorGridlines>
          <c:spPr>
            <a:ln>
              <a:noFill/>
            </a:ln>
          </c:spPr>
        </c:majorGridlines>
        <c:title>
          <c:tx>
            <c:rich>
              <a:bodyPr rot="-5400000" vert="horz"/>
              <a:lstStyle/>
              <a:p>
                <a:pPr>
                  <a:defRPr/>
                </a:pPr>
                <a:r>
                  <a:rPr lang="en-US"/>
                  <a:t>Número de recomendaciones</a:t>
                </a:r>
              </a:p>
            </c:rich>
          </c:tx>
          <c:layout/>
          <c:overlay val="0"/>
        </c:title>
        <c:numFmt formatCode="#,##0_);\(#,##0\);&quot; &quot;" sourceLinked="1"/>
        <c:majorTickMark val="out"/>
        <c:minorTickMark val="none"/>
        <c:tickLblPos val="nextTo"/>
        <c:crossAx val="79907840"/>
        <c:crosses val="autoZero"/>
        <c:crossBetween val="between"/>
      </c:valAx>
    </c:plotArea>
    <c:legend>
      <c:legendPos val="b"/>
      <c:layout/>
      <c:overlay val="0"/>
    </c:legend>
    <c:plotVisOnly val="1"/>
    <c:dispBlanksAs val="gap"/>
    <c:showDLblsOverMax val="0"/>
  </c:chart>
  <c:txPr>
    <a:bodyPr/>
    <a:lstStyle/>
    <a:p>
      <a:pPr>
        <a:defRPr sz="900" baseline="0">
          <a:latin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4025866024524067"/>
          <c:y val="0.122385245369623"/>
          <c:w val="0.75378799065598956"/>
          <c:h val="0.72704810310844237"/>
        </c:manualLayout>
      </c:layout>
      <c:pie3DChart>
        <c:varyColors val="1"/>
        <c:ser>
          <c:idx val="0"/>
          <c:order val="0"/>
          <c:explosion val="25"/>
          <c:dLbls>
            <c:dLbl>
              <c:idx val="0"/>
              <c:layout>
                <c:manualLayout>
                  <c:x val="2.7444248917176714E-2"/>
                  <c:y val="-2.4658730383272671E-2"/>
                </c:manualLayout>
              </c:layout>
              <c:dLblPos val="bestFit"/>
              <c:showLegendKey val="0"/>
              <c:showVal val="0"/>
              <c:showCatName val="1"/>
              <c:showSerName val="0"/>
              <c:showPercent val="1"/>
              <c:showBubbleSize val="0"/>
            </c:dLbl>
            <c:dLbl>
              <c:idx val="1"/>
              <c:layout>
                <c:manualLayout>
                  <c:x val="3.6514118792599803E-2"/>
                  <c:y val="2.8181269231220534E-2"/>
                </c:manualLayout>
              </c:layout>
              <c:dLblPos val="bestFit"/>
              <c:showLegendKey val="0"/>
              <c:showVal val="0"/>
              <c:showCatName val="1"/>
              <c:showSerName val="0"/>
              <c:showPercent val="1"/>
              <c:showBubbleSize val="0"/>
            </c:dLbl>
            <c:dLbl>
              <c:idx val="2"/>
              <c:layout>
                <c:manualLayout>
                  <c:x val="4.1166373375765092E-2"/>
                  <c:y val="9.8634921533090683E-2"/>
                </c:manualLayout>
              </c:layout>
              <c:dLblPos val="bestFit"/>
              <c:showLegendKey val="0"/>
              <c:showVal val="0"/>
              <c:showCatName val="1"/>
              <c:showSerName val="0"/>
              <c:showPercent val="1"/>
              <c:showBubbleSize val="0"/>
            </c:dLbl>
            <c:dLbl>
              <c:idx val="3"/>
              <c:layout>
                <c:manualLayout>
                  <c:x val="-2.0583186687882535E-2"/>
                  <c:y val="-1.0568027307116859E-2"/>
                </c:manualLayout>
              </c:layout>
              <c:dLblPos val="bestFit"/>
              <c:showLegendKey val="0"/>
              <c:showVal val="0"/>
              <c:showCatName val="1"/>
              <c:showSerName val="0"/>
              <c:showPercent val="1"/>
              <c:showBubbleSize val="0"/>
            </c:dLbl>
            <c:dLbl>
              <c:idx val="4"/>
              <c:layout>
                <c:manualLayout>
                  <c:x val="1.6009145201686416E-2"/>
                  <c:y val="-4.2272109228467435E-2"/>
                </c:manualLayout>
              </c:layout>
              <c:dLblPos val="bestFit"/>
              <c:showLegendKey val="0"/>
              <c:showVal val="0"/>
              <c:showCatName val="1"/>
              <c:showSerName val="0"/>
              <c:showPercent val="1"/>
              <c:showBubbleSize val="0"/>
            </c:dLbl>
            <c:txPr>
              <a:bodyPr/>
              <a:lstStyle/>
              <a:p>
                <a:pPr>
                  <a:defRPr sz="800" b="1" i="1" baseline="0"/>
                </a:pPr>
                <a:endParaRPr lang="en-US"/>
              </a:p>
            </c:txPr>
            <c:dLblPos val="outEnd"/>
            <c:showLegendKey val="0"/>
            <c:showVal val="0"/>
            <c:showCatName val="1"/>
            <c:showSerName val="0"/>
            <c:showPercent val="1"/>
            <c:showBubbleSize val="0"/>
            <c:showLeaderLines val="1"/>
          </c:dLbls>
          <c:cat>
            <c:strRef>
              <c:f>charts!$B$1:$F$1</c:f>
              <c:strCache>
                <c:ptCount val="5"/>
                <c:pt idx="0">
                  <c:v>Aplicadas</c:v>
                </c:pt>
                <c:pt idx="1">
                  <c:v>En curso</c:v>
                </c:pt>
                <c:pt idx="2">
                  <c:v>No pertinentes</c:v>
                </c:pt>
                <c:pt idx="3">
                  <c:v>No aceptadas</c:v>
                </c:pt>
                <c:pt idx="4">
                  <c:v>En examen </c:v>
                </c:pt>
              </c:strCache>
            </c:strRef>
          </c:cat>
          <c:val>
            <c:numRef>
              <c:f>charts!$B$2:$F$2</c:f>
              <c:numCache>
                <c:formatCode>General</c:formatCode>
                <c:ptCount val="5"/>
                <c:pt idx="0">
                  <c:v>46</c:v>
                </c:pt>
                <c:pt idx="1">
                  <c:v>51</c:v>
                </c:pt>
                <c:pt idx="2">
                  <c:v>8</c:v>
                </c:pt>
                <c:pt idx="3">
                  <c:v>3</c:v>
                </c:pt>
                <c:pt idx="4">
                  <c:v>49</c:v>
                </c:pt>
              </c:numCache>
            </c:numRef>
          </c:val>
        </c:ser>
        <c:dLbls>
          <c:showLegendKey val="0"/>
          <c:showVal val="0"/>
          <c:showCatName val="0"/>
          <c:showSerName val="0"/>
          <c:showPercent val="0"/>
          <c:showBubbleSize val="0"/>
          <c:showLeaderLines val="1"/>
        </c:dLbls>
      </c:pie3DChart>
    </c:plotArea>
    <c:plotVisOnly val="1"/>
    <c:dispBlanksAs val="gap"/>
    <c:showDLblsOverMax val="0"/>
  </c:chart>
  <c:txPr>
    <a:bodyPr/>
    <a:lstStyle/>
    <a:p>
      <a:pPr>
        <a:defRPr b="1" i="0" baseline="0">
          <a:latin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3864818024263431"/>
          <c:y val="0.1825503098451183"/>
          <c:w val="0.77585210860774123"/>
          <c:h val="0.75302016903307523"/>
        </c:manualLayout>
      </c:layout>
      <c:pie3DChart>
        <c:varyColors val="1"/>
        <c:ser>
          <c:idx val="0"/>
          <c:order val="0"/>
          <c:explosion val="25"/>
          <c:dLbls>
            <c:dLbl>
              <c:idx val="0"/>
              <c:layout>
                <c:manualLayout>
                  <c:x val="-2.0797227036395149E-2"/>
                  <c:y val="0.16465293880069209"/>
                </c:manualLayout>
              </c:layout>
              <c:dLblPos val="bestFit"/>
              <c:showLegendKey val="0"/>
              <c:showVal val="0"/>
              <c:showCatName val="1"/>
              <c:showSerName val="0"/>
              <c:showPercent val="1"/>
              <c:showBubbleSize val="0"/>
            </c:dLbl>
            <c:dLbl>
              <c:idx val="1"/>
              <c:layout>
                <c:manualLayout>
                  <c:x val="2.7729636048526851E-2"/>
                  <c:y val="8.590602816240861E-2"/>
                </c:manualLayout>
              </c:layout>
              <c:dLblPos val="bestFit"/>
              <c:showLegendKey val="0"/>
              <c:showVal val="0"/>
              <c:showCatName val="1"/>
              <c:showSerName val="0"/>
              <c:showPercent val="1"/>
              <c:showBubbleSize val="0"/>
            </c:dLbl>
            <c:dLbl>
              <c:idx val="2"/>
              <c:layout>
                <c:manualLayout>
                  <c:x val="-2.0797227036395145E-2"/>
                  <c:y val="6.4429521121806457E-2"/>
                </c:manualLayout>
              </c:layout>
              <c:dLblPos val="bestFit"/>
              <c:showLegendKey val="0"/>
              <c:showVal val="0"/>
              <c:showCatName val="1"/>
              <c:showSerName val="0"/>
              <c:showPercent val="1"/>
              <c:showBubbleSize val="0"/>
            </c:dLbl>
            <c:dLbl>
              <c:idx val="3"/>
              <c:layout>
                <c:manualLayout>
                  <c:x val="-1.6175621028307337E-2"/>
                  <c:y val="-5.0111849761405022E-2"/>
                </c:manualLayout>
              </c:layout>
              <c:dLblPos val="bestFit"/>
              <c:showLegendKey val="0"/>
              <c:showVal val="0"/>
              <c:showCatName val="1"/>
              <c:showSerName val="0"/>
              <c:showPercent val="1"/>
              <c:showBubbleSize val="0"/>
            </c:dLbl>
            <c:dLbl>
              <c:idx val="4"/>
              <c:layout>
                <c:manualLayout>
                  <c:x val="2.7729636048526841E-2"/>
                  <c:y val="-1.0738253520301076E-2"/>
                </c:manualLayout>
              </c:layout>
              <c:dLblPos val="bestFit"/>
              <c:showLegendKey val="0"/>
              <c:showVal val="0"/>
              <c:showCatName val="1"/>
              <c:showSerName val="0"/>
              <c:showPercent val="1"/>
              <c:showBubbleSize val="0"/>
            </c:dLbl>
            <c:txPr>
              <a:bodyPr/>
              <a:lstStyle/>
              <a:p>
                <a:pPr>
                  <a:defRPr sz="800" b="1" i="1" baseline="0">
                    <a:latin typeface="Arial" panose="020B0604020202020204" pitchFamily="34" charset="0"/>
                  </a:defRPr>
                </a:pPr>
                <a:endParaRPr lang="en-US"/>
              </a:p>
            </c:txPr>
            <c:dLblPos val="outEnd"/>
            <c:showLegendKey val="0"/>
            <c:showVal val="0"/>
            <c:showCatName val="1"/>
            <c:showSerName val="0"/>
            <c:showPercent val="1"/>
            <c:showBubbleSize val="0"/>
            <c:showLeaderLines val="1"/>
          </c:dLbls>
          <c:cat>
            <c:strRef>
              <c:f>charts!$B$3:$F$3</c:f>
              <c:strCache>
                <c:ptCount val="5"/>
                <c:pt idx="0">
                  <c:v>Aplicadas</c:v>
                </c:pt>
                <c:pt idx="1">
                  <c:v>En curso</c:v>
                </c:pt>
                <c:pt idx="2">
                  <c:v>No pertinentes</c:v>
                </c:pt>
                <c:pt idx="3">
                  <c:v>No aceptadas</c:v>
                </c:pt>
                <c:pt idx="4">
                  <c:v>En examen</c:v>
                </c:pt>
              </c:strCache>
            </c:strRef>
          </c:cat>
          <c:val>
            <c:numRef>
              <c:f>charts!$B$4:$F$4</c:f>
              <c:numCache>
                <c:formatCode>General</c:formatCode>
                <c:ptCount val="5"/>
                <c:pt idx="0">
                  <c:v>110</c:v>
                </c:pt>
                <c:pt idx="1">
                  <c:v>20</c:v>
                </c:pt>
                <c:pt idx="2">
                  <c:v>10</c:v>
                </c:pt>
                <c:pt idx="3">
                  <c:v>3</c:v>
                </c:pt>
                <c:pt idx="4">
                  <c:v>57</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'annual progress'!$I$43</c:f>
              <c:strCache>
                <c:ptCount val="1"/>
                <c:pt idx="0">
                  <c:v>nuevas</c:v>
                </c:pt>
              </c:strCache>
            </c:strRef>
          </c:tx>
          <c:invertIfNegative val="0"/>
          <c:dLbls>
            <c:txPr>
              <a:bodyPr/>
              <a:lstStyle/>
              <a:p>
                <a:pPr>
                  <a:defRPr sz="800" b="1" i="1"/>
                </a:pPr>
                <a:endParaRPr lang="en-US"/>
              </a:p>
            </c:txPr>
            <c:showLegendKey val="0"/>
            <c:showVal val="1"/>
            <c:showCatName val="0"/>
            <c:showSerName val="0"/>
            <c:showPercent val="0"/>
            <c:showBubbleSize val="0"/>
            <c:showLeaderLines val="0"/>
          </c:dLbls>
          <c:cat>
            <c:numRef>
              <c:f>'annual progress'!$J$42:$N$42</c:f>
              <c:numCache>
                <c:formatCode>General</c:formatCode>
                <c:ptCount val="5"/>
                <c:pt idx="0">
                  <c:v>2010</c:v>
                </c:pt>
                <c:pt idx="1">
                  <c:v>2011</c:v>
                </c:pt>
                <c:pt idx="2">
                  <c:v>2012</c:v>
                </c:pt>
                <c:pt idx="3">
                  <c:v>2013</c:v>
                </c:pt>
                <c:pt idx="4">
                  <c:v>2014</c:v>
                </c:pt>
              </c:numCache>
            </c:numRef>
          </c:cat>
          <c:val>
            <c:numRef>
              <c:f>'annual progress'!$J$43:$N$43</c:f>
              <c:numCache>
                <c:formatCode>#,##0_);\(#,##0\);" "</c:formatCode>
                <c:ptCount val="5"/>
                <c:pt idx="0">
                  <c:v>26</c:v>
                </c:pt>
                <c:pt idx="1">
                  <c:v>12</c:v>
                </c:pt>
                <c:pt idx="2">
                  <c:v>11</c:v>
                </c:pt>
                <c:pt idx="3">
                  <c:v>1</c:v>
                </c:pt>
                <c:pt idx="4">
                  <c:v>10</c:v>
                </c:pt>
              </c:numCache>
            </c:numRef>
          </c:val>
        </c:ser>
        <c:ser>
          <c:idx val="1"/>
          <c:order val="1"/>
          <c:tx>
            <c:strRef>
              <c:f>'annual progress'!$I$44</c:f>
              <c:strCache>
                <c:ptCount val="1"/>
                <c:pt idx="0">
                  <c:v>aplicadas</c:v>
                </c:pt>
              </c:strCache>
            </c:strRef>
          </c:tx>
          <c:spPr>
            <a:solidFill>
              <a:schemeClr val="accent6">
                <a:lumMod val="40000"/>
                <a:lumOff val="60000"/>
              </a:schemeClr>
            </a:solidFill>
          </c:spPr>
          <c:invertIfNegative val="0"/>
          <c:dLbls>
            <c:txPr>
              <a:bodyPr/>
              <a:lstStyle/>
              <a:p>
                <a:pPr>
                  <a:defRPr sz="800" b="1" i="1"/>
                </a:pPr>
                <a:endParaRPr lang="en-US"/>
              </a:p>
            </c:txPr>
            <c:showLegendKey val="0"/>
            <c:showVal val="1"/>
            <c:showCatName val="0"/>
            <c:showSerName val="0"/>
            <c:showPercent val="0"/>
            <c:showBubbleSize val="0"/>
            <c:showLeaderLines val="0"/>
          </c:dLbls>
          <c:cat>
            <c:numRef>
              <c:f>'annual progress'!$J$42:$N$42</c:f>
              <c:numCache>
                <c:formatCode>General</c:formatCode>
                <c:ptCount val="5"/>
                <c:pt idx="0">
                  <c:v>2010</c:v>
                </c:pt>
                <c:pt idx="1">
                  <c:v>2011</c:v>
                </c:pt>
                <c:pt idx="2">
                  <c:v>2012</c:v>
                </c:pt>
                <c:pt idx="3">
                  <c:v>2013</c:v>
                </c:pt>
                <c:pt idx="4">
                  <c:v>2014</c:v>
                </c:pt>
              </c:numCache>
            </c:numRef>
          </c:cat>
          <c:val>
            <c:numRef>
              <c:f>'annual progress'!$J$44:$N$44</c:f>
              <c:numCache>
                <c:formatCode>#,##0_);\(#,##0\);" "</c:formatCode>
                <c:ptCount val="5"/>
                <c:pt idx="0">
                  <c:v>0</c:v>
                </c:pt>
                <c:pt idx="1">
                  <c:v>0</c:v>
                </c:pt>
                <c:pt idx="2">
                  <c:v>13</c:v>
                </c:pt>
                <c:pt idx="3">
                  <c:v>13</c:v>
                </c:pt>
                <c:pt idx="4">
                  <c:v>12</c:v>
                </c:pt>
              </c:numCache>
            </c:numRef>
          </c:val>
        </c:ser>
        <c:ser>
          <c:idx val="2"/>
          <c:order val="2"/>
          <c:tx>
            <c:strRef>
              <c:f>'annual progress'!$I$45</c:f>
              <c:strCache>
                <c:ptCount val="1"/>
                <c:pt idx="0">
                  <c:v>pendientes</c:v>
                </c:pt>
              </c:strCache>
            </c:strRef>
          </c:tx>
          <c:invertIfNegative val="0"/>
          <c:dLbls>
            <c:txPr>
              <a:bodyPr/>
              <a:lstStyle/>
              <a:p>
                <a:pPr>
                  <a:defRPr sz="800" b="1" i="1"/>
                </a:pPr>
                <a:endParaRPr lang="en-US"/>
              </a:p>
            </c:txPr>
            <c:showLegendKey val="0"/>
            <c:showVal val="1"/>
            <c:showCatName val="0"/>
            <c:showSerName val="0"/>
            <c:showPercent val="0"/>
            <c:showBubbleSize val="0"/>
            <c:showLeaderLines val="0"/>
          </c:dLbls>
          <c:cat>
            <c:numRef>
              <c:f>'annual progress'!$J$42:$N$42</c:f>
              <c:numCache>
                <c:formatCode>General</c:formatCode>
                <c:ptCount val="5"/>
                <c:pt idx="0">
                  <c:v>2010</c:v>
                </c:pt>
                <c:pt idx="1">
                  <c:v>2011</c:v>
                </c:pt>
                <c:pt idx="2">
                  <c:v>2012</c:v>
                </c:pt>
                <c:pt idx="3">
                  <c:v>2013</c:v>
                </c:pt>
                <c:pt idx="4">
                  <c:v>2014</c:v>
                </c:pt>
              </c:numCache>
            </c:numRef>
          </c:cat>
          <c:val>
            <c:numRef>
              <c:f>'annual progress'!$J$45:$N$45</c:f>
              <c:numCache>
                <c:formatCode>#,##0_);\(#,##0\);" "</c:formatCode>
                <c:ptCount val="5"/>
                <c:pt idx="0">
                  <c:v>26</c:v>
                </c:pt>
                <c:pt idx="1">
                  <c:v>38</c:v>
                </c:pt>
                <c:pt idx="2">
                  <c:v>36</c:v>
                </c:pt>
                <c:pt idx="3">
                  <c:v>24</c:v>
                </c:pt>
                <c:pt idx="4">
                  <c:v>22</c:v>
                </c:pt>
              </c:numCache>
            </c:numRef>
          </c:val>
        </c:ser>
        <c:dLbls>
          <c:showLegendKey val="0"/>
          <c:showVal val="0"/>
          <c:showCatName val="0"/>
          <c:showSerName val="0"/>
          <c:showPercent val="0"/>
          <c:showBubbleSize val="0"/>
        </c:dLbls>
        <c:gapWidth val="150"/>
        <c:shape val="box"/>
        <c:axId val="80662528"/>
        <c:axId val="80664064"/>
        <c:axId val="0"/>
      </c:bar3DChart>
      <c:catAx>
        <c:axId val="80662528"/>
        <c:scaling>
          <c:orientation val="minMax"/>
        </c:scaling>
        <c:delete val="0"/>
        <c:axPos val="b"/>
        <c:numFmt formatCode="General" sourceLinked="1"/>
        <c:majorTickMark val="out"/>
        <c:minorTickMark val="none"/>
        <c:tickLblPos val="nextTo"/>
        <c:crossAx val="80664064"/>
        <c:crosses val="autoZero"/>
        <c:auto val="1"/>
        <c:lblAlgn val="ctr"/>
        <c:lblOffset val="100"/>
        <c:noMultiLvlLbl val="0"/>
      </c:catAx>
      <c:valAx>
        <c:axId val="80664064"/>
        <c:scaling>
          <c:orientation val="minMax"/>
          <c:max val="50"/>
        </c:scaling>
        <c:delete val="0"/>
        <c:axPos val="l"/>
        <c:majorGridlines>
          <c:spPr>
            <a:ln>
              <a:noFill/>
            </a:ln>
          </c:spPr>
        </c:majorGridlines>
        <c:numFmt formatCode="#,##0_);\(#,##0\);&quot; &quot;" sourceLinked="1"/>
        <c:majorTickMark val="out"/>
        <c:minorTickMark val="none"/>
        <c:tickLblPos val="nextTo"/>
        <c:crossAx val="80662528"/>
        <c:crosses val="autoZero"/>
        <c:crossBetween val="between"/>
      </c:valAx>
    </c:plotArea>
    <c:legend>
      <c:legendPos val="b"/>
      <c:layout/>
      <c:overlay val="0"/>
    </c:legend>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E2DEA-1911-4561-BF3C-80562646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PBC 24(S)</Template>
  <TotalTime>0</TotalTime>
  <Pages>18</Pages>
  <Words>4494</Words>
  <Characters>25113</Characters>
  <Application>Microsoft Office Word</Application>
  <DocSecurity>4</DocSecurity>
  <Lines>209</Lines>
  <Paragraphs>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WO/PBC/24/</vt:lpstr>
      <vt:lpstr>WO/PBC/24/</vt:lpstr>
    </vt:vector>
  </TitlesOfParts>
  <Company>WIPO</Company>
  <LinksUpToDate>false</LinksUpToDate>
  <CharactersWithSpaces>29548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dc:title>
  <dc:creator>LOPEZ OLIVARES Dolores</dc:creator>
  <cp:lastModifiedBy>DOYON Geneviève</cp:lastModifiedBy>
  <cp:revision>2</cp:revision>
  <cp:lastPrinted>2015-07-22T12:26:00Z</cp:lastPrinted>
  <dcterms:created xsi:type="dcterms:W3CDTF">2015-08-03T06:26:00Z</dcterms:created>
  <dcterms:modified xsi:type="dcterms:W3CDTF">2015-08-03T06:26:00Z</dcterms:modified>
</cp:coreProperties>
</file>